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77319" w14:textId="74EDFC95" w:rsidR="00811256" w:rsidRDefault="00714034" w:rsidP="00811256">
      <w:pPr>
        <w:spacing w:before="0" w:after="180" w:line="360" w:lineRule="auto"/>
        <w:jc w:val="both"/>
        <w:rPr>
          <w:rFonts w:ascii="Arial" w:eastAsia="Arial" w:hAnsi="Arial" w:cs="Arial"/>
          <w:b/>
          <w:bCs/>
          <w:color w:val="1A3A5C"/>
          <w:sz w:val="24"/>
          <w:szCs w:val="24"/>
        </w:rPr>
      </w:pPr>
      <w:r>
        <w:rPr>
          <w:rFonts w:ascii="Arial" w:eastAsia="Arial" w:hAnsi="Arial" w:cs="Arial"/>
          <w:noProof/>
        </w:rPr>
        <w:drawing>
          <wp:anchor distT="57150" distB="57150" distL="57150" distR="57150" simplePos="0" relativeHeight="251659264" behindDoc="0" locked="0" layoutInCell="1" allowOverlap="1" wp14:anchorId="0F728355" wp14:editId="1F10053F">
            <wp:simplePos x="0" y="0"/>
            <wp:positionH relativeFrom="column">
              <wp:posOffset>2169994</wp:posOffset>
            </wp:positionH>
            <wp:positionV relativeFrom="line">
              <wp:posOffset>62230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p>
    <w:p w14:paraId="6BEFF098" w14:textId="77777777" w:rsidR="00811256" w:rsidRDefault="00811256" w:rsidP="00811256">
      <w:pPr>
        <w:spacing w:before="0" w:after="180" w:line="360" w:lineRule="auto"/>
        <w:jc w:val="both"/>
        <w:rPr>
          <w:rFonts w:ascii="Arial" w:eastAsia="Arial" w:hAnsi="Arial" w:cs="Arial"/>
          <w:b/>
          <w:bCs/>
          <w:color w:val="1A3A5C"/>
          <w:sz w:val="24"/>
          <w:szCs w:val="24"/>
        </w:rPr>
      </w:pPr>
    </w:p>
    <w:p w14:paraId="3742DE20" w14:textId="77777777" w:rsidR="00811256" w:rsidRDefault="00811256" w:rsidP="00811256">
      <w:pPr>
        <w:spacing w:before="0" w:after="180" w:line="360" w:lineRule="auto"/>
        <w:jc w:val="both"/>
        <w:rPr>
          <w:rFonts w:ascii="Arial" w:eastAsia="Arial" w:hAnsi="Arial" w:cs="Arial"/>
          <w:b/>
          <w:bCs/>
          <w:color w:val="1A3A5C"/>
          <w:sz w:val="24"/>
          <w:szCs w:val="24"/>
        </w:rPr>
      </w:pPr>
    </w:p>
    <w:p w14:paraId="449AC19B" w14:textId="1B7F266C" w:rsidR="00980EF6" w:rsidRDefault="00980EF6" w:rsidP="00980EF6">
      <w:pPr>
        <w:spacing w:before="0" w:after="180" w:line="360" w:lineRule="auto"/>
        <w:jc w:val="center"/>
        <w:rPr>
          <w:rFonts w:ascii="Times New Roman" w:eastAsia="Arial" w:hAnsi="Times New Roman" w:cs="Times New Roman"/>
          <w:b/>
          <w:bCs/>
          <w:sz w:val="36"/>
          <w:szCs w:val="36"/>
        </w:rPr>
      </w:pPr>
      <w:r>
        <w:rPr>
          <w:rFonts w:ascii="Times New Roman" w:eastAsia="Arial" w:hAnsi="Times New Roman" w:cs="Times New Roman"/>
          <w:b/>
          <w:bCs/>
          <w:sz w:val="36"/>
          <w:szCs w:val="36"/>
        </w:rPr>
        <w:t xml:space="preserve">    </w:t>
      </w:r>
      <w:r w:rsidRPr="00980EF6">
        <w:rPr>
          <w:rFonts w:ascii="Times New Roman" w:eastAsia="Arial" w:hAnsi="Times New Roman" w:cs="Times New Roman"/>
          <w:b/>
          <w:bCs/>
          <w:sz w:val="40"/>
          <w:szCs w:val="40"/>
        </w:rPr>
        <w:t>Global Business Challenges</w:t>
      </w:r>
      <w:r w:rsidRPr="00980EF6">
        <w:rPr>
          <w:rFonts w:ascii="Times New Roman" w:eastAsia="Arial" w:hAnsi="Times New Roman" w:cs="Times New Roman"/>
          <w:b/>
          <w:bCs/>
          <w:sz w:val="40"/>
          <w:szCs w:val="40"/>
        </w:rPr>
        <w:t xml:space="preserve"> Report</w:t>
      </w:r>
    </w:p>
    <w:p w14:paraId="3AAF364B" w14:textId="77777777" w:rsidR="00980EF6" w:rsidRPr="00D017D4" w:rsidRDefault="00980EF6" w:rsidP="00980EF6">
      <w:pPr>
        <w:spacing w:before="0" w:after="180" w:line="360" w:lineRule="auto"/>
        <w:jc w:val="center"/>
        <w:rPr>
          <w:rFonts w:ascii="Times New Roman" w:hAnsi="Times New Roman" w:cs="Times New Roman"/>
          <w:b/>
          <w:bCs/>
          <w:sz w:val="30"/>
          <w:szCs w:val="36"/>
        </w:rPr>
      </w:pPr>
    </w:p>
    <w:p w14:paraId="2AB90E25" w14:textId="7C0F973F" w:rsidR="00E82880" w:rsidRPr="00D017D4" w:rsidRDefault="00980EF6" w:rsidP="00D017D4">
      <w:pPr>
        <w:spacing w:before="80" w:after="80" w:line="360" w:lineRule="auto"/>
        <w:jc w:val="center"/>
        <w:rPr>
          <w:rFonts w:ascii="Arial" w:eastAsia="Arial" w:hAnsi="Arial" w:cs="Arial"/>
          <w:sz w:val="24"/>
          <w:szCs w:val="24"/>
        </w:rPr>
      </w:pPr>
      <w:r w:rsidRPr="00D017D4">
        <w:rPr>
          <w:rFonts w:ascii="Times New Roman" w:eastAsia="Arial" w:hAnsi="Times New Roman" w:cs="Times New Roman"/>
          <w:b/>
          <w:bCs/>
          <w:sz w:val="24"/>
          <w:szCs w:val="24"/>
        </w:rPr>
        <w:t xml:space="preserve"> </w:t>
      </w:r>
      <w:r w:rsidRPr="00D017D4">
        <w:rPr>
          <w:rFonts w:ascii="Times New Roman" w:eastAsia="Arial" w:hAnsi="Times New Roman" w:cs="Times New Roman"/>
          <w:b/>
          <w:bCs/>
          <w:sz w:val="32"/>
          <w:szCs w:val="32"/>
        </w:rPr>
        <w:t>Title:</w:t>
      </w:r>
      <w:r w:rsidRPr="00D017D4">
        <w:rPr>
          <w:rFonts w:ascii="Times New Roman" w:eastAsia="Arial" w:hAnsi="Times New Roman" w:cs="Times New Roman"/>
          <w:sz w:val="32"/>
          <w:szCs w:val="32"/>
        </w:rPr>
        <w:t xml:space="preserve"> </w:t>
      </w:r>
      <w:r w:rsidR="00D017D4" w:rsidRPr="00D017D4">
        <w:rPr>
          <w:rFonts w:ascii="Times New Roman" w:eastAsia="Arial" w:hAnsi="Times New Roman" w:cs="Times New Roman"/>
          <w:b/>
          <w:bCs/>
          <w:sz w:val="28"/>
          <w:szCs w:val="28"/>
        </w:rPr>
        <w:t>A Strategic Advisory Report for</w:t>
      </w:r>
      <w:r w:rsidR="00D017D4" w:rsidRPr="00D017D4">
        <w:rPr>
          <w:rFonts w:ascii="Times New Roman" w:hAnsi="Times New Roman" w:cs="Times New Roman"/>
          <w:b/>
          <w:bCs/>
          <w:sz w:val="32"/>
          <w:szCs w:val="32"/>
        </w:rPr>
        <w:t xml:space="preserve"> </w:t>
      </w:r>
      <w:r w:rsidRPr="00D017D4">
        <w:rPr>
          <w:rFonts w:ascii="Times New Roman" w:hAnsi="Times New Roman" w:cs="Times New Roman"/>
          <w:b/>
          <w:bCs/>
          <w:sz w:val="32"/>
          <w:szCs w:val="32"/>
        </w:rPr>
        <w:t>GlaxoSmithKline plc (GSK)</w:t>
      </w:r>
      <w:r w:rsidR="00D017D4" w:rsidRPr="00D017D4">
        <w:rPr>
          <w:rFonts w:ascii="Times New Roman" w:hAnsi="Times New Roman" w:cs="Times New Roman"/>
          <w:b/>
          <w:bCs/>
          <w:sz w:val="32"/>
          <w:szCs w:val="32"/>
        </w:rPr>
        <w:t>:</w:t>
      </w:r>
      <w:r w:rsidR="00D017D4" w:rsidRPr="00D017D4">
        <w:rPr>
          <w:b/>
          <w:bCs/>
          <w:sz w:val="28"/>
          <w:szCs w:val="32"/>
        </w:rPr>
        <w:t xml:space="preserve"> </w:t>
      </w:r>
      <w:r w:rsidR="00312E6D" w:rsidRPr="00D017D4">
        <w:rPr>
          <w:rFonts w:ascii="Arial" w:eastAsia="Arial" w:hAnsi="Arial" w:cs="Arial"/>
          <w:sz w:val="28"/>
          <w:szCs w:val="28"/>
        </w:rPr>
        <w:t>Navigating Artificial Intelligence, Risk Management and Regulatory Compliance</w:t>
      </w:r>
      <w:r w:rsidR="00D017D4" w:rsidRPr="00D017D4">
        <w:rPr>
          <w:rFonts w:ascii="Arial" w:eastAsia="Arial" w:hAnsi="Arial" w:cs="Arial"/>
          <w:sz w:val="28"/>
          <w:szCs w:val="28"/>
        </w:rPr>
        <w:t>.</w:t>
      </w:r>
    </w:p>
    <w:p w14:paraId="4E5DAA13" w14:textId="1DABAD75" w:rsidR="00811256" w:rsidRDefault="00811256" w:rsidP="00714034">
      <w:pPr>
        <w:spacing w:before="80" w:after="80" w:line="360" w:lineRule="auto"/>
        <w:jc w:val="center"/>
        <w:rPr>
          <w:rFonts w:ascii="Arial" w:eastAsia="Arial" w:hAnsi="Arial" w:cs="Arial"/>
          <w:b/>
          <w:bCs/>
          <w:sz w:val="24"/>
          <w:szCs w:val="24"/>
        </w:rPr>
      </w:pPr>
    </w:p>
    <w:p w14:paraId="46CF726B" w14:textId="77777777" w:rsidR="007D7AE6" w:rsidRPr="007D7AE6" w:rsidRDefault="007D7AE6" w:rsidP="007D7AE6">
      <w:pPr>
        <w:jc w:val="center"/>
        <w:rPr>
          <w:rFonts w:ascii="Times New Roman" w:hAnsi="Times New Roman" w:cs="Times New Roman"/>
          <w:b/>
          <w:bCs/>
          <w:sz w:val="32"/>
          <w:szCs w:val="32"/>
          <w:lang w:bidi="bn-BD"/>
        </w:rPr>
      </w:pPr>
      <w:r w:rsidRPr="007D7AE6">
        <w:rPr>
          <w:rFonts w:ascii="Times New Roman" w:hAnsi="Times New Roman" w:cs="Times New Roman"/>
          <w:b/>
          <w:bCs/>
          <w:sz w:val="32"/>
          <w:szCs w:val="32"/>
          <w:lang w:bidi="bn-BD"/>
        </w:rPr>
        <w:t>Prepared for:</w:t>
      </w:r>
    </w:p>
    <w:p w14:paraId="50B76B2B" w14:textId="77777777" w:rsidR="007D7AE6" w:rsidRDefault="007D7AE6" w:rsidP="007D7AE6">
      <w:pPr>
        <w:jc w:val="center"/>
        <w:rPr>
          <w:rFonts w:ascii="Times New Roman" w:hAnsi="Times New Roman" w:cs="Times New Roman"/>
          <w:sz w:val="32"/>
          <w:szCs w:val="32"/>
          <w:lang w:bidi="bn-BD"/>
        </w:rPr>
      </w:pPr>
      <w:r w:rsidRPr="007D7AE6">
        <w:rPr>
          <w:rFonts w:ascii="Times New Roman" w:hAnsi="Times New Roman" w:cs="Times New Roman"/>
          <w:b/>
          <w:bCs/>
          <w:sz w:val="32"/>
          <w:szCs w:val="32"/>
          <w:lang w:bidi="bn-BD"/>
        </w:rPr>
        <w:t>Department:</w:t>
      </w:r>
      <w:r w:rsidRPr="007D7AE6">
        <w:rPr>
          <w:rFonts w:ascii="Times New Roman" w:hAnsi="Times New Roman" w:cs="Times New Roman"/>
          <w:sz w:val="32"/>
          <w:szCs w:val="32"/>
          <w:lang w:bidi="bn-BD"/>
        </w:rPr>
        <w:t xml:space="preserve"> Masters of Business Administration (MBA</w:t>
      </w:r>
      <w:r>
        <w:rPr>
          <w:rFonts w:ascii="Times New Roman" w:hAnsi="Times New Roman" w:cs="Times New Roman"/>
          <w:sz w:val="32"/>
          <w:szCs w:val="32"/>
          <w:lang w:bidi="bn-BD"/>
        </w:rPr>
        <w:t>)</w:t>
      </w:r>
    </w:p>
    <w:p w14:paraId="0A56E9A6" w14:textId="08C75CE2" w:rsidR="007D7AE6" w:rsidRPr="007D7AE6" w:rsidRDefault="007D7AE6" w:rsidP="007D7AE6">
      <w:pPr>
        <w:jc w:val="center"/>
        <w:rPr>
          <w:rFonts w:ascii="Times New Roman" w:hAnsi="Times New Roman" w:cs="Times New Roman"/>
          <w:sz w:val="32"/>
          <w:szCs w:val="32"/>
          <w:lang w:bidi="bn-BD"/>
        </w:rPr>
      </w:pPr>
      <w:r w:rsidRPr="007D7AE6">
        <w:rPr>
          <w:rFonts w:ascii="Times New Roman" w:hAnsi="Times New Roman" w:cs="Times New Roman"/>
          <w:b/>
          <w:bCs/>
          <w:sz w:val="32"/>
          <w:szCs w:val="32"/>
          <w:lang w:bidi="bn-BD"/>
        </w:rPr>
        <w:t>Course:</w:t>
      </w:r>
      <w:r w:rsidRPr="007D7AE6">
        <w:rPr>
          <w:rFonts w:ascii="Times New Roman" w:hAnsi="Times New Roman" w:cs="Times New Roman"/>
          <w:sz w:val="32"/>
          <w:szCs w:val="32"/>
          <w:lang w:bidi="bn-BD"/>
        </w:rPr>
        <w:t xml:space="preserve"> </w:t>
      </w:r>
      <w:r w:rsidRPr="007D7AE6">
        <w:rPr>
          <w:rFonts w:ascii="Times New Roman" w:eastAsia="Arial" w:hAnsi="Times New Roman" w:cs="Times New Roman"/>
          <w:sz w:val="32"/>
          <w:szCs w:val="32"/>
        </w:rPr>
        <w:t>Global Business Challenges</w:t>
      </w:r>
      <w:r w:rsidRPr="00980EF6">
        <w:rPr>
          <w:rFonts w:ascii="Times New Roman" w:eastAsia="Arial" w:hAnsi="Times New Roman" w:cs="Times New Roman"/>
          <w:b/>
          <w:bCs/>
          <w:sz w:val="40"/>
          <w:szCs w:val="40"/>
        </w:rPr>
        <w:t xml:space="preserve"> </w:t>
      </w:r>
      <w:r w:rsidRPr="007D7AE6">
        <w:rPr>
          <w:rFonts w:ascii="Times New Roman" w:hAnsi="Times New Roman" w:cs="Times New Roman"/>
          <w:color w:val="000000" w:themeColor="text1"/>
          <w:sz w:val="32"/>
          <w:szCs w:val="32"/>
        </w:rPr>
        <w:t>(</w:t>
      </w:r>
      <w:proofErr w:type="spellStart"/>
      <w:r w:rsidRPr="007D7AE6">
        <w:rPr>
          <w:rFonts w:ascii="Times New Roman" w:hAnsi="Times New Roman" w:cs="Times New Roman"/>
          <w:color w:val="000000" w:themeColor="text1"/>
          <w:sz w:val="32"/>
          <w:szCs w:val="32"/>
        </w:rPr>
        <w:t>BMMB70</w:t>
      </w:r>
      <w:r>
        <w:rPr>
          <w:rFonts w:ascii="Times New Roman" w:hAnsi="Times New Roman" w:cs="Times New Roman"/>
          <w:color w:val="000000" w:themeColor="text1"/>
          <w:sz w:val="32"/>
          <w:szCs w:val="32"/>
        </w:rPr>
        <w:t>06</w:t>
      </w:r>
      <w:proofErr w:type="spellEnd"/>
      <w:r w:rsidRPr="007D7AE6">
        <w:rPr>
          <w:rFonts w:ascii="Times New Roman" w:hAnsi="Times New Roman" w:cs="Times New Roman"/>
          <w:color w:val="000000" w:themeColor="text1"/>
          <w:sz w:val="32"/>
          <w:szCs w:val="32"/>
        </w:rPr>
        <w:t>)</w:t>
      </w:r>
    </w:p>
    <w:p w14:paraId="434E3E40" w14:textId="77777777" w:rsidR="007D7AE6" w:rsidRPr="007D7AE6" w:rsidRDefault="007D7AE6" w:rsidP="007D7AE6">
      <w:pPr>
        <w:jc w:val="center"/>
        <w:rPr>
          <w:rFonts w:ascii="Times New Roman" w:hAnsi="Times New Roman" w:cs="Times New Roman"/>
          <w:sz w:val="32"/>
          <w:szCs w:val="32"/>
          <w:lang w:bidi="bn-BD"/>
        </w:rPr>
      </w:pPr>
      <w:r w:rsidRPr="007D7AE6">
        <w:rPr>
          <w:rFonts w:ascii="Times New Roman" w:hAnsi="Times New Roman" w:cs="Times New Roman"/>
          <w:b/>
          <w:bCs/>
          <w:sz w:val="32"/>
          <w:szCs w:val="32"/>
          <w:lang w:bidi="bn-BD"/>
        </w:rPr>
        <w:t>Institute:</w:t>
      </w:r>
      <w:r w:rsidRPr="007D7AE6">
        <w:rPr>
          <w:rFonts w:ascii="Times New Roman" w:hAnsi="Times New Roman" w:cs="Times New Roman"/>
          <w:sz w:val="32"/>
          <w:szCs w:val="32"/>
          <w:lang w:bidi="bn-BD"/>
        </w:rPr>
        <w:t xml:space="preserve"> University of Wales Trinity Saint David, Swansea</w:t>
      </w:r>
    </w:p>
    <w:p w14:paraId="2576FBED" w14:textId="77777777" w:rsidR="007D7AE6" w:rsidRPr="007D7AE6" w:rsidRDefault="007D7AE6" w:rsidP="007D7AE6">
      <w:pPr>
        <w:contextualSpacing/>
        <w:rPr>
          <w:rFonts w:ascii="Times New Roman" w:hAnsi="Times New Roman" w:cs="Times New Roman"/>
          <w:b/>
          <w:bCs/>
          <w:color w:val="000000" w:themeColor="text1"/>
          <w:sz w:val="32"/>
          <w:szCs w:val="32"/>
        </w:rPr>
      </w:pPr>
    </w:p>
    <w:p w14:paraId="60AB764F" w14:textId="77777777" w:rsidR="007D7AE6" w:rsidRPr="007D7AE6" w:rsidRDefault="007D7AE6" w:rsidP="007D7AE6">
      <w:pPr>
        <w:contextualSpacing/>
        <w:jc w:val="center"/>
        <w:rPr>
          <w:rFonts w:ascii="Times New Roman" w:hAnsi="Times New Roman" w:cs="Times New Roman"/>
          <w:b/>
          <w:bCs/>
          <w:color w:val="000000" w:themeColor="text1"/>
          <w:sz w:val="32"/>
          <w:szCs w:val="32"/>
        </w:rPr>
      </w:pPr>
    </w:p>
    <w:p w14:paraId="2CE68BEB" w14:textId="77777777" w:rsidR="007D7AE6" w:rsidRPr="007D7AE6" w:rsidRDefault="007D7AE6" w:rsidP="007D7AE6">
      <w:pPr>
        <w:jc w:val="center"/>
        <w:rPr>
          <w:rFonts w:ascii="Times New Roman" w:hAnsi="Times New Roman" w:cs="Times New Roman"/>
          <w:b/>
          <w:bCs/>
          <w:sz w:val="32"/>
          <w:szCs w:val="32"/>
          <w:lang w:bidi="bn-BD"/>
        </w:rPr>
      </w:pPr>
      <w:r w:rsidRPr="007D7AE6">
        <w:rPr>
          <w:rFonts w:ascii="Times New Roman" w:hAnsi="Times New Roman" w:cs="Times New Roman"/>
          <w:b/>
          <w:bCs/>
          <w:sz w:val="32"/>
          <w:szCs w:val="32"/>
          <w:lang w:bidi="bn-BD"/>
        </w:rPr>
        <w:t>Prepared by:</w:t>
      </w:r>
    </w:p>
    <w:p w14:paraId="23927A55" w14:textId="77777777" w:rsidR="007D7AE6" w:rsidRPr="007D7AE6" w:rsidRDefault="007D7AE6" w:rsidP="007D7AE6">
      <w:pPr>
        <w:contextualSpacing/>
        <w:jc w:val="center"/>
        <w:rPr>
          <w:rFonts w:ascii="Times New Roman" w:hAnsi="Times New Roman" w:cs="Times New Roman"/>
          <w:color w:val="000000" w:themeColor="text1"/>
          <w:sz w:val="32"/>
          <w:szCs w:val="32"/>
        </w:rPr>
      </w:pPr>
      <w:r w:rsidRPr="007D7AE6">
        <w:rPr>
          <w:rFonts w:ascii="Times New Roman" w:hAnsi="Times New Roman" w:cs="Times New Roman"/>
          <w:color w:val="000000" w:themeColor="text1"/>
          <w:sz w:val="32"/>
          <w:szCs w:val="32"/>
        </w:rPr>
        <w:t xml:space="preserve">Md Rakib Mia </w:t>
      </w:r>
    </w:p>
    <w:p w14:paraId="456BDF0D" w14:textId="77777777" w:rsidR="007D7AE6" w:rsidRPr="007D7AE6" w:rsidRDefault="007D7AE6" w:rsidP="007D7AE6">
      <w:pPr>
        <w:contextualSpacing/>
        <w:jc w:val="center"/>
        <w:rPr>
          <w:rFonts w:ascii="Times New Roman" w:hAnsi="Times New Roman" w:cs="Times New Roman"/>
          <w:color w:val="000000" w:themeColor="text1"/>
          <w:sz w:val="32"/>
          <w:szCs w:val="32"/>
        </w:rPr>
      </w:pPr>
      <w:r w:rsidRPr="007D7AE6">
        <w:rPr>
          <w:rFonts w:ascii="Times New Roman" w:hAnsi="Times New Roman" w:cs="Times New Roman"/>
          <w:color w:val="000000" w:themeColor="text1"/>
          <w:sz w:val="32"/>
          <w:szCs w:val="32"/>
        </w:rPr>
        <w:t>Student ID: 2513201</w:t>
      </w:r>
    </w:p>
    <w:p w14:paraId="5658DD33" w14:textId="77777777" w:rsidR="007D7AE6" w:rsidRPr="007D7AE6" w:rsidRDefault="007D7AE6" w:rsidP="007D7AE6">
      <w:pPr>
        <w:contextualSpacing/>
        <w:jc w:val="center"/>
        <w:rPr>
          <w:rFonts w:ascii="Times New Roman" w:hAnsi="Times New Roman" w:cs="Times New Roman"/>
          <w:b/>
          <w:bCs/>
          <w:color w:val="000000" w:themeColor="text1"/>
          <w:sz w:val="32"/>
          <w:szCs w:val="32"/>
        </w:rPr>
      </w:pPr>
    </w:p>
    <w:p w14:paraId="2A2AC173" w14:textId="77777777" w:rsidR="007D7AE6" w:rsidRPr="007D7AE6" w:rsidRDefault="007D7AE6" w:rsidP="007D7AE6">
      <w:pPr>
        <w:jc w:val="center"/>
        <w:rPr>
          <w:rFonts w:ascii="Times New Roman" w:hAnsi="Times New Roman" w:cs="Times New Roman"/>
          <w:b/>
          <w:bCs/>
          <w:sz w:val="28"/>
          <w:szCs w:val="28"/>
          <w:lang w:bidi="bn-BD"/>
        </w:rPr>
      </w:pPr>
      <w:r w:rsidRPr="007D7AE6">
        <w:rPr>
          <w:rFonts w:ascii="Times New Roman" w:hAnsi="Times New Roman" w:cs="Times New Roman"/>
          <w:b/>
          <w:bCs/>
          <w:sz w:val="28"/>
          <w:szCs w:val="28"/>
          <w:lang w:bidi="bn-BD"/>
        </w:rPr>
        <w:t>Date:</w:t>
      </w:r>
    </w:p>
    <w:p w14:paraId="454C1D09" w14:textId="5A6B5B0C" w:rsidR="007D7AE6" w:rsidRPr="007D7AE6" w:rsidRDefault="007D7AE6" w:rsidP="007D7AE6">
      <w:pPr>
        <w:contextualSpacing/>
        <w:jc w:val="center"/>
        <w:rPr>
          <w:rFonts w:ascii="Times New Roman" w:hAnsi="Times New Roman" w:cs="Times New Roman"/>
          <w:color w:val="000000" w:themeColor="text1"/>
          <w:sz w:val="32"/>
          <w:szCs w:val="32"/>
        </w:rPr>
      </w:pPr>
      <w:r w:rsidRPr="007D7AE6">
        <w:rPr>
          <w:rFonts w:ascii="Times New Roman" w:hAnsi="Times New Roman" w:cs="Times New Roman"/>
          <w:color w:val="000000" w:themeColor="text1"/>
          <w:sz w:val="32"/>
          <w:szCs w:val="32"/>
        </w:rPr>
        <w:t>2</w:t>
      </w:r>
      <w:r>
        <w:rPr>
          <w:rFonts w:ascii="Times New Roman" w:hAnsi="Times New Roman" w:cs="Times New Roman"/>
          <w:color w:val="000000" w:themeColor="text1"/>
          <w:sz w:val="32"/>
          <w:szCs w:val="32"/>
        </w:rPr>
        <w:t>7 April</w:t>
      </w:r>
      <w:r w:rsidRPr="007D7AE6">
        <w:rPr>
          <w:rFonts w:ascii="Times New Roman" w:hAnsi="Times New Roman" w:cs="Times New Roman"/>
          <w:color w:val="000000" w:themeColor="text1"/>
          <w:sz w:val="32"/>
          <w:szCs w:val="32"/>
        </w:rPr>
        <w:t xml:space="preserve"> 2026</w:t>
      </w:r>
    </w:p>
    <w:p w14:paraId="44BDCA65" w14:textId="77777777" w:rsidR="00811256" w:rsidRPr="00811256" w:rsidRDefault="00811256" w:rsidP="00811256">
      <w:pPr>
        <w:spacing w:before="80" w:after="80" w:line="360" w:lineRule="auto"/>
        <w:jc w:val="both"/>
        <w:rPr>
          <w:rFonts w:ascii="Arial" w:eastAsia="Arial" w:hAnsi="Arial" w:cs="Arial"/>
          <w:sz w:val="24"/>
          <w:szCs w:val="24"/>
        </w:rPr>
      </w:pPr>
    </w:p>
    <w:p w14:paraId="711456C4" w14:textId="77777777" w:rsidR="00E82880" w:rsidRPr="00797C2C" w:rsidRDefault="00312E6D" w:rsidP="00B227B6">
      <w:pPr>
        <w:spacing w:line="360" w:lineRule="auto"/>
        <w:jc w:val="both"/>
        <w:rPr>
          <w:sz w:val="24"/>
          <w:szCs w:val="24"/>
        </w:rPr>
      </w:pPr>
      <w:r w:rsidRPr="00797C2C">
        <w:rPr>
          <w:sz w:val="24"/>
          <w:szCs w:val="24"/>
        </w:rPr>
        <w:br w:type="page"/>
      </w:r>
    </w:p>
    <w:p w14:paraId="345185A7" w14:textId="77777777" w:rsidR="00E82880" w:rsidRPr="00797C2C" w:rsidRDefault="00312E6D" w:rsidP="00B227B6">
      <w:pPr>
        <w:pStyle w:val="Heading1"/>
        <w:spacing w:line="360" w:lineRule="auto"/>
        <w:jc w:val="both"/>
        <w:rPr>
          <w:sz w:val="24"/>
          <w:szCs w:val="24"/>
        </w:rPr>
      </w:pPr>
      <w:bookmarkStart w:id="0" w:name="_Toc228184859"/>
      <w:r w:rsidRPr="00797C2C">
        <w:rPr>
          <w:rFonts w:ascii="Arial" w:eastAsia="Arial" w:hAnsi="Arial" w:cs="Arial"/>
          <w:b/>
          <w:bCs/>
          <w:color w:val="1A3A5C"/>
          <w:sz w:val="24"/>
          <w:szCs w:val="24"/>
        </w:rPr>
        <w:lastRenderedPageBreak/>
        <w:t>Executive Summary</w:t>
      </w:r>
      <w:bookmarkEnd w:id="0"/>
    </w:p>
    <w:p w14:paraId="45EAFA8C" w14:textId="77777777" w:rsidR="00504511" w:rsidRPr="00797C2C" w:rsidRDefault="00504511" w:rsidP="00B227B6">
      <w:pPr>
        <w:spacing w:line="360" w:lineRule="auto"/>
        <w:jc w:val="both"/>
        <w:rPr>
          <w:sz w:val="24"/>
          <w:szCs w:val="24"/>
        </w:rPr>
      </w:pPr>
      <w:r w:rsidRPr="00797C2C">
        <w:rPr>
          <w:sz w:val="24"/>
          <w:szCs w:val="24"/>
        </w:rPr>
        <w:t xml:space="preserve">This report is a strategic advisory analysis report of GlaxoSmithKline plc (GSK), a major international pharmaceutical company based in the United Kingdom. It is prepared as an internship application to RFD Global, an international advisory consultancy that deals with multinational </w:t>
      </w:r>
      <w:proofErr w:type="spellStart"/>
      <w:r w:rsidRPr="00797C2C">
        <w:rPr>
          <w:sz w:val="24"/>
          <w:szCs w:val="24"/>
        </w:rPr>
        <w:t>organisations</w:t>
      </w:r>
      <w:proofErr w:type="spellEnd"/>
      <w:r w:rsidRPr="00797C2C">
        <w:rPr>
          <w:sz w:val="24"/>
          <w:szCs w:val="24"/>
        </w:rPr>
        <w:t xml:space="preserve"> in terms of economic, regulatory and policy issues. The report discusses the potentials of the expedited development of artificial intelligence (AI) to change the way risks are managed in GSK, specifically the governance of data, the use of AI in an ethical manner, the necessity to comply with regulations in the United Kingdom and the United States, and the ability to preserve customer and patient trust.</w:t>
      </w:r>
    </w:p>
    <w:p w14:paraId="153C00E1" w14:textId="76919D16" w:rsidR="00797C2C" w:rsidRPr="00797C2C" w:rsidRDefault="00504511" w:rsidP="00797C2C">
      <w:pPr>
        <w:spacing w:line="360" w:lineRule="auto"/>
        <w:jc w:val="both"/>
        <w:rPr>
          <w:sz w:val="24"/>
          <w:szCs w:val="24"/>
        </w:rPr>
      </w:pPr>
      <w:r w:rsidRPr="00797C2C">
        <w:rPr>
          <w:sz w:val="24"/>
          <w:szCs w:val="24"/>
        </w:rPr>
        <w:t xml:space="preserve">Based on the Five Forces of Porter, Porters Diamond of National Advantage, and a PESTLE analysis, the report concludes that AI has a major strategic opportunity, as well as a major reputational and regulatory risk. Major issues involve algorithm bias in clinical AI systems, different UK and US regulatory imperatives, and board-level gaps. Three fundamental suggestions are put forward: short-term </w:t>
      </w:r>
      <w:proofErr w:type="spellStart"/>
      <w:r w:rsidRPr="00797C2C">
        <w:rPr>
          <w:sz w:val="24"/>
          <w:szCs w:val="24"/>
        </w:rPr>
        <w:t>formalisation</w:t>
      </w:r>
      <w:proofErr w:type="spellEnd"/>
      <w:r w:rsidRPr="00797C2C">
        <w:rPr>
          <w:sz w:val="24"/>
          <w:szCs w:val="24"/>
        </w:rPr>
        <w:t xml:space="preserve"> of board-level responsibility of AI governance; a medium-term initiative to implement explainability and fairness audit of all AI systems; and long-term situating AI as a source of sustainable competitive advantage by responsible innovation. These recommendations are pegged on changing regulatory expectations and consistent with the current ESG commitments and SDG 3 requirements of GSK.</w:t>
      </w:r>
      <w:r w:rsidR="00312E6D" w:rsidRPr="00797C2C">
        <w:rPr>
          <w:sz w:val="24"/>
          <w:szCs w:val="24"/>
        </w:rPr>
        <w:br w:type="page"/>
      </w:r>
    </w:p>
    <w:sdt>
      <w:sdtPr>
        <w:rPr>
          <w:caps w:val="0"/>
          <w:color w:val="auto"/>
          <w:spacing w:val="0"/>
          <w:sz w:val="20"/>
          <w:szCs w:val="20"/>
        </w:rPr>
        <w:id w:val="1161660179"/>
        <w:docPartObj>
          <w:docPartGallery w:val="Table of Contents"/>
          <w:docPartUnique/>
        </w:docPartObj>
      </w:sdtPr>
      <w:sdtEndPr>
        <w:rPr>
          <w:b/>
          <w:bCs/>
          <w:noProof/>
        </w:rPr>
      </w:sdtEndPr>
      <w:sdtContent>
        <w:p w14:paraId="39FA6D9D" w14:textId="38BF6BFF" w:rsidR="00797C2C" w:rsidRDefault="00797C2C">
          <w:pPr>
            <w:pStyle w:val="TOCHeading"/>
          </w:pPr>
          <w:r>
            <w:t>Table of Contents</w:t>
          </w:r>
        </w:p>
        <w:p w14:paraId="7D76EB81" w14:textId="18732379" w:rsidR="00323E2C" w:rsidRDefault="00797C2C">
          <w:pPr>
            <w:pStyle w:val="TOC1"/>
            <w:tabs>
              <w:tab w:val="right" w:leader="dot" w:pos="9196"/>
            </w:tabs>
            <w:rPr>
              <w:noProof/>
              <w:sz w:val="22"/>
              <w:szCs w:val="22"/>
            </w:rPr>
          </w:pPr>
          <w:r>
            <w:fldChar w:fldCharType="begin"/>
          </w:r>
          <w:r>
            <w:instrText xml:space="preserve"> TOC \o "1-3" \h \z \u </w:instrText>
          </w:r>
          <w:r>
            <w:fldChar w:fldCharType="separate"/>
          </w:r>
          <w:hyperlink w:anchor="_Toc228184859" w:history="1">
            <w:r w:rsidR="00323E2C" w:rsidRPr="00E045E6">
              <w:rPr>
                <w:rStyle w:val="Hyperlink"/>
                <w:rFonts w:ascii="Arial" w:eastAsia="Arial" w:hAnsi="Arial" w:cs="Arial"/>
                <w:b/>
                <w:bCs/>
                <w:noProof/>
              </w:rPr>
              <w:t>Executive Summary</w:t>
            </w:r>
            <w:r w:rsidR="00323E2C">
              <w:rPr>
                <w:noProof/>
                <w:webHidden/>
              </w:rPr>
              <w:tab/>
            </w:r>
            <w:r w:rsidR="00323E2C">
              <w:rPr>
                <w:noProof/>
                <w:webHidden/>
              </w:rPr>
              <w:fldChar w:fldCharType="begin"/>
            </w:r>
            <w:r w:rsidR="00323E2C">
              <w:rPr>
                <w:noProof/>
                <w:webHidden/>
              </w:rPr>
              <w:instrText xml:space="preserve"> PAGEREF _Toc228184859 \h </w:instrText>
            </w:r>
            <w:r w:rsidR="00323E2C">
              <w:rPr>
                <w:noProof/>
                <w:webHidden/>
              </w:rPr>
            </w:r>
            <w:r w:rsidR="00323E2C">
              <w:rPr>
                <w:noProof/>
                <w:webHidden/>
              </w:rPr>
              <w:fldChar w:fldCharType="separate"/>
            </w:r>
            <w:r w:rsidR="00323E2C">
              <w:rPr>
                <w:noProof/>
                <w:webHidden/>
              </w:rPr>
              <w:t>2</w:t>
            </w:r>
            <w:r w:rsidR="00323E2C">
              <w:rPr>
                <w:noProof/>
                <w:webHidden/>
              </w:rPr>
              <w:fldChar w:fldCharType="end"/>
            </w:r>
          </w:hyperlink>
        </w:p>
        <w:p w14:paraId="5635B005" w14:textId="51B8FC4A" w:rsidR="00323E2C" w:rsidRDefault="00323E2C">
          <w:pPr>
            <w:pStyle w:val="TOC1"/>
            <w:tabs>
              <w:tab w:val="right" w:leader="dot" w:pos="9196"/>
            </w:tabs>
            <w:rPr>
              <w:noProof/>
              <w:sz w:val="22"/>
              <w:szCs w:val="22"/>
            </w:rPr>
          </w:pPr>
          <w:hyperlink w:anchor="_Toc228184860" w:history="1">
            <w:r w:rsidRPr="00E045E6">
              <w:rPr>
                <w:rStyle w:val="Hyperlink"/>
                <w:rFonts w:ascii="Arial" w:eastAsia="Arial" w:hAnsi="Arial" w:cs="Arial"/>
                <w:b/>
                <w:bCs/>
                <w:noProof/>
              </w:rPr>
              <w:t>1. Introduction</w:t>
            </w:r>
            <w:r>
              <w:rPr>
                <w:noProof/>
                <w:webHidden/>
              </w:rPr>
              <w:tab/>
            </w:r>
            <w:r>
              <w:rPr>
                <w:noProof/>
                <w:webHidden/>
              </w:rPr>
              <w:fldChar w:fldCharType="begin"/>
            </w:r>
            <w:r>
              <w:rPr>
                <w:noProof/>
                <w:webHidden/>
              </w:rPr>
              <w:instrText xml:space="preserve"> PAGEREF _Toc228184860 \h </w:instrText>
            </w:r>
            <w:r>
              <w:rPr>
                <w:noProof/>
                <w:webHidden/>
              </w:rPr>
            </w:r>
            <w:r>
              <w:rPr>
                <w:noProof/>
                <w:webHidden/>
              </w:rPr>
              <w:fldChar w:fldCharType="separate"/>
            </w:r>
            <w:r>
              <w:rPr>
                <w:noProof/>
                <w:webHidden/>
              </w:rPr>
              <w:t>4</w:t>
            </w:r>
            <w:r>
              <w:rPr>
                <w:noProof/>
                <w:webHidden/>
              </w:rPr>
              <w:fldChar w:fldCharType="end"/>
            </w:r>
          </w:hyperlink>
        </w:p>
        <w:p w14:paraId="64AE88E7" w14:textId="7FFBA4AD" w:rsidR="00323E2C" w:rsidRDefault="00323E2C">
          <w:pPr>
            <w:pStyle w:val="TOC1"/>
            <w:tabs>
              <w:tab w:val="right" w:leader="dot" w:pos="9196"/>
            </w:tabs>
            <w:rPr>
              <w:noProof/>
              <w:sz w:val="22"/>
              <w:szCs w:val="22"/>
            </w:rPr>
          </w:pPr>
          <w:hyperlink w:anchor="_Toc228184861" w:history="1">
            <w:r w:rsidRPr="00E045E6">
              <w:rPr>
                <w:rStyle w:val="Hyperlink"/>
                <w:rFonts w:ascii="Arial" w:eastAsia="Arial" w:hAnsi="Arial" w:cs="Arial"/>
                <w:b/>
                <w:bCs/>
                <w:noProof/>
              </w:rPr>
              <w:t>2. Main Findings</w:t>
            </w:r>
            <w:r>
              <w:rPr>
                <w:noProof/>
                <w:webHidden/>
              </w:rPr>
              <w:tab/>
            </w:r>
            <w:r>
              <w:rPr>
                <w:noProof/>
                <w:webHidden/>
              </w:rPr>
              <w:fldChar w:fldCharType="begin"/>
            </w:r>
            <w:r>
              <w:rPr>
                <w:noProof/>
                <w:webHidden/>
              </w:rPr>
              <w:instrText xml:space="preserve"> PAGEREF _Toc228184861 \h </w:instrText>
            </w:r>
            <w:r>
              <w:rPr>
                <w:noProof/>
                <w:webHidden/>
              </w:rPr>
            </w:r>
            <w:r>
              <w:rPr>
                <w:noProof/>
                <w:webHidden/>
              </w:rPr>
              <w:fldChar w:fldCharType="separate"/>
            </w:r>
            <w:r>
              <w:rPr>
                <w:noProof/>
                <w:webHidden/>
              </w:rPr>
              <w:t>5</w:t>
            </w:r>
            <w:r>
              <w:rPr>
                <w:noProof/>
                <w:webHidden/>
              </w:rPr>
              <w:fldChar w:fldCharType="end"/>
            </w:r>
          </w:hyperlink>
        </w:p>
        <w:p w14:paraId="16C70500" w14:textId="1284EBF1" w:rsidR="00323E2C" w:rsidRDefault="00323E2C">
          <w:pPr>
            <w:pStyle w:val="TOC2"/>
            <w:tabs>
              <w:tab w:val="right" w:leader="dot" w:pos="9196"/>
            </w:tabs>
            <w:rPr>
              <w:noProof/>
              <w:sz w:val="22"/>
              <w:szCs w:val="22"/>
            </w:rPr>
          </w:pPr>
          <w:hyperlink w:anchor="_Toc228184862" w:history="1">
            <w:r w:rsidRPr="00E045E6">
              <w:rPr>
                <w:rStyle w:val="Hyperlink"/>
                <w:rFonts w:ascii="Arial" w:eastAsia="Arial" w:hAnsi="Arial" w:cs="Arial"/>
                <w:b/>
                <w:bCs/>
                <w:noProof/>
              </w:rPr>
              <w:t>2.1 PESTLE Analysis of GSK's AI Environment</w:t>
            </w:r>
            <w:r>
              <w:rPr>
                <w:noProof/>
                <w:webHidden/>
              </w:rPr>
              <w:tab/>
            </w:r>
            <w:r>
              <w:rPr>
                <w:noProof/>
                <w:webHidden/>
              </w:rPr>
              <w:fldChar w:fldCharType="begin"/>
            </w:r>
            <w:r>
              <w:rPr>
                <w:noProof/>
                <w:webHidden/>
              </w:rPr>
              <w:instrText xml:space="preserve"> PAGEREF _Toc228184862 \h </w:instrText>
            </w:r>
            <w:r>
              <w:rPr>
                <w:noProof/>
                <w:webHidden/>
              </w:rPr>
            </w:r>
            <w:r>
              <w:rPr>
                <w:noProof/>
                <w:webHidden/>
              </w:rPr>
              <w:fldChar w:fldCharType="separate"/>
            </w:r>
            <w:r>
              <w:rPr>
                <w:noProof/>
                <w:webHidden/>
              </w:rPr>
              <w:t>5</w:t>
            </w:r>
            <w:r>
              <w:rPr>
                <w:noProof/>
                <w:webHidden/>
              </w:rPr>
              <w:fldChar w:fldCharType="end"/>
            </w:r>
          </w:hyperlink>
        </w:p>
        <w:p w14:paraId="6C1786DF" w14:textId="71D040F9" w:rsidR="00323E2C" w:rsidRDefault="00323E2C">
          <w:pPr>
            <w:pStyle w:val="TOC2"/>
            <w:tabs>
              <w:tab w:val="right" w:leader="dot" w:pos="9196"/>
            </w:tabs>
            <w:rPr>
              <w:noProof/>
              <w:sz w:val="22"/>
              <w:szCs w:val="22"/>
            </w:rPr>
          </w:pPr>
          <w:hyperlink w:anchor="_Toc228184863" w:history="1">
            <w:r w:rsidRPr="00E045E6">
              <w:rPr>
                <w:rStyle w:val="Hyperlink"/>
                <w:rFonts w:ascii="Arial" w:eastAsia="Arial" w:hAnsi="Arial" w:cs="Arial"/>
                <w:b/>
                <w:bCs/>
                <w:noProof/>
              </w:rPr>
              <w:t>2.2 Porter's Diamond: GSK's National Competitive Position</w:t>
            </w:r>
            <w:r>
              <w:rPr>
                <w:noProof/>
                <w:webHidden/>
              </w:rPr>
              <w:tab/>
            </w:r>
            <w:r>
              <w:rPr>
                <w:noProof/>
                <w:webHidden/>
              </w:rPr>
              <w:fldChar w:fldCharType="begin"/>
            </w:r>
            <w:r>
              <w:rPr>
                <w:noProof/>
                <w:webHidden/>
              </w:rPr>
              <w:instrText xml:space="preserve"> PAGEREF _Toc228184863 \h </w:instrText>
            </w:r>
            <w:r>
              <w:rPr>
                <w:noProof/>
                <w:webHidden/>
              </w:rPr>
            </w:r>
            <w:r>
              <w:rPr>
                <w:noProof/>
                <w:webHidden/>
              </w:rPr>
              <w:fldChar w:fldCharType="separate"/>
            </w:r>
            <w:r>
              <w:rPr>
                <w:noProof/>
                <w:webHidden/>
              </w:rPr>
              <w:t>7</w:t>
            </w:r>
            <w:r>
              <w:rPr>
                <w:noProof/>
                <w:webHidden/>
              </w:rPr>
              <w:fldChar w:fldCharType="end"/>
            </w:r>
          </w:hyperlink>
        </w:p>
        <w:p w14:paraId="5D9E09DA" w14:textId="37E17D8F" w:rsidR="00323E2C" w:rsidRDefault="00323E2C">
          <w:pPr>
            <w:pStyle w:val="TOC2"/>
            <w:tabs>
              <w:tab w:val="right" w:leader="dot" w:pos="9196"/>
            </w:tabs>
            <w:rPr>
              <w:noProof/>
              <w:sz w:val="22"/>
              <w:szCs w:val="22"/>
            </w:rPr>
          </w:pPr>
          <w:hyperlink w:anchor="_Toc228184864" w:history="1">
            <w:r w:rsidRPr="00E045E6">
              <w:rPr>
                <w:rStyle w:val="Hyperlink"/>
                <w:rFonts w:ascii="Arial" w:eastAsia="Arial" w:hAnsi="Arial" w:cs="Arial"/>
                <w:b/>
                <w:bCs/>
                <w:noProof/>
              </w:rPr>
              <w:t>2.3 Porter's Five Forces: Competitive Dynamics in the AI-Driven Pharmaceutical Sector</w:t>
            </w:r>
            <w:r>
              <w:rPr>
                <w:noProof/>
                <w:webHidden/>
              </w:rPr>
              <w:tab/>
            </w:r>
            <w:r>
              <w:rPr>
                <w:noProof/>
                <w:webHidden/>
              </w:rPr>
              <w:fldChar w:fldCharType="begin"/>
            </w:r>
            <w:r>
              <w:rPr>
                <w:noProof/>
                <w:webHidden/>
              </w:rPr>
              <w:instrText xml:space="preserve"> PAGEREF _Toc228184864 \h </w:instrText>
            </w:r>
            <w:r>
              <w:rPr>
                <w:noProof/>
                <w:webHidden/>
              </w:rPr>
            </w:r>
            <w:r>
              <w:rPr>
                <w:noProof/>
                <w:webHidden/>
              </w:rPr>
              <w:fldChar w:fldCharType="separate"/>
            </w:r>
            <w:r>
              <w:rPr>
                <w:noProof/>
                <w:webHidden/>
              </w:rPr>
              <w:t>9</w:t>
            </w:r>
            <w:r>
              <w:rPr>
                <w:noProof/>
                <w:webHidden/>
              </w:rPr>
              <w:fldChar w:fldCharType="end"/>
            </w:r>
          </w:hyperlink>
        </w:p>
        <w:p w14:paraId="12ECDF51" w14:textId="639777F1" w:rsidR="00323E2C" w:rsidRDefault="00323E2C">
          <w:pPr>
            <w:pStyle w:val="TOC2"/>
            <w:tabs>
              <w:tab w:val="right" w:leader="dot" w:pos="9196"/>
            </w:tabs>
            <w:rPr>
              <w:noProof/>
              <w:sz w:val="22"/>
              <w:szCs w:val="22"/>
            </w:rPr>
          </w:pPr>
          <w:hyperlink w:anchor="_Toc228184865" w:history="1">
            <w:r w:rsidRPr="00E045E6">
              <w:rPr>
                <w:rStyle w:val="Hyperlink"/>
                <w:rFonts w:ascii="Arial" w:eastAsia="Arial" w:hAnsi="Arial" w:cs="Arial"/>
                <w:b/>
                <w:bCs/>
                <w:noProof/>
              </w:rPr>
              <w:t>2.4 AI Applications and Risk Management Implications</w:t>
            </w:r>
            <w:r>
              <w:rPr>
                <w:noProof/>
                <w:webHidden/>
              </w:rPr>
              <w:tab/>
            </w:r>
            <w:r>
              <w:rPr>
                <w:noProof/>
                <w:webHidden/>
              </w:rPr>
              <w:fldChar w:fldCharType="begin"/>
            </w:r>
            <w:r>
              <w:rPr>
                <w:noProof/>
                <w:webHidden/>
              </w:rPr>
              <w:instrText xml:space="preserve"> PAGEREF _Toc228184865 \h </w:instrText>
            </w:r>
            <w:r>
              <w:rPr>
                <w:noProof/>
                <w:webHidden/>
              </w:rPr>
            </w:r>
            <w:r>
              <w:rPr>
                <w:noProof/>
                <w:webHidden/>
              </w:rPr>
              <w:fldChar w:fldCharType="separate"/>
            </w:r>
            <w:r>
              <w:rPr>
                <w:noProof/>
                <w:webHidden/>
              </w:rPr>
              <w:t>10</w:t>
            </w:r>
            <w:r>
              <w:rPr>
                <w:noProof/>
                <w:webHidden/>
              </w:rPr>
              <w:fldChar w:fldCharType="end"/>
            </w:r>
          </w:hyperlink>
        </w:p>
        <w:p w14:paraId="243FE837" w14:textId="48D6F4B2" w:rsidR="00323E2C" w:rsidRDefault="00323E2C">
          <w:pPr>
            <w:pStyle w:val="TOC2"/>
            <w:tabs>
              <w:tab w:val="right" w:leader="dot" w:pos="9196"/>
            </w:tabs>
            <w:rPr>
              <w:noProof/>
              <w:sz w:val="22"/>
              <w:szCs w:val="22"/>
            </w:rPr>
          </w:pPr>
          <w:hyperlink w:anchor="_Toc228184866" w:history="1">
            <w:r w:rsidRPr="00E045E6">
              <w:rPr>
                <w:rStyle w:val="Hyperlink"/>
                <w:rFonts w:ascii="Arial" w:eastAsia="Arial" w:hAnsi="Arial" w:cs="Arial"/>
                <w:b/>
                <w:bCs/>
                <w:noProof/>
              </w:rPr>
              <w:t>2.5 Data Governance, Ethical AI and Regulatory Compliance</w:t>
            </w:r>
            <w:r>
              <w:rPr>
                <w:noProof/>
                <w:webHidden/>
              </w:rPr>
              <w:tab/>
            </w:r>
            <w:r>
              <w:rPr>
                <w:noProof/>
                <w:webHidden/>
              </w:rPr>
              <w:fldChar w:fldCharType="begin"/>
            </w:r>
            <w:r>
              <w:rPr>
                <w:noProof/>
                <w:webHidden/>
              </w:rPr>
              <w:instrText xml:space="preserve"> PAGEREF _Toc228184866 \h </w:instrText>
            </w:r>
            <w:r>
              <w:rPr>
                <w:noProof/>
                <w:webHidden/>
              </w:rPr>
            </w:r>
            <w:r>
              <w:rPr>
                <w:noProof/>
                <w:webHidden/>
              </w:rPr>
              <w:fldChar w:fldCharType="separate"/>
            </w:r>
            <w:r>
              <w:rPr>
                <w:noProof/>
                <w:webHidden/>
              </w:rPr>
              <w:t>11</w:t>
            </w:r>
            <w:r>
              <w:rPr>
                <w:noProof/>
                <w:webHidden/>
              </w:rPr>
              <w:fldChar w:fldCharType="end"/>
            </w:r>
          </w:hyperlink>
        </w:p>
        <w:p w14:paraId="42BC4BE4" w14:textId="768E3240" w:rsidR="00323E2C" w:rsidRDefault="00323E2C">
          <w:pPr>
            <w:pStyle w:val="TOC2"/>
            <w:tabs>
              <w:tab w:val="right" w:leader="dot" w:pos="9196"/>
            </w:tabs>
            <w:rPr>
              <w:noProof/>
              <w:sz w:val="22"/>
              <w:szCs w:val="22"/>
            </w:rPr>
          </w:pPr>
          <w:hyperlink w:anchor="_Toc228184867" w:history="1">
            <w:r w:rsidRPr="00E045E6">
              <w:rPr>
                <w:rStyle w:val="Hyperlink"/>
                <w:rFonts w:ascii="Arial" w:eastAsia="Arial" w:hAnsi="Arial" w:cs="Arial"/>
                <w:b/>
                <w:bCs/>
                <w:noProof/>
              </w:rPr>
              <w:t>2.6 Customer and Patient Trust</w:t>
            </w:r>
            <w:r>
              <w:rPr>
                <w:noProof/>
                <w:webHidden/>
              </w:rPr>
              <w:tab/>
            </w:r>
            <w:r>
              <w:rPr>
                <w:noProof/>
                <w:webHidden/>
              </w:rPr>
              <w:fldChar w:fldCharType="begin"/>
            </w:r>
            <w:r>
              <w:rPr>
                <w:noProof/>
                <w:webHidden/>
              </w:rPr>
              <w:instrText xml:space="preserve"> PAGEREF _Toc228184867 \h </w:instrText>
            </w:r>
            <w:r>
              <w:rPr>
                <w:noProof/>
                <w:webHidden/>
              </w:rPr>
            </w:r>
            <w:r>
              <w:rPr>
                <w:noProof/>
                <w:webHidden/>
              </w:rPr>
              <w:fldChar w:fldCharType="separate"/>
            </w:r>
            <w:r>
              <w:rPr>
                <w:noProof/>
                <w:webHidden/>
              </w:rPr>
              <w:t>12</w:t>
            </w:r>
            <w:r>
              <w:rPr>
                <w:noProof/>
                <w:webHidden/>
              </w:rPr>
              <w:fldChar w:fldCharType="end"/>
            </w:r>
          </w:hyperlink>
        </w:p>
        <w:p w14:paraId="4CB82F5C" w14:textId="363C6D67" w:rsidR="00323E2C" w:rsidRDefault="00323E2C">
          <w:pPr>
            <w:pStyle w:val="TOC2"/>
            <w:tabs>
              <w:tab w:val="right" w:leader="dot" w:pos="9196"/>
            </w:tabs>
            <w:rPr>
              <w:noProof/>
              <w:sz w:val="22"/>
              <w:szCs w:val="22"/>
            </w:rPr>
          </w:pPr>
          <w:hyperlink w:anchor="_Toc228184868" w:history="1">
            <w:r w:rsidRPr="00E045E6">
              <w:rPr>
                <w:rStyle w:val="Hyperlink"/>
                <w:rFonts w:ascii="Arial" w:eastAsia="Arial" w:hAnsi="Arial" w:cs="Arial"/>
                <w:b/>
                <w:bCs/>
                <w:noProof/>
              </w:rPr>
              <w:t>2.7 Corporate Governance, CSR and Strategic Positioning</w:t>
            </w:r>
            <w:r>
              <w:rPr>
                <w:noProof/>
                <w:webHidden/>
              </w:rPr>
              <w:tab/>
            </w:r>
            <w:r>
              <w:rPr>
                <w:noProof/>
                <w:webHidden/>
              </w:rPr>
              <w:fldChar w:fldCharType="begin"/>
            </w:r>
            <w:r>
              <w:rPr>
                <w:noProof/>
                <w:webHidden/>
              </w:rPr>
              <w:instrText xml:space="preserve"> PAGEREF _Toc228184868 \h </w:instrText>
            </w:r>
            <w:r>
              <w:rPr>
                <w:noProof/>
                <w:webHidden/>
              </w:rPr>
            </w:r>
            <w:r>
              <w:rPr>
                <w:noProof/>
                <w:webHidden/>
              </w:rPr>
              <w:fldChar w:fldCharType="separate"/>
            </w:r>
            <w:r>
              <w:rPr>
                <w:noProof/>
                <w:webHidden/>
              </w:rPr>
              <w:t>13</w:t>
            </w:r>
            <w:r>
              <w:rPr>
                <w:noProof/>
                <w:webHidden/>
              </w:rPr>
              <w:fldChar w:fldCharType="end"/>
            </w:r>
          </w:hyperlink>
        </w:p>
        <w:p w14:paraId="50FDCBD7" w14:textId="6836C56F" w:rsidR="00323E2C" w:rsidRDefault="00323E2C">
          <w:pPr>
            <w:pStyle w:val="TOC1"/>
            <w:tabs>
              <w:tab w:val="right" w:leader="dot" w:pos="9196"/>
            </w:tabs>
            <w:rPr>
              <w:noProof/>
              <w:sz w:val="22"/>
              <w:szCs w:val="22"/>
            </w:rPr>
          </w:pPr>
          <w:hyperlink w:anchor="_Toc228184869" w:history="1">
            <w:r w:rsidRPr="00E045E6">
              <w:rPr>
                <w:rStyle w:val="Hyperlink"/>
                <w:rFonts w:ascii="Arial" w:eastAsia="Arial" w:hAnsi="Arial" w:cs="Arial"/>
                <w:b/>
                <w:bCs/>
                <w:noProof/>
              </w:rPr>
              <w:t>3. Implementation Plan</w:t>
            </w:r>
            <w:r>
              <w:rPr>
                <w:noProof/>
                <w:webHidden/>
              </w:rPr>
              <w:tab/>
            </w:r>
            <w:r>
              <w:rPr>
                <w:noProof/>
                <w:webHidden/>
              </w:rPr>
              <w:fldChar w:fldCharType="begin"/>
            </w:r>
            <w:r>
              <w:rPr>
                <w:noProof/>
                <w:webHidden/>
              </w:rPr>
              <w:instrText xml:space="preserve"> PAGEREF _Toc228184869 \h </w:instrText>
            </w:r>
            <w:r>
              <w:rPr>
                <w:noProof/>
                <w:webHidden/>
              </w:rPr>
            </w:r>
            <w:r>
              <w:rPr>
                <w:noProof/>
                <w:webHidden/>
              </w:rPr>
              <w:fldChar w:fldCharType="separate"/>
            </w:r>
            <w:r>
              <w:rPr>
                <w:noProof/>
                <w:webHidden/>
              </w:rPr>
              <w:t>15</w:t>
            </w:r>
            <w:r>
              <w:rPr>
                <w:noProof/>
                <w:webHidden/>
              </w:rPr>
              <w:fldChar w:fldCharType="end"/>
            </w:r>
          </w:hyperlink>
        </w:p>
        <w:p w14:paraId="3381D4C4" w14:textId="353F01AF" w:rsidR="00323E2C" w:rsidRDefault="00323E2C">
          <w:pPr>
            <w:pStyle w:val="TOC2"/>
            <w:tabs>
              <w:tab w:val="right" w:leader="dot" w:pos="9196"/>
            </w:tabs>
            <w:rPr>
              <w:noProof/>
              <w:sz w:val="22"/>
              <w:szCs w:val="22"/>
            </w:rPr>
          </w:pPr>
          <w:hyperlink w:anchor="_Toc228184870" w:history="1">
            <w:r w:rsidRPr="00E045E6">
              <w:rPr>
                <w:rStyle w:val="Hyperlink"/>
                <w:rFonts w:ascii="Arial" w:eastAsia="Arial" w:hAnsi="Arial" w:cs="Arial"/>
                <w:b/>
                <w:bCs/>
                <w:noProof/>
              </w:rPr>
              <w:t>3.1 Short-Term Priorities (0–12 Months)</w:t>
            </w:r>
            <w:r>
              <w:rPr>
                <w:noProof/>
                <w:webHidden/>
              </w:rPr>
              <w:tab/>
            </w:r>
            <w:r>
              <w:rPr>
                <w:noProof/>
                <w:webHidden/>
              </w:rPr>
              <w:fldChar w:fldCharType="begin"/>
            </w:r>
            <w:r>
              <w:rPr>
                <w:noProof/>
                <w:webHidden/>
              </w:rPr>
              <w:instrText xml:space="preserve"> PAGEREF _Toc228184870 \h </w:instrText>
            </w:r>
            <w:r>
              <w:rPr>
                <w:noProof/>
                <w:webHidden/>
              </w:rPr>
            </w:r>
            <w:r>
              <w:rPr>
                <w:noProof/>
                <w:webHidden/>
              </w:rPr>
              <w:fldChar w:fldCharType="separate"/>
            </w:r>
            <w:r>
              <w:rPr>
                <w:noProof/>
                <w:webHidden/>
              </w:rPr>
              <w:t>15</w:t>
            </w:r>
            <w:r>
              <w:rPr>
                <w:noProof/>
                <w:webHidden/>
              </w:rPr>
              <w:fldChar w:fldCharType="end"/>
            </w:r>
          </w:hyperlink>
        </w:p>
        <w:p w14:paraId="16CC3EFE" w14:textId="39B368BE" w:rsidR="00323E2C" w:rsidRDefault="00323E2C">
          <w:pPr>
            <w:pStyle w:val="TOC2"/>
            <w:tabs>
              <w:tab w:val="right" w:leader="dot" w:pos="9196"/>
            </w:tabs>
            <w:rPr>
              <w:noProof/>
              <w:sz w:val="22"/>
              <w:szCs w:val="22"/>
            </w:rPr>
          </w:pPr>
          <w:hyperlink w:anchor="_Toc228184871" w:history="1">
            <w:r w:rsidRPr="00E045E6">
              <w:rPr>
                <w:rStyle w:val="Hyperlink"/>
                <w:rFonts w:ascii="Arial" w:eastAsia="Arial" w:hAnsi="Arial" w:cs="Arial"/>
                <w:b/>
                <w:bCs/>
                <w:noProof/>
              </w:rPr>
              <w:t>3.2 Medium-Term Priorities (1–3 Years)</w:t>
            </w:r>
            <w:r>
              <w:rPr>
                <w:noProof/>
                <w:webHidden/>
              </w:rPr>
              <w:tab/>
            </w:r>
            <w:r>
              <w:rPr>
                <w:noProof/>
                <w:webHidden/>
              </w:rPr>
              <w:fldChar w:fldCharType="begin"/>
            </w:r>
            <w:r>
              <w:rPr>
                <w:noProof/>
                <w:webHidden/>
              </w:rPr>
              <w:instrText xml:space="preserve"> PAGEREF _Toc228184871 \h </w:instrText>
            </w:r>
            <w:r>
              <w:rPr>
                <w:noProof/>
                <w:webHidden/>
              </w:rPr>
            </w:r>
            <w:r>
              <w:rPr>
                <w:noProof/>
                <w:webHidden/>
              </w:rPr>
              <w:fldChar w:fldCharType="separate"/>
            </w:r>
            <w:r>
              <w:rPr>
                <w:noProof/>
                <w:webHidden/>
              </w:rPr>
              <w:t>15</w:t>
            </w:r>
            <w:r>
              <w:rPr>
                <w:noProof/>
                <w:webHidden/>
              </w:rPr>
              <w:fldChar w:fldCharType="end"/>
            </w:r>
          </w:hyperlink>
        </w:p>
        <w:p w14:paraId="34995D4E" w14:textId="07D80781" w:rsidR="00323E2C" w:rsidRDefault="00323E2C">
          <w:pPr>
            <w:pStyle w:val="TOC2"/>
            <w:tabs>
              <w:tab w:val="right" w:leader="dot" w:pos="9196"/>
            </w:tabs>
            <w:rPr>
              <w:noProof/>
              <w:sz w:val="22"/>
              <w:szCs w:val="22"/>
            </w:rPr>
          </w:pPr>
          <w:hyperlink w:anchor="_Toc228184872" w:history="1">
            <w:r w:rsidRPr="00E045E6">
              <w:rPr>
                <w:rStyle w:val="Hyperlink"/>
                <w:rFonts w:ascii="Arial" w:eastAsia="Arial" w:hAnsi="Arial" w:cs="Arial"/>
                <w:b/>
                <w:bCs/>
                <w:noProof/>
              </w:rPr>
              <w:t>3.3 Long-Term Strategic Priorities (3–5 Years)</w:t>
            </w:r>
            <w:r>
              <w:rPr>
                <w:noProof/>
                <w:webHidden/>
              </w:rPr>
              <w:tab/>
            </w:r>
            <w:r>
              <w:rPr>
                <w:noProof/>
                <w:webHidden/>
              </w:rPr>
              <w:fldChar w:fldCharType="begin"/>
            </w:r>
            <w:r>
              <w:rPr>
                <w:noProof/>
                <w:webHidden/>
              </w:rPr>
              <w:instrText xml:space="preserve"> PAGEREF _Toc228184872 \h </w:instrText>
            </w:r>
            <w:r>
              <w:rPr>
                <w:noProof/>
                <w:webHidden/>
              </w:rPr>
            </w:r>
            <w:r>
              <w:rPr>
                <w:noProof/>
                <w:webHidden/>
              </w:rPr>
              <w:fldChar w:fldCharType="separate"/>
            </w:r>
            <w:r>
              <w:rPr>
                <w:noProof/>
                <w:webHidden/>
              </w:rPr>
              <w:t>16</w:t>
            </w:r>
            <w:r>
              <w:rPr>
                <w:noProof/>
                <w:webHidden/>
              </w:rPr>
              <w:fldChar w:fldCharType="end"/>
            </w:r>
          </w:hyperlink>
        </w:p>
        <w:p w14:paraId="7A9D5AAA" w14:textId="7D337593" w:rsidR="00323E2C" w:rsidRDefault="00323E2C">
          <w:pPr>
            <w:pStyle w:val="TOC1"/>
            <w:tabs>
              <w:tab w:val="right" w:leader="dot" w:pos="9196"/>
            </w:tabs>
            <w:rPr>
              <w:noProof/>
              <w:sz w:val="22"/>
              <w:szCs w:val="22"/>
            </w:rPr>
          </w:pPr>
          <w:hyperlink w:anchor="_Toc228184873" w:history="1">
            <w:r w:rsidRPr="00E045E6">
              <w:rPr>
                <w:rStyle w:val="Hyperlink"/>
                <w:rFonts w:ascii="Arial" w:eastAsia="Arial" w:hAnsi="Arial" w:cs="Arial"/>
                <w:b/>
                <w:bCs/>
                <w:noProof/>
              </w:rPr>
              <w:t>4. Conclusion</w:t>
            </w:r>
            <w:r>
              <w:rPr>
                <w:noProof/>
                <w:webHidden/>
              </w:rPr>
              <w:tab/>
            </w:r>
            <w:r>
              <w:rPr>
                <w:noProof/>
                <w:webHidden/>
              </w:rPr>
              <w:fldChar w:fldCharType="begin"/>
            </w:r>
            <w:r>
              <w:rPr>
                <w:noProof/>
                <w:webHidden/>
              </w:rPr>
              <w:instrText xml:space="preserve"> PAGEREF _Toc228184873 \h </w:instrText>
            </w:r>
            <w:r>
              <w:rPr>
                <w:noProof/>
                <w:webHidden/>
              </w:rPr>
            </w:r>
            <w:r>
              <w:rPr>
                <w:noProof/>
                <w:webHidden/>
              </w:rPr>
              <w:fldChar w:fldCharType="separate"/>
            </w:r>
            <w:r>
              <w:rPr>
                <w:noProof/>
                <w:webHidden/>
              </w:rPr>
              <w:t>18</w:t>
            </w:r>
            <w:r>
              <w:rPr>
                <w:noProof/>
                <w:webHidden/>
              </w:rPr>
              <w:fldChar w:fldCharType="end"/>
            </w:r>
          </w:hyperlink>
        </w:p>
        <w:p w14:paraId="01AC2A17" w14:textId="069A5914" w:rsidR="00323E2C" w:rsidRDefault="00323E2C">
          <w:pPr>
            <w:pStyle w:val="TOC1"/>
            <w:tabs>
              <w:tab w:val="right" w:leader="dot" w:pos="9196"/>
            </w:tabs>
            <w:rPr>
              <w:noProof/>
              <w:sz w:val="22"/>
              <w:szCs w:val="22"/>
            </w:rPr>
          </w:pPr>
          <w:hyperlink w:anchor="_Toc228184874" w:history="1">
            <w:r w:rsidRPr="00E045E6">
              <w:rPr>
                <w:rStyle w:val="Hyperlink"/>
                <w:rFonts w:ascii="Arial" w:eastAsia="Arial" w:hAnsi="Arial" w:cs="Arial"/>
                <w:b/>
                <w:bCs/>
                <w:noProof/>
              </w:rPr>
              <w:t>5. Bibliography</w:t>
            </w:r>
            <w:r>
              <w:rPr>
                <w:noProof/>
                <w:webHidden/>
              </w:rPr>
              <w:tab/>
            </w:r>
            <w:r>
              <w:rPr>
                <w:noProof/>
                <w:webHidden/>
              </w:rPr>
              <w:fldChar w:fldCharType="begin"/>
            </w:r>
            <w:r>
              <w:rPr>
                <w:noProof/>
                <w:webHidden/>
              </w:rPr>
              <w:instrText xml:space="preserve"> PAGEREF _Toc228184874 \h </w:instrText>
            </w:r>
            <w:r>
              <w:rPr>
                <w:noProof/>
                <w:webHidden/>
              </w:rPr>
            </w:r>
            <w:r>
              <w:rPr>
                <w:noProof/>
                <w:webHidden/>
              </w:rPr>
              <w:fldChar w:fldCharType="separate"/>
            </w:r>
            <w:r>
              <w:rPr>
                <w:noProof/>
                <w:webHidden/>
              </w:rPr>
              <w:t>19</w:t>
            </w:r>
            <w:r>
              <w:rPr>
                <w:noProof/>
                <w:webHidden/>
              </w:rPr>
              <w:fldChar w:fldCharType="end"/>
            </w:r>
          </w:hyperlink>
        </w:p>
        <w:p w14:paraId="574BEA83" w14:textId="44D7716C" w:rsidR="00797C2C" w:rsidRDefault="00797C2C">
          <w:r>
            <w:rPr>
              <w:b/>
              <w:bCs/>
              <w:noProof/>
            </w:rPr>
            <w:fldChar w:fldCharType="end"/>
          </w:r>
        </w:p>
      </w:sdtContent>
    </w:sdt>
    <w:p w14:paraId="1B5D0E1C" w14:textId="76028BF5" w:rsidR="00797C2C" w:rsidRDefault="00797C2C">
      <w:pPr>
        <w:rPr>
          <w:sz w:val="24"/>
          <w:szCs w:val="24"/>
        </w:rPr>
      </w:pPr>
      <w:r>
        <w:rPr>
          <w:sz w:val="24"/>
          <w:szCs w:val="24"/>
        </w:rPr>
        <w:br w:type="page"/>
      </w:r>
    </w:p>
    <w:p w14:paraId="5AC039F4" w14:textId="77777777" w:rsidR="00E82880" w:rsidRPr="00797C2C" w:rsidRDefault="00E82880" w:rsidP="00B227B6">
      <w:pPr>
        <w:spacing w:line="360" w:lineRule="auto"/>
        <w:jc w:val="both"/>
        <w:rPr>
          <w:sz w:val="24"/>
          <w:szCs w:val="24"/>
        </w:rPr>
      </w:pPr>
    </w:p>
    <w:p w14:paraId="5BF31AF7" w14:textId="77777777" w:rsidR="00E82880" w:rsidRPr="00797C2C" w:rsidRDefault="00312E6D" w:rsidP="00B227B6">
      <w:pPr>
        <w:pStyle w:val="Heading1"/>
        <w:spacing w:line="360" w:lineRule="auto"/>
        <w:jc w:val="both"/>
        <w:rPr>
          <w:sz w:val="24"/>
          <w:szCs w:val="24"/>
        </w:rPr>
      </w:pPr>
      <w:bookmarkStart w:id="1" w:name="_Toc228184860"/>
      <w:r w:rsidRPr="00797C2C">
        <w:rPr>
          <w:rFonts w:ascii="Arial" w:eastAsia="Arial" w:hAnsi="Arial" w:cs="Arial"/>
          <w:b/>
          <w:bCs/>
          <w:color w:val="1A3A5C"/>
          <w:sz w:val="24"/>
          <w:szCs w:val="24"/>
        </w:rPr>
        <w:t>1. Introduction</w:t>
      </w:r>
      <w:bookmarkEnd w:id="1"/>
    </w:p>
    <w:p w14:paraId="4E918B72" w14:textId="3E8BA143" w:rsidR="00504511" w:rsidRPr="00797C2C" w:rsidRDefault="00504511" w:rsidP="00B227B6">
      <w:pPr>
        <w:spacing w:line="360" w:lineRule="auto"/>
        <w:jc w:val="both"/>
        <w:rPr>
          <w:sz w:val="24"/>
          <w:szCs w:val="24"/>
        </w:rPr>
      </w:pPr>
      <w:r w:rsidRPr="00797C2C">
        <w:rPr>
          <w:sz w:val="24"/>
          <w:szCs w:val="24"/>
        </w:rPr>
        <w:t xml:space="preserve">One of the largest pharmaceutical industries in the world with more than eighty countries of operations, with its main research </w:t>
      </w:r>
      <w:proofErr w:type="spellStart"/>
      <w:r w:rsidRPr="00797C2C">
        <w:rPr>
          <w:sz w:val="24"/>
          <w:szCs w:val="24"/>
        </w:rPr>
        <w:t>centre</w:t>
      </w:r>
      <w:proofErr w:type="spellEnd"/>
      <w:r w:rsidRPr="00797C2C">
        <w:rPr>
          <w:sz w:val="24"/>
          <w:szCs w:val="24"/>
        </w:rPr>
        <w:t xml:space="preserve"> in the United Kingdom and a major commercial and regulatory presence in the United States is GlaxoSmithKline plc. GSK has now over doubled its targets within its early-stage portfolio since it made a commitment in 2017 to a genetics-first, AI-enabled </w:t>
      </w:r>
      <w:r w:rsidR="00707A5B" w:rsidRPr="00797C2C">
        <w:rPr>
          <w:sz w:val="24"/>
          <w:szCs w:val="24"/>
        </w:rPr>
        <w:t>research strategy and increased the share of targets with genetic validation to over 70</w:t>
      </w:r>
      <w:r w:rsidRPr="00797C2C">
        <w:rPr>
          <w:sz w:val="24"/>
          <w:szCs w:val="24"/>
        </w:rPr>
        <w:t xml:space="preserve"> per cent (GSK plc, 2023). In the very same Annual Report, it is noted that that year alone, the company invested a total of £6.4 billion in research and development, and much of this was spent on AI and machine learning infrastructure (GSK plc, 2024).</w:t>
      </w:r>
    </w:p>
    <w:p w14:paraId="409F779F" w14:textId="77777777" w:rsidR="00504511" w:rsidRPr="00797C2C" w:rsidRDefault="00504511" w:rsidP="00B227B6">
      <w:pPr>
        <w:spacing w:line="360" w:lineRule="auto"/>
        <w:jc w:val="both"/>
        <w:rPr>
          <w:sz w:val="24"/>
          <w:szCs w:val="24"/>
        </w:rPr>
      </w:pPr>
      <w:r w:rsidRPr="00797C2C">
        <w:rPr>
          <w:sz w:val="24"/>
          <w:szCs w:val="24"/>
        </w:rPr>
        <w:t>AI no longer remains a fringe activity in the pharmaceutical research; it is now becoming the core process by which businesses compete. As shown by Ferreira and Carneiro (2025), AI/ML solutions are inherently transforming the process of drug discovery, starting with target identification and continuing through preclinical safety evaluation, and deep learning architectures have features that cannot be reproduced by traditional computational methods. In 2024, AI/ML-specific deals were made by the biopharma industry about sixty times (GSK plc, 2024), indicating that AI ability is rapidly turning into a competitive requirement, not a competitive advantage itself.</w:t>
      </w:r>
    </w:p>
    <w:p w14:paraId="1F53339D" w14:textId="40BCD51F" w:rsidR="00E82880" w:rsidRPr="00797C2C" w:rsidRDefault="00504511" w:rsidP="00B227B6">
      <w:pPr>
        <w:spacing w:line="360" w:lineRule="auto"/>
        <w:jc w:val="both"/>
        <w:rPr>
          <w:sz w:val="24"/>
          <w:szCs w:val="24"/>
        </w:rPr>
      </w:pPr>
      <w:r w:rsidRPr="00797C2C">
        <w:rPr>
          <w:sz w:val="24"/>
          <w:szCs w:val="24"/>
        </w:rPr>
        <w:t xml:space="preserve">Nevertheless, the change brings about grave threats, which the </w:t>
      </w:r>
      <w:proofErr w:type="spellStart"/>
      <w:r w:rsidRPr="00797C2C">
        <w:rPr>
          <w:sz w:val="24"/>
          <w:szCs w:val="24"/>
        </w:rPr>
        <w:t>organisation</w:t>
      </w:r>
      <w:proofErr w:type="spellEnd"/>
      <w:r w:rsidRPr="00797C2C">
        <w:rPr>
          <w:sz w:val="24"/>
          <w:szCs w:val="24"/>
        </w:rPr>
        <w:t xml:space="preserve"> ought to address with equal diligence. The issue of bias in algorithms used in clinical AIs, lack of data regulation under divergent international regulatory frameworks, and reputational externalities of opaque decision-making during patients and commercial interactions are becoming a more central subject of pharmaceutical strategy (Pham, 2025). This report explores these questions in detail, relying on strategic frameworks and academic evidence to provide recommendations to GSK on how the company can use AI as a source of sustainable competitive advantage, as well as safeguarding patients, customers and its corporate image. The UK regulatory environment (principally the Medicines and Healthcare products Regulatory Agency (MHRA)) and the US environment under the Food and Drug Administration (FDA) are discussed as the third critical jurisdiction considering GSK has a substantial presence in the European market.</w:t>
      </w:r>
      <w:r w:rsidR="00312E6D" w:rsidRPr="00797C2C">
        <w:rPr>
          <w:sz w:val="24"/>
          <w:szCs w:val="24"/>
        </w:rPr>
        <w:br w:type="page"/>
      </w:r>
    </w:p>
    <w:p w14:paraId="55EFD451" w14:textId="77777777" w:rsidR="00E82880" w:rsidRPr="00797C2C" w:rsidRDefault="00312E6D" w:rsidP="00B227B6">
      <w:pPr>
        <w:pStyle w:val="Heading1"/>
        <w:spacing w:line="360" w:lineRule="auto"/>
        <w:jc w:val="both"/>
        <w:rPr>
          <w:sz w:val="24"/>
          <w:szCs w:val="24"/>
        </w:rPr>
      </w:pPr>
      <w:bookmarkStart w:id="2" w:name="_Toc228184861"/>
      <w:r w:rsidRPr="00797C2C">
        <w:rPr>
          <w:rFonts w:ascii="Arial" w:eastAsia="Arial" w:hAnsi="Arial" w:cs="Arial"/>
          <w:b/>
          <w:bCs/>
          <w:color w:val="1A3A5C"/>
          <w:sz w:val="24"/>
          <w:szCs w:val="24"/>
        </w:rPr>
        <w:lastRenderedPageBreak/>
        <w:t>2. Main Findings</w:t>
      </w:r>
      <w:bookmarkEnd w:id="2"/>
    </w:p>
    <w:p w14:paraId="6CB10FCC" w14:textId="77777777" w:rsidR="00E82880" w:rsidRPr="00797C2C" w:rsidRDefault="00312E6D" w:rsidP="00B227B6">
      <w:pPr>
        <w:pStyle w:val="Heading2"/>
        <w:spacing w:line="360" w:lineRule="auto"/>
        <w:jc w:val="both"/>
        <w:rPr>
          <w:sz w:val="24"/>
          <w:szCs w:val="24"/>
        </w:rPr>
      </w:pPr>
      <w:bookmarkStart w:id="3" w:name="_Toc228184862"/>
      <w:r w:rsidRPr="00797C2C">
        <w:rPr>
          <w:rFonts w:ascii="Arial" w:eastAsia="Arial" w:hAnsi="Arial" w:cs="Arial"/>
          <w:b/>
          <w:bCs/>
          <w:color w:val="2E4057"/>
          <w:sz w:val="24"/>
          <w:szCs w:val="24"/>
        </w:rPr>
        <w:t>2.1 PESTLE Analysis of GSK's AI Environment</w:t>
      </w:r>
      <w:bookmarkEnd w:id="3"/>
    </w:p>
    <w:p w14:paraId="2F435438" w14:textId="7E985FC3" w:rsidR="00504511" w:rsidRPr="00797C2C" w:rsidRDefault="00504511" w:rsidP="00B227B6">
      <w:pPr>
        <w:spacing w:before="80" w:after="120" w:line="360" w:lineRule="auto"/>
        <w:jc w:val="both"/>
        <w:rPr>
          <w:sz w:val="24"/>
          <w:szCs w:val="24"/>
        </w:rPr>
      </w:pPr>
      <w:r w:rsidRPr="00797C2C">
        <w:rPr>
          <w:sz w:val="24"/>
          <w:szCs w:val="24"/>
        </w:rPr>
        <w:t xml:space="preserve">A PESTLE analysis </w:t>
      </w:r>
      <w:r w:rsidR="00BE7A93" w:rsidRPr="00797C2C">
        <w:rPr>
          <w:sz w:val="24"/>
          <w:szCs w:val="24"/>
        </w:rPr>
        <w:t xml:space="preserve">provides a strategic overview of macro-environmental drivers that determine GSK's capacity </w:t>
      </w:r>
      <w:r w:rsidRPr="00797C2C">
        <w:rPr>
          <w:sz w:val="24"/>
          <w:szCs w:val="24"/>
        </w:rPr>
        <w:t xml:space="preserve">to implement and manage AI within its operations. Belsare (2025) places PESTLE </w:t>
      </w:r>
      <w:r w:rsidR="00BE7A93" w:rsidRPr="00797C2C">
        <w:rPr>
          <w:sz w:val="24"/>
          <w:szCs w:val="24"/>
        </w:rPr>
        <w:t>among the most widely used environmental scanning instruments in strategic management, which is useful for converting external indicators</w:t>
      </w:r>
      <w:r w:rsidRPr="00797C2C">
        <w:rPr>
          <w:sz w:val="24"/>
          <w:szCs w:val="24"/>
        </w:rPr>
        <w:t xml:space="preserve"> into actionable intelligence. The following table </w:t>
      </w:r>
      <w:proofErr w:type="spellStart"/>
      <w:r w:rsidRPr="00797C2C">
        <w:rPr>
          <w:sz w:val="24"/>
          <w:szCs w:val="24"/>
        </w:rPr>
        <w:t>summarises</w:t>
      </w:r>
      <w:proofErr w:type="spellEnd"/>
      <w:r w:rsidRPr="00797C2C">
        <w:rPr>
          <w:sz w:val="24"/>
          <w:szCs w:val="24"/>
        </w:rPr>
        <w:t xml:space="preserve"> the major forces specific to GSK in the case of AI. The following storyline offers further synthesis of most strategically important dimensions instead of restating table data.</w:t>
      </w:r>
    </w:p>
    <w:p w14:paraId="31D5FE0E" w14:textId="77777777" w:rsidR="00E82880" w:rsidRPr="00797C2C" w:rsidRDefault="00E82880" w:rsidP="00B227B6">
      <w:pPr>
        <w:spacing w:before="60" w:after="40" w:line="360" w:lineRule="auto"/>
        <w:jc w:val="both"/>
        <w:rPr>
          <w:sz w:val="24"/>
          <w:szCs w:val="24"/>
        </w:rPr>
      </w:pPr>
    </w:p>
    <w:p w14:paraId="79802943" w14:textId="77777777" w:rsidR="00E82880" w:rsidRPr="00797C2C" w:rsidRDefault="00312E6D" w:rsidP="00B227B6">
      <w:pPr>
        <w:spacing w:after="60" w:line="360" w:lineRule="auto"/>
        <w:jc w:val="both"/>
        <w:rPr>
          <w:sz w:val="24"/>
          <w:szCs w:val="24"/>
        </w:rPr>
      </w:pPr>
      <w:r w:rsidRPr="00797C2C">
        <w:rPr>
          <w:rFonts w:ascii="Arial" w:eastAsia="Arial" w:hAnsi="Arial" w:cs="Arial"/>
          <w:b/>
          <w:bCs/>
          <w:i/>
          <w:iCs/>
          <w:color w:val="2E4057"/>
          <w:sz w:val="24"/>
          <w:szCs w:val="24"/>
        </w:rPr>
        <w:t>Table 1: PESTLE Analysis of GSK's AI Environment (Source: Self-made)</w:t>
      </w:r>
    </w:p>
    <w:tbl>
      <w:tblPr>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87"/>
        <w:gridCol w:w="3265"/>
        <w:gridCol w:w="4174"/>
      </w:tblGrid>
      <w:tr w:rsidR="00E82880" w:rsidRPr="00797C2C" w14:paraId="3A00B8F5" w14:textId="77777777" w:rsidTr="00797C2C">
        <w:trPr>
          <w:tblHeader/>
        </w:trPr>
        <w:tc>
          <w:tcPr>
            <w:tcW w:w="1700" w:type="dxa"/>
            <w:tcBorders>
              <w:top w:val="single" w:sz="1" w:space="0" w:color="AAAAAA"/>
              <w:left w:val="single" w:sz="1" w:space="0" w:color="AAAAAA"/>
              <w:bottom w:val="single" w:sz="1" w:space="0" w:color="AAAAAA"/>
              <w:right w:val="single" w:sz="1" w:space="0" w:color="AAAAAA"/>
            </w:tcBorders>
            <w:shd w:val="clear" w:color="auto" w:fill="2E4057"/>
            <w:tcMar>
              <w:top w:w="100" w:type="dxa"/>
              <w:left w:w="120" w:type="dxa"/>
              <w:bottom w:w="100" w:type="dxa"/>
              <w:right w:w="120" w:type="dxa"/>
            </w:tcMar>
          </w:tcPr>
          <w:p w14:paraId="44BBE8CC" w14:textId="77777777" w:rsidR="00E82880" w:rsidRPr="00797C2C" w:rsidRDefault="00312E6D" w:rsidP="00B227B6">
            <w:pPr>
              <w:spacing w:line="360" w:lineRule="auto"/>
              <w:jc w:val="both"/>
              <w:rPr>
                <w:sz w:val="24"/>
                <w:szCs w:val="24"/>
              </w:rPr>
            </w:pPr>
            <w:r w:rsidRPr="00797C2C">
              <w:rPr>
                <w:rFonts w:ascii="Arial" w:eastAsia="Arial" w:hAnsi="Arial" w:cs="Arial"/>
                <w:b/>
                <w:bCs/>
                <w:color w:val="FFFFFF"/>
                <w:sz w:val="24"/>
                <w:szCs w:val="24"/>
              </w:rPr>
              <w:t>Factor</w:t>
            </w:r>
          </w:p>
        </w:tc>
        <w:tc>
          <w:tcPr>
            <w:tcW w:w="3300" w:type="dxa"/>
            <w:tcBorders>
              <w:top w:val="single" w:sz="1" w:space="0" w:color="AAAAAA"/>
              <w:left w:val="single" w:sz="1" w:space="0" w:color="AAAAAA"/>
              <w:bottom w:val="single" w:sz="1" w:space="0" w:color="AAAAAA"/>
              <w:right w:val="single" w:sz="1" w:space="0" w:color="AAAAAA"/>
            </w:tcBorders>
            <w:shd w:val="clear" w:color="auto" w:fill="2E4057"/>
            <w:tcMar>
              <w:top w:w="100" w:type="dxa"/>
              <w:left w:w="120" w:type="dxa"/>
              <w:bottom w:w="100" w:type="dxa"/>
              <w:right w:w="120" w:type="dxa"/>
            </w:tcMar>
          </w:tcPr>
          <w:p w14:paraId="77DEC4E1" w14:textId="77777777" w:rsidR="00E82880" w:rsidRPr="00797C2C" w:rsidRDefault="00312E6D" w:rsidP="00B227B6">
            <w:pPr>
              <w:spacing w:line="360" w:lineRule="auto"/>
              <w:jc w:val="both"/>
              <w:rPr>
                <w:sz w:val="24"/>
                <w:szCs w:val="24"/>
              </w:rPr>
            </w:pPr>
            <w:r w:rsidRPr="00797C2C">
              <w:rPr>
                <w:rFonts w:ascii="Arial" w:eastAsia="Arial" w:hAnsi="Arial" w:cs="Arial"/>
                <w:b/>
                <w:bCs/>
                <w:color w:val="FFFFFF"/>
                <w:sz w:val="24"/>
                <w:szCs w:val="24"/>
              </w:rPr>
              <w:t>Key Drivers for GSK</w:t>
            </w:r>
          </w:p>
        </w:tc>
        <w:tc>
          <w:tcPr>
            <w:tcW w:w="4226" w:type="dxa"/>
            <w:tcBorders>
              <w:top w:val="single" w:sz="1" w:space="0" w:color="AAAAAA"/>
              <w:left w:val="single" w:sz="1" w:space="0" w:color="AAAAAA"/>
              <w:bottom w:val="single" w:sz="1" w:space="0" w:color="AAAAAA"/>
              <w:right w:val="single" w:sz="1" w:space="0" w:color="AAAAAA"/>
            </w:tcBorders>
            <w:shd w:val="clear" w:color="auto" w:fill="2E4057"/>
            <w:tcMar>
              <w:top w:w="100" w:type="dxa"/>
              <w:left w:w="120" w:type="dxa"/>
              <w:bottom w:w="100" w:type="dxa"/>
              <w:right w:w="120" w:type="dxa"/>
            </w:tcMar>
          </w:tcPr>
          <w:p w14:paraId="3833E5B9" w14:textId="77777777" w:rsidR="00E82880" w:rsidRPr="00797C2C" w:rsidRDefault="00312E6D" w:rsidP="00B227B6">
            <w:pPr>
              <w:spacing w:line="360" w:lineRule="auto"/>
              <w:jc w:val="both"/>
              <w:rPr>
                <w:sz w:val="24"/>
                <w:szCs w:val="24"/>
              </w:rPr>
            </w:pPr>
            <w:r w:rsidRPr="00797C2C">
              <w:rPr>
                <w:rFonts w:ascii="Arial" w:eastAsia="Arial" w:hAnsi="Arial" w:cs="Arial"/>
                <w:b/>
                <w:bCs/>
                <w:color w:val="FFFFFF"/>
                <w:sz w:val="24"/>
                <w:szCs w:val="24"/>
              </w:rPr>
              <w:t>AI-Related Risk or Opportunity</w:t>
            </w:r>
          </w:p>
        </w:tc>
      </w:tr>
      <w:tr w:rsidR="00E82880" w:rsidRPr="00797C2C" w14:paraId="1C58ADE3" w14:textId="77777777">
        <w:tc>
          <w:tcPr>
            <w:tcW w:w="17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48C4652C"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Political</w:t>
            </w:r>
          </w:p>
        </w:tc>
        <w:tc>
          <w:tcPr>
            <w:tcW w:w="33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316A1E7B"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MHRA oversight in the UK; FDA digital health policy in the US; post-Brexit regulatory divergence; political pressure for affordable medicines</w:t>
            </w:r>
          </w:p>
        </w:tc>
        <w:tc>
          <w:tcPr>
            <w:tcW w:w="4226"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4F2011D3"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Divergent UK and US rules complicate deployment of AI-driven regulatory submissions; proactive engagement with both agencies is essential (Singh, Zhou and Auclair, 2025)</w:t>
            </w:r>
          </w:p>
        </w:tc>
      </w:tr>
      <w:tr w:rsidR="00E82880" w:rsidRPr="00797C2C" w14:paraId="146755E5" w14:textId="77777777">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11395F7"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Economic</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6CD68F"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Global pharmaceutical R&amp;D costs exceeding £2 billion per approved drug; competitive AI investment intensifying across the sector; GSK's £6.4 billion R&amp;D budget in 2024 (GSK plc, 2024)</w:t>
            </w:r>
          </w:p>
        </w:tc>
        <w:tc>
          <w:tcPr>
            <w:tcW w:w="42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56FFDC5" w14:textId="435689A0"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AI can compress discovery timelines and reduce cost, delivering economic advantage; mismanaged AI investment risks capital loss without validated returns</w:t>
            </w:r>
            <w:r w:rsidR="00707A5B" w:rsidRPr="00797C2C">
              <w:rPr>
                <w:color w:val="000000"/>
                <w:sz w:val="24"/>
                <w:szCs w:val="24"/>
              </w:rPr>
              <w:t>.</w:t>
            </w:r>
          </w:p>
        </w:tc>
      </w:tr>
      <w:tr w:rsidR="00E82880" w:rsidRPr="00797C2C" w14:paraId="00DFB207" w14:textId="77777777">
        <w:tc>
          <w:tcPr>
            <w:tcW w:w="17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5B56F82C"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Social</w:t>
            </w:r>
          </w:p>
        </w:tc>
        <w:tc>
          <w:tcPr>
            <w:tcW w:w="33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327BA2DA"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 xml:space="preserve">Ageing global population; growing patient and consumer awareness of data use; public </w:t>
            </w:r>
            <w:proofErr w:type="spellStart"/>
            <w:r w:rsidRPr="00797C2C">
              <w:rPr>
                <w:rFonts w:ascii="Times New Roman" w:eastAsia="Times New Roman" w:hAnsi="Times New Roman" w:cs="Times New Roman"/>
                <w:color w:val="000000"/>
                <w:sz w:val="24"/>
                <w:szCs w:val="24"/>
              </w:rPr>
              <w:lastRenderedPageBreak/>
              <w:t>scepticism</w:t>
            </w:r>
            <w:proofErr w:type="spellEnd"/>
            <w:r w:rsidRPr="00797C2C">
              <w:rPr>
                <w:rFonts w:ascii="Times New Roman" w:eastAsia="Times New Roman" w:hAnsi="Times New Roman" w:cs="Times New Roman"/>
                <w:color w:val="000000"/>
                <w:sz w:val="24"/>
                <w:szCs w:val="24"/>
              </w:rPr>
              <w:t xml:space="preserve"> about automated clinical decisions; health equity concerns across diverse populations</w:t>
            </w:r>
          </w:p>
        </w:tc>
        <w:tc>
          <w:tcPr>
            <w:tcW w:w="4226"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4C234A21"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lastRenderedPageBreak/>
              <w:t xml:space="preserve">Algorithmic bias risks disproportionate harm to under-represented patient groups (Obermeyer et al., 2019); building and </w:t>
            </w:r>
            <w:r w:rsidRPr="00797C2C">
              <w:rPr>
                <w:rFonts w:ascii="Times New Roman" w:eastAsia="Times New Roman" w:hAnsi="Times New Roman" w:cs="Times New Roman"/>
                <w:color w:val="000000"/>
                <w:sz w:val="24"/>
                <w:szCs w:val="24"/>
              </w:rPr>
              <w:lastRenderedPageBreak/>
              <w:t xml:space="preserve">maintaining customer and patient trust is a critical social </w:t>
            </w:r>
            <w:proofErr w:type="spellStart"/>
            <w:r w:rsidRPr="00797C2C">
              <w:rPr>
                <w:rFonts w:ascii="Times New Roman" w:eastAsia="Times New Roman" w:hAnsi="Times New Roman" w:cs="Times New Roman"/>
                <w:color w:val="000000"/>
                <w:sz w:val="24"/>
                <w:szCs w:val="24"/>
              </w:rPr>
              <w:t>licence</w:t>
            </w:r>
            <w:proofErr w:type="spellEnd"/>
            <w:r w:rsidRPr="00797C2C">
              <w:rPr>
                <w:rFonts w:ascii="Times New Roman" w:eastAsia="Times New Roman" w:hAnsi="Times New Roman" w:cs="Times New Roman"/>
                <w:color w:val="000000"/>
                <w:sz w:val="24"/>
                <w:szCs w:val="24"/>
              </w:rPr>
              <w:t xml:space="preserve"> condition for AI adoption</w:t>
            </w:r>
          </w:p>
        </w:tc>
      </w:tr>
      <w:tr w:rsidR="00E82880" w:rsidRPr="00797C2C" w14:paraId="4F49DD96" w14:textId="77777777">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0BD6873"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Technological</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D5CB635"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AlphaFold protein modelling; generative AI for molecule design; AI/ML applied to clinical imaging and genomics; GSK's internal digital chemistry platform (GSK plc, 2024)</w:t>
            </w:r>
          </w:p>
        </w:tc>
        <w:tc>
          <w:tcPr>
            <w:tcW w:w="42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8C6D79A"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AI accelerates target identification; however, black-box model architectures create explainability challenges that limit regulatory acceptance (Kant, Deepika and Roy, 2025)</w:t>
            </w:r>
          </w:p>
        </w:tc>
      </w:tr>
      <w:tr w:rsidR="00E82880" w:rsidRPr="00797C2C" w14:paraId="569624A0" w14:textId="77777777">
        <w:tc>
          <w:tcPr>
            <w:tcW w:w="17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5FC6B33F"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Legal</w:t>
            </w:r>
          </w:p>
        </w:tc>
        <w:tc>
          <w:tcPr>
            <w:tcW w:w="33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64D761AF"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UK GDPR and Data Protection Act 2018; US HIPAA; EU AI Act (European Parliament, 2024) classifying medical AI as high-risk; emerging AI liability law</w:t>
            </w:r>
          </w:p>
        </w:tc>
        <w:tc>
          <w:tcPr>
            <w:tcW w:w="4226"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35CB62B2"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Non-compliance in AI training pipelines risks severe financial penalties; the EU AI Act imposes mandatory transparency, bias auditing and human oversight for pharmaceutical AI applications</w:t>
            </w:r>
          </w:p>
        </w:tc>
      </w:tr>
      <w:tr w:rsidR="00E82880" w:rsidRPr="00797C2C" w14:paraId="0D270450" w14:textId="77777777">
        <w:tc>
          <w:tcPr>
            <w:tcW w:w="1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07DF6C"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Environmental</w:t>
            </w:r>
          </w:p>
        </w:tc>
        <w:tc>
          <w:tcPr>
            <w:tcW w:w="33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E130F26"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Net zero commitments; computational energy demands of large-scale AI training; regulatory pressure on sustainable manufacturing; SDG alignment expectations</w:t>
            </w:r>
          </w:p>
        </w:tc>
        <w:tc>
          <w:tcPr>
            <w:tcW w:w="42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38E145"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 xml:space="preserve">AI-driven supply chain </w:t>
            </w:r>
            <w:proofErr w:type="spellStart"/>
            <w:r w:rsidRPr="00797C2C">
              <w:rPr>
                <w:rFonts w:ascii="Times New Roman" w:eastAsia="Times New Roman" w:hAnsi="Times New Roman" w:cs="Times New Roman"/>
                <w:color w:val="000000"/>
                <w:sz w:val="24"/>
                <w:szCs w:val="24"/>
              </w:rPr>
              <w:t>optimisation</w:t>
            </w:r>
            <w:proofErr w:type="spellEnd"/>
            <w:r w:rsidRPr="00797C2C">
              <w:rPr>
                <w:rFonts w:ascii="Times New Roman" w:eastAsia="Times New Roman" w:hAnsi="Times New Roman" w:cs="Times New Roman"/>
                <w:color w:val="000000"/>
                <w:sz w:val="24"/>
                <w:szCs w:val="24"/>
              </w:rPr>
              <w:t xml:space="preserve"> can reduce waste and improve sustainability (Al-Hourani and </w:t>
            </w:r>
            <w:proofErr w:type="spellStart"/>
            <w:r w:rsidRPr="00797C2C">
              <w:rPr>
                <w:rFonts w:ascii="Times New Roman" w:eastAsia="Times New Roman" w:hAnsi="Times New Roman" w:cs="Times New Roman"/>
                <w:color w:val="000000"/>
                <w:sz w:val="24"/>
                <w:szCs w:val="24"/>
              </w:rPr>
              <w:t>Weraikat</w:t>
            </w:r>
            <w:proofErr w:type="spellEnd"/>
            <w:r w:rsidRPr="00797C2C">
              <w:rPr>
                <w:rFonts w:ascii="Times New Roman" w:eastAsia="Times New Roman" w:hAnsi="Times New Roman" w:cs="Times New Roman"/>
                <w:color w:val="000000"/>
                <w:sz w:val="24"/>
                <w:szCs w:val="24"/>
              </w:rPr>
              <w:t>, 2025); however, large-scale AI training carries a significant carbon footprint that must be disclosed in ESG reporting</w:t>
            </w:r>
          </w:p>
        </w:tc>
      </w:tr>
    </w:tbl>
    <w:p w14:paraId="2CDD2849" w14:textId="77777777" w:rsidR="00E82880" w:rsidRPr="00797C2C" w:rsidRDefault="00E82880" w:rsidP="00B227B6">
      <w:pPr>
        <w:spacing w:before="120" w:after="80" w:line="360" w:lineRule="auto"/>
        <w:jc w:val="both"/>
        <w:rPr>
          <w:sz w:val="24"/>
          <w:szCs w:val="24"/>
        </w:rPr>
      </w:pPr>
    </w:p>
    <w:p w14:paraId="5B7BF39C" w14:textId="77777777" w:rsidR="00504511" w:rsidRPr="00797C2C" w:rsidRDefault="00504511" w:rsidP="00B227B6">
      <w:pPr>
        <w:spacing w:before="60" w:after="40" w:line="360" w:lineRule="auto"/>
        <w:jc w:val="both"/>
        <w:rPr>
          <w:sz w:val="24"/>
          <w:szCs w:val="24"/>
        </w:rPr>
      </w:pPr>
      <w:r w:rsidRPr="00797C2C">
        <w:rPr>
          <w:sz w:val="24"/>
          <w:szCs w:val="24"/>
        </w:rPr>
        <w:t xml:space="preserve">The most restrictive forces that are the most immediate to GSK are the legal and political ones. The MHRA changing approach towards AI as a medical device (MHRA, 2023) and the FDA action </w:t>
      </w:r>
      <w:r w:rsidRPr="00797C2C">
        <w:rPr>
          <w:sz w:val="24"/>
          <w:szCs w:val="24"/>
        </w:rPr>
        <w:lastRenderedPageBreak/>
        <w:t xml:space="preserve">plan towards AI/ML-based software (FDA, 2021) impose parallel, but not necessarily overlapping compliance requirements. Post-Brexit divergence implies that GSK will have to meet two sets of expectations at once based on two distinct institutional cultures, and a third layer to European market operations is introduced by the EU AI Act (European Parliament, 2024). According to </w:t>
      </w:r>
      <w:proofErr w:type="spellStart"/>
      <w:r w:rsidRPr="00797C2C">
        <w:rPr>
          <w:sz w:val="24"/>
          <w:szCs w:val="24"/>
        </w:rPr>
        <w:t>Floridi</w:t>
      </w:r>
      <w:proofErr w:type="spellEnd"/>
      <w:r w:rsidRPr="00797C2C">
        <w:rPr>
          <w:sz w:val="24"/>
          <w:szCs w:val="24"/>
        </w:rPr>
        <w:t xml:space="preserve"> et al. (2018), ethical AI models need to be </w:t>
      </w:r>
      <w:proofErr w:type="spellStart"/>
      <w:r w:rsidRPr="00797C2C">
        <w:rPr>
          <w:sz w:val="24"/>
          <w:szCs w:val="24"/>
        </w:rPr>
        <w:t>institutionalised</w:t>
      </w:r>
      <w:proofErr w:type="spellEnd"/>
      <w:r w:rsidRPr="00797C2C">
        <w:rPr>
          <w:sz w:val="24"/>
          <w:szCs w:val="24"/>
        </w:rPr>
        <w:t>, and not just proclaimed as principles, which is especially relevant when AI systems have a direct impact on patient health.</w:t>
      </w:r>
    </w:p>
    <w:p w14:paraId="35B06C6F" w14:textId="592262BA" w:rsidR="00E82880" w:rsidRPr="00797C2C" w:rsidRDefault="00707A5B" w:rsidP="00B227B6">
      <w:pPr>
        <w:spacing w:before="60" w:after="40" w:line="360" w:lineRule="auto"/>
        <w:jc w:val="both"/>
        <w:rPr>
          <w:sz w:val="24"/>
          <w:szCs w:val="24"/>
        </w:rPr>
      </w:pPr>
      <w:r w:rsidRPr="00797C2C">
        <w:rPr>
          <w:sz w:val="24"/>
          <w:szCs w:val="24"/>
        </w:rPr>
        <w:t>The social dimension should not be considered the sole determinant</w:t>
      </w:r>
      <w:r w:rsidR="00504511" w:rsidRPr="00797C2C">
        <w:rPr>
          <w:sz w:val="24"/>
          <w:szCs w:val="24"/>
        </w:rPr>
        <w:t xml:space="preserve"> of health equity. The implementation of AI </w:t>
      </w:r>
      <w:r w:rsidR="00BE7A93" w:rsidRPr="00797C2C">
        <w:rPr>
          <w:sz w:val="24"/>
          <w:szCs w:val="24"/>
        </w:rPr>
        <w:t>in drug-related settings not only impacts patients but also commercial stakeholders (healthcare system purchasers and institutional investors) who are increasingly imposing more stringent demands on how</w:t>
      </w:r>
      <w:r w:rsidR="00504511" w:rsidRPr="00797C2C">
        <w:rPr>
          <w:sz w:val="24"/>
          <w:szCs w:val="24"/>
        </w:rPr>
        <w:t xml:space="preserve"> companies address AI-related social risks. </w:t>
      </w:r>
      <w:proofErr w:type="spellStart"/>
      <w:r w:rsidR="00504511" w:rsidRPr="00797C2C">
        <w:rPr>
          <w:sz w:val="24"/>
          <w:szCs w:val="24"/>
        </w:rPr>
        <w:t>Bouderhem</w:t>
      </w:r>
      <w:proofErr w:type="spellEnd"/>
      <w:r w:rsidR="00504511" w:rsidRPr="00797C2C">
        <w:rPr>
          <w:sz w:val="24"/>
          <w:szCs w:val="24"/>
        </w:rPr>
        <w:t xml:space="preserve"> (2024) suggests that AI implementation in health institutions should incorporate fairness as a structural value, and not just as a compliance requirement, which directly affects the way GSK should frame its AI strategy with its business partners and with the public, in general.</w:t>
      </w:r>
    </w:p>
    <w:p w14:paraId="4C3CB9D0" w14:textId="77777777" w:rsidR="00E82880" w:rsidRPr="00797C2C" w:rsidRDefault="00312E6D" w:rsidP="00B227B6">
      <w:pPr>
        <w:pStyle w:val="Heading2"/>
        <w:spacing w:line="360" w:lineRule="auto"/>
        <w:jc w:val="both"/>
        <w:rPr>
          <w:sz w:val="24"/>
          <w:szCs w:val="24"/>
        </w:rPr>
      </w:pPr>
      <w:bookmarkStart w:id="4" w:name="_Toc228184863"/>
      <w:r w:rsidRPr="00797C2C">
        <w:rPr>
          <w:rFonts w:ascii="Arial" w:eastAsia="Arial" w:hAnsi="Arial" w:cs="Arial"/>
          <w:b/>
          <w:bCs/>
          <w:color w:val="2E4057"/>
          <w:sz w:val="24"/>
          <w:szCs w:val="24"/>
        </w:rPr>
        <w:t>2.2 Porter's Diamond: GSK's National Competitive Position</w:t>
      </w:r>
      <w:bookmarkEnd w:id="4"/>
    </w:p>
    <w:p w14:paraId="26AEE5BC" w14:textId="688521E0" w:rsidR="00504511" w:rsidRPr="00797C2C" w:rsidRDefault="00504511" w:rsidP="00B227B6">
      <w:pPr>
        <w:spacing w:before="80" w:after="120" w:line="360" w:lineRule="auto"/>
        <w:jc w:val="both"/>
        <w:rPr>
          <w:sz w:val="24"/>
          <w:szCs w:val="24"/>
        </w:rPr>
      </w:pPr>
      <w:r w:rsidRPr="00797C2C">
        <w:rPr>
          <w:sz w:val="24"/>
          <w:szCs w:val="24"/>
        </w:rPr>
        <w:t xml:space="preserve">The reason why GSK has managed to maintain </w:t>
      </w:r>
      <w:r w:rsidR="00707A5B" w:rsidRPr="00797C2C">
        <w:rPr>
          <w:sz w:val="24"/>
          <w:szCs w:val="24"/>
        </w:rPr>
        <w:t>world-class pharmaceutical innovation at a UK base is described by Porter's Diamond of National Advantage (Porter, 1979), and what AI is currently doing to either strengthen or weaken this</w:t>
      </w:r>
      <w:r w:rsidRPr="00797C2C">
        <w:rPr>
          <w:sz w:val="24"/>
          <w:szCs w:val="24"/>
        </w:rPr>
        <w:t xml:space="preserve"> stance. Table 2 uses this framework to </w:t>
      </w:r>
      <w:r w:rsidR="00707A5B" w:rsidRPr="00797C2C">
        <w:rPr>
          <w:sz w:val="24"/>
          <w:szCs w:val="24"/>
        </w:rPr>
        <w:t>present GSK's AI strategy, focusing on the governance implications that cannot be fully addressed in</w:t>
      </w:r>
      <w:r w:rsidRPr="00797C2C">
        <w:rPr>
          <w:sz w:val="24"/>
          <w:szCs w:val="24"/>
        </w:rPr>
        <w:t xml:space="preserve"> the table.</w:t>
      </w:r>
    </w:p>
    <w:p w14:paraId="38DB4172" w14:textId="77777777" w:rsidR="00E82880" w:rsidRDefault="00E82880" w:rsidP="00B227B6">
      <w:pPr>
        <w:spacing w:before="60" w:after="40" w:line="360" w:lineRule="auto"/>
        <w:jc w:val="both"/>
        <w:rPr>
          <w:sz w:val="24"/>
          <w:szCs w:val="24"/>
        </w:rPr>
      </w:pPr>
    </w:p>
    <w:p w14:paraId="092DB1A6" w14:textId="77777777" w:rsidR="00797C2C" w:rsidRDefault="00797C2C" w:rsidP="00B227B6">
      <w:pPr>
        <w:spacing w:before="60" w:after="40" w:line="360" w:lineRule="auto"/>
        <w:jc w:val="both"/>
        <w:rPr>
          <w:sz w:val="24"/>
          <w:szCs w:val="24"/>
        </w:rPr>
      </w:pPr>
    </w:p>
    <w:p w14:paraId="0AD9EE36" w14:textId="77777777" w:rsidR="00797C2C" w:rsidRDefault="00797C2C" w:rsidP="00B227B6">
      <w:pPr>
        <w:spacing w:before="60" w:after="40" w:line="360" w:lineRule="auto"/>
        <w:jc w:val="both"/>
        <w:rPr>
          <w:sz w:val="24"/>
          <w:szCs w:val="24"/>
        </w:rPr>
      </w:pPr>
    </w:p>
    <w:p w14:paraId="04C8796D" w14:textId="77777777" w:rsidR="00797C2C" w:rsidRDefault="00797C2C" w:rsidP="00B227B6">
      <w:pPr>
        <w:spacing w:before="60" w:after="40" w:line="360" w:lineRule="auto"/>
        <w:jc w:val="both"/>
        <w:rPr>
          <w:sz w:val="24"/>
          <w:szCs w:val="24"/>
        </w:rPr>
      </w:pPr>
    </w:p>
    <w:p w14:paraId="4FE716F8" w14:textId="77777777" w:rsidR="00797C2C" w:rsidRPr="00797C2C" w:rsidRDefault="00797C2C" w:rsidP="00B227B6">
      <w:pPr>
        <w:spacing w:before="60" w:after="40" w:line="360" w:lineRule="auto"/>
        <w:jc w:val="both"/>
        <w:rPr>
          <w:sz w:val="24"/>
          <w:szCs w:val="24"/>
        </w:rPr>
      </w:pPr>
    </w:p>
    <w:p w14:paraId="4E6A88E1" w14:textId="77777777" w:rsidR="00E82880" w:rsidRPr="00797C2C" w:rsidRDefault="00312E6D" w:rsidP="00B227B6">
      <w:pPr>
        <w:spacing w:after="60" w:line="360" w:lineRule="auto"/>
        <w:jc w:val="both"/>
        <w:rPr>
          <w:sz w:val="24"/>
          <w:szCs w:val="24"/>
        </w:rPr>
      </w:pPr>
      <w:r w:rsidRPr="00797C2C">
        <w:rPr>
          <w:rFonts w:ascii="Arial" w:eastAsia="Arial" w:hAnsi="Arial" w:cs="Arial"/>
          <w:b/>
          <w:bCs/>
          <w:i/>
          <w:iCs/>
          <w:color w:val="2E4057"/>
          <w:sz w:val="24"/>
          <w:szCs w:val="24"/>
        </w:rPr>
        <w:t>Table 2: Porter's Diamond Analysis — GSK plc and AI Competitive Advantage (Source: Self-made)</w:t>
      </w:r>
    </w:p>
    <w:tbl>
      <w:tblPr>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500"/>
        <w:gridCol w:w="3526"/>
      </w:tblGrid>
      <w:tr w:rsidR="00E82880" w:rsidRPr="00797C2C" w14:paraId="1A191B29" w14:textId="77777777" w:rsidTr="00312E6D">
        <w:trPr>
          <w:tblHeader/>
        </w:trPr>
        <w:tc>
          <w:tcPr>
            <w:tcW w:w="2200" w:type="dxa"/>
            <w:tcBorders>
              <w:top w:val="single" w:sz="1" w:space="0" w:color="AAAAAA"/>
              <w:left w:val="single" w:sz="1" w:space="0" w:color="AAAAAA"/>
              <w:bottom w:val="single" w:sz="1" w:space="0" w:color="AAAAAA"/>
              <w:right w:val="single" w:sz="1" w:space="0" w:color="AAAAAA"/>
            </w:tcBorders>
            <w:shd w:val="clear" w:color="auto" w:fill="2E4057"/>
            <w:tcMar>
              <w:top w:w="100" w:type="dxa"/>
              <w:left w:w="120" w:type="dxa"/>
              <w:bottom w:w="100" w:type="dxa"/>
              <w:right w:w="120" w:type="dxa"/>
            </w:tcMar>
          </w:tcPr>
          <w:p w14:paraId="6812111A" w14:textId="77777777" w:rsidR="00E82880" w:rsidRPr="00797C2C" w:rsidRDefault="00312E6D" w:rsidP="00B227B6">
            <w:pPr>
              <w:spacing w:line="360" w:lineRule="auto"/>
              <w:jc w:val="both"/>
              <w:rPr>
                <w:sz w:val="24"/>
                <w:szCs w:val="24"/>
              </w:rPr>
            </w:pPr>
            <w:r w:rsidRPr="00797C2C">
              <w:rPr>
                <w:rFonts w:ascii="Arial" w:eastAsia="Arial" w:hAnsi="Arial" w:cs="Arial"/>
                <w:b/>
                <w:bCs/>
                <w:color w:val="FFFFFF"/>
                <w:sz w:val="24"/>
                <w:szCs w:val="24"/>
              </w:rPr>
              <w:lastRenderedPageBreak/>
              <w:t>Diamond Element</w:t>
            </w:r>
          </w:p>
        </w:tc>
        <w:tc>
          <w:tcPr>
            <w:tcW w:w="3500" w:type="dxa"/>
            <w:tcBorders>
              <w:top w:val="single" w:sz="1" w:space="0" w:color="AAAAAA"/>
              <w:left w:val="single" w:sz="1" w:space="0" w:color="AAAAAA"/>
              <w:bottom w:val="single" w:sz="1" w:space="0" w:color="AAAAAA"/>
              <w:right w:val="single" w:sz="1" w:space="0" w:color="AAAAAA"/>
            </w:tcBorders>
            <w:shd w:val="clear" w:color="auto" w:fill="2E4057"/>
            <w:tcMar>
              <w:top w:w="100" w:type="dxa"/>
              <w:left w:w="120" w:type="dxa"/>
              <w:bottom w:w="100" w:type="dxa"/>
              <w:right w:w="120" w:type="dxa"/>
            </w:tcMar>
          </w:tcPr>
          <w:p w14:paraId="18270BD5" w14:textId="77777777" w:rsidR="00E82880" w:rsidRPr="00797C2C" w:rsidRDefault="00312E6D" w:rsidP="00B227B6">
            <w:pPr>
              <w:spacing w:line="360" w:lineRule="auto"/>
              <w:jc w:val="both"/>
              <w:rPr>
                <w:sz w:val="24"/>
                <w:szCs w:val="24"/>
              </w:rPr>
            </w:pPr>
            <w:r w:rsidRPr="00797C2C">
              <w:rPr>
                <w:rFonts w:ascii="Arial" w:eastAsia="Arial" w:hAnsi="Arial" w:cs="Arial"/>
                <w:b/>
                <w:bCs/>
                <w:color w:val="FFFFFF"/>
                <w:sz w:val="24"/>
                <w:szCs w:val="24"/>
              </w:rPr>
              <w:t>Application to GSK</w:t>
            </w:r>
          </w:p>
        </w:tc>
        <w:tc>
          <w:tcPr>
            <w:tcW w:w="3526" w:type="dxa"/>
            <w:tcBorders>
              <w:top w:val="single" w:sz="1" w:space="0" w:color="AAAAAA"/>
              <w:left w:val="single" w:sz="1" w:space="0" w:color="AAAAAA"/>
              <w:bottom w:val="single" w:sz="1" w:space="0" w:color="AAAAAA"/>
              <w:right w:val="single" w:sz="1" w:space="0" w:color="AAAAAA"/>
            </w:tcBorders>
            <w:shd w:val="clear" w:color="auto" w:fill="2E4057"/>
            <w:tcMar>
              <w:top w:w="100" w:type="dxa"/>
              <w:left w:w="120" w:type="dxa"/>
              <w:bottom w:w="100" w:type="dxa"/>
              <w:right w:w="120" w:type="dxa"/>
            </w:tcMar>
          </w:tcPr>
          <w:p w14:paraId="2CFDA7BF" w14:textId="77777777" w:rsidR="00E82880" w:rsidRPr="00797C2C" w:rsidRDefault="00312E6D" w:rsidP="00B227B6">
            <w:pPr>
              <w:spacing w:line="360" w:lineRule="auto"/>
              <w:jc w:val="both"/>
              <w:rPr>
                <w:sz w:val="24"/>
                <w:szCs w:val="24"/>
              </w:rPr>
            </w:pPr>
            <w:r w:rsidRPr="00797C2C">
              <w:rPr>
                <w:rFonts w:ascii="Arial" w:eastAsia="Arial" w:hAnsi="Arial" w:cs="Arial"/>
                <w:b/>
                <w:bCs/>
                <w:color w:val="FFFFFF"/>
                <w:sz w:val="24"/>
                <w:szCs w:val="24"/>
              </w:rPr>
              <w:t>AI Governance Implication</w:t>
            </w:r>
          </w:p>
        </w:tc>
      </w:tr>
      <w:tr w:rsidR="00E82880" w:rsidRPr="00797C2C" w14:paraId="7EA86C79" w14:textId="77777777">
        <w:tc>
          <w:tcPr>
            <w:tcW w:w="22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5033C664"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Factor Conditions</w:t>
            </w:r>
          </w:p>
        </w:tc>
        <w:tc>
          <w:tcPr>
            <w:tcW w:w="35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6D4EC3A4"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Deep scientific talent base; world-class university partnerships; £6.4 billion annual R&amp;D (GSK plc, 2024); genetics-first approach creating advanced capabilities difficult to replicate</w:t>
            </w:r>
          </w:p>
        </w:tc>
        <w:tc>
          <w:tcPr>
            <w:tcW w:w="3526"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01B45834"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AI/ML capabilities multiply the value of proprietary data assets, creating a durable competitive advantage; responsible governance of these assets is essential to maintaining this position (</w:t>
            </w:r>
            <w:proofErr w:type="spellStart"/>
            <w:r w:rsidRPr="00797C2C">
              <w:rPr>
                <w:rFonts w:ascii="Times New Roman" w:eastAsia="Times New Roman" w:hAnsi="Times New Roman" w:cs="Times New Roman"/>
                <w:color w:val="000000"/>
                <w:sz w:val="24"/>
                <w:szCs w:val="24"/>
              </w:rPr>
              <w:t>Iansiti</w:t>
            </w:r>
            <w:proofErr w:type="spellEnd"/>
            <w:r w:rsidRPr="00797C2C">
              <w:rPr>
                <w:rFonts w:ascii="Times New Roman" w:eastAsia="Times New Roman" w:hAnsi="Times New Roman" w:cs="Times New Roman"/>
                <w:color w:val="000000"/>
                <w:sz w:val="24"/>
                <w:szCs w:val="24"/>
              </w:rPr>
              <w:t xml:space="preserve"> and Lakhani, 2020)</w:t>
            </w:r>
          </w:p>
        </w:tc>
      </w:tr>
      <w:tr w:rsidR="00E82880" w:rsidRPr="00797C2C" w14:paraId="5C051D0E" w14:textId="77777777">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E5656E5"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Demand Conditions</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506030"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 xml:space="preserve">Rising global incidence of complex diseases; ageing populations; growing demand for </w:t>
            </w:r>
            <w:proofErr w:type="spellStart"/>
            <w:r w:rsidRPr="00797C2C">
              <w:rPr>
                <w:rFonts w:ascii="Times New Roman" w:eastAsia="Times New Roman" w:hAnsi="Times New Roman" w:cs="Times New Roman"/>
                <w:color w:val="000000"/>
                <w:sz w:val="24"/>
                <w:szCs w:val="24"/>
              </w:rPr>
              <w:t>personalised</w:t>
            </w:r>
            <w:proofErr w:type="spellEnd"/>
            <w:r w:rsidRPr="00797C2C">
              <w:rPr>
                <w:rFonts w:ascii="Times New Roman" w:eastAsia="Times New Roman" w:hAnsi="Times New Roman" w:cs="Times New Roman"/>
                <w:color w:val="000000"/>
                <w:sz w:val="24"/>
                <w:szCs w:val="24"/>
              </w:rPr>
              <w:t xml:space="preserve"> medicine; increasing sophistication of healthcare buyers</w:t>
            </w:r>
          </w:p>
        </w:tc>
        <w:tc>
          <w:tcPr>
            <w:tcW w:w="35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386F8D7"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 xml:space="preserve">Demand for faster, more targeted therapies accelerates AI adoption; healthcare system buyers now </w:t>
            </w:r>
            <w:proofErr w:type="spellStart"/>
            <w:r w:rsidRPr="00797C2C">
              <w:rPr>
                <w:rFonts w:ascii="Times New Roman" w:eastAsia="Times New Roman" w:hAnsi="Times New Roman" w:cs="Times New Roman"/>
                <w:color w:val="000000"/>
                <w:sz w:val="24"/>
                <w:szCs w:val="24"/>
              </w:rPr>
              <w:t>scrutinise</w:t>
            </w:r>
            <w:proofErr w:type="spellEnd"/>
            <w:r w:rsidRPr="00797C2C">
              <w:rPr>
                <w:rFonts w:ascii="Times New Roman" w:eastAsia="Times New Roman" w:hAnsi="Times New Roman" w:cs="Times New Roman"/>
                <w:color w:val="000000"/>
                <w:sz w:val="24"/>
                <w:szCs w:val="24"/>
              </w:rPr>
              <w:t xml:space="preserve"> AI safety and fairness as procurement criteria, making customer trust central to commercial access (Topol, 2019)</w:t>
            </w:r>
          </w:p>
        </w:tc>
      </w:tr>
      <w:tr w:rsidR="00E82880" w:rsidRPr="00797C2C" w14:paraId="479B37CD" w14:textId="77777777">
        <w:tc>
          <w:tcPr>
            <w:tcW w:w="22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4B3890D4"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Related and Supporting Industries</w:t>
            </w:r>
          </w:p>
        </w:tc>
        <w:tc>
          <w:tcPr>
            <w:tcW w:w="3500"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541900B0"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Collaborations with AI firms; broader UK life sciences cluster; academic research networks; GSK's $300 million AI partnership announced in 2025 (GSK plc, 2024)</w:t>
            </w:r>
          </w:p>
        </w:tc>
        <w:tc>
          <w:tcPr>
            <w:tcW w:w="3526" w:type="dxa"/>
            <w:tcBorders>
              <w:top w:val="single" w:sz="1" w:space="0" w:color="AAAAAA"/>
              <w:left w:val="single" w:sz="1" w:space="0" w:color="AAAAAA"/>
              <w:bottom w:val="single" w:sz="1" w:space="0" w:color="AAAAAA"/>
              <w:right w:val="single" w:sz="1" w:space="0" w:color="AAAAAA"/>
            </w:tcBorders>
            <w:shd w:val="clear" w:color="auto" w:fill="EBF3FB"/>
            <w:tcMar>
              <w:top w:w="80" w:type="dxa"/>
              <w:left w:w="120" w:type="dxa"/>
              <w:bottom w:w="80" w:type="dxa"/>
              <w:right w:w="120" w:type="dxa"/>
            </w:tcMar>
          </w:tcPr>
          <w:p w14:paraId="5E3C3A73"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Cross-sector partnerships amplify innovation capacity; however, third-party AI vendor reliance increases data governance risk and creates intellectual property exposure (World Economic Forum, 2024)</w:t>
            </w:r>
          </w:p>
        </w:tc>
      </w:tr>
      <w:tr w:rsidR="00E82880" w:rsidRPr="00797C2C" w14:paraId="2D65F065" w14:textId="77777777">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8B88E23"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b/>
                <w:bCs/>
                <w:color w:val="000000"/>
                <w:sz w:val="24"/>
                <w:szCs w:val="24"/>
              </w:rPr>
              <w:t>Firm Strategy, Structure and Rivalry</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B31A650" w14:textId="6F36A273"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t xml:space="preserve">Competition with Pfizer, Roche, AstraZeneca and Novartis </w:t>
            </w:r>
            <w:r w:rsidR="00BE7A93" w:rsidRPr="00797C2C">
              <w:rPr>
                <w:color w:val="000000"/>
                <w:sz w:val="24"/>
                <w:szCs w:val="24"/>
              </w:rPr>
              <w:t xml:space="preserve">is </w:t>
            </w:r>
            <w:r w:rsidRPr="00797C2C">
              <w:rPr>
                <w:rFonts w:ascii="Times New Roman" w:eastAsia="Times New Roman" w:hAnsi="Times New Roman" w:cs="Times New Roman"/>
                <w:color w:val="000000"/>
                <w:sz w:val="24"/>
                <w:szCs w:val="24"/>
              </w:rPr>
              <w:t xml:space="preserve">intensifying around AI; industry completed approximately sixty </w:t>
            </w:r>
            <w:r w:rsidRPr="00797C2C">
              <w:rPr>
                <w:rFonts w:ascii="Times New Roman" w:eastAsia="Times New Roman" w:hAnsi="Times New Roman" w:cs="Times New Roman"/>
                <w:color w:val="000000"/>
                <w:sz w:val="24"/>
                <w:szCs w:val="24"/>
              </w:rPr>
              <w:lastRenderedPageBreak/>
              <w:t>AI/ML deals in 2024 (GSK plc, 2024)</w:t>
            </w:r>
          </w:p>
        </w:tc>
        <w:tc>
          <w:tcPr>
            <w:tcW w:w="3526"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AC61D7C" w14:textId="77777777" w:rsidR="00E82880" w:rsidRPr="00797C2C" w:rsidRDefault="00312E6D" w:rsidP="00B227B6">
            <w:pPr>
              <w:spacing w:line="360" w:lineRule="auto"/>
              <w:jc w:val="both"/>
              <w:rPr>
                <w:sz w:val="24"/>
                <w:szCs w:val="24"/>
              </w:rPr>
            </w:pPr>
            <w:r w:rsidRPr="00797C2C">
              <w:rPr>
                <w:rFonts w:ascii="Times New Roman" w:eastAsia="Times New Roman" w:hAnsi="Times New Roman" w:cs="Times New Roman"/>
                <w:color w:val="000000"/>
                <w:sz w:val="24"/>
                <w:szCs w:val="24"/>
              </w:rPr>
              <w:lastRenderedPageBreak/>
              <w:t xml:space="preserve">Competitive advantage resides not in possessing AI tools but in governing them responsibly; rivals pursuing similar strategies </w:t>
            </w:r>
            <w:r w:rsidRPr="00797C2C">
              <w:rPr>
                <w:rFonts w:ascii="Times New Roman" w:eastAsia="Times New Roman" w:hAnsi="Times New Roman" w:cs="Times New Roman"/>
                <w:color w:val="000000"/>
                <w:sz w:val="24"/>
                <w:szCs w:val="24"/>
              </w:rPr>
              <w:lastRenderedPageBreak/>
              <w:t>mean differentiation depends on the quality of data and speed of regulatory navigation (</w:t>
            </w:r>
            <w:proofErr w:type="spellStart"/>
            <w:r w:rsidRPr="00797C2C">
              <w:rPr>
                <w:rFonts w:ascii="Times New Roman" w:eastAsia="Times New Roman" w:hAnsi="Times New Roman" w:cs="Times New Roman"/>
                <w:color w:val="000000"/>
                <w:sz w:val="24"/>
                <w:szCs w:val="24"/>
              </w:rPr>
              <w:t>Iansiti</w:t>
            </w:r>
            <w:proofErr w:type="spellEnd"/>
            <w:r w:rsidRPr="00797C2C">
              <w:rPr>
                <w:rFonts w:ascii="Times New Roman" w:eastAsia="Times New Roman" w:hAnsi="Times New Roman" w:cs="Times New Roman"/>
                <w:color w:val="000000"/>
                <w:sz w:val="24"/>
                <w:szCs w:val="24"/>
              </w:rPr>
              <w:t xml:space="preserve"> and Lakhani, 2020)</w:t>
            </w:r>
          </w:p>
        </w:tc>
      </w:tr>
    </w:tbl>
    <w:p w14:paraId="3AC41E12" w14:textId="77777777" w:rsidR="00E82880" w:rsidRPr="00797C2C" w:rsidRDefault="00E82880" w:rsidP="00B227B6">
      <w:pPr>
        <w:spacing w:before="120" w:after="80" w:line="360" w:lineRule="auto"/>
        <w:jc w:val="both"/>
        <w:rPr>
          <w:sz w:val="24"/>
          <w:szCs w:val="24"/>
        </w:rPr>
      </w:pPr>
    </w:p>
    <w:p w14:paraId="0D1E16C3" w14:textId="7D1FB025" w:rsidR="00E82880" w:rsidRPr="00797C2C" w:rsidRDefault="00504511" w:rsidP="00B227B6">
      <w:pPr>
        <w:spacing w:before="60" w:after="40" w:line="360" w:lineRule="auto"/>
        <w:jc w:val="both"/>
        <w:rPr>
          <w:sz w:val="24"/>
          <w:szCs w:val="24"/>
        </w:rPr>
      </w:pPr>
      <w:r w:rsidRPr="00797C2C">
        <w:rPr>
          <w:sz w:val="24"/>
          <w:szCs w:val="24"/>
        </w:rPr>
        <w:t xml:space="preserve">The biggest governance lesson of the diamond is that </w:t>
      </w:r>
      <w:r w:rsidR="00BE7A93" w:rsidRPr="00797C2C">
        <w:rPr>
          <w:sz w:val="24"/>
          <w:szCs w:val="24"/>
        </w:rPr>
        <w:t xml:space="preserve">GSK's competitive power relies on its capacity to transform the excellent conditions of its </w:t>
      </w:r>
      <w:r w:rsidRPr="00797C2C">
        <w:rPr>
          <w:sz w:val="24"/>
          <w:szCs w:val="24"/>
        </w:rPr>
        <w:t xml:space="preserve">factors, specifically its genetics-first data resources, into sustainable benefits that its rivals can hardly imitate. </w:t>
      </w:r>
      <w:proofErr w:type="spellStart"/>
      <w:r w:rsidRPr="00797C2C">
        <w:rPr>
          <w:sz w:val="24"/>
          <w:szCs w:val="24"/>
        </w:rPr>
        <w:t>Iansiti</w:t>
      </w:r>
      <w:proofErr w:type="spellEnd"/>
      <w:r w:rsidRPr="00797C2C">
        <w:rPr>
          <w:sz w:val="24"/>
          <w:szCs w:val="24"/>
        </w:rPr>
        <w:t xml:space="preserve"> and Lakhani (2020) believe that companies that implement algorithmic logic in their operations have structural benefits that are much harder to replicate than traditional product-based competitive strategies. Nevertheless, the associated industries factor brings about susceptibility: increasing reliance on third-party AI collaborators poses data management and intellectual property risks that, according to the World Economic Forum (2024), have become a new category of systemic risk in the world, especially in stakes-high sectors including pharmaceuticals.</w:t>
      </w:r>
    </w:p>
    <w:p w14:paraId="565BE31F" w14:textId="77777777" w:rsidR="00E82880" w:rsidRPr="00797C2C" w:rsidRDefault="00312E6D" w:rsidP="00B227B6">
      <w:pPr>
        <w:pStyle w:val="Heading2"/>
        <w:spacing w:line="360" w:lineRule="auto"/>
        <w:jc w:val="both"/>
        <w:rPr>
          <w:sz w:val="24"/>
          <w:szCs w:val="24"/>
        </w:rPr>
      </w:pPr>
      <w:bookmarkStart w:id="5" w:name="_Toc228184864"/>
      <w:r w:rsidRPr="00797C2C">
        <w:rPr>
          <w:rFonts w:ascii="Arial" w:eastAsia="Arial" w:hAnsi="Arial" w:cs="Arial"/>
          <w:b/>
          <w:bCs/>
          <w:color w:val="2E4057"/>
          <w:sz w:val="24"/>
          <w:szCs w:val="24"/>
        </w:rPr>
        <w:t>2.3 Porter's Five Forces: Competitive Dynamics in the AI-Driven Pharmaceutical Sector</w:t>
      </w:r>
      <w:bookmarkEnd w:id="5"/>
    </w:p>
    <w:p w14:paraId="476C3D94" w14:textId="5D086788" w:rsidR="00504511" w:rsidRPr="00797C2C" w:rsidRDefault="00504511" w:rsidP="00B227B6">
      <w:pPr>
        <w:spacing w:before="60" w:after="40" w:line="360" w:lineRule="auto"/>
        <w:jc w:val="both"/>
        <w:rPr>
          <w:sz w:val="24"/>
          <w:szCs w:val="24"/>
        </w:rPr>
      </w:pPr>
      <w:r w:rsidRPr="00797C2C">
        <w:rPr>
          <w:sz w:val="24"/>
          <w:szCs w:val="24"/>
        </w:rPr>
        <w:t>Applying Porters Five Forces (Porter, 1979) to analyze the AI-enabled competition, the competitive landscape is evolving and GSK needs to address it with strategic consideration. The level of competition in the industry amongst current drug companies has also been significantly heightened. Ren et al. (2024) warn that competitive advantage in pharmaceutical AI will be in an even greater sense of not necessarily having AI tools but rather in the quality of governance of the tools and hence governance will in itself be a competitive positioning.</w:t>
      </w:r>
    </w:p>
    <w:p w14:paraId="1E832C30" w14:textId="0DE7D13E" w:rsidR="00504511" w:rsidRPr="00797C2C" w:rsidRDefault="00504511" w:rsidP="00B227B6">
      <w:pPr>
        <w:spacing w:before="60" w:after="40" w:line="360" w:lineRule="auto"/>
        <w:jc w:val="both"/>
        <w:rPr>
          <w:sz w:val="24"/>
          <w:szCs w:val="24"/>
        </w:rPr>
      </w:pPr>
      <w:r w:rsidRPr="00797C2C">
        <w:rPr>
          <w:sz w:val="24"/>
          <w:szCs w:val="24"/>
        </w:rPr>
        <w:t xml:space="preserve">New entry, which has traditionally been low in the pharmaceutical industry due to regulatory hurdles and capital needs, is being </w:t>
      </w:r>
      <w:r w:rsidR="00BE7A93" w:rsidRPr="00797C2C">
        <w:rPr>
          <w:sz w:val="24"/>
          <w:szCs w:val="24"/>
        </w:rPr>
        <w:t xml:space="preserve">partially undermined by AI-native </w:t>
      </w:r>
      <w:proofErr w:type="spellStart"/>
      <w:r w:rsidR="00BE7A93" w:rsidRPr="00797C2C">
        <w:rPr>
          <w:sz w:val="24"/>
          <w:szCs w:val="24"/>
        </w:rPr>
        <w:t>biotechs</w:t>
      </w:r>
      <w:proofErr w:type="spellEnd"/>
      <w:r w:rsidR="00BE7A93" w:rsidRPr="00797C2C">
        <w:rPr>
          <w:sz w:val="24"/>
          <w:szCs w:val="24"/>
        </w:rPr>
        <w:t>, which can now compress the discovery cycle without bearing</w:t>
      </w:r>
      <w:r w:rsidRPr="00797C2C">
        <w:rPr>
          <w:sz w:val="24"/>
          <w:szCs w:val="24"/>
        </w:rPr>
        <w:t xml:space="preserve"> the entire burden of established competitors. According to Singh, Zhou and Auclair (2025), AI is </w:t>
      </w:r>
      <w:r w:rsidR="00707A5B" w:rsidRPr="00797C2C">
        <w:rPr>
          <w:sz w:val="24"/>
          <w:szCs w:val="24"/>
        </w:rPr>
        <w:t xml:space="preserve">enabling smaller </w:t>
      </w:r>
      <w:proofErr w:type="spellStart"/>
      <w:r w:rsidR="00707A5B" w:rsidRPr="00797C2C">
        <w:rPr>
          <w:sz w:val="24"/>
          <w:szCs w:val="24"/>
        </w:rPr>
        <w:t>organisations</w:t>
      </w:r>
      <w:proofErr w:type="spellEnd"/>
      <w:r w:rsidR="00707A5B" w:rsidRPr="00797C2C">
        <w:rPr>
          <w:sz w:val="24"/>
          <w:szCs w:val="24"/>
        </w:rPr>
        <w:t xml:space="preserve"> to bypass regulatory submission procedures previously open only to well-resourced incumbents, and </w:t>
      </w:r>
      <w:r w:rsidRPr="00797C2C">
        <w:rPr>
          <w:sz w:val="24"/>
          <w:szCs w:val="24"/>
        </w:rPr>
        <w:t xml:space="preserve">the </w:t>
      </w:r>
      <w:r w:rsidRPr="00797C2C">
        <w:rPr>
          <w:sz w:val="24"/>
          <w:szCs w:val="24"/>
        </w:rPr>
        <w:lastRenderedPageBreak/>
        <w:t>traditional moat</w:t>
      </w:r>
      <w:r w:rsidR="00707A5B" w:rsidRPr="00797C2C">
        <w:rPr>
          <w:sz w:val="24"/>
          <w:szCs w:val="24"/>
        </w:rPr>
        <w:t xml:space="preserve"> that large pharmaceutical companies have been accustomed to</w:t>
      </w:r>
      <w:r w:rsidRPr="00797C2C">
        <w:rPr>
          <w:sz w:val="24"/>
          <w:szCs w:val="24"/>
        </w:rPr>
        <w:t xml:space="preserve"> is becoming narrower.</w:t>
      </w:r>
    </w:p>
    <w:p w14:paraId="2AF46E68" w14:textId="22426CA9" w:rsidR="00E82880" w:rsidRPr="00797C2C" w:rsidRDefault="00707A5B" w:rsidP="00B227B6">
      <w:pPr>
        <w:spacing w:before="60" w:after="40" w:line="360" w:lineRule="auto"/>
        <w:jc w:val="both"/>
        <w:rPr>
          <w:sz w:val="24"/>
          <w:szCs w:val="24"/>
        </w:rPr>
      </w:pPr>
      <w:r w:rsidRPr="00797C2C">
        <w:rPr>
          <w:sz w:val="24"/>
          <w:szCs w:val="24"/>
        </w:rPr>
        <w:t>Buyer power is increasing the requirements for evidence of AI safety and equity from</w:t>
      </w:r>
      <w:r w:rsidR="00504511" w:rsidRPr="00797C2C">
        <w:rPr>
          <w:sz w:val="24"/>
          <w:szCs w:val="24"/>
        </w:rPr>
        <w:t xml:space="preserve"> healthcare system purchasers and national health governments. The institutional purchasers are now questioning </w:t>
      </w:r>
      <w:r w:rsidRPr="00797C2C">
        <w:rPr>
          <w:sz w:val="24"/>
          <w:szCs w:val="24"/>
        </w:rPr>
        <w:t>whether pharmaceutical AI can be explained, audited,</w:t>
      </w:r>
      <w:r w:rsidR="00504511" w:rsidRPr="00797C2C">
        <w:rPr>
          <w:sz w:val="24"/>
          <w:szCs w:val="24"/>
        </w:rPr>
        <w:t xml:space="preserve"> and proven to be bias-free before they adopt the AI-derived clinical insights as the foundation of their procurement decisions. The risk of </w:t>
      </w:r>
      <w:r w:rsidRPr="00797C2C">
        <w:rPr>
          <w:sz w:val="24"/>
          <w:szCs w:val="24"/>
        </w:rPr>
        <w:t>substitution</w:t>
      </w:r>
      <w:r w:rsidR="00504511" w:rsidRPr="00797C2C">
        <w:rPr>
          <w:sz w:val="24"/>
          <w:szCs w:val="24"/>
        </w:rPr>
        <w:t xml:space="preserve"> is increasing </w:t>
      </w:r>
      <w:r w:rsidRPr="00797C2C">
        <w:rPr>
          <w:sz w:val="24"/>
          <w:szCs w:val="24"/>
        </w:rPr>
        <w:t>as AI-native drug design platforms emerge, potentially circumventing</w:t>
      </w:r>
      <w:r w:rsidR="00504511" w:rsidRPr="00797C2C">
        <w:rPr>
          <w:sz w:val="24"/>
          <w:szCs w:val="24"/>
        </w:rPr>
        <w:t xml:space="preserve"> traditional discovery routes. </w:t>
      </w:r>
      <w:r w:rsidRPr="00797C2C">
        <w:rPr>
          <w:sz w:val="24"/>
          <w:szCs w:val="24"/>
        </w:rPr>
        <w:t xml:space="preserve">Supplier power, especially for AI talent and </w:t>
      </w:r>
      <w:proofErr w:type="spellStart"/>
      <w:r w:rsidRPr="00797C2C">
        <w:rPr>
          <w:sz w:val="24"/>
          <w:szCs w:val="24"/>
        </w:rPr>
        <w:t>specialised</w:t>
      </w:r>
      <w:proofErr w:type="spellEnd"/>
      <w:r w:rsidRPr="00797C2C">
        <w:rPr>
          <w:sz w:val="24"/>
          <w:szCs w:val="24"/>
        </w:rPr>
        <w:t xml:space="preserve"> computational infrastructure, remains high due to the global shortage</w:t>
      </w:r>
      <w:r w:rsidR="00504511" w:rsidRPr="00797C2C">
        <w:rPr>
          <w:sz w:val="24"/>
          <w:szCs w:val="24"/>
        </w:rPr>
        <w:t xml:space="preserve"> of data scientists with expertise in the pharmaceutical field.</w:t>
      </w:r>
    </w:p>
    <w:p w14:paraId="7E3C46F9" w14:textId="77777777" w:rsidR="00E82880" w:rsidRPr="00797C2C" w:rsidRDefault="00312E6D" w:rsidP="00B227B6">
      <w:pPr>
        <w:pStyle w:val="Heading2"/>
        <w:spacing w:line="360" w:lineRule="auto"/>
        <w:jc w:val="both"/>
        <w:rPr>
          <w:sz w:val="24"/>
          <w:szCs w:val="24"/>
        </w:rPr>
      </w:pPr>
      <w:bookmarkStart w:id="6" w:name="_Toc228184865"/>
      <w:r w:rsidRPr="00797C2C">
        <w:rPr>
          <w:rFonts w:ascii="Arial" w:eastAsia="Arial" w:hAnsi="Arial" w:cs="Arial"/>
          <w:b/>
          <w:bCs/>
          <w:color w:val="2E4057"/>
          <w:sz w:val="24"/>
          <w:szCs w:val="24"/>
        </w:rPr>
        <w:t>2.4 AI Applications and Risk Management Implications</w:t>
      </w:r>
      <w:bookmarkEnd w:id="6"/>
    </w:p>
    <w:p w14:paraId="0851806E" w14:textId="61A332C4" w:rsidR="00504511" w:rsidRPr="00797C2C" w:rsidRDefault="00504511" w:rsidP="00B227B6">
      <w:pPr>
        <w:spacing w:before="80" w:after="120" w:line="360" w:lineRule="auto"/>
        <w:jc w:val="both"/>
        <w:rPr>
          <w:sz w:val="24"/>
          <w:szCs w:val="24"/>
        </w:rPr>
      </w:pPr>
      <w:r w:rsidRPr="00797C2C">
        <w:rPr>
          <w:sz w:val="24"/>
          <w:szCs w:val="24"/>
        </w:rPr>
        <w:t xml:space="preserve">The application of AI at GSK </w:t>
      </w:r>
      <w:r w:rsidR="00707A5B" w:rsidRPr="00797C2C">
        <w:rPr>
          <w:sz w:val="24"/>
          <w:szCs w:val="24"/>
        </w:rPr>
        <w:t>spans the entire drug development cycle</w:t>
      </w:r>
      <w:r w:rsidRPr="00797C2C">
        <w:rPr>
          <w:sz w:val="24"/>
          <w:szCs w:val="24"/>
        </w:rPr>
        <w:t>. During the discovery phase</w:t>
      </w:r>
      <w:r w:rsidR="00707A5B" w:rsidRPr="00797C2C">
        <w:rPr>
          <w:sz w:val="24"/>
          <w:szCs w:val="24"/>
        </w:rPr>
        <w:t>,</w:t>
      </w:r>
      <w:r w:rsidRPr="00797C2C">
        <w:rPr>
          <w:sz w:val="24"/>
          <w:szCs w:val="24"/>
        </w:rPr>
        <w:t xml:space="preserve"> machine learning algorithms are </w:t>
      </w:r>
      <w:r w:rsidR="00707A5B" w:rsidRPr="00797C2C">
        <w:rPr>
          <w:sz w:val="24"/>
          <w:szCs w:val="24"/>
        </w:rPr>
        <w:t>applied to genetic and functional genomic data to identify</w:t>
      </w:r>
      <w:r w:rsidRPr="00797C2C">
        <w:rPr>
          <w:sz w:val="24"/>
          <w:szCs w:val="24"/>
        </w:rPr>
        <w:t xml:space="preserve"> biologically validated therapeutic targets. In 2024, the company acquired Elsie Biotechnologies, and it is meant to help speed up an oligonucleotide platform based on AI-enabled predictive modelling (GSK plc, 2024). AI is applied in clinical development in patient stratification, adaptive trial design and pharmacovigilance. According to Crisafulli et al. (2024), AI-based pharmacovigilance is one of the most promising applications </w:t>
      </w:r>
      <w:r w:rsidR="00707A5B" w:rsidRPr="00797C2C">
        <w:rPr>
          <w:sz w:val="24"/>
          <w:szCs w:val="24"/>
        </w:rPr>
        <w:t>for detecting adverse events in real time, at scales and speeds</w:t>
      </w:r>
      <w:r w:rsidRPr="00797C2C">
        <w:rPr>
          <w:sz w:val="24"/>
          <w:szCs w:val="24"/>
        </w:rPr>
        <w:t xml:space="preserve"> unattainable by traditional approaches. Mourya, Jobanputra and Pai (2024) further claim that AI-based clinical trials should be followed by a strong regulatory transparency system, i.e. documentation trails that enable regulators to rebuild the foundation of AI-informed decision-making.</w:t>
      </w:r>
    </w:p>
    <w:p w14:paraId="39B8B79B" w14:textId="341A8F00" w:rsidR="00504511" w:rsidRPr="00797C2C" w:rsidRDefault="00504511" w:rsidP="00B227B6">
      <w:pPr>
        <w:spacing w:before="80" w:after="120" w:line="360" w:lineRule="auto"/>
        <w:jc w:val="both"/>
        <w:rPr>
          <w:sz w:val="24"/>
          <w:szCs w:val="24"/>
        </w:rPr>
      </w:pPr>
      <w:r w:rsidRPr="00797C2C">
        <w:rPr>
          <w:sz w:val="24"/>
          <w:szCs w:val="24"/>
        </w:rPr>
        <w:t xml:space="preserve">There is a unique </w:t>
      </w:r>
      <w:r w:rsidR="00707A5B" w:rsidRPr="00797C2C">
        <w:rPr>
          <w:sz w:val="24"/>
          <w:szCs w:val="24"/>
        </w:rPr>
        <w:t>risk posed</w:t>
      </w:r>
      <w:r w:rsidRPr="00797C2C">
        <w:rPr>
          <w:sz w:val="24"/>
          <w:szCs w:val="24"/>
        </w:rPr>
        <w:t xml:space="preserve"> by these applications. The </w:t>
      </w:r>
      <w:r w:rsidR="00707A5B" w:rsidRPr="00797C2C">
        <w:rPr>
          <w:sz w:val="24"/>
          <w:szCs w:val="24"/>
        </w:rPr>
        <w:t>black box</w:t>
      </w:r>
      <w:r w:rsidRPr="00797C2C">
        <w:rPr>
          <w:sz w:val="24"/>
          <w:szCs w:val="24"/>
        </w:rPr>
        <w:t xml:space="preserve"> of most deep learning models remains a thorn in the side. According to Kant, Deepika</w:t>
      </w:r>
      <w:r w:rsidR="00707A5B" w:rsidRPr="00797C2C">
        <w:rPr>
          <w:sz w:val="24"/>
          <w:szCs w:val="24"/>
        </w:rPr>
        <w:t>, and Roy (2025), one factor that impedes the acceptance of regulatory and internal quality assurance is the opacity</w:t>
      </w:r>
      <w:r w:rsidRPr="00797C2C">
        <w:rPr>
          <w:sz w:val="24"/>
          <w:szCs w:val="24"/>
        </w:rPr>
        <w:t xml:space="preserve"> of generative AI models. </w:t>
      </w:r>
      <w:proofErr w:type="spellStart"/>
      <w:r w:rsidRPr="00797C2C">
        <w:rPr>
          <w:sz w:val="24"/>
          <w:szCs w:val="24"/>
        </w:rPr>
        <w:t>Szadeczky</w:t>
      </w:r>
      <w:proofErr w:type="spellEnd"/>
      <w:r w:rsidRPr="00797C2C">
        <w:rPr>
          <w:sz w:val="24"/>
          <w:szCs w:val="24"/>
        </w:rPr>
        <w:t xml:space="preserve"> and </w:t>
      </w:r>
      <w:proofErr w:type="spellStart"/>
      <w:r w:rsidRPr="00797C2C">
        <w:rPr>
          <w:sz w:val="24"/>
          <w:szCs w:val="24"/>
        </w:rPr>
        <w:t>Bederna</w:t>
      </w:r>
      <w:proofErr w:type="spellEnd"/>
      <w:r w:rsidRPr="00797C2C">
        <w:rPr>
          <w:sz w:val="24"/>
          <w:szCs w:val="24"/>
        </w:rPr>
        <w:t xml:space="preserve"> (2025) believe that in high-risk AI situations, governance frameworks should </w:t>
      </w:r>
      <w:r w:rsidR="00707A5B" w:rsidRPr="00797C2C">
        <w:rPr>
          <w:sz w:val="24"/>
          <w:szCs w:val="24"/>
        </w:rPr>
        <w:t xml:space="preserve">embed transparency at each phase, from model development to </w:t>
      </w:r>
      <w:r w:rsidRPr="00797C2C">
        <w:rPr>
          <w:sz w:val="24"/>
          <w:szCs w:val="24"/>
        </w:rPr>
        <w:t>deployment and post-market surveillance. This argument is furthered by Niazi and Mariam (2025)</w:t>
      </w:r>
      <w:r w:rsidR="00707A5B" w:rsidRPr="00797C2C">
        <w:rPr>
          <w:sz w:val="24"/>
          <w:szCs w:val="24"/>
        </w:rPr>
        <w:t>,</w:t>
      </w:r>
      <w:r w:rsidRPr="00797C2C">
        <w:rPr>
          <w:sz w:val="24"/>
          <w:szCs w:val="24"/>
        </w:rPr>
        <w:t xml:space="preserve"> who observe that</w:t>
      </w:r>
      <w:r w:rsidR="00707A5B" w:rsidRPr="00797C2C">
        <w:rPr>
          <w:sz w:val="24"/>
          <w:szCs w:val="24"/>
        </w:rPr>
        <w:t>, despite AI significantly reducing development time and costs in pharmaceutical settings, the black-box nature remains the main hindrance to full</w:t>
      </w:r>
      <w:r w:rsidRPr="00797C2C">
        <w:rPr>
          <w:sz w:val="24"/>
          <w:szCs w:val="24"/>
        </w:rPr>
        <w:t xml:space="preserve"> regulatory trust.</w:t>
      </w:r>
    </w:p>
    <w:p w14:paraId="7E687F42" w14:textId="4B7DCD9D" w:rsidR="00504511" w:rsidRPr="00797C2C" w:rsidRDefault="00504511" w:rsidP="00B227B6">
      <w:pPr>
        <w:spacing w:before="80" w:after="120" w:line="360" w:lineRule="auto"/>
        <w:jc w:val="both"/>
        <w:rPr>
          <w:sz w:val="24"/>
          <w:szCs w:val="24"/>
        </w:rPr>
      </w:pPr>
      <w:r w:rsidRPr="00797C2C">
        <w:rPr>
          <w:sz w:val="24"/>
          <w:szCs w:val="24"/>
        </w:rPr>
        <w:lastRenderedPageBreak/>
        <w:t xml:space="preserve">Perhaps the most ethically questionable risk is algorithmic bias. Cross, Choma and Onofrey (2024) summarized the information on the entry points of bias in clinical AI systems and found training data composition, label quality and deployment context to be the main sources. In the case of GSK, the implication in practice is that AI systems </w:t>
      </w:r>
      <w:r w:rsidR="00BE7A93" w:rsidRPr="00797C2C">
        <w:rPr>
          <w:sz w:val="24"/>
          <w:szCs w:val="24"/>
        </w:rPr>
        <w:t>trained on predominantly affluent, high-income country clinical data might give poor or malicious recommendations when used by patients from</w:t>
      </w:r>
      <w:r w:rsidRPr="00797C2C">
        <w:rPr>
          <w:sz w:val="24"/>
          <w:szCs w:val="24"/>
        </w:rPr>
        <w:t xml:space="preserve"> other demographic backgrounds. Obermeyer et al. (2019) empirically demonstrated this risk</w:t>
      </w:r>
      <w:r w:rsidR="00BE7A93" w:rsidRPr="00797C2C">
        <w:rPr>
          <w:sz w:val="24"/>
          <w:szCs w:val="24"/>
        </w:rPr>
        <w:t>. In contrast, Nazer</w:t>
      </w:r>
      <w:r w:rsidRPr="00797C2C">
        <w:rPr>
          <w:sz w:val="24"/>
          <w:szCs w:val="24"/>
        </w:rPr>
        <w:t xml:space="preserve"> et al. (2023) further expanded the analysis and suggested specific mitigation measures such as construction of diverse datasets, model training with fairness, and post-deployment auditing.</w:t>
      </w:r>
    </w:p>
    <w:p w14:paraId="555C8DBF" w14:textId="7EDD80CB" w:rsidR="00504511" w:rsidRPr="00797C2C" w:rsidRDefault="00504511" w:rsidP="00B227B6">
      <w:pPr>
        <w:spacing w:before="80" w:after="120" w:line="360" w:lineRule="auto"/>
        <w:jc w:val="both"/>
        <w:rPr>
          <w:sz w:val="24"/>
          <w:szCs w:val="24"/>
        </w:rPr>
      </w:pPr>
      <w:r w:rsidRPr="00797C2C">
        <w:rPr>
          <w:sz w:val="24"/>
          <w:szCs w:val="24"/>
        </w:rPr>
        <w:t xml:space="preserve">The human resource aspect is worth consideration. Hofstede (2001) </w:t>
      </w:r>
      <w:r w:rsidR="00BE7A93" w:rsidRPr="00797C2C">
        <w:rPr>
          <w:sz w:val="24"/>
          <w:szCs w:val="24"/>
        </w:rPr>
        <w:t>found that national culture has a significant influence on attitudes towards power, risk, and uncertainty, which in turn affect how employees across various GSK markets respond to</w:t>
      </w:r>
      <w:r w:rsidRPr="00797C2C">
        <w:rPr>
          <w:sz w:val="24"/>
          <w:szCs w:val="24"/>
        </w:rPr>
        <w:t xml:space="preserve"> AI-driven decision-making. The company has research locations in the UK, the US, Belgium</w:t>
      </w:r>
      <w:r w:rsidR="00BE7A93" w:rsidRPr="00797C2C">
        <w:rPr>
          <w:sz w:val="24"/>
          <w:szCs w:val="24"/>
        </w:rPr>
        <w:t xml:space="preserve">, Spain, and </w:t>
      </w:r>
      <w:r w:rsidRPr="00797C2C">
        <w:rPr>
          <w:sz w:val="24"/>
          <w:szCs w:val="24"/>
        </w:rPr>
        <w:t xml:space="preserve">emerging markets. The differences in </w:t>
      </w:r>
      <w:r w:rsidR="00BE7A93" w:rsidRPr="00797C2C">
        <w:rPr>
          <w:sz w:val="24"/>
          <w:szCs w:val="24"/>
        </w:rPr>
        <w:t>individualism-collectivism scores across these locations are likely to translate into varying tendencies among</w:t>
      </w:r>
      <w:r w:rsidRPr="00797C2C">
        <w:rPr>
          <w:sz w:val="24"/>
          <w:szCs w:val="24"/>
        </w:rPr>
        <w:t xml:space="preserve"> local teams to adopt </w:t>
      </w:r>
      <w:proofErr w:type="spellStart"/>
      <w:r w:rsidRPr="00797C2C">
        <w:rPr>
          <w:sz w:val="24"/>
          <w:szCs w:val="24"/>
        </w:rPr>
        <w:t>centralised</w:t>
      </w:r>
      <w:proofErr w:type="spellEnd"/>
      <w:r w:rsidRPr="00797C2C">
        <w:rPr>
          <w:sz w:val="24"/>
          <w:szCs w:val="24"/>
        </w:rPr>
        <w:t xml:space="preserve"> AI governance requirements. Cultural intelligence is hence a relevant addition to technical governance when implementing AI on an </w:t>
      </w:r>
      <w:proofErr w:type="spellStart"/>
      <w:r w:rsidRPr="00797C2C">
        <w:rPr>
          <w:sz w:val="24"/>
          <w:szCs w:val="24"/>
        </w:rPr>
        <w:t>organisational</w:t>
      </w:r>
      <w:proofErr w:type="spellEnd"/>
      <w:r w:rsidRPr="00797C2C">
        <w:rPr>
          <w:sz w:val="24"/>
          <w:szCs w:val="24"/>
        </w:rPr>
        <w:t xml:space="preserve"> scale.</w:t>
      </w:r>
    </w:p>
    <w:p w14:paraId="5EE438BF" w14:textId="77777777" w:rsidR="00E82880" w:rsidRPr="00797C2C" w:rsidRDefault="00E82880" w:rsidP="00B227B6">
      <w:pPr>
        <w:spacing w:before="60" w:after="40" w:line="360" w:lineRule="auto"/>
        <w:jc w:val="both"/>
        <w:rPr>
          <w:sz w:val="24"/>
          <w:szCs w:val="24"/>
        </w:rPr>
      </w:pPr>
    </w:p>
    <w:p w14:paraId="7461DCD6" w14:textId="77777777" w:rsidR="00E82880" w:rsidRPr="00797C2C" w:rsidRDefault="00312E6D" w:rsidP="00B227B6">
      <w:pPr>
        <w:pStyle w:val="Heading2"/>
        <w:spacing w:line="360" w:lineRule="auto"/>
        <w:jc w:val="both"/>
        <w:rPr>
          <w:sz w:val="24"/>
          <w:szCs w:val="24"/>
        </w:rPr>
      </w:pPr>
      <w:bookmarkStart w:id="7" w:name="_Toc228184866"/>
      <w:r w:rsidRPr="00797C2C">
        <w:rPr>
          <w:rFonts w:ascii="Arial" w:eastAsia="Arial" w:hAnsi="Arial" w:cs="Arial"/>
          <w:b/>
          <w:bCs/>
          <w:color w:val="2E4057"/>
          <w:sz w:val="24"/>
          <w:szCs w:val="24"/>
        </w:rPr>
        <w:t>2.5 Data Governance, Ethical AI and Regulatory Compliance</w:t>
      </w:r>
      <w:bookmarkEnd w:id="7"/>
    </w:p>
    <w:p w14:paraId="0A27E871" w14:textId="5CEE4BA6" w:rsidR="00B20D67" w:rsidRPr="00797C2C" w:rsidRDefault="00B20D67" w:rsidP="00B227B6">
      <w:pPr>
        <w:spacing w:before="80" w:after="120" w:line="360" w:lineRule="auto"/>
        <w:jc w:val="both"/>
        <w:rPr>
          <w:sz w:val="24"/>
          <w:szCs w:val="24"/>
        </w:rPr>
      </w:pPr>
      <w:r w:rsidRPr="00797C2C">
        <w:rPr>
          <w:sz w:val="24"/>
          <w:szCs w:val="24"/>
        </w:rPr>
        <w:t xml:space="preserve">Data governance lies at the convergence of legal mandate, operational risk management and ethical responsibility. In the case of GSK, the most imminent regulatory frameworks are the UK General Data Protection Regulation (UK GDPR) and the US Health Insurance Portability and Accountability Act (HIPAA). Forcier et al. (2019) discuss the GDPR as </w:t>
      </w:r>
      <w:r w:rsidR="00BE7A93" w:rsidRPr="00797C2C">
        <w:rPr>
          <w:sz w:val="24"/>
          <w:szCs w:val="24"/>
        </w:rPr>
        <w:t xml:space="preserve">a potential health data governance model in the AI era and point out that all the principles outlined in the GDPR can be directly applied to the governance of AI, such as purpose limitation, data </w:t>
      </w:r>
      <w:proofErr w:type="spellStart"/>
      <w:r w:rsidR="00BE7A93" w:rsidRPr="00797C2C">
        <w:rPr>
          <w:sz w:val="24"/>
          <w:szCs w:val="24"/>
        </w:rPr>
        <w:t>minimisation</w:t>
      </w:r>
      <w:proofErr w:type="spellEnd"/>
      <w:r w:rsidR="00BE7A93" w:rsidRPr="00797C2C">
        <w:rPr>
          <w:sz w:val="24"/>
          <w:szCs w:val="24"/>
        </w:rPr>
        <w:t>,</w:t>
      </w:r>
      <w:r w:rsidRPr="00797C2C">
        <w:rPr>
          <w:sz w:val="24"/>
          <w:szCs w:val="24"/>
        </w:rPr>
        <w:t xml:space="preserve"> and the right to meaningful explanation of automated decisions. Nevertheless, they point out that GDPR was </w:t>
      </w:r>
      <w:r w:rsidR="00707A5B" w:rsidRPr="00797C2C">
        <w:rPr>
          <w:sz w:val="24"/>
          <w:szCs w:val="24"/>
        </w:rPr>
        <w:t>intended to apply in a pre-AI world and has structural gaps in its application to machine learning systems that generate inferences not present in the</w:t>
      </w:r>
      <w:r w:rsidRPr="00797C2C">
        <w:rPr>
          <w:sz w:val="24"/>
          <w:szCs w:val="24"/>
        </w:rPr>
        <w:t xml:space="preserve"> training data.</w:t>
      </w:r>
    </w:p>
    <w:p w14:paraId="380CF22C" w14:textId="70700F03" w:rsidR="00B20D67" w:rsidRPr="00797C2C" w:rsidRDefault="00B20D67" w:rsidP="00B227B6">
      <w:pPr>
        <w:spacing w:before="80" w:after="120" w:line="360" w:lineRule="auto"/>
        <w:jc w:val="both"/>
        <w:rPr>
          <w:sz w:val="24"/>
          <w:szCs w:val="24"/>
        </w:rPr>
      </w:pPr>
      <w:r w:rsidRPr="00797C2C">
        <w:rPr>
          <w:sz w:val="24"/>
          <w:szCs w:val="24"/>
        </w:rPr>
        <w:t xml:space="preserve">In medical devices and clinical applications, the EU AI Act (European Parliament, 2024) </w:t>
      </w:r>
      <w:proofErr w:type="spellStart"/>
      <w:r w:rsidR="00BE7A93" w:rsidRPr="00797C2C">
        <w:rPr>
          <w:sz w:val="24"/>
          <w:szCs w:val="24"/>
        </w:rPr>
        <w:t>categorises</w:t>
      </w:r>
      <w:proofErr w:type="spellEnd"/>
      <w:r w:rsidR="00BE7A93" w:rsidRPr="00797C2C">
        <w:rPr>
          <w:sz w:val="24"/>
          <w:szCs w:val="24"/>
        </w:rPr>
        <w:t xml:space="preserve"> AI systems as high-risk, which triggers conformity assessment requirements, </w:t>
      </w:r>
      <w:r w:rsidR="00BE7A93" w:rsidRPr="00797C2C">
        <w:rPr>
          <w:sz w:val="24"/>
          <w:szCs w:val="24"/>
        </w:rPr>
        <w:lastRenderedPageBreak/>
        <w:t>mandatory bias testing, and extended technical documentation and human supervision</w:t>
      </w:r>
      <w:r w:rsidRPr="00797C2C">
        <w:rPr>
          <w:sz w:val="24"/>
          <w:szCs w:val="24"/>
        </w:rPr>
        <w:t xml:space="preserve">. </w:t>
      </w:r>
      <w:proofErr w:type="spellStart"/>
      <w:r w:rsidRPr="00797C2C">
        <w:rPr>
          <w:sz w:val="24"/>
          <w:szCs w:val="24"/>
        </w:rPr>
        <w:t>Bouderhem</w:t>
      </w:r>
      <w:proofErr w:type="spellEnd"/>
      <w:r w:rsidRPr="00797C2C">
        <w:rPr>
          <w:sz w:val="24"/>
          <w:szCs w:val="24"/>
        </w:rPr>
        <w:t xml:space="preserve"> (2024) believes that the Act, along with the current GDPR requirements, would establish a holistic approach to reliable AI in health. In the case of GSK, early proactive compliance puts the company in the position of a good partner to regulators as opposed to an enforcement target - a considerable commercial benefit in markets where regulatory trust is a determinant of market entry. The main regulatory mechanism in the UK is the </w:t>
      </w:r>
      <w:r w:rsidR="00707A5B" w:rsidRPr="00797C2C">
        <w:rPr>
          <w:sz w:val="24"/>
          <w:szCs w:val="24"/>
        </w:rPr>
        <w:t xml:space="preserve">MHRA's Software and AI as a Medical Device Change </w:t>
      </w:r>
      <w:proofErr w:type="spellStart"/>
      <w:r w:rsidR="00707A5B" w:rsidRPr="00797C2C">
        <w:rPr>
          <w:sz w:val="24"/>
          <w:szCs w:val="24"/>
        </w:rPr>
        <w:t>Programme</w:t>
      </w:r>
      <w:proofErr w:type="spellEnd"/>
      <w:r w:rsidR="00707A5B" w:rsidRPr="00797C2C">
        <w:rPr>
          <w:sz w:val="24"/>
          <w:szCs w:val="24"/>
        </w:rPr>
        <w:t xml:space="preserve"> (MHRA, 2023), which is relatively flexible due to its iterative, principles-based nature but introduces uncertainty about compliance that GSK must mitigate through</w:t>
      </w:r>
      <w:r w:rsidRPr="00797C2C">
        <w:rPr>
          <w:sz w:val="24"/>
          <w:szCs w:val="24"/>
        </w:rPr>
        <w:t xml:space="preserve"> bilateral dialogue.</w:t>
      </w:r>
    </w:p>
    <w:p w14:paraId="63B34186" w14:textId="03025E8E" w:rsidR="00B20D67" w:rsidRPr="00797C2C" w:rsidRDefault="00B20D67" w:rsidP="00B227B6">
      <w:pPr>
        <w:spacing w:before="80" w:after="120" w:line="360" w:lineRule="auto"/>
        <w:jc w:val="both"/>
        <w:rPr>
          <w:sz w:val="24"/>
          <w:szCs w:val="24"/>
        </w:rPr>
      </w:pPr>
      <w:r w:rsidRPr="00797C2C">
        <w:rPr>
          <w:sz w:val="24"/>
          <w:szCs w:val="24"/>
        </w:rPr>
        <w:t xml:space="preserve">Guidance on AI ethics offered by </w:t>
      </w:r>
      <w:r w:rsidR="00707A5B" w:rsidRPr="00797C2C">
        <w:rPr>
          <w:sz w:val="24"/>
          <w:szCs w:val="24"/>
        </w:rPr>
        <w:t xml:space="preserve">the </w:t>
      </w:r>
      <w:r w:rsidRPr="00797C2C">
        <w:rPr>
          <w:sz w:val="24"/>
          <w:szCs w:val="24"/>
        </w:rPr>
        <w:t>Alan Turing Institute (2019) offers a complementary set of values based on its SUM principles</w:t>
      </w:r>
      <w:r w:rsidR="00707A5B" w:rsidRPr="00797C2C">
        <w:rPr>
          <w:sz w:val="24"/>
          <w:szCs w:val="24"/>
        </w:rPr>
        <w:t>:</w:t>
      </w:r>
      <w:r w:rsidRPr="00797C2C">
        <w:rPr>
          <w:sz w:val="24"/>
          <w:szCs w:val="24"/>
        </w:rPr>
        <w:t xml:space="preserve"> Support human autonomy, Understand individuals and communities, Make sure the public can trust the process, and ensure that AI systems are not deployed unless they are safe, which are closely related to the set of AI Principles published by GSK in the 2023 Annual Report. Mittelstadt et al. (2016) warn practitioners that </w:t>
      </w:r>
      <w:r w:rsidR="00707A5B" w:rsidRPr="00797C2C">
        <w:rPr>
          <w:sz w:val="24"/>
          <w:szCs w:val="24"/>
        </w:rPr>
        <w:t>the ethics of algorithms cannot be reduced to legal compliance alone; there are additional expectations in society, reflected in frameworks like the SUM values, which cannot be imposed by any single</w:t>
      </w:r>
      <w:r w:rsidRPr="00797C2C">
        <w:rPr>
          <w:sz w:val="24"/>
          <w:szCs w:val="24"/>
        </w:rPr>
        <w:t xml:space="preserve"> regulatory tool. Morley et al. (2020) carried out a concise mapping review of AI ethics in healthcare</w:t>
      </w:r>
      <w:r w:rsidR="00707A5B" w:rsidRPr="00797C2C">
        <w:rPr>
          <w:sz w:val="24"/>
          <w:szCs w:val="24"/>
        </w:rPr>
        <w:t>. They found</w:t>
      </w:r>
      <w:r w:rsidRPr="00797C2C">
        <w:rPr>
          <w:sz w:val="24"/>
          <w:szCs w:val="24"/>
        </w:rPr>
        <w:t xml:space="preserve"> that accountability, fairness, transparency</w:t>
      </w:r>
      <w:r w:rsidR="00707A5B" w:rsidRPr="00797C2C">
        <w:rPr>
          <w:sz w:val="24"/>
          <w:szCs w:val="24"/>
        </w:rPr>
        <w:t xml:space="preserve">, and privacy were the four most frequently stressed principles, and that all of them need to be </w:t>
      </w:r>
      <w:proofErr w:type="spellStart"/>
      <w:r w:rsidR="00707A5B" w:rsidRPr="00797C2C">
        <w:rPr>
          <w:sz w:val="24"/>
          <w:szCs w:val="24"/>
        </w:rPr>
        <w:t>operationalised</w:t>
      </w:r>
      <w:proofErr w:type="spellEnd"/>
      <w:r w:rsidR="00707A5B" w:rsidRPr="00797C2C">
        <w:rPr>
          <w:sz w:val="24"/>
          <w:szCs w:val="24"/>
        </w:rPr>
        <w:t xml:space="preserve"> through governance structures rather than</w:t>
      </w:r>
      <w:r w:rsidRPr="00797C2C">
        <w:rPr>
          <w:sz w:val="24"/>
          <w:szCs w:val="24"/>
        </w:rPr>
        <w:t xml:space="preserve"> policy statements per se.</w:t>
      </w:r>
    </w:p>
    <w:p w14:paraId="3A341267" w14:textId="2BC6ADCD" w:rsidR="00E82880" w:rsidRPr="00797C2C" w:rsidRDefault="00B20D67" w:rsidP="00B227B6">
      <w:pPr>
        <w:spacing w:before="80" w:after="120" w:line="360" w:lineRule="auto"/>
        <w:jc w:val="both"/>
        <w:rPr>
          <w:sz w:val="24"/>
          <w:szCs w:val="24"/>
        </w:rPr>
      </w:pPr>
      <w:proofErr w:type="spellStart"/>
      <w:r w:rsidRPr="00797C2C">
        <w:rPr>
          <w:sz w:val="24"/>
          <w:szCs w:val="24"/>
        </w:rPr>
        <w:t>Operationalisation</w:t>
      </w:r>
      <w:proofErr w:type="spellEnd"/>
      <w:r w:rsidRPr="00797C2C">
        <w:rPr>
          <w:sz w:val="24"/>
          <w:szCs w:val="24"/>
        </w:rPr>
        <w:t xml:space="preserve"> of these principles is not a simple task. Char, Shah and Magnus (2018) posit that </w:t>
      </w:r>
      <w:r w:rsidR="00707A5B" w:rsidRPr="00797C2C">
        <w:rPr>
          <w:sz w:val="24"/>
          <w:szCs w:val="24"/>
        </w:rPr>
        <w:t>the ethical implementation of machine learning in clinical practice must involve institutions in governance structures alongside clinicians, data scientists, ethicists and patient representatives, rather than treating</w:t>
      </w:r>
      <w:r w:rsidRPr="00797C2C">
        <w:rPr>
          <w:sz w:val="24"/>
          <w:szCs w:val="24"/>
        </w:rPr>
        <w:t xml:space="preserve"> ethical review as a second compliance measure. This is supported by </w:t>
      </w:r>
      <w:r w:rsidR="00707A5B" w:rsidRPr="00797C2C">
        <w:rPr>
          <w:sz w:val="24"/>
          <w:szCs w:val="24"/>
        </w:rPr>
        <w:t xml:space="preserve">the World Health </w:t>
      </w:r>
      <w:proofErr w:type="spellStart"/>
      <w:r w:rsidR="00707A5B" w:rsidRPr="00797C2C">
        <w:rPr>
          <w:sz w:val="24"/>
          <w:szCs w:val="24"/>
        </w:rPr>
        <w:t>Organisation</w:t>
      </w:r>
      <w:proofErr w:type="spellEnd"/>
      <w:r w:rsidR="00707A5B" w:rsidRPr="00797C2C">
        <w:rPr>
          <w:sz w:val="24"/>
          <w:szCs w:val="24"/>
        </w:rPr>
        <w:t xml:space="preserve"> (2021) guidance, which highlights the importance of AI governance being multi-stakeholder, context-specific and constantly updated as technology and the regulatory environment change</w:t>
      </w:r>
      <w:r w:rsidRPr="00797C2C">
        <w:rPr>
          <w:sz w:val="24"/>
          <w:szCs w:val="24"/>
        </w:rPr>
        <w:t>.</w:t>
      </w:r>
    </w:p>
    <w:p w14:paraId="7AB2C637" w14:textId="77777777" w:rsidR="00E82880" w:rsidRPr="00797C2C" w:rsidRDefault="00312E6D" w:rsidP="00B227B6">
      <w:pPr>
        <w:pStyle w:val="Heading2"/>
        <w:spacing w:line="360" w:lineRule="auto"/>
        <w:jc w:val="both"/>
        <w:rPr>
          <w:sz w:val="24"/>
          <w:szCs w:val="24"/>
        </w:rPr>
      </w:pPr>
      <w:bookmarkStart w:id="8" w:name="_Toc228184867"/>
      <w:r w:rsidRPr="00797C2C">
        <w:rPr>
          <w:rFonts w:ascii="Arial" w:eastAsia="Arial" w:hAnsi="Arial" w:cs="Arial"/>
          <w:b/>
          <w:bCs/>
          <w:color w:val="2E4057"/>
          <w:sz w:val="24"/>
          <w:szCs w:val="24"/>
        </w:rPr>
        <w:t>2.6 Customer and Patient Trust</w:t>
      </w:r>
      <w:bookmarkEnd w:id="8"/>
    </w:p>
    <w:p w14:paraId="22B3DED8" w14:textId="0C9DC1AD" w:rsidR="00B20D67" w:rsidRPr="00797C2C" w:rsidRDefault="00B20D67" w:rsidP="00B227B6">
      <w:pPr>
        <w:spacing w:before="60" w:after="40" w:line="360" w:lineRule="auto"/>
        <w:jc w:val="both"/>
        <w:rPr>
          <w:sz w:val="24"/>
          <w:szCs w:val="24"/>
        </w:rPr>
      </w:pPr>
      <w:r w:rsidRPr="00797C2C">
        <w:rPr>
          <w:sz w:val="24"/>
          <w:szCs w:val="24"/>
        </w:rPr>
        <w:t>Customer/patient confidence is not just a social consideration</w:t>
      </w:r>
      <w:r w:rsidR="00707A5B" w:rsidRPr="00797C2C">
        <w:rPr>
          <w:sz w:val="24"/>
          <w:szCs w:val="24"/>
        </w:rPr>
        <w:t>; it is</w:t>
      </w:r>
      <w:r w:rsidRPr="00797C2C">
        <w:rPr>
          <w:sz w:val="24"/>
          <w:szCs w:val="24"/>
        </w:rPr>
        <w:t xml:space="preserve"> a commercial requirement and a regulatory mandate. In both its consumer healthcare division and its pharmaceutical </w:t>
      </w:r>
      <w:r w:rsidRPr="00797C2C">
        <w:rPr>
          <w:sz w:val="24"/>
          <w:szCs w:val="24"/>
        </w:rPr>
        <w:lastRenderedPageBreak/>
        <w:t xml:space="preserve">pipeline, GSK has the capacity to use AI at scale based on the readiness of patients, clinicians and institutional purchasers to follow the advice offered by AI. Gupta (2024) posits that the development of trust in AI-enabled healthcare is built, </w:t>
      </w:r>
      <w:r w:rsidR="00707A5B" w:rsidRPr="00797C2C">
        <w:rPr>
          <w:sz w:val="24"/>
          <w:szCs w:val="24"/>
        </w:rPr>
        <w:t>step by step, on transparency, explainability, and accountability rather than on the technology's performance</w:t>
      </w:r>
      <w:r w:rsidRPr="00797C2C">
        <w:rPr>
          <w:sz w:val="24"/>
          <w:szCs w:val="24"/>
        </w:rPr>
        <w:t>. The lack of an interpretable trail of decisions that can be traced would undermine the trust that forms the basis of commercial relationships and regulatory acceptance where AI systems provide recommendations impacting clinical care or product access.</w:t>
      </w:r>
    </w:p>
    <w:p w14:paraId="6A3E689B" w14:textId="7A50D150" w:rsidR="00E82880" w:rsidRPr="00797C2C" w:rsidRDefault="00B20D67" w:rsidP="00B227B6">
      <w:pPr>
        <w:spacing w:before="60" w:after="40" w:line="360" w:lineRule="auto"/>
        <w:jc w:val="both"/>
        <w:rPr>
          <w:sz w:val="24"/>
          <w:szCs w:val="24"/>
        </w:rPr>
      </w:pPr>
      <w:r w:rsidRPr="00797C2C">
        <w:rPr>
          <w:sz w:val="24"/>
          <w:szCs w:val="24"/>
        </w:rPr>
        <w:t xml:space="preserve">The social aspect of the PESTLE analysis </w:t>
      </w:r>
      <w:proofErr w:type="spellStart"/>
      <w:r w:rsidR="00707A5B" w:rsidRPr="00797C2C">
        <w:rPr>
          <w:sz w:val="24"/>
          <w:szCs w:val="24"/>
        </w:rPr>
        <w:t>recognises</w:t>
      </w:r>
      <w:proofErr w:type="spellEnd"/>
      <w:r w:rsidRPr="00797C2C">
        <w:rPr>
          <w:sz w:val="24"/>
          <w:szCs w:val="24"/>
        </w:rPr>
        <w:t xml:space="preserve"> </w:t>
      </w:r>
      <w:r w:rsidR="00707A5B" w:rsidRPr="00797C2C">
        <w:rPr>
          <w:sz w:val="24"/>
          <w:szCs w:val="24"/>
        </w:rPr>
        <w:t xml:space="preserve">public </w:t>
      </w:r>
      <w:proofErr w:type="spellStart"/>
      <w:r w:rsidR="00707A5B" w:rsidRPr="00797C2C">
        <w:rPr>
          <w:sz w:val="24"/>
          <w:szCs w:val="24"/>
        </w:rPr>
        <w:t>scepticism</w:t>
      </w:r>
      <w:proofErr w:type="spellEnd"/>
      <w:r w:rsidR="00707A5B" w:rsidRPr="00797C2C">
        <w:rPr>
          <w:sz w:val="24"/>
          <w:szCs w:val="24"/>
        </w:rPr>
        <w:t xml:space="preserve"> of automated decision-making as a major external pressure</w:t>
      </w:r>
      <w:r w:rsidRPr="00797C2C">
        <w:rPr>
          <w:sz w:val="24"/>
          <w:szCs w:val="24"/>
        </w:rPr>
        <w:t xml:space="preserve">. </w:t>
      </w:r>
      <w:proofErr w:type="spellStart"/>
      <w:r w:rsidR="00707A5B" w:rsidRPr="00797C2C">
        <w:rPr>
          <w:sz w:val="24"/>
          <w:szCs w:val="24"/>
        </w:rPr>
        <w:t>Scepticism</w:t>
      </w:r>
      <w:proofErr w:type="spellEnd"/>
      <w:r w:rsidR="00707A5B" w:rsidRPr="00797C2C">
        <w:rPr>
          <w:sz w:val="24"/>
          <w:szCs w:val="24"/>
        </w:rPr>
        <w:t xml:space="preserve"> is especially high in the United Kingdom, where NHS patients have long been </w:t>
      </w:r>
      <w:proofErr w:type="spellStart"/>
      <w:r w:rsidR="00707A5B" w:rsidRPr="00797C2C">
        <w:rPr>
          <w:sz w:val="24"/>
          <w:szCs w:val="24"/>
        </w:rPr>
        <w:t>sensitised</w:t>
      </w:r>
      <w:proofErr w:type="spellEnd"/>
      <w:r w:rsidR="00707A5B" w:rsidRPr="00797C2C">
        <w:rPr>
          <w:sz w:val="24"/>
          <w:szCs w:val="24"/>
        </w:rPr>
        <w:t xml:space="preserve"> to the </w:t>
      </w:r>
      <w:r w:rsidRPr="00797C2C">
        <w:rPr>
          <w:sz w:val="24"/>
          <w:szCs w:val="24"/>
        </w:rPr>
        <w:t xml:space="preserve">perceived </w:t>
      </w:r>
      <w:proofErr w:type="spellStart"/>
      <w:r w:rsidRPr="00797C2C">
        <w:rPr>
          <w:sz w:val="24"/>
          <w:szCs w:val="24"/>
        </w:rPr>
        <w:t>commercialisation</w:t>
      </w:r>
      <w:proofErr w:type="spellEnd"/>
      <w:r w:rsidRPr="00797C2C">
        <w:rPr>
          <w:sz w:val="24"/>
          <w:szCs w:val="24"/>
        </w:rPr>
        <w:t xml:space="preserve"> of their health data. Regulatory frameworks, such as HIPAA and the </w:t>
      </w:r>
      <w:r w:rsidR="00707A5B" w:rsidRPr="00797C2C">
        <w:rPr>
          <w:sz w:val="24"/>
          <w:szCs w:val="24"/>
        </w:rPr>
        <w:t>FDA's AI/ML action plan (FDA, 2021), establish formal mechanisms to ensure patient data rights, yet these regulations are a floor,</w:t>
      </w:r>
      <w:r w:rsidRPr="00797C2C">
        <w:rPr>
          <w:sz w:val="24"/>
          <w:szCs w:val="24"/>
        </w:rPr>
        <w:t xml:space="preserve"> not a ceiling. In their overview of drug repurposing and evidence generation, </w:t>
      </w:r>
      <w:proofErr w:type="spellStart"/>
      <w:r w:rsidRPr="00797C2C">
        <w:rPr>
          <w:sz w:val="24"/>
          <w:szCs w:val="24"/>
        </w:rPr>
        <w:t>Pushpakom</w:t>
      </w:r>
      <w:proofErr w:type="spellEnd"/>
      <w:r w:rsidRPr="00797C2C">
        <w:rPr>
          <w:sz w:val="24"/>
          <w:szCs w:val="24"/>
        </w:rPr>
        <w:t xml:space="preserve"> et al. (2018) highlight that patient and clinical community trust in data-driven research is based on the quality and transparency of the evidence base</w:t>
      </w:r>
      <w:r w:rsidR="00707A5B" w:rsidRPr="00797C2C">
        <w:rPr>
          <w:sz w:val="24"/>
          <w:szCs w:val="24"/>
        </w:rPr>
        <w:t>. This concept</w:t>
      </w:r>
      <w:r w:rsidRPr="00797C2C">
        <w:rPr>
          <w:sz w:val="24"/>
          <w:szCs w:val="24"/>
        </w:rPr>
        <w:t xml:space="preserve"> directly applies to AI-generated insights. Batool, </w:t>
      </w:r>
      <w:proofErr w:type="spellStart"/>
      <w:r w:rsidRPr="00797C2C">
        <w:rPr>
          <w:sz w:val="24"/>
          <w:szCs w:val="24"/>
        </w:rPr>
        <w:t>Zowghi</w:t>
      </w:r>
      <w:proofErr w:type="spellEnd"/>
      <w:r w:rsidR="00707A5B" w:rsidRPr="00797C2C">
        <w:rPr>
          <w:sz w:val="24"/>
          <w:szCs w:val="24"/>
        </w:rPr>
        <w:t>, and Bano (2025) go further to say that ethical AI governance, such as authentic stakeholder involvement, transforms compliance with regulations into</w:t>
      </w:r>
      <w:r w:rsidRPr="00797C2C">
        <w:rPr>
          <w:sz w:val="24"/>
          <w:szCs w:val="24"/>
        </w:rPr>
        <w:t xml:space="preserve"> authentic trust. In the case of GSK, this entails that customer and patient trust should not be a reputational advantage </w:t>
      </w:r>
      <w:r w:rsidR="00707A5B" w:rsidRPr="00797C2C">
        <w:rPr>
          <w:sz w:val="24"/>
          <w:szCs w:val="24"/>
        </w:rPr>
        <w:t>to be assumed, but rather a governance outcome to actively manage</w:t>
      </w:r>
      <w:r w:rsidRPr="00797C2C">
        <w:rPr>
          <w:sz w:val="24"/>
          <w:szCs w:val="24"/>
        </w:rPr>
        <w:t>.</w:t>
      </w:r>
    </w:p>
    <w:p w14:paraId="773FF35F" w14:textId="77777777" w:rsidR="00E82880" w:rsidRPr="00797C2C" w:rsidRDefault="00312E6D" w:rsidP="00B227B6">
      <w:pPr>
        <w:pStyle w:val="Heading2"/>
        <w:spacing w:line="360" w:lineRule="auto"/>
        <w:jc w:val="both"/>
        <w:rPr>
          <w:sz w:val="24"/>
          <w:szCs w:val="24"/>
        </w:rPr>
      </w:pPr>
      <w:bookmarkStart w:id="9" w:name="_Toc228184868"/>
      <w:r w:rsidRPr="00797C2C">
        <w:rPr>
          <w:rFonts w:ascii="Arial" w:eastAsia="Arial" w:hAnsi="Arial" w:cs="Arial"/>
          <w:b/>
          <w:bCs/>
          <w:color w:val="2E4057"/>
          <w:sz w:val="24"/>
          <w:szCs w:val="24"/>
        </w:rPr>
        <w:t>2.7 Corporate Governance, CSR and Strategic Positioning</w:t>
      </w:r>
      <w:bookmarkEnd w:id="9"/>
    </w:p>
    <w:p w14:paraId="1CB19ACF" w14:textId="2F910F0D" w:rsidR="00B20D67" w:rsidRPr="00797C2C" w:rsidRDefault="00B20D67" w:rsidP="00B227B6">
      <w:pPr>
        <w:spacing w:line="360" w:lineRule="auto"/>
        <w:jc w:val="both"/>
        <w:rPr>
          <w:sz w:val="24"/>
          <w:szCs w:val="24"/>
        </w:rPr>
      </w:pPr>
      <w:r w:rsidRPr="00797C2C">
        <w:rPr>
          <w:sz w:val="24"/>
          <w:szCs w:val="24"/>
        </w:rPr>
        <w:t xml:space="preserve">It cannot be imagined that effective AI governance can occur without </w:t>
      </w:r>
      <w:r w:rsidR="00707A5B" w:rsidRPr="00797C2C">
        <w:rPr>
          <w:sz w:val="24"/>
          <w:szCs w:val="24"/>
        </w:rPr>
        <w:t>general corporate governance</w:t>
      </w:r>
      <w:r w:rsidRPr="00797C2C">
        <w:rPr>
          <w:sz w:val="24"/>
          <w:szCs w:val="24"/>
        </w:rPr>
        <w:t xml:space="preserve">. The establishment of </w:t>
      </w:r>
      <w:r w:rsidR="00707A5B" w:rsidRPr="00797C2C">
        <w:rPr>
          <w:sz w:val="24"/>
          <w:szCs w:val="24"/>
        </w:rPr>
        <w:t xml:space="preserve">GSK's cross-functional AI Governance Council </w:t>
      </w:r>
      <w:r w:rsidRPr="00797C2C">
        <w:rPr>
          <w:sz w:val="24"/>
          <w:szCs w:val="24"/>
        </w:rPr>
        <w:t>in 2023 (GSK plc, 2023) was a significant institutional action</w:t>
      </w:r>
      <w:r w:rsidR="00BE7A93" w:rsidRPr="00797C2C">
        <w:rPr>
          <w:sz w:val="24"/>
          <w:szCs w:val="24"/>
        </w:rPr>
        <w:t>. Still, governance</w:t>
      </w:r>
      <w:r w:rsidRPr="00797C2C">
        <w:rPr>
          <w:sz w:val="24"/>
          <w:szCs w:val="24"/>
        </w:rPr>
        <w:t xml:space="preserve"> councils without direct relationship with the board may turn into advisory bodies with limited enforcement powers. Batool, </w:t>
      </w:r>
      <w:proofErr w:type="spellStart"/>
      <w:r w:rsidRPr="00797C2C">
        <w:rPr>
          <w:sz w:val="24"/>
          <w:szCs w:val="24"/>
        </w:rPr>
        <w:t>Zowghi</w:t>
      </w:r>
      <w:proofErr w:type="spellEnd"/>
      <w:r w:rsidRPr="00797C2C">
        <w:rPr>
          <w:sz w:val="24"/>
          <w:szCs w:val="24"/>
        </w:rPr>
        <w:t xml:space="preserve"> and Bano (2025) suggest that </w:t>
      </w:r>
      <w:r w:rsidR="00707A5B" w:rsidRPr="00797C2C">
        <w:rPr>
          <w:sz w:val="24"/>
          <w:szCs w:val="24"/>
        </w:rPr>
        <w:t>AI's decision-making regarding patient safety, data use, and regulatory compliance should be given the same fiduciary weight as financial and reputational risks,</w:t>
      </w:r>
      <w:r w:rsidRPr="00797C2C">
        <w:rPr>
          <w:sz w:val="24"/>
          <w:szCs w:val="24"/>
        </w:rPr>
        <w:t xml:space="preserve"> with clear accountability at the board level.</w:t>
      </w:r>
    </w:p>
    <w:p w14:paraId="48255746" w14:textId="3C18C3EC" w:rsidR="00E82880" w:rsidRPr="00797C2C" w:rsidRDefault="00B20D67" w:rsidP="00B227B6">
      <w:pPr>
        <w:spacing w:line="360" w:lineRule="auto"/>
        <w:jc w:val="both"/>
        <w:rPr>
          <w:sz w:val="24"/>
          <w:szCs w:val="24"/>
        </w:rPr>
      </w:pPr>
      <w:r w:rsidRPr="00797C2C">
        <w:rPr>
          <w:sz w:val="24"/>
          <w:szCs w:val="24"/>
        </w:rPr>
        <w:t xml:space="preserve">GSK has good CSR commitments in writing. The 2024 ESG Performance Report describes the commitments in the light of the Sustainable Development Goals, the most direct of which are SDG 3 (Good Health and Well-Being), SDG 10 (Reduced Inequalities) and SDG 17 (Partnerships </w:t>
      </w:r>
      <w:r w:rsidRPr="00797C2C">
        <w:rPr>
          <w:sz w:val="24"/>
          <w:szCs w:val="24"/>
        </w:rPr>
        <w:lastRenderedPageBreak/>
        <w:t xml:space="preserve">for the Goals). In an analysis of </w:t>
      </w:r>
      <w:r w:rsidR="00BE7A93" w:rsidRPr="00797C2C">
        <w:rPr>
          <w:sz w:val="24"/>
          <w:szCs w:val="24"/>
        </w:rPr>
        <w:t xml:space="preserve">how multinational pharmaceutical companies frame global health responsibility, </w:t>
      </w:r>
      <w:proofErr w:type="spellStart"/>
      <w:r w:rsidR="00BE7A93" w:rsidRPr="00797C2C">
        <w:rPr>
          <w:sz w:val="24"/>
          <w:szCs w:val="24"/>
        </w:rPr>
        <w:t>Droppert</w:t>
      </w:r>
      <w:proofErr w:type="spellEnd"/>
      <w:r w:rsidR="00BE7A93" w:rsidRPr="00797C2C">
        <w:rPr>
          <w:sz w:val="24"/>
          <w:szCs w:val="24"/>
        </w:rPr>
        <w:t xml:space="preserve"> and Bennett (2015) found that CSR in pharma is most plausible when governance systems are actually implemented rather than merely </w:t>
      </w:r>
      <w:r w:rsidRPr="00797C2C">
        <w:rPr>
          <w:sz w:val="24"/>
          <w:szCs w:val="24"/>
        </w:rPr>
        <w:t xml:space="preserve">enacted in performance. Nica, Chirita and Georgescu (2025) show that the Triple Bottom Line model is becoming a popular tool </w:t>
      </w:r>
      <w:r w:rsidR="00BE7A93" w:rsidRPr="00797C2C">
        <w:rPr>
          <w:sz w:val="24"/>
          <w:szCs w:val="24"/>
        </w:rPr>
        <w:t>for comparing corporate AI strategies with economic, social, and environmental standards</w:t>
      </w:r>
      <w:r w:rsidRPr="00797C2C">
        <w:rPr>
          <w:sz w:val="24"/>
          <w:szCs w:val="24"/>
        </w:rPr>
        <w:t xml:space="preserve">. Chams and García-Blandón (2019) make a direct connection between sustainable human resource management and SDG adoption, holding that the capacity to workforce in the field of data literacy and ethical reasoning is a precondition of responsible AI at scale, which is especially true in the case of a global </w:t>
      </w:r>
      <w:proofErr w:type="spellStart"/>
      <w:r w:rsidRPr="00797C2C">
        <w:rPr>
          <w:sz w:val="24"/>
          <w:szCs w:val="24"/>
        </w:rPr>
        <w:t>organisation</w:t>
      </w:r>
      <w:proofErr w:type="spellEnd"/>
      <w:r w:rsidRPr="00797C2C">
        <w:rPr>
          <w:sz w:val="24"/>
          <w:szCs w:val="24"/>
        </w:rPr>
        <w:t xml:space="preserve"> that employs staff in markets with significantly different cultural attitudes to AI (Hofstede, 2001).</w:t>
      </w:r>
      <w:r w:rsidR="00312E6D" w:rsidRPr="00797C2C">
        <w:rPr>
          <w:sz w:val="24"/>
          <w:szCs w:val="24"/>
        </w:rPr>
        <w:br w:type="page"/>
      </w:r>
    </w:p>
    <w:p w14:paraId="5B91FFFB" w14:textId="77777777" w:rsidR="00E82880" w:rsidRPr="00797C2C" w:rsidRDefault="00312E6D" w:rsidP="00B227B6">
      <w:pPr>
        <w:pStyle w:val="Heading1"/>
        <w:spacing w:line="360" w:lineRule="auto"/>
        <w:jc w:val="both"/>
        <w:rPr>
          <w:sz w:val="24"/>
          <w:szCs w:val="24"/>
        </w:rPr>
      </w:pPr>
      <w:bookmarkStart w:id="10" w:name="_Toc228184869"/>
      <w:r w:rsidRPr="00797C2C">
        <w:rPr>
          <w:rFonts w:ascii="Arial" w:eastAsia="Arial" w:hAnsi="Arial" w:cs="Arial"/>
          <w:b/>
          <w:bCs/>
          <w:color w:val="1A3A5C"/>
          <w:sz w:val="24"/>
          <w:szCs w:val="24"/>
        </w:rPr>
        <w:lastRenderedPageBreak/>
        <w:t>3. Implementation Plan</w:t>
      </w:r>
      <w:bookmarkEnd w:id="10"/>
    </w:p>
    <w:p w14:paraId="6A19680A" w14:textId="1E9EB5C2" w:rsidR="00E82880" w:rsidRPr="00797C2C" w:rsidRDefault="00B20D67" w:rsidP="00B227B6">
      <w:pPr>
        <w:spacing w:before="60" w:after="40" w:line="360" w:lineRule="auto"/>
        <w:jc w:val="both"/>
        <w:rPr>
          <w:sz w:val="24"/>
          <w:szCs w:val="24"/>
        </w:rPr>
      </w:pPr>
      <w:r w:rsidRPr="00797C2C">
        <w:rPr>
          <w:sz w:val="24"/>
          <w:szCs w:val="24"/>
        </w:rPr>
        <w:t xml:space="preserve">The plan below is outlined in </w:t>
      </w:r>
      <w:proofErr w:type="gramStart"/>
      <w:r w:rsidRPr="00797C2C">
        <w:rPr>
          <w:sz w:val="24"/>
          <w:szCs w:val="24"/>
        </w:rPr>
        <w:t>three time</w:t>
      </w:r>
      <w:proofErr w:type="gramEnd"/>
      <w:r w:rsidRPr="00797C2C">
        <w:rPr>
          <w:sz w:val="24"/>
          <w:szCs w:val="24"/>
        </w:rPr>
        <w:t xml:space="preserve"> horizons</w:t>
      </w:r>
      <w:r w:rsidR="00BE7A93" w:rsidRPr="00797C2C">
        <w:rPr>
          <w:sz w:val="24"/>
          <w:szCs w:val="24"/>
        </w:rPr>
        <w:t>. It is</w:t>
      </w:r>
      <w:r w:rsidRPr="00797C2C">
        <w:rPr>
          <w:sz w:val="24"/>
          <w:szCs w:val="24"/>
        </w:rPr>
        <w:t xml:space="preserve"> intended to be realistic, evidence-based and future oriented, placing GSK ahead of regulatory events and not just responding to them. Cost estimates are </w:t>
      </w:r>
      <w:r w:rsidR="00BE7A93" w:rsidRPr="00797C2C">
        <w:rPr>
          <w:sz w:val="24"/>
          <w:szCs w:val="24"/>
        </w:rPr>
        <w:t>approximate and based</w:t>
      </w:r>
      <w:r w:rsidRPr="00797C2C">
        <w:rPr>
          <w:sz w:val="24"/>
          <w:szCs w:val="24"/>
        </w:rPr>
        <w:t xml:space="preserve"> on </w:t>
      </w:r>
      <w:r w:rsidR="00BE7A93" w:rsidRPr="00797C2C">
        <w:rPr>
          <w:sz w:val="24"/>
          <w:szCs w:val="24"/>
        </w:rPr>
        <w:t>industry benchmarks</w:t>
      </w:r>
      <w:r w:rsidRPr="00797C2C">
        <w:rPr>
          <w:sz w:val="24"/>
          <w:szCs w:val="24"/>
        </w:rPr>
        <w:t>.</w:t>
      </w:r>
    </w:p>
    <w:p w14:paraId="6BB9340D" w14:textId="77777777" w:rsidR="00E82880" w:rsidRPr="00797C2C" w:rsidRDefault="00312E6D" w:rsidP="00B227B6">
      <w:pPr>
        <w:pStyle w:val="Heading2"/>
        <w:spacing w:line="360" w:lineRule="auto"/>
        <w:jc w:val="both"/>
        <w:rPr>
          <w:sz w:val="24"/>
          <w:szCs w:val="24"/>
        </w:rPr>
      </w:pPr>
      <w:bookmarkStart w:id="11" w:name="_Toc228184870"/>
      <w:r w:rsidRPr="00797C2C">
        <w:rPr>
          <w:rFonts w:ascii="Arial" w:eastAsia="Arial" w:hAnsi="Arial" w:cs="Arial"/>
          <w:b/>
          <w:bCs/>
          <w:color w:val="2E4057"/>
          <w:sz w:val="24"/>
          <w:szCs w:val="24"/>
        </w:rPr>
        <w:t>3.1 Short-Term Priorities (0–12 Months)</w:t>
      </w:r>
      <w:bookmarkEnd w:id="11"/>
    </w:p>
    <w:p w14:paraId="3B0ED08F" w14:textId="77777777" w:rsidR="00E82880" w:rsidRPr="00797C2C" w:rsidRDefault="00E82880" w:rsidP="00B227B6">
      <w:pPr>
        <w:spacing w:before="40" w:after="20" w:line="360" w:lineRule="auto"/>
        <w:jc w:val="both"/>
        <w:rPr>
          <w:sz w:val="24"/>
          <w:szCs w:val="24"/>
        </w:rPr>
      </w:pPr>
    </w:p>
    <w:p w14:paraId="0E3A73DC" w14:textId="53F63D7C" w:rsidR="00B20D67" w:rsidRPr="00797C2C" w:rsidRDefault="00B227B6" w:rsidP="00B227B6">
      <w:pPr>
        <w:pStyle w:val="ListParagraph"/>
        <w:numPr>
          <w:ilvl w:val="0"/>
          <w:numId w:val="5"/>
        </w:numPr>
        <w:spacing w:before="80" w:after="40" w:line="360" w:lineRule="auto"/>
        <w:jc w:val="both"/>
        <w:rPr>
          <w:sz w:val="24"/>
          <w:szCs w:val="24"/>
        </w:rPr>
      </w:pPr>
      <w:proofErr w:type="spellStart"/>
      <w:r w:rsidRPr="00797C2C">
        <w:rPr>
          <w:sz w:val="24"/>
          <w:szCs w:val="24"/>
        </w:rPr>
        <w:t>Reorganise</w:t>
      </w:r>
      <w:proofErr w:type="spellEnd"/>
      <w:r w:rsidRPr="00797C2C">
        <w:rPr>
          <w:sz w:val="24"/>
          <w:szCs w:val="24"/>
        </w:rPr>
        <w:t xml:space="preserve"> the AI Governance Council (formed in </w:t>
      </w:r>
      <w:r w:rsidR="00B20D67" w:rsidRPr="00797C2C">
        <w:rPr>
          <w:sz w:val="24"/>
          <w:szCs w:val="24"/>
        </w:rPr>
        <w:t xml:space="preserve">2023) to have a direct reporting line to the Board Risk Committee, and a Non-Executive Director assigned responsibility to oversee AI. This concurs with Batool, </w:t>
      </w:r>
      <w:proofErr w:type="spellStart"/>
      <w:r w:rsidR="00B20D67" w:rsidRPr="00797C2C">
        <w:rPr>
          <w:sz w:val="24"/>
          <w:szCs w:val="24"/>
        </w:rPr>
        <w:t>Zowghi</w:t>
      </w:r>
      <w:proofErr w:type="spellEnd"/>
      <w:r w:rsidR="00B20D67" w:rsidRPr="00797C2C">
        <w:rPr>
          <w:sz w:val="24"/>
          <w:szCs w:val="24"/>
        </w:rPr>
        <w:t xml:space="preserve"> and Bano (2025), who show that governance councils </w:t>
      </w:r>
      <w:r w:rsidR="00707A5B" w:rsidRPr="00797C2C">
        <w:rPr>
          <w:sz w:val="24"/>
          <w:szCs w:val="24"/>
        </w:rPr>
        <w:t>that lack board-level enforcement powers tend to be advisory rather than</w:t>
      </w:r>
      <w:r w:rsidR="00B20D67" w:rsidRPr="00797C2C">
        <w:rPr>
          <w:sz w:val="24"/>
          <w:szCs w:val="24"/>
        </w:rPr>
        <w:t xml:space="preserve"> operational. Estimated cost: about £1.5 million on structural change and </w:t>
      </w:r>
      <w:r w:rsidR="00BE7A93" w:rsidRPr="00797C2C">
        <w:rPr>
          <w:sz w:val="24"/>
          <w:szCs w:val="24"/>
        </w:rPr>
        <w:t>increased</w:t>
      </w:r>
      <w:r w:rsidR="00B20D67" w:rsidRPr="00797C2C">
        <w:rPr>
          <w:sz w:val="24"/>
          <w:szCs w:val="24"/>
        </w:rPr>
        <w:t xml:space="preserve"> reporting infrastructure.</w:t>
      </w:r>
    </w:p>
    <w:p w14:paraId="737B8068" w14:textId="2421AD27" w:rsidR="00B20D67" w:rsidRPr="00797C2C" w:rsidRDefault="00B20D67" w:rsidP="00B227B6">
      <w:pPr>
        <w:pStyle w:val="ListParagraph"/>
        <w:numPr>
          <w:ilvl w:val="0"/>
          <w:numId w:val="5"/>
        </w:numPr>
        <w:spacing w:before="80" w:after="40" w:line="360" w:lineRule="auto"/>
        <w:jc w:val="both"/>
        <w:rPr>
          <w:sz w:val="24"/>
          <w:szCs w:val="24"/>
        </w:rPr>
      </w:pPr>
      <w:r w:rsidRPr="00797C2C">
        <w:rPr>
          <w:sz w:val="24"/>
          <w:szCs w:val="24"/>
        </w:rPr>
        <w:t xml:space="preserve">Audit of all AI systems in use today in clinical research and patient stratification by </w:t>
      </w:r>
      <w:r w:rsidR="00BE7A93" w:rsidRPr="00797C2C">
        <w:rPr>
          <w:sz w:val="24"/>
          <w:szCs w:val="24"/>
        </w:rPr>
        <w:t>commissioning</w:t>
      </w:r>
      <w:r w:rsidRPr="00797C2C">
        <w:rPr>
          <w:sz w:val="24"/>
          <w:szCs w:val="24"/>
        </w:rPr>
        <w:t xml:space="preserve"> independent auditors. Based on the approach developed by Nazer et al. (2023), training data composition, model performance </w:t>
      </w:r>
      <w:r w:rsidR="00BE7A93" w:rsidRPr="00797C2C">
        <w:rPr>
          <w:sz w:val="24"/>
          <w:szCs w:val="24"/>
        </w:rPr>
        <w:t>across demographic subgroups, and documentation sufficiency for submitting reports to the regulator should be evaluated through</w:t>
      </w:r>
      <w:r w:rsidRPr="00797C2C">
        <w:rPr>
          <w:sz w:val="24"/>
          <w:szCs w:val="24"/>
        </w:rPr>
        <w:t xml:space="preserve"> audits. Budget: around 2-3 million using a certified external supplier in half a year.</w:t>
      </w:r>
    </w:p>
    <w:p w14:paraId="63FA0C8A" w14:textId="14A1C613" w:rsidR="00B20D67" w:rsidRPr="00797C2C" w:rsidRDefault="00B20D67" w:rsidP="00B227B6">
      <w:pPr>
        <w:pStyle w:val="ListParagraph"/>
        <w:numPr>
          <w:ilvl w:val="0"/>
          <w:numId w:val="5"/>
        </w:numPr>
        <w:spacing w:before="80" w:after="40" w:line="360" w:lineRule="auto"/>
        <w:jc w:val="both"/>
        <w:rPr>
          <w:sz w:val="24"/>
          <w:szCs w:val="24"/>
        </w:rPr>
      </w:pPr>
      <w:r w:rsidRPr="00797C2C">
        <w:rPr>
          <w:sz w:val="24"/>
          <w:szCs w:val="24"/>
        </w:rPr>
        <w:t xml:space="preserve">Create a cross-functional AI Ethics Review procedure that all clinical researchers, data scientists, regulatory affairs specialists and a patient advisory representative must </w:t>
      </w:r>
      <w:r w:rsidR="00707A5B" w:rsidRPr="00797C2C">
        <w:rPr>
          <w:sz w:val="24"/>
          <w:szCs w:val="24"/>
        </w:rPr>
        <w:t>sign off on</w:t>
      </w:r>
      <w:r w:rsidRPr="00797C2C">
        <w:rPr>
          <w:sz w:val="24"/>
          <w:szCs w:val="24"/>
        </w:rPr>
        <w:t xml:space="preserve"> before an AI model is applied to a clinical or commercial decision situation. It is this type of multi-disciplinary governance that Char, Shah and Magnus (2018) find to be the basis of responsible machine learning in healthcare.</w:t>
      </w:r>
    </w:p>
    <w:p w14:paraId="3552721B" w14:textId="7CC49A18" w:rsidR="00E82880" w:rsidRPr="00797C2C" w:rsidRDefault="00B20D67" w:rsidP="00B227B6">
      <w:pPr>
        <w:pStyle w:val="ListParagraph"/>
        <w:numPr>
          <w:ilvl w:val="0"/>
          <w:numId w:val="5"/>
        </w:numPr>
        <w:spacing w:before="80" w:after="40" w:line="360" w:lineRule="auto"/>
        <w:jc w:val="both"/>
        <w:rPr>
          <w:sz w:val="24"/>
          <w:szCs w:val="24"/>
        </w:rPr>
      </w:pPr>
      <w:r w:rsidRPr="00797C2C">
        <w:rPr>
          <w:sz w:val="24"/>
          <w:szCs w:val="24"/>
        </w:rPr>
        <w:t xml:space="preserve">Launch a regulatory mapping exercise of UK MHRA, US FDA and EU AI Act requirements, to determine compliance overlap and differences. This will create a two-year compliance roadmap and give GSK a </w:t>
      </w:r>
      <w:r w:rsidR="00707A5B" w:rsidRPr="00797C2C">
        <w:rPr>
          <w:sz w:val="24"/>
          <w:szCs w:val="24"/>
        </w:rPr>
        <w:t>compelling, proactive story to present to all three regulatory bodies, directly supporting</w:t>
      </w:r>
      <w:r w:rsidRPr="00797C2C">
        <w:rPr>
          <w:sz w:val="24"/>
          <w:szCs w:val="24"/>
        </w:rPr>
        <w:t xml:space="preserve"> the goal of sustaining customer and institutional trust.</w:t>
      </w:r>
    </w:p>
    <w:p w14:paraId="36F04E13" w14:textId="77777777" w:rsidR="00E82880" w:rsidRPr="00797C2C" w:rsidRDefault="00312E6D" w:rsidP="00B227B6">
      <w:pPr>
        <w:pStyle w:val="Heading2"/>
        <w:spacing w:line="360" w:lineRule="auto"/>
        <w:jc w:val="both"/>
        <w:rPr>
          <w:sz w:val="24"/>
          <w:szCs w:val="24"/>
        </w:rPr>
      </w:pPr>
      <w:bookmarkStart w:id="12" w:name="_Toc228184871"/>
      <w:r w:rsidRPr="00797C2C">
        <w:rPr>
          <w:rFonts w:ascii="Arial" w:eastAsia="Arial" w:hAnsi="Arial" w:cs="Arial"/>
          <w:b/>
          <w:bCs/>
          <w:color w:val="2E4057"/>
          <w:sz w:val="24"/>
          <w:szCs w:val="24"/>
        </w:rPr>
        <w:t>3.2 Medium-Term Priorities (1–3 Years)</w:t>
      </w:r>
      <w:bookmarkEnd w:id="12"/>
    </w:p>
    <w:p w14:paraId="3BF007B1" w14:textId="77777777" w:rsidR="00E82880" w:rsidRPr="00797C2C" w:rsidRDefault="00E82880" w:rsidP="00B227B6">
      <w:pPr>
        <w:spacing w:before="40" w:after="20" w:line="360" w:lineRule="auto"/>
        <w:jc w:val="both"/>
        <w:rPr>
          <w:sz w:val="24"/>
          <w:szCs w:val="24"/>
        </w:rPr>
      </w:pPr>
    </w:p>
    <w:p w14:paraId="2D0D22C2" w14:textId="1BB7A5BE" w:rsidR="00B20D67" w:rsidRPr="00797C2C" w:rsidRDefault="00B20D67" w:rsidP="00B227B6">
      <w:pPr>
        <w:pStyle w:val="ListParagraph"/>
        <w:numPr>
          <w:ilvl w:val="0"/>
          <w:numId w:val="7"/>
        </w:numPr>
        <w:spacing w:before="80" w:after="80" w:line="360" w:lineRule="auto"/>
        <w:jc w:val="both"/>
        <w:rPr>
          <w:sz w:val="24"/>
          <w:szCs w:val="24"/>
        </w:rPr>
      </w:pPr>
      <w:r w:rsidRPr="00797C2C">
        <w:rPr>
          <w:sz w:val="24"/>
          <w:szCs w:val="24"/>
        </w:rPr>
        <w:t xml:space="preserve">Establish and integrate an Explainable AI requirement into the clinical and discovery AI systems at GSK. According to </w:t>
      </w:r>
      <w:r w:rsidR="00707A5B" w:rsidRPr="00797C2C">
        <w:rPr>
          <w:sz w:val="24"/>
          <w:szCs w:val="24"/>
        </w:rPr>
        <w:t>the FDA (2021), the road to regulatory approval of AI-</w:t>
      </w:r>
      <w:r w:rsidR="00707A5B" w:rsidRPr="00797C2C">
        <w:rPr>
          <w:sz w:val="24"/>
          <w:szCs w:val="24"/>
        </w:rPr>
        <w:lastRenderedPageBreak/>
        <w:t>generated submissions largely depends on whether companies can justify model results in a manner that clinical and regulatory reviewers can assess</w:t>
      </w:r>
      <w:r w:rsidRPr="00797C2C">
        <w:rPr>
          <w:sz w:val="24"/>
          <w:szCs w:val="24"/>
        </w:rPr>
        <w:t xml:space="preserve">. Estimated investment: £8-12 million in terms of software </w:t>
      </w:r>
      <w:proofErr w:type="spellStart"/>
      <w:r w:rsidRPr="00797C2C">
        <w:rPr>
          <w:sz w:val="24"/>
          <w:szCs w:val="24"/>
        </w:rPr>
        <w:t>licences</w:t>
      </w:r>
      <w:proofErr w:type="spellEnd"/>
      <w:r w:rsidRPr="00797C2C">
        <w:rPr>
          <w:sz w:val="24"/>
          <w:szCs w:val="24"/>
        </w:rPr>
        <w:t xml:space="preserve">, special staff and training </w:t>
      </w:r>
      <w:proofErr w:type="spellStart"/>
      <w:r w:rsidRPr="00797C2C">
        <w:rPr>
          <w:sz w:val="24"/>
          <w:szCs w:val="24"/>
        </w:rPr>
        <w:t>programmes</w:t>
      </w:r>
      <w:proofErr w:type="spellEnd"/>
      <w:r w:rsidRPr="00797C2C">
        <w:rPr>
          <w:sz w:val="24"/>
          <w:szCs w:val="24"/>
        </w:rPr>
        <w:t>.</w:t>
      </w:r>
    </w:p>
    <w:p w14:paraId="6BFB280B" w14:textId="4E9CDBAB" w:rsidR="00B20D67" w:rsidRPr="00797C2C" w:rsidRDefault="00B20D67" w:rsidP="00B227B6">
      <w:pPr>
        <w:pStyle w:val="ListParagraph"/>
        <w:numPr>
          <w:ilvl w:val="0"/>
          <w:numId w:val="7"/>
        </w:numPr>
        <w:spacing w:before="80" w:after="80" w:line="360" w:lineRule="auto"/>
        <w:jc w:val="both"/>
        <w:rPr>
          <w:sz w:val="24"/>
          <w:szCs w:val="24"/>
        </w:rPr>
      </w:pPr>
      <w:r w:rsidRPr="00797C2C">
        <w:rPr>
          <w:sz w:val="24"/>
          <w:szCs w:val="24"/>
        </w:rPr>
        <w:t xml:space="preserve">Establish a </w:t>
      </w:r>
      <w:proofErr w:type="spellStart"/>
      <w:r w:rsidR="00707A5B" w:rsidRPr="00797C2C">
        <w:rPr>
          <w:sz w:val="24"/>
          <w:szCs w:val="24"/>
        </w:rPr>
        <w:t>specialised</w:t>
      </w:r>
      <w:proofErr w:type="spellEnd"/>
      <w:r w:rsidR="00707A5B" w:rsidRPr="00797C2C">
        <w:rPr>
          <w:sz w:val="24"/>
          <w:szCs w:val="24"/>
        </w:rPr>
        <w:t xml:space="preserve"> AI Ethics and Data Governance Centre of Excellence with </w:t>
      </w:r>
      <w:r w:rsidRPr="00797C2C">
        <w:rPr>
          <w:sz w:val="24"/>
          <w:szCs w:val="24"/>
        </w:rPr>
        <w:t xml:space="preserve">regulatory science, clinical ethics, data engineering and cross-cultural management experts. Such a team will draw up guidelines within the </w:t>
      </w:r>
      <w:proofErr w:type="spellStart"/>
      <w:r w:rsidR="00707A5B" w:rsidRPr="00797C2C">
        <w:rPr>
          <w:sz w:val="24"/>
          <w:szCs w:val="24"/>
        </w:rPr>
        <w:t>organisation</w:t>
      </w:r>
      <w:proofErr w:type="spellEnd"/>
      <w:r w:rsidR="00707A5B" w:rsidRPr="00797C2C">
        <w:rPr>
          <w:sz w:val="24"/>
          <w:szCs w:val="24"/>
        </w:rPr>
        <w:t xml:space="preserve">, consult on new AI applications, </w:t>
      </w:r>
      <w:r w:rsidRPr="00797C2C">
        <w:rPr>
          <w:sz w:val="24"/>
          <w:szCs w:val="24"/>
        </w:rPr>
        <w:t>coordinate with external regulators and keep governance practices up to date with the changing nature of regulatory regimes.</w:t>
      </w:r>
    </w:p>
    <w:p w14:paraId="1D3C1759" w14:textId="347F8133" w:rsidR="00B20D67" w:rsidRPr="00797C2C" w:rsidRDefault="00B20D67" w:rsidP="00B227B6">
      <w:pPr>
        <w:pStyle w:val="ListParagraph"/>
        <w:numPr>
          <w:ilvl w:val="0"/>
          <w:numId w:val="7"/>
        </w:numPr>
        <w:spacing w:before="80" w:after="80" w:line="360" w:lineRule="auto"/>
        <w:jc w:val="both"/>
        <w:rPr>
          <w:sz w:val="24"/>
          <w:szCs w:val="24"/>
        </w:rPr>
      </w:pPr>
      <w:r w:rsidRPr="00797C2C">
        <w:rPr>
          <w:sz w:val="24"/>
          <w:szCs w:val="24"/>
        </w:rPr>
        <w:t xml:space="preserve">Introduce compulsory AI literacy education in all research, commercial and regulatory functions, </w:t>
      </w:r>
      <w:proofErr w:type="spellStart"/>
      <w:r w:rsidRPr="00797C2C">
        <w:rPr>
          <w:sz w:val="24"/>
          <w:szCs w:val="24"/>
        </w:rPr>
        <w:t>localised</w:t>
      </w:r>
      <w:proofErr w:type="spellEnd"/>
      <w:r w:rsidRPr="00797C2C">
        <w:rPr>
          <w:sz w:val="24"/>
          <w:szCs w:val="24"/>
        </w:rPr>
        <w:t xml:space="preserve"> to each culture instead of being applied centrally at the UK headquarters. A combination of Hofstede (2001) and Chams and </w:t>
      </w:r>
      <w:r w:rsidR="00707A5B" w:rsidRPr="00797C2C">
        <w:rPr>
          <w:sz w:val="24"/>
          <w:szCs w:val="24"/>
        </w:rPr>
        <w:t>Garcia-Blandon</w:t>
      </w:r>
      <w:r w:rsidRPr="00797C2C">
        <w:rPr>
          <w:sz w:val="24"/>
          <w:szCs w:val="24"/>
        </w:rPr>
        <w:t xml:space="preserve"> (2019) </w:t>
      </w:r>
      <w:r w:rsidR="00707A5B" w:rsidRPr="00797C2C">
        <w:rPr>
          <w:sz w:val="24"/>
          <w:szCs w:val="24"/>
        </w:rPr>
        <w:t>implies that the governance structure can be effective only when employees across</w:t>
      </w:r>
      <w:r w:rsidRPr="00797C2C">
        <w:rPr>
          <w:sz w:val="24"/>
          <w:szCs w:val="24"/>
        </w:rPr>
        <w:t xml:space="preserve"> various cultural environments are aware of the technical and ethical aspects of AI.</w:t>
      </w:r>
    </w:p>
    <w:p w14:paraId="68A779DD" w14:textId="19788DAB" w:rsidR="00B20D67" w:rsidRPr="00797C2C" w:rsidRDefault="00B20D67" w:rsidP="00B227B6">
      <w:pPr>
        <w:pStyle w:val="ListParagraph"/>
        <w:numPr>
          <w:ilvl w:val="0"/>
          <w:numId w:val="7"/>
        </w:numPr>
        <w:spacing w:before="80" w:after="80" w:line="360" w:lineRule="auto"/>
        <w:jc w:val="both"/>
        <w:rPr>
          <w:sz w:val="24"/>
          <w:szCs w:val="24"/>
        </w:rPr>
      </w:pPr>
      <w:r w:rsidRPr="00797C2C">
        <w:rPr>
          <w:sz w:val="24"/>
          <w:szCs w:val="24"/>
        </w:rPr>
        <w:t xml:space="preserve">Proactively participate with the MHRA Software and AI as a Medical Device Change </w:t>
      </w:r>
      <w:proofErr w:type="spellStart"/>
      <w:r w:rsidRPr="00797C2C">
        <w:rPr>
          <w:sz w:val="24"/>
          <w:szCs w:val="24"/>
        </w:rPr>
        <w:t>Programme</w:t>
      </w:r>
      <w:proofErr w:type="spellEnd"/>
      <w:r w:rsidRPr="00797C2C">
        <w:rPr>
          <w:sz w:val="24"/>
          <w:szCs w:val="24"/>
        </w:rPr>
        <w:t xml:space="preserve"> (MHRA, 2023) and the FDA AI/ML regulatory forum, ensuring GSK is a positive force to influence the frameworks </w:t>
      </w:r>
      <w:r w:rsidR="00707A5B" w:rsidRPr="00797C2C">
        <w:rPr>
          <w:sz w:val="24"/>
          <w:szCs w:val="24"/>
        </w:rPr>
        <w:t>that</w:t>
      </w:r>
      <w:r w:rsidRPr="00797C2C">
        <w:rPr>
          <w:sz w:val="24"/>
          <w:szCs w:val="24"/>
        </w:rPr>
        <w:t xml:space="preserve"> will regulate pharmaceutical AI in the next decade. This investment in developing relationships will pay off when GSK applies to regulators </w:t>
      </w:r>
      <w:r w:rsidR="00707A5B" w:rsidRPr="00797C2C">
        <w:rPr>
          <w:sz w:val="24"/>
          <w:szCs w:val="24"/>
        </w:rPr>
        <w:t>for</w:t>
      </w:r>
      <w:r w:rsidRPr="00797C2C">
        <w:rPr>
          <w:sz w:val="24"/>
          <w:szCs w:val="24"/>
        </w:rPr>
        <w:t xml:space="preserve"> AI-assisted drugs.</w:t>
      </w:r>
    </w:p>
    <w:p w14:paraId="5DFE6482" w14:textId="77777777" w:rsidR="00E82880" w:rsidRPr="00797C2C" w:rsidRDefault="00E82880" w:rsidP="00B227B6">
      <w:pPr>
        <w:spacing w:before="80" w:after="40" w:line="360" w:lineRule="auto"/>
        <w:jc w:val="both"/>
        <w:rPr>
          <w:sz w:val="24"/>
          <w:szCs w:val="24"/>
        </w:rPr>
      </w:pPr>
    </w:p>
    <w:p w14:paraId="0362BD13" w14:textId="77777777" w:rsidR="00E82880" w:rsidRPr="00797C2C" w:rsidRDefault="00312E6D" w:rsidP="00B227B6">
      <w:pPr>
        <w:pStyle w:val="Heading2"/>
        <w:spacing w:line="360" w:lineRule="auto"/>
        <w:jc w:val="both"/>
        <w:rPr>
          <w:sz w:val="24"/>
          <w:szCs w:val="24"/>
        </w:rPr>
      </w:pPr>
      <w:bookmarkStart w:id="13" w:name="_Toc228184872"/>
      <w:r w:rsidRPr="00797C2C">
        <w:rPr>
          <w:rFonts w:ascii="Arial" w:eastAsia="Arial" w:hAnsi="Arial" w:cs="Arial"/>
          <w:b/>
          <w:bCs/>
          <w:color w:val="2E4057"/>
          <w:sz w:val="24"/>
          <w:szCs w:val="24"/>
        </w:rPr>
        <w:t>3.3 Long-Term Strategic Priorities (3–5 Years)</w:t>
      </w:r>
      <w:bookmarkEnd w:id="13"/>
    </w:p>
    <w:p w14:paraId="7DFC4050" w14:textId="77777777" w:rsidR="00E82880" w:rsidRPr="00797C2C" w:rsidRDefault="00E82880" w:rsidP="00B227B6">
      <w:pPr>
        <w:spacing w:before="40" w:after="20" w:line="360" w:lineRule="auto"/>
        <w:jc w:val="both"/>
        <w:rPr>
          <w:sz w:val="24"/>
          <w:szCs w:val="24"/>
        </w:rPr>
      </w:pPr>
    </w:p>
    <w:p w14:paraId="5EBDE105" w14:textId="0CBAA471" w:rsidR="00B227B6" w:rsidRPr="00797C2C" w:rsidRDefault="00B227B6" w:rsidP="00B227B6">
      <w:pPr>
        <w:pStyle w:val="ListParagraph"/>
        <w:numPr>
          <w:ilvl w:val="0"/>
          <w:numId w:val="9"/>
        </w:numPr>
        <w:spacing w:line="360" w:lineRule="auto"/>
        <w:jc w:val="both"/>
        <w:rPr>
          <w:sz w:val="24"/>
          <w:szCs w:val="24"/>
        </w:rPr>
      </w:pPr>
      <w:r w:rsidRPr="00797C2C">
        <w:rPr>
          <w:sz w:val="24"/>
          <w:szCs w:val="24"/>
        </w:rPr>
        <w:t xml:space="preserve">Establish AI as a regulated, auditable and externally trusted capability under the competitive portfolio of GSK. The ultimate objective is a reputation </w:t>
      </w:r>
      <w:r w:rsidR="00707A5B" w:rsidRPr="00797C2C">
        <w:rPr>
          <w:sz w:val="24"/>
          <w:szCs w:val="24"/>
        </w:rPr>
        <w:t>for good governance that serves as a commercial differentiator, especially among healthcare system purchasers, regulatory partners,</w:t>
      </w:r>
      <w:r w:rsidRPr="00797C2C">
        <w:rPr>
          <w:sz w:val="24"/>
          <w:szCs w:val="24"/>
        </w:rPr>
        <w:t xml:space="preserve"> and ESG investors. Nica, Chirita</w:t>
      </w:r>
      <w:r w:rsidR="00707A5B" w:rsidRPr="00797C2C">
        <w:rPr>
          <w:sz w:val="24"/>
          <w:szCs w:val="24"/>
        </w:rPr>
        <w:t xml:space="preserve">, and Georgescu (2025) and the World Economic Forum (2024) both </w:t>
      </w:r>
      <w:proofErr w:type="spellStart"/>
      <w:r w:rsidR="00707A5B" w:rsidRPr="00797C2C">
        <w:rPr>
          <w:sz w:val="24"/>
          <w:szCs w:val="24"/>
        </w:rPr>
        <w:t>recognise</w:t>
      </w:r>
      <w:proofErr w:type="spellEnd"/>
      <w:r w:rsidR="00707A5B" w:rsidRPr="00797C2C">
        <w:rPr>
          <w:sz w:val="24"/>
          <w:szCs w:val="24"/>
        </w:rPr>
        <w:t xml:space="preserve"> responsible AI governance as an ever-growing ESG disclosure expectation that</w:t>
      </w:r>
      <w:r w:rsidRPr="00797C2C">
        <w:rPr>
          <w:sz w:val="24"/>
          <w:szCs w:val="24"/>
        </w:rPr>
        <w:t xml:space="preserve"> will only escalate as mandatory disclosure standards are established.</w:t>
      </w:r>
    </w:p>
    <w:p w14:paraId="356E5E4D" w14:textId="6DD9B16E" w:rsidR="00B227B6" w:rsidRPr="00797C2C" w:rsidRDefault="00B227B6" w:rsidP="00B227B6">
      <w:pPr>
        <w:pStyle w:val="ListParagraph"/>
        <w:numPr>
          <w:ilvl w:val="0"/>
          <w:numId w:val="9"/>
        </w:numPr>
        <w:spacing w:line="360" w:lineRule="auto"/>
        <w:jc w:val="both"/>
        <w:rPr>
          <w:sz w:val="24"/>
          <w:szCs w:val="24"/>
        </w:rPr>
      </w:pPr>
      <w:r w:rsidRPr="00797C2C">
        <w:rPr>
          <w:sz w:val="24"/>
          <w:szCs w:val="24"/>
        </w:rPr>
        <w:t xml:space="preserve">Design an independent AI drug discovery system that integrates generative molecule design, predictive toxicology and adaptive clinical trial control in a fully documented and regulatorily approved workflow. Singh, Zhou and Auclair (2025) believe that the new frontier in pharmaceutical competition is end-to-end AI-enabled therapeutic development; </w:t>
      </w:r>
      <w:r w:rsidRPr="00797C2C">
        <w:rPr>
          <w:sz w:val="24"/>
          <w:szCs w:val="24"/>
        </w:rPr>
        <w:lastRenderedPageBreak/>
        <w:t>the first firm to do so with regulatory confidence will reap immense first-mover benefits. Estimated capital expenditure: 25-40 million, which is part of the current R&amp;D budgetary allocation of GSK.</w:t>
      </w:r>
    </w:p>
    <w:p w14:paraId="66246F83" w14:textId="0254343C" w:rsidR="00B227B6" w:rsidRPr="00797C2C" w:rsidRDefault="00B227B6" w:rsidP="00B227B6">
      <w:pPr>
        <w:pStyle w:val="ListParagraph"/>
        <w:numPr>
          <w:ilvl w:val="0"/>
          <w:numId w:val="9"/>
        </w:numPr>
        <w:spacing w:line="360" w:lineRule="auto"/>
        <w:jc w:val="both"/>
        <w:rPr>
          <w:sz w:val="24"/>
          <w:szCs w:val="24"/>
        </w:rPr>
      </w:pPr>
      <w:r w:rsidRPr="00797C2C">
        <w:rPr>
          <w:sz w:val="24"/>
          <w:szCs w:val="24"/>
        </w:rPr>
        <w:t xml:space="preserve">Create a closed-loop AI-based pharmacovigilance system that can track real-world outcomes of all approved products almost in real-time. This would combine post-market surveillance data, </w:t>
      </w:r>
      <w:proofErr w:type="gramStart"/>
      <w:r w:rsidRPr="00797C2C">
        <w:rPr>
          <w:sz w:val="24"/>
          <w:szCs w:val="24"/>
        </w:rPr>
        <w:t>consented</w:t>
      </w:r>
      <w:proofErr w:type="gramEnd"/>
      <w:r w:rsidRPr="00797C2C">
        <w:rPr>
          <w:sz w:val="24"/>
          <w:szCs w:val="24"/>
        </w:rPr>
        <w:t xml:space="preserve"> electronic health records and published adverse event literature, thus providing faster and more precise detection of safety signals than is possible with conventional methods. This enhances patient safety and the evidence base of AI-enabled regulatory submissions.</w:t>
      </w:r>
    </w:p>
    <w:p w14:paraId="6A4CC425" w14:textId="004C1610" w:rsidR="00E82880" w:rsidRPr="00797C2C" w:rsidRDefault="00B227B6" w:rsidP="00B227B6">
      <w:pPr>
        <w:pStyle w:val="ListParagraph"/>
        <w:numPr>
          <w:ilvl w:val="0"/>
          <w:numId w:val="9"/>
        </w:numPr>
        <w:spacing w:line="360" w:lineRule="auto"/>
        <w:jc w:val="both"/>
        <w:rPr>
          <w:sz w:val="24"/>
          <w:szCs w:val="24"/>
        </w:rPr>
      </w:pPr>
      <w:r w:rsidRPr="00797C2C">
        <w:rPr>
          <w:sz w:val="24"/>
          <w:szCs w:val="24"/>
        </w:rPr>
        <w:t>12.</w:t>
      </w:r>
      <w:r w:rsidRPr="00797C2C">
        <w:rPr>
          <w:sz w:val="24"/>
          <w:szCs w:val="24"/>
        </w:rPr>
        <w:tab/>
        <w:t xml:space="preserve">Publish a yearly AI Transparency Report as </w:t>
      </w:r>
      <w:r w:rsidR="00707A5B" w:rsidRPr="00797C2C">
        <w:rPr>
          <w:sz w:val="24"/>
          <w:szCs w:val="24"/>
        </w:rPr>
        <w:t xml:space="preserve">a </w:t>
      </w:r>
      <w:r w:rsidRPr="00797C2C">
        <w:rPr>
          <w:sz w:val="24"/>
          <w:szCs w:val="24"/>
        </w:rPr>
        <w:t xml:space="preserve">component of the ESG Performance Report, capturing governance efforts, bias audit results, regulatory interaction and employee AI expertise building. The disclosure practice will put GSK on par with </w:t>
      </w:r>
      <w:r w:rsidR="00707A5B" w:rsidRPr="00797C2C">
        <w:rPr>
          <w:sz w:val="24"/>
          <w:szCs w:val="24"/>
        </w:rPr>
        <w:t>the requirements of the EU AI Act, institutional investors and healthcare systems procurement, and solidify</w:t>
      </w:r>
      <w:r w:rsidRPr="00797C2C">
        <w:rPr>
          <w:sz w:val="24"/>
          <w:szCs w:val="24"/>
        </w:rPr>
        <w:t xml:space="preserve"> both commercial and patient trust on a systemic scale.</w:t>
      </w:r>
      <w:r w:rsidR="00312E6D" w:rsidRPr="00797C2C">
        <w:rPr>
          <w:sz w:val="24"/>
          <w:szCs w:val="24"/>
        </w:rPr>
        <w:br w:type="page"/>
      </w:r>
    </w:p>
    <w:p w14:paraId="1E0DA545" w14:textId="77777777" w:rsidR="00E82880" w:rsidRPr="00797C2C" w:rsidRDefault="00312E6D" w:rsidP="00B227B6">
      <w:pPr>
        <w:pStyle w:val="Heading1"/>
        <w:spacing w:line="360" w:lineRule="auto"/>
        <w:jc w:val="both"/>
        <w:rPr>
          <w:sz w:val="24"/>
          <w:szCs w:val="24"/>
        </w:rPr>
      </w:pPr>
      <w:bookmarkStart w:id="14" w:name="_Toc228184873"/>
      <w:r w:rsidRPr="00797C2C">
        <w:rPr>
          <w:rFonts w:ascii="Arial" w:eastAsia="Arial" w:hAnsi="Arial" w:cs="Arial"/>
          <w:b/>
          <w:bCs/>
          <w:color w:val="1A3A5C"/>
          <w:sz w:val="24"/>
          <w:szCs w:val="24"/>
        </w:rPr>
        <w:lastRenderedPageBreak/>
        <w:t>4. Conclusion</w:t>
      </w:r>
      <w:bookmarkEnd w:id="14"/>
    </w:p>
    <w:p w14:paraId="1B97EEC1" w14:textId="19DCF93C" w:rsidR="00B227B6" w:rsidRPr="00797C2C" w:rsidRDefault="00B227B6" w:rsidP="00B227B6">
      <w:pPr>
        <w:spacing w:line="360" w:lineRule="auto"/>
        <w:jc w:val="both"/>
        <w:rPr>
          <w:sz w:val="24"/>
          <w:szCs w:val="24"/>
        </w:rPr>
      </w:pPr>
      <w:r w:rsidRPr="00797C2C">
        <w:rPr>
          <w:sz w:val="24"/>
          <w:szCs w:val="24"/>
        </w:rPr>
        <w:t xml:space="preserve">As shown in this report, artificial intelligence is both the largest strategic opportunity and one of the most impactful risk vectors that GSK will </w:t>
      </w:r>
      <w:r w:rsidR="00707A5B" w:rsidRPr="00797C2C">
        <w:rPr>
          <w:sz w:val="24"/>
          <w:szCs w:val="24"/>
        </w:rPr>
        <w:t>face</w:t>
      </w:r>
      <w:r w:rsidRPr="00797C2C">
        <w:rPr>
          <w:sz w:val="24"/>
          <w:szCs w:val="24"/>
        </w:rPr>
        <w:t xml:space="preserve"> over the next decade. The PESTLE analysis indicates a foreign environment </w:t>
      </w:r>
      <w:r w:rsidR="00707A5B" w:rsidRPr="00797C2C">
        <w:rPr>
          <w:sz w:val="24"/>
          <w:szCs w:val="24"/>
        </w:rPr>
        <w:t>in which legal and political forces are escalating rapidly, particularly amid divergent expectations from</w:t>
      </w:r>
      <w:r w:rsidRPr="00797C2C">
        <w:rPr>
          <w:sz w:val="24"/>
          <w:szCs w:val="24"/>
        </w:rPr>
        <w:t xml:space="preserve"> the MHRA and FDA and the expanding scope of the EU AI Act. </w:t>
      </w:r>
      <w:r w:rsidR="00BE7A93" w:rsidRPr="00797C2C">
        <w:rPr>
          <w:sz w:val="24"/>
          <w:szCs w:val="24"/>
        </w:rPr>
        <w:t>Porter's Five Forces</w:t>
      </w:r>
      <w:r w:rsidRPr="00797C2C">
        <w:rPr>
          <w:sz w:val="24"/>
          <w:szCs w:val="24"/>
        </w:rPr>
        <w:t xml:space="preserve"> confirms that GSK has a truly strong national and sectoral AI-enabled pharmaceutical innovation</w:t>
      </w:r>
      <w:r w:rsidR="00707A5B" w:rsidRPr="00797C2C">
        <w:rPr>
          <w:sz w:val="24"/>
          <w:szCs w:val="24"/>
        </w:rPr>
        <w:t>. Yet, this</w:t>
      </w:r>
      <w:r w:rsidRPr="00797C2C">
        <w:rPr>
          <w:sz w:val="24"/>
          <w:szCs w:val="24"/>
        </w:rPr>
        <w:t xml:space="preserve"> strength is shaky without solid data governance, workforce building and regulatory trust. According to </w:t>
      </w:r>
      <w:r w:rsidR="00BE7A93" w:rsidRPr="00797C2C">
        <w:rPr>
          <w:sz w:val="24"/>
          <w:szCs w:val="24"/>
        </w:rPr>
        <w:t xml:space="preserve">Porter's Five Forces, competitive rivalry is the most immediate, and well-resourced competitors, as well as up-and-coming AI-native </w:t>
      </w:r>
      <w:proofErr w:type="spellStart"/>
      <w:r w:rsidR="00BE7A93" w:rsidRPr="00797C2C">
        <w:rPr>
          <w:sz w:val="24"/>
          <w:szCs w:val="24"/>
        </w:rPr>
        <w:t>biotechs</w:t>
      </w:r>
      <w:proofErr w:type="spellEnd"/>
      <w:r w:rsidR="00BE7A93" w:rsidRPr="00797C2C">
        <w:rPr>
          <w:sz w:val="24"/>
          <w:szCs w:val="24"/>
        </w:rPr>
        <w:t>, are simultaneously accelerating</w:t>
      </w:r>
      <w:r w:rsidRPr="00797C2C">
        <w:rPr>
          <w:sz w:val="24"/>
          <w:szCs w:val="24"/>
        </w:rPr>
        <w:t xml:space="preserve"> their capabilities.</w:t>
      </w:r>
    </w:p>
    <w:p w14:paraId="523B9A73" w14:textId="05971601" w:rsidR="00E82880" w:rsidRPr="00797C2C" w:rsidRDefault="00B227B6" w:rsidP="00B227B6">
      <w:pPr>
        <w:spacing w:line="360" w:lineRule="auto"/>
        <w:jc w:val="both"/>
        <w:rPr>
          <w:sz w:val="24"/>
          <w:szCs w:val="24"/>
        </w:rPr>
      </w:pPr>
      <w:r w:rsidRPr="00797C2C">
        <w:rPr>
          <w:sz w:val="24"/>
          <w:szCs w:val="24"/>
        </w:rPr>
        <w:t xml:space="preserve">This report has provided recommendations </w:t>
      </w:r>
      <w:r w:rsidR="00BE7A93" w:rsidRPr="00797C2C">
        <w:rPr>
          <w:sz w:val="24"/>
          <w:szCs w:val="24"/>
        </w:rPr>
        <w:t>based on the assumption that responsible AI governance is a condition for, not a limitation of,</w:t>
      </w:r>
      <w:r w:rsidRPr="00797C2C">
        <w:rPr>
          <w:sz w:val="24"/>
          <w:szCs w:val="24"/>
        </w:rPr>
        <w:t xml:space="preserve"> competitiveness. Any company that implements AI irresponsibly in pharmaceutical and clinical settings is subject to regulatory criticism, </w:t>
      </w:r>
      <w:r w:rsidR="00BE7A93" w:rsidRPr="00797C2C">
        <w:rPr>
          <w:sz w:val="24"/>
          <w:szCs w:val="24"/>
        </w:rPr>
        <w:t>patient and commercial losses that greatly exceed the costs they incur in regulating AI at the outset</w:t>
      </w:r>
      <w:r w:rsidRPr="00797C2C">
        <w:rPr>
          <w:sz w:val="24"/>
          <w:szCs w:val="24"/>
        </w:rPr>
        <w:t xml:space="preserve">. The </w:t>
      </w:r>
      <w:r w:rsidR="00BE7A93" w:rsidRPr="00797C2C">
        <w:rPr>
          <w:sz w:val="24"/>
          <w:szCs w:val="24"/>
        </w:rPr>
        <w:t xml:space="preserve">short-, medium-, and long-term implementation plan suggested here is aligned with GSK's current capabilities and aims to turn the company into a leader in </w:t>
      </w:r>
      <w:r w:rsidRPr="00797C2C">
        <w:rPr>
          <w:sz w:val="24"/>
          <w:szCs w:val="24"/>
        </w:rPr>
        <w:t xml:space="preserve">pharmaceutical AI governance. Customer and patient trust </w:t>
      </w:r>
      <w:proofErr w:type="gramStart"/>
      <w:r w:rsidRPr="00797C2C">
        <w:rPr>
          <w:sz w:val="24"/>
          <w:szCs w:val="24"/>
        </w:rPr>
        <w:t>is</w:t>
      </w:r>
      <w:proofErr w:type="gramEnd"/>
      <w:r w:rsidRPr="00797C2C">
        <w:rPr>
          <w:sz w:val="24"/>
          <w:szCs w:val="24"/>
        </w:rPr>
        <w:t xml:space="preserve"> not on the fringes of this strategy; it is the cornerstone on which regulatory acceptance, commercial relationships</w:t>
      </w:r>
      <w:r w:rsidR="00BE7A93" w:rsidRPr="00797C2C">
        <w:rPr>
          <w:sz w:val="24"/>
          <w:szCs w:val="24"/>
        </w:rPr>
        <w:t>, and long-term competitive advantage are built</w:t>
      </w:r>
      <w:r w:rsidRPr="00797C2C">
        <w:rPr>
          <w:sz w:val="24"/>
          <w:szCs w:val="24"/>
        </w:rPr>
        <w:t xml:space="preserve">. Good AI, according to </w:t>
      </w:r>
      <w:proofErr w:type="spellStart"/>
      <w:r w:rsidRPr="00797C2C">
        <w:rPr>
          <w:sz w:val="24"/>
          <w:szCs w:val="24"/>
        </w:rPr>
        <w:t>Floridi</w:t>
      </w:r>
      <w:proofErr w:type="spellEnd"/>
      <w:r w:rsidRPr="00797C2C">
        <w:rPr>
          <w:sz w:val="24"/>
          <w:szCs w:val="24"/>
        </w:rPr>
        <w:t xml:space="preserve"> et al. (2018), is ultimately AI that facilitates human flourishing, in the context of a pharmaceutical company, that is AI that enhances patient outcomes, decreases health disparities and does so in a way that is transparent, accountable and respectful of the trust that patients and commercial partners place in the </w:t>
      </w:r>
      <w:proofErr w:type="spellStart"/>
      <w:r w:rsidRPr="00797C2C">
        <w:rPr>
          <w:sz w:val="24"/>
          <w:szCs w:val="24"/>
        </w:rPr>
        <w:t>organisation</w:t>
      </w:r>
      <w:proofErr w:type="spellEnd"/>
      <w:r w:rsidRPr="00797C2C">
        <w:rPr>
          <w:sz w:val="24"/>
          <w:szCs w:val="24"/>
        </w:rPr>
        <w:t>.</w:t>
      </w:r>
      <w:r w:rsidR="00312E6D" w:rsidRPr="00797C2C">
        <w:rPr>
          <w:sz w:val="24"/>
          <w:szCs w:val="24"/>
        </w:rPr>
        <w:br w:type="page"/>
      </w:r>
    </w:p>
    <w:p w14:paraId="53A10584" w14:textId="77777777" w:rsidR="00E82880" w:rsidRPr="00797C2C" w:rsidRDefault="00312E6D" w:rsidP="00B227B6">
      <w:pPr>
        <w:pStyle w:val="Heading1"/>
        <w:spacing w:line="360" w:lineRule="auto"/>
        <w:jc w:val="both"/>
        <w:rPr>
          <w:sz w:val="24"/>
          <w:szCs w:val="24"/>
        </w:rPr>
      </w:pPr>
      <w:bookmarkStart w:id="15" w:name="_Toc228184874"/>
      <w:r w:rsidRPr="00797C2C">
        <w:rPr>
          <w:rFonts w:ascii="Arial" w:eastAsia="Arial" w:hAnsi="Arial" w:cs="Arial"/>
          <w:b/>
          <w:bCs/>
          <w:color w:val="1A3A5C"/>
          <w:sz w:val="24"/>
          <w:szCs w:val="24"/>
        </w:rPr>
        <w:lastRenderedPageBreak/>
        <w:t>5. Bibliography</w:t>
      </w:r>
      <w:bookmarkEnd w:id="15"/>
    </w:p>
    <w:p w14:paraId="635D8DB1"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Al-Hourani, S. and </w:t>
      </w:r>
      <w:proofErr w:type="spellStart"/>
      <w:r w:rsidRPr="00797C2C">
        <w:rPr>
          <w:rFonts w:ascii="Times New Roman" w:eastAsia="Times New Roman" w:hAnsi="Times New Roman" w:cs="Times New Roman"/>
          <w:sz w:val="24"/>
          <w:szCs w:val="24"/>
        </w:rPr>
        <w:t>Weraikat</w:t>
      </w:r>
      <w:proofErr w:type="spellEnd"/>
      <w:r w:rsidRPr="00797C2C">
        <w:rPr>
          <w:rFonts w:ascii="Times New Roman" w:eastAsia="Times New Roman" w:hAnsi="Times New Roman" w:cs="Times New Roman"/>
          <w:sz w:val="24"/>
          <w:szCs w:val="24"/>
        </w:rPr>
        <w:t>, D. (2025) 'A Systematic Review of Artificial Intelligence (AI) and Machine Learning (ML) in Pharmaceutical Supply Chain (PSC) Resilience: Current Trends and Future Directions', Sustainability, 17(14), pp.6591–6591. doi:10.3390/su17146591.</w:t>
      </w:r>
    </w:p>
    <w:p w14:paraId="171198FE" w14:textId="31CE44A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Alan Turing Institute (2019) Understanding Artificial Intelligence Ethics and Safety. London: The Alan Turing Institute. Available at: </w:t>
      </w:r>
      <w:hyperlink r:id="rId8" w:history="1">
        <w:r w:rsidR="00BE7A93" w:rsidRPr="00797C2C">
          <w:rPr>
            <w:rStyle w:val="Hyperlink"/>
            <w:sz w:val="24"/>
            <w:szCs w:val="24"/>
          </w:rPr>
          <w:t>https://www.turing.ac.uk/sites/default/files/2019-06/understanding_artificial_intelligence_ethics_and_safety.pdf</w:t>
        </w:r>
      </w:hyperlink>
      <w:r w:rsidR="00BE7A93" w:rsidRPr="00797C2C">
        <w:rPr>
          <w:sz w:val="24"/>
          <w:szCs w:val="24"/>
        </w:rPr>
        <w:t xml:space="preserve"> </w:t>
      </w:r>
    </w:p>
    <w:p w14:paraId="6B3CB8E5"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Batool, A., </w:t>
      </w:r>
      <w:proofErr w:type="spellStart"/>
      <w:r w:rsidRPr="00797C2C">
        <w:rPr>
          <w:rFonts w:ascii="Times New Roman" w:eastAsia="Times New Roman" w:hAnsi="Times New Roman" w:cs="Times New Roman"/>
          <w:sz w:val="24"/>
          <w:szCs w:val="24"/>
        </w:rPr>
        <w:t>Zowghi</w:t>
      </w:r>
      <w:proofErr w:type="spellEnd"/>
      <w:r w:rsidRPr="00797C2C">
        <w:rPr>
          <w:rFonts w:ascii="Times New Roman" w:eastAsia="Times New Roman" w:hAnsi="Times New Roman" w:cs="Times New Roman"/>
          <w:sz w:val="24"/>
          <w:szCs w:val="24"/>
        </w:rPr>
        <w:t>, D. and Bano, M. (2025) 'AI governance: a systematic literature review', AI and Ethics, 5. doi:10.1007/s43681-024-00653-w.</w:t>
      </w:r>
    </w:p>
    <w:p w14:paraId="138E225A"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Belsare, H.V. (2025) 'PESTLE analysis', International Journal of Advanced Research, 13(02), pp.608–612. doi:10.21474/IJAR01/20411.</w:t>
      </w:r>
    </w:p>
    <w:p w14:paraId="4EC8A598" w14:textId="77777777" w:rsidR="00E82880" w:rsidRPr="00797C2C" w:rsidRDefault="00312E6D" w:rsidP="00B227B6">
      <w:pPr>
        <w:spacing w:before="60" w:after="80" w:line="360" w:lineRule="auto"/>
        <w:jc w:val="both"/>
        <w:rPr>
          <w:sz w:val="24"/>
          <w:szCs w:val="24"/>
        </w:rPr>
      </w:pPr>
      <w:proofErr w:type="spellStart"/>
      <w:r w:rsidRPr="00797C2C">
        <w:rPr>
          <w:rFonts w:ascii="Times New Roman" w:eastAsia="Times New Roman" w:hAnsi="Times New Roman" w:cs="Times New Roman"/>
          <w:sz w:val="24"/>
          <w:szCs w:val="24"/>
        </w:rPr>
        <w:t>Bouderhem</w:t>
      </w:r>
      <w:proofErr w:type="spellEnd"/>
      <w:r w:rsidRPr="00797C2C">
        <w:rPr>
          <w:rFonts w:ascii="Times New Roman" w:eastAsia="Times New Roman" w:hAnsi="Times New Roman" w:cs="Times New Roman"/>
          <w:sz w:val="24"/>
          <w:szCs w:val="24"/>
        </w:rPr>
        <w:t>, R. (2024) 'Shaping the future of AI in healthcare through ethics and governance', Humanities and Social Sciences Communications, 11(1), pp.1–12. doi:10.1057/s41599-024-02894-w.</w:t>
      </w:r>
    </w:p>
    <w:p w14:paraId="02859C54"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Chams, N. and García-Blandón, J. (2019) 'On the importance of sustainable human resource management for the adoption of sustainable development goals', Resources, Conservation and Recycling, 141(1), pp.109–122. doi:10.1016/j.resconrec.2018.10.006.</w:t>
      </w:r>
    </w:p>
    <w:p w14:paraId="5ACAE967"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Char, D.S., Shah, N.H. and Magnus, D. (2018) 'Implementing Machine Learning in Health Care — Addressing Ethical Challenges', New England Journal of Medicine, 378(11), pp.981–983. doi:10.1056/nejmp1714229.</w:t>
      </w:r>
    </w:p>
    <w:p w14:paraId="1718D0AE"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Crisafulli, S., </w:t>
      </w:r>
      <w:proofErr w:type="spellStart"/>
      <w:r w:rsidRPr="00797C2C">
        <w:rPr>
          <w:rFonts w:ascii="Times New Roman" w:eastAsia="Times New Roman" w:hAnsi="Times New Roman" w:cs="Times New Roman"/>
          <w:sz w:val="24"/>
          <w:szCs w:val="24"/>
        </w:rPr>
        <w:t>Ciccimarra</w:t>
      </w:r>
      <w:proofErr w:type="spellEnd"/>
      <w:r w:rsidRPr="00797C2C">
        <w:rPr>
          <w:rFonts w:ascii="Times New Roman" w:eastAsia="Times New Roman" w:hAnsi="Times New Roman" w:cs="Times New Roman"/>
          <w:sz w:val="24"/>
          <w:szCs w:val="24"/>
        </w:rPr>
        <w:t xml:space="preserve">, F., Bellitto, C., Carollo, M., Carrara, E., Stagi, L., Triola, R., Capuano, A., </w:t>
      </w:r>
      <w:proofErr w:type="spellStart"/>
      <w:r w:rsidRPr="00797C2C">
        <w:rPr>
          <w:rFonts w:ascii="Times New Roman" w:eastAsia="Times New Roman" w:hAnsi="Times New Roman" w:cs="Times New Roman"/>
          <w:sz w:val="24"/>
          <w:szCs w:val="24"/>
        </w:rPr>
        <w:t>Chiamulera</w:t>
      </w:r>
      <w:proofErr w:type="spellEnd"/>
      <w:r w:rsidRPr="00797C2C">
        <w:rPr>
          <w:rFonts w:ascii="Times New Roman" w:eastAsia="Times New Roman" w:hAnsi="Times New Roman" w:cs="Times New Roman"/>
          <w:sz w:val="24"/>
          <w:szCs w:val="24"/>
        </w:rPr>
        <w:t xml:space="preserve">, C., Moretti, U., Santoro, E., Tozzi, A.E., Recchia, G. and </w:t>
      </w:r>
      <w:proofErr w:type="spellStart"/>
      <w:r w:rsidRPr="00797C2C">
        <w:rPr>
          <w:rFonts w:ascii="Times New Roman" w:eastAsia="Times New Roman" w:hAnsi="Times New Roman" w:cs="Times New Roman"/>
          <w:sz w:val="24"/>
          <w:szCs w:val="24"/>
        </w:rPr>
        <w:t>Trifirò</w:t>
      </w:r>
      <w:proofErr w:type="spellEnd"/>
      <w:r w:rsidRPr="00797C2C">
        <w:rPr>
          <w:rFonts w:ascii="Times New Roman" w:eastAsia="Times New Roman" w:hAnsi="Times New Roman" w:cs="Times New Roman"/>
          <w:sz w:val="24"/>
          <w:szCs w:val="24"/>
        </w:rPr>
        <w:t>, G. (2024) 'Artificial intelligence for optimizing benefits and minimizing risks of pharmacological therapies: challenges and opportunities', Frontiers in Drug Safety and Regulation, 4. doi:10.3389/fdsfr.2024.1356405.</w:t>
      </w:r>
    </w:p>
    <w:p w14:paraId="2E0A4FCB"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Cross, J.L., Choma, M.A. and Onofrey, J.A. (2024) 'Bias in Medical AI: Implications for Clinical Decision-Making', PLOS Digital Health, 3(11), p.e0000651. doi:10.1371/journal.pdig.0000651.</w:t>
      </w:r>
    </w:p>
    <w:p w14:paraId="5CA3FB82" w14:textId="28FCFB93" w:rsidR="00E82880" w:rsidRPr="00797C2C" w:rsidRDefault="00312E6D" w:rsidP="00B227B6">
      <w:pPr>
        <w:spacing w:before="60" w:after="80" w:line="360" w:lineRule="auto"/>
        <w:jc w:val="both"/>
        <w:rPr>
          <w:sz w:val="24"/>
          <w:szCs w:val="24"/>
        </w:rPr>
      </w:pPr>
      <w:proofErr w:type="spellStart"/>
      <w:r w:rsidRPr="00797C2C">
        <w:rPr>
          <w:rFonts w:ascii="Times New Roman" w:eastAsia="Times New Roman" w:hAnsi="Times New Roman" w:cs="Times New Roman"/>
          <w:sz w:val="24"/>
          <w:szCs w:val="24"/>
        </w:rPr>
        <w:t>Droppert</w:t>
      </w:r>
      <w:proofErr w:type="spellEnd"/>
      <w:r w:rsidRPr="00797C2C">
        <w:rPr>
          <w:rFonts w:ascii="Times New Roman" w:eastAsia="Times New Roman" w:hAnsi="Times New Roman" w:cs="Times New Roman"/>
          <w:sz w:val="24"/>
          <w:szCs w:val="24"/>
        </w:rPr>
        <w:t xml:space="preserve">, H. and Bennett, S. (2015) 'Corporate Social Responsibility in Global Health: an Exploratory Study of Multinational Pharmaceutical Firms', </w:t>
      </w:r>
      <w:proofErr w:type="spellStart"/>
      <w:r w:rsidR="00BE7A93" w:rsidRPr="00797C2C">
        <w:rPr>
          <w:sz w:val="24"/>
          <w:szCs w:val="24"/>
        </w:rPr>
        <w:t>Globalisation</w:t>
      </w:r>
      <w:proofErr w:type="spellEnd"/>
      <w:r w:rsidRPr="00797C2C">
        <w:rPr>
          <w:rFonts w:ascii="Times New Roman" w:eastAsia="Times New Roman" w:hAnsi="Times New Roman" w:cs="Times New Roman"/>
          <w:sz w:val="24"/>
          <w:szCs w:val="24"/>
        </w:rPr>
        <w:t xml:space="preserve"> and Health, 11(15). doi:10.1186/s12992-015-0100-5.</w:t>
      </w:r>
    </w:p>
    <w:p w14:paraId="19F47F1F" w14:textId="0DFB970B"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lastRenderedPageBreak/>
        <w:t xml:space="preserve">European Parliament (2024) Regulation (EU) 2024/1689 — Artificial Intelligence Act. Available at: </w:t>
      </w:r>
      <w:hyperlink r:id="rId9" w:history="1">
        <w:r w:rsidR="00BE7A93" w:rsidRPr="00797C2C">
          <w:rPr>
            <w:rStyle w:val="Hyperlink"/>
            <w:sz w:val="24"/>
            <w:szCs w:val="24"/>
          </w:rPr>
          <w:t>https://eur-lex.europa.eu/legal-content/EN/TXT/?uri=OJ:L_202401689</w:t>
        </w:r>
      </w:hyperlink>
      <w:r w:rsidR="00BE7A93" w:rsidRPr="00797C2C">
        <w:rPr>
          <w:sz w:val="24"/>
          <w:szCs w:val="24"/>
        </w:rPr>
        <w:t xml:space="preserve">               </w:t>
      </w:r>
    </w:p>
    <w:p w14:paraId="53BD9A62"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Ferreira, F.J.N. and Carneiro, A.S. (2025) 'AI-Driven Drug Discovery: A Comprehensive Review', ACS Omega, 10(23). doi:10.1021/acsomega.5c00549.</w:t>
      </w:r>
    </w:p>
    <w:p w14:paraId="2BD87E70" w14:textId="77777777" w:rsidR="00E82880" w:rsidRPr="00797C2C" w:rsidRDefault="00312E6D" w:rsidP="00B227B6">
      <w:pPr>
        <w:spacing w:before="60" w:after="80" w:line="360" w:lineRule="auto"/>
        <w:jc w:val="both"/>
        <w:rPr>
          <w:sz w:val="24"/>
          <w:szCs w:val="24"/>
        </w:rPr>
      </w:pPr>
      <w:proofErr w:type="spellStart"/>
      <w:r w:rsidRPr="00797C2C">
        <w:rPr>
          <w:rFonts w:ascii="Times New Roman" w:eastAsia="Times New Roman" w:hAnsi="Times New Roman" w:cs="Times New Roman"/>
          <w:sz w:val="24"/>
          <w:szCs w:val="24"/>
        </w:rPr>
        <w:t>Floridi</w:t>
      </w:r>
      <w:proofErr w:type="spellEnd"/>
      <w:r w:rsidRPr="00797C2C">
        <w:rPr>
          <w:rFonts w:ascii="Times New Roman" w:eastAsia="Times New Roman" w:hAnsi="Times New Roman" w:cs="Times New Roman"/>
          <w:sz w:val="24"/>
          <w:szCs w:val="24"/>
        </w:rPr>
        <w:t xml:space="preserve">, L., Cowls, J., </w:t>
      </w:r>
      <w:proofErr w:type="spellStart"/>
      <w:r w:rsidRPr="00797C2C">
        <w:rPr>
          <w:rFonts w:ascii="Times New Roman" w:eastAsia="Times New Roman" w:hAnsi="Times New Roman" w:cs="Times New Roman"/>
          <w:sz w:val="24"/>
          <w:szCs w:val="24"/>
        </w:rPr>
        <w:t>Beltrametti</w:t>
      </w:r>
      <w:proofErr w:type="spellEnd"/>
      <w:r w:rsidRPr="00797C2C">
        <w:rPr>
          <w:rFonts w:ascii="Times New Roman" w:eastAsia="Times New Roman" w:hAnsi="Times New Roman" w:cs="Times New Roman"/>
          <w:sz w:val="24"/>
          <w:szCs w:val="24"/>
        </w:rPr>
        <w:t xml:space="preserve">, M., Chatila, R., </w:t>
      </w:r>
      <w:proofErr w:type="spellStart"/>
      <w:r w:rsidRPr="00797C2C">
        <w:rPr>
          <w:rFonts w:ascii="Times New Roman" w:eastAsia="Times New Roman" w:hAnsi="Times New Roman" w:cs="Times New Roman"/>
          <w:sz w:val="24"/>
          <w:szCs w:val="24"/>
        </w:rPr>
        <w:t>Chazerand</w:t>
      </w:r>
      <w:proofErr w:type="spellEnd"/>
      <w:r w:rsidRPr="00797C2C">
        <w:rPr>
          <w:rFonts w:ascii="Times New Roman" w:eastAsia="Times New Roman" w:hAnsi="Times New Roman" w:cs="Times New Roman"/>
          <w:sz w:val="24"/>
          <w:szCs w:val="24"/>
        </w:rPr>
        <w:t xml:space="preserve">, P., Dignum, V., Luetge, C., Madelin, R., </w:t>
      </w:r>
      <w:proofErr w:type="spellStart"/>
      <w:r w:rsidRPr="00797C2C">
        <w:rPr>
          <w:rFonts w:ascii="Times New Roman" w:eastAsia="Times New Roman" w:hAnsi="Times New Roman" w:cs="Times New Roman"/>
          <w:sz w:val="24"/>
          <w:szCs w:val="24"/>
        </w:rPr>
        <w:t>Pagallo</w:t>
      </w:r>
      <w:proofErr w:type="spellEnd"/>
      <w:r w:rsidRPr="00797C2C">
        <w:rPr>
          <w:rFonts w:ascii="Times New Roman" w:eastAsia="Times New Roman" w:hAnsi="Times New Roman" w:cs="Times New Roman"/>
          <w:sz w:val="24"/>
          <w:szCs w:val="24"/>
        </w:rPr>
        <w:t xml:space="preserve">, U., Rossi, F., Schafer, B., Valcke, P. and </w:t>
      </w:r>
      <w:proofErr w:type="spellStart"/>
      <w:r w:rsidRPr="00797C2C">
        <w:rPr>
          <w:rFonts w:ascii="Times New Roman" w:eastAsia="Times New Roman" w:hAnsi="Times New Roman" w:cs="Times New Roman"/>
          <w:sz w:val="24"/>
          <w:szCs w:val="24"/>
        </w:rPr>
        <w:t>Vayena</w:t>
      </w:r>
      <w:proofErr w:type="spellEnd"/>
      <w:r w:rsidRPr="00797C2C">
        <w:rPr>
          <w:rFonts w:ascii="Times New Roman" w:eastAsia="Times New Roman" w:hAnsi="Times New Roman" w:cs="Times New Roman"/>
          <w:sz w:val="24"/>
          <w:szCs w:val="24"/>
        </w:rPr>
        <w:t>, E. (2018) 'AI4People — An Ethical Framework for a Good AI Society: Opportunities, Risks, Principles, and Recommendations', Minds and Machines, 28(4), pp.689–707. doi:10.1007/s11023-018-9482-5.</w:t>
      </w:r>
    </w:p>
    <w:p w14:paraId="2B776A8D"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Forcier, M.B., Gallois, H., Mullan, S. and Joly, Y. (2019) 'Integrating artificial intelligence into health care through data access: can the GDPR act as a beacon for policymakers?', Journal of Law and the Biosciences, 6(1), pp.317–335. </w:t>
      </w:r>
      <w:proofErr w:type="spellStart"/>
      <w:r w:rsidRPr="00797C2C">
        <w:rPr>
          <w:rFonts w:ascii="Times New Roman" w:eastAsia="Times New Roman" w:hAnsi="Times New Roman" w:cs="Times New Roman"/>
          <w:sz w:val="24"/>
          <w:szCs w:val="24"/>
        </w:rPr>
        <w:t>doi:10.1093</w:t>
      </w:r>
      <w:proofErr w:type="spellEnd"/>
      <w:r w:rsidRPr="00797C2C">
        <w:rPr>
          <w:rFonts w:ascii="Times New Roman" w:eastAsia="Times New Roman" w:hAnsi="Times New Roman" w:cs="Times New Roman"/>
          <w:sz w:val="24"/>
          <w:szCs w:val="24"/>
        </w:rPr>
        <w:t>/</w:t>
      </w:r>
      <w:proofErr w:type="spellStart"/>
      <w:r w:rsidRPr="00797C2C">
        <w:rPr>
          <w:rFonts w:ascii="Times New Roman" w:eastAsia="Times New Roman" w:hAnsi="Times New Roman" w:cs="Times New Roman"/>
          <w:sz w:val="24"/>
          <w:szCs w:val="24"/>
        </w:rPr>
        <w:t>jlb</w:t>
      </w:r>
      <w:proofErr w:type="spellEnd"/>
      <w:r w:rsidRPr="00797C2C">
        <w:rPr>
          <w:rFonts w:ascii="Times New Roman" w:eastAsia="Times New Roman" w:hAnsi="Times New Roman" w:cs="Times New Roman"/>
          <w:sz w:val="24"/>
          <w:szCs w:val="24"/>
        </w:rPr>
        <w:t>/</w:t>
      </w:r>
      <w:proofErr w:type="spellStart"/>
      <w:r w:rsidRPr="00797C2C">
        <w:rPr>
          <w:rFonts w:ascii="Times New Roman" w:eastAsia="Times New Roman" w:hAnsi="Times New Roman" w:cs="Times New Roman"/>
          <w:sz w:val="24"/>
          <w:szCs w:val="24"/>
        </w:rPr>
        <w:t>lsz013</w:t>
      </w:r>
      <w:proofErr w:type="spellEnd"/>
      <w:r w:rsidRPr="00797C2C">
        <w:rPr>
          <w:rFonts w:ascii="Times New Roman" w:eastAsia="Times New Roman" w:hAnsi="Times New Roman" w:cs="Times New Roman"/>
          <w:sz w:val="24"/>
          <w:szCs w:val="24"/>
        </w:rPr>
        <w:t>.</w:t>
      </w:r>
    </w:p>
    <w:p w14:paraId="1F3F713A" w14:textId="32A719A4"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GSK plc (2023) Annual Report and Form 20-F 2023. Available at: </w:t>
      </w:r>
      <w:hyperlink r:id="rId10" w:history="1">
        <w:r w:rsidR="00BE7A93" w:rsidRPr="00797C2C">
          <w:rPr>
            <w:rStyle w:val="Hyperlink"/>
            <w:sz w:val="24"/>
            <w:szCs w:val="24"/>
          </w:rPr>
          <w:t>https://www.sec.gov/Archives/edgar/data/0001131399/000113139924000007/gsk-20231231.htm</w:t>
        </w:r>
      </w:hyperlink>
      <w:r w:rsidR="00BE7A93" w:rsidRPr="00797C2C">
        <w:rPr>
          <w:sz w:val="24"/>
          <w:szCs w:val="24"/>
        </w:rPr>
        <w:t xml:space="preserve"> </w:t>
      </w:r>
    </w:p>
    <w:p w14:paraId="5FE774EB" w14:textId="1FDFDE2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GSK plc (2024) Annual Report and Form 20-F 2024. Available at: </w:t>
      </w:r>
      <w:hyperlink r:id="rId11" w:history="1">
        <w:r w:rsidR="00BE7A93" w:rsidRPr="00797C2C">
          <w:rPr>
            <w:rStyle w:val="Hyperlink"/>
            <w:sz w:val="24"/>
            <w:szCs w:val="24"/>
          </w:rPr>
          <w:t>https://www.sec.gov/Archives/edgar/data/0001131399/000113139925000007/gsk-20241231.htm</w:t>
        </w:r>
      </w:hyperlink>
      <w:r w:rsidR="00BE7A93" w:rsidRPr="00797C2C">
        <w:rPr>
          <w:sz w:val="24"/>
          <w:szCs w:val="24"/>
        </w:rPr>
        <w:t xml:space="preserve"> </w:t>
      </w:r>
    </w:p>
    <w:p w14:paraId="4D7D33B6" w14:textId="1F83511A"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GSK plc (2024) ESG Performance Report 2024. Available at: </w:t>
      </w:r>
      <w:hyperlink r:id="rId12" w:history="1">
        <w:r w:rsidR="00BE7A93" w:rsidRPr="00797C2C">
          <w:rPr>
            <w:rStyle w:val="Hyperlink"/>
            <w:sz w:val="24"/>
            <w:szCs w:val="24"/>
          </w:rPr>
          <w:t>https://www.gsk.com/en-gb/responsibility/reporting-and-policies/esg-performance-report/</w:t>
        </w:r>
      </w:hyperlink>
      <w:r w:rsidR="00BE7A93" w:rsidRPr="00797C2C">
        <w:rPr>
          <w:sz w:val="24"/>
          <w:szCs w:val="24"/>
        </w:rPr>
        <w:t xml:space="preserve"> </w:t>
      </w:r>
    </w:p>
    <w:p w14:paraId="5735ACE0"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Gupta, K. (2024) 'Transforming Healthcare: The Role of Artificial Intelligence in </w:t>
      </w:r>
      <w:proofErr w:type="spellStart"/>
      <w:r w:rsidRPr="00797C2C">
        <w:rPr>
          <w:rFonts w:ascii="Times New Roman" w:eastAsia="Times New Roman" w:hAnsi="Times New Roman" w:cs="Times New Roman"/>
          <w:sz w:val="24"/>
          <w:szCs w:val="24"/>
        </w:rPr>
        <w:t>Revolutionising</w:t>
      </w:r>
      <w:proofErr w:type="spellEnd"/>
      <w:r w:rsidRPr="00797C2C">
        <w:rPr>
          <w:rFonts w:ascii="Times New Roman" w:eastAsia="Times New Roman" w:hAnsi="Times New Roman" w:cs="Times New Roman"/>
          <w:sz w:val="24"/>
          <w:szCs w:val="24"/>
        </w:rPr>
        <w:t xml:space="preserve"> Patient Care', Medical Management Journal, I(4). doi:10.62830/mmj1-04-6a.</w:t>
      </w:r>
    </w:p>
    <w:p w14:paraId="4135EC76"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Hofstede, G. (2001) Culture's Consequences: Comparing Values, Behaviors, Institutions, and Organizations across Nations. 2nd </w:t>
      </w:r>
      <w:proofErr w:type="spellStart"/>
      <w:r w:rsidRPr="00797C2C">
        <w:rPr>
          <w:rFonts w:ascii="Times New Roman" w:eastAsia="Times New Roman" w:hAnsi="Times New Roman" w:cs="Times New Roman"/>
          <w:sz w:val="24"/>
          <w:szCs w:val="24"/>
        </w:rPr>
        <w:t>edn</w:t>
      </w:r>
      <w:proofErr w:type="spellEnd"/>
      <w:r w:rsidRPr="00797C2C">
        <w:rPr>
          <w:rFonts w:ascii="Times New Roman" w:eastAsia="Times New Roman" w:hAnsi="Times New Roman" w:cs="Times New Roman"/>
          <w:sz w:val="24"/>
          <w:szCs w:val="24"/>
        </w:rPr>
        <w:t>. London: Sage Publications.</w:t>
      </w:r>
    </w:p>
    <w:p w14:paraId="4CBD3199" w14:textId="77777777" w:rsidR="00E82880" w:rsidRPr="00797C2C" w:rsidRDefault="00312E6D" w:rsidP="00B227B6">
      <w:pPr>
        <w:spacing w:before="60" w:after="80" w:line="360" w:lineRule="auto"/>
        <w:jc w:val="both"/>
        <w:rPr>
          <w:sz w:val="24"/>
          <w:szCs w:val="24"/>
        </w:rPr>
      </w:pPr>
      <w:proofErr w:type="spellStart"/>
      <w:r w:rsidRPr="00797C2C">
        <w:rPr>
          <w:rFonts w:ascii="Times New Roman" w:eastAsia="Times New Roman" w:hAnsi="Times New Roman" w:cs="Times New Roman"/>
          <w:sz w:val="24"/>
          <w:szCs w:val="24"/>
        </w:rPr>
        <w:t>Iansiti</w:t>
      </w:r>
      <w:proofErr w:type="spellEnd"/>
      <w:r w:rsidRPr="00797C2C">
        <w:rPr>
          <w:rFonts w:ascii="Times New Roman" w:eastAsia="Times New Roman" w:hAnsi="Times New Roman" w:cs="Times New Roman"/>
          <w:sz w:val="24"/>
          <w:szCs w:val="24"/>
        </w:rPr>
        <w:t>, M. and Lakhani, K.R. (2020) Competing in the Age of AI: Strategy and Leadership When Algorithms and Networks Run the World. Boston: Harvard Business Review Press.</w:t>
      </w:r>
    </w:p>
    <w:p w14:paraId="1124A668"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Kant, S., Deepika and Roy, S. (2025) 'Artificial intelligence in drug discovery and development: transforming challenges into opportunities', Discover Pharmaceutical Sciences, 1(1). doi:10.1007/s44395-025-00007-3.</w:t>
      </w:r>
    </w:p>
    <w:p w14:paraId="07B8176F" w14:textId="09C56A79"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Medicines and Healthcare products Regulatory Agency (2023) Software and AI as a Medical Device Change </w:t>
      </w:r>
      <w:proofErr w:type="spellStart"/>
      <w:r w:rsidRPr="00797C2C">
        <w:rPr>
          <w:rFonts w:ascii="Times New Roman" w:eastAsia="Times New Roman" w:hAnsi="Times New Roman" w:cs="Times New Roman"/>
          <w:sz w:val="24"/>
          <w:szCs w:val="24"/>
        </w:rPr>
        <w:t>Programme</w:t>
      </w:r>
      <w:proofErr w:type="spellEnd"/>
      <w:r w:rsidRPr="00797C2C">
        <w:rPr>
          <w:rFonts w:ascii="Times New Roman" w:eastAsia="Times New Roman" w:hAnsi="Times New Roman" w:cs="Times New Roman"/>
          <w:sz w:val="24"/>
          <w:szCs w:val="24"/>
        </w:rPr>
        <w:t xml:space="preserve">. London: MHRA. Available at: </w:t>
      </w:r>
      <w:hyperlink r:id="rId13" w:history="1">
        <w:r w:rsidR="00BE7A93" w:rsidRPr="00797C2C">
          <w:rPr>
            <w:rStyle w:val="Hyperlink"/>
            <w:sz w:val="24"/>
            <w:szCs w:val="24"/>
          </w:rPr>
          <w:t>https://www.gov.uk/government/publications/software-and-ai-as-a-medical-device-change-programme</w:t>
        </w:r>
      </w:hyperlink>
      <w:r w:rsidR="00BE7A93" w:rsidRPr="00797C2C">
        <w:rPr>
          <w:sz w:val="24"/>
          <w:szCs w:val="24"/>
        </w:rPr>
        <w:t xml:space="preserve"> </w:t>
      </w:r>
    </w:p>
    <w:p w14:paraId="3C67B260"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Mittelstadt, B.D., </w:t>
      </w:r>
      <w:proofErr w:type="spellStart"/>
      <w:r w:rsidRPr="00797C2C">
        <w:rPr>
          <w:rFonts w:ascii="Times New Roman" w:eastAsia="Times New Roman" w:hAnsi="Times New Roman" w:cs="Times New Roman"/>
          <w:sz w:val="24"/>
          <w:szCs w:val="24"/>
        </w:rPr>
        <w:t>Allo</w:t>
      </w:r>
      <w:proofErr w:type="spellEnd"/>
      <w:r w:rsidRPr="00797C2C">
        <w:rPr>
          <w:rFonts w:ascii="Times New Roman" w:eastAsia="Times New Roman" w:hAnsi="Times New Roman" w:cs="Times New Roman"/>
          <w:sz w:val="24"/>
          <w:szCs w:val="24"/>
        </w:rPr>
        <w:t xml:space="preserve">, P., Taddeo, M., Wachter, S. and </w:t>
      </w:r>
      <w:proofErr w:type="spellStart"/>
      <w:r w:rsidRPr="00797C2C">
        <w:rPr>
          <w:rFonts w:ascii="Times New Roman" w:eastAsia="Times New Roman" w:hAnsi="Times New Roman" w:cs="Times New Roman"/>
          <w:sz w:val="24"/>
          <w:szCs w:val="24"/>
        </w:rPr>
        <w:t>Floridi</w:t>
      </w:r>
      <w:proofErr w:type="spellEnd"/>
      <w:r w:rsidRPr="00797C2C">
        <w:rPr>
          <w:rFonts w:ascii="Times New Roman" w:eastAsia="Times New Roman" w:hAnsi="Times New Roman" w:cs="Times New Roman"/>
          <w:sz w:val="24"/>
          <w:szCs w:val="24"/>
        </w:rPr>
        <w:t>, L. (2016) 'The Ethics of Algorithms: Mapping the Debate', Big Data and Society, 3(2), pp.1–21. doi:10.1177/2053951716679679.</w:t>
      </w:r>
    </w:p>
    <w:p w14:paraId="7132D76D"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Morley, J., Machado, C.C.V., Burr, C., Cowls, J., Joshi, I., Taddeo, M. and </w:t>
      </w:r>
      <w:proofErr w:type="spellStart"/>
      <w:r w:rsidRPr="00797C2C">
        <w:rPr>
          <w:rFonts w:ascii="Times New Roman" w:eastAsia="Times New Roman" w:hAnsi="Times New Roman" w:cs="Times New Roman"/>
          <w:sz w:val="24"/>
          <w:szCs w:val="24"/>
        </w:rPr>
        <w:t>Floridi</w:t>
      </w:r>
      <w:proofErr w:type="spellEnd"/>
      <w:r w:rsidRPr="00797C2C">
        <w:rPr>
          <w:rFonts w:ascii="Times New Roman" w:eastAsia="Times New Roman" w:hAnsi="Times New Roman" w:cs="Times New Roman"/>
          <w:sz w:val="24"/>
          <w:szCs w:val="24"/>
        </w:rPr>
        <w:t>, L. (2020) 'The ethics of AI in health care: A mapping review', Social Science and Medicine, 260(113172), p.113172. doi:10.1016/j.socscimed.2020.113172.</w:t>
      </w:r>
    </w:p>
    <w:p w14:paraId="467F6689"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Mourya, A., Jobanputra, B. and Pai, R. (2024) 'AI-powered clinical trials and the imperative for regulatory transparency and accountability', Health and Technology. doi:10.1007/s12553-024-00904-0.</w:t>
      </w:r>
    </w:p>
    <w:p w14:paraId="208D6C04"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Nazer, L., </w:t>
      </w:r>
      <w:proofErr w:type="spellStart"/>
      <w:r w:rsidRPr="00797C2C">
        <w:rPr>
          <w:rFonts w:ascii="Times New Roman" w:eastAsia="Times New Roman" w:hAnsi="Times New Roman" w:cs="Times New Roman"/>
          <w:sz w:val="24"/>
          <w:szCs w:val="24"/>
        </w:rPr>
        <w:t>Zatarah</w:t>
      </w:r>
      <w:proofErr w:type="spellEnd"/>
      <w:r w:rsidRPr="00797C2C">
        <w:rPr>
          <w:rFonts w:ascii="Times New Roman" w:eastAsia="Times New Roman" w:hAnsi="Times New Roman" w:cs="Times New Roman"/>
          <w:sz w:val="24"/>
          <w:szCs w:val="24"/>
        </w:rPr>
        <w:t xml:space="preserve">, R., Waldrip, S., Janny, </w:t>
      </w:r>
      <w:proofErr w:type="spellStart"/>
      <w:r w:rsidRPr="00797C2C">
        <w:rPr>
          <w:rFonts w:ascii="Times New Roman" w:eastAsia="Times New Roman" w:hAnsi="Times New Roman" w:cs="Times New Roman"/>
          <w:sz w:val="24"/>
          <w:szCs w:val="24"/>
        </w:rPr>
        <w:t>X.C.K</w:t>
      </w:r>
      <w:proofErr w:type="spellEnd"/>
      <w:r w:rsidRPr="00797C2C">
        <w:rPr>
          <w:rFonts w:ascii="Times New Roman" w:eastAsia="Times New Roman" w:hAnsi="Times New Roman" w:cs="Times New Roman"/>
          <w:sz w:val="24"/>
          <w:szCs w:val="24"/>
        </w:rPr>
        <w:t xml:space="preserve">., </w:t>
      </w:r>
      <w:proofErr w:type="spellStart"/>
      <w:r w:rsidRPr="00797C2C">
        <w:rPr>
          <w:rFonts w:ascii="Times New Roman" w:eastAsia="Times New Roman" w:hAnsi="Times New Roman" w:cs="Times New Roman"/>
          <w:sz w:val="24"/>
          <w:szCs w:val="24"/>
        </w:rPr>
        <w:t>Moukheiber</w:t>
      </w:r>
      <w:proofErr w:type="spellEnd"/>
      <w:r w:rsidRPr="00797C2C">
        <w:rPr>
          <w:rFonts w:ascii="Times New Roman" w:eastAsia="Times New Roman" w:hAnsi="Times New Roman" w:cs="Times New Roman"/>
          <w:sz w:val="24"/>
          <w:szCs w:val="24"/>
        </w:rPr>
        <w:t xml:space="preserve">, M., Khanna, A.K., Hicklen, R.S., </w:t>
      </w:r>
      <w:proofErr w:type="spellStart"/>
      <w:r w:rsidRPr="00797C2C">
        <w:rPr>
          <w:rFonts w:ascii="Times New Roman" w:eastAsia="Times New Roman" w:hAnsi="Times New Roman" w:cs="Times New Roman"/>
          <w:sz w:val="24"/>
          <w:szCs w:val="24"/>
        </w:rPr>
        <w:t>Moukheiber</w:t>
      </w:r>
      <w:proofErr w:type="spellEnd"/>
      <w:r w:rsidRPr="00797C2C">
        <w:rPr>
          <w:rFonts w:ascii="Times New Roman" w:eastAsia="Times New Roman" w:hAnsi="Times New Roman" w:cs="Times New Roman"/>
          <w:sz w:val="24"/>
          <w:szCs w:val="24"/>
        </w:rPr>
        <w:t xml:space="preserve">, L., </w:t>
      </w:r>
      <w:proofErr w:type="spellStart"/>
      <w:r w:rsidRPr="00797C2C">
        <w:rPr>
          <w:rFonts w:ascii="Times New Roman" w:eastAsia="Times New Roman" w:hAnsi="Times New Roman" w:cs="Times New Roman"/>
          <w:sz w:val="24"/>
          <w:szCs w:val="24"/>
        </w:rPr>
        <w:t>Moukheiber</w:t>
      </w:r>
      <w:proofErr w:type="spellEnd"/>
      <w:r w:rsidRPr="00797C2C">
        <w:rPr>
          <w:rFonts w:ascii="Times New Roman" w:eastAsia="Times New Roman" w:hAnsi="Times New Roman" w:cs="Times New Roman"/>
          <w:sz w:val="24"/>
          <w:szCs w:val="24"/>
        </w:rPr>
        <w:t>, D., Ma, H. and Mathur, P. (2023) 'Bias in artificial intelligence algorithms and recommendations for mitigation', PLOS Digital Health, 2(6), pp.e0000278–e0000278. doi:10.1371/journal.pdig.0000278.</w:t>
      </w:r>
    </w:p>
    <w:p w14:paraId="6C758B8D"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Niazi, S.K. and Mariam, Z. (2025) 'Artificial intelligence in drug development: reshaping the therapeutic landscape', Therapeutic Advances in Drug Safety, 16. doi:10.1177/20420986251321704.</w:t>
      </w:r>
    </w:p>
    <w:p w14:paraId="74777F9A"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Nica, I., </w:t>
      </w:r>
      <w:proofErr w:type="spellStart"/>
      <w:r w:rsidRPr="00797C2C">
        <w:rPr>
          <w:rFonts w:ascii="Times New Roman" w:eastAsia="Times New Roman" w:hAnsi="Times New Roman" w:cs="Times New Roman"/>
          <w:sz w:val="24"/>
          <w:szCs w:val="24"/>
        </w:rPr>
        <w:t>Chiriță</w:t>
      </w:r>
      <w:proofErr w:type="spellEnd"/>
      <w:r w:rsidRPr="00797C2C">
        <w:rPr>
          <w:rFonts w:ascii="Times New Roman" w:eastAsia="Times New Roman" w:hAnsi="Times New Roman" w:cs="Times New Roman"/>
          <w:sz w:val="24"/>
          <w:szCs w:val="24"/>
        </w:rPr>
        <w:t>, N. and Georgescu, I. (2025) 'Triple Bottom Line in Sustainable Development: A Comprehensive Bibliometric Analysis', Sustainability, 17(5), p.1932. doi:10.3390/su17051932.</w:t>
      </w:r>
    </w:p>
    <w:p w14:paraId="27673FFE"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Obermeyer, Z., Powers, B., Vogeli, C. and Mullainathan, S. (2019) 'Dissecting Racial Bias in an Algorithm Used to Manage the Health of Populations', Science, 366(6464), pp.447–453. doi:10.1126/science.aax2342.</w:t>
      </w:r>
    </w:p>
    <w:p w14:paraId="316796AE"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Pham, T. (2025) 'Ethical and legal considerations in healthcare AI: innovation and policy for safe and fair use', Royal Society Open Science, 12(5). doi:10.1098/rsos.241873.</w:t>
      </w:r>
    </w:p>
    <w:p w14:paraId="6E0C6128"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Porter, M.E. (1979) 'How Competitive Forces Shape Strategy', Harvard Business Review, 57(2), pp.137–145.</w:t>
      </w:r>
    </w:p>
    <w:p w14:paraId="6BF83477" w14:textId="77777777" w:rsidR="00E82880" w:rsidRPr="00797C2C" w:rsidRDefault="00312E6D" w:rsidP="00B227B6">
      <w:pPr>
        <w:spacing w:before="60" w:after="80" w:line="360" w:lineRule="auto"/>
        <w:jc w:val="both"/>
        <w:rPr>
          <w:sz w:val="24"/>
          <w:szCs w:val="24"/>
        </w:rPr>
      </w:pPr>
      <w:proofErr w:type="spellStart"/>
      <w:r w:rsidRPr="00797C2C">
        <w:rPr>
          <w:rFonts w:ascii="Times New Roman" w:eastAsia="Times New Roman" w:hAnsi="Times New Roman" w:cs="Times New Roman"/>
          <w:sz w:val="24"/>
          <w:szCs w:val="24"/>
        </w:rPr>
        <w:t>Pushpakom</w:t>
      </w:r>
      <w:proofErr w:type="spellEnd"/>
      <w:r w:rsidRPr="00797C2C">
        <w:rPr>
          <w:rFonts w:ascii="Times New Roman" w:eastAsia="Times New Roman" w:hAnsi="Times New Roman" w:cs="Times New Roman"/>
          <w:sz w:val="24"/>
          <w:szCs w:val="24"/>
        </w:rPr>
        <w:t xml:space="preserve">, S., Iorio, F., Eyers, P.A., Escott, K.J., Hopper, S., Wells, A., Doig, A., Guilliams, T., Latimer, J., McNamee, C., Norris, A., </w:t>
      </w:r>
      <w:proofErr w:type="spellStart"/>
      <w:r w:rsidRPr="00797C2C">
        <w:rPr>
          <w:rFonts w:ascii="Times New Roman" w:eastAsia="Times New Roman" w:hAnsi="Times New Roman" w:cs="Times New Roman"/>
          <w:sz w:val="24"/>
          <w:szCs w:val="24"/>
        </w:rPr>
        <w:t>Sanseau</w:t>
      </w:r>
      <w:proofErr w:type="spellEnd"/>
      <w:r w:rsidRPr="00797C2C">
        <w:rPr>
          <w:rFonts w:ascii="Times New Roman" w:eastAsia="Times New Roman" w:hAnsi="Times New Roman" w:cs="Times New Roman"/>
          <w:sz w:val="24"/>
          <w:szCs w:val="24"/>
        </w:rPr>
        <w:t xml:space="preserve">, P., Cavalla, D. and </w:t>
      </w:r>
      <w:proofErr w:type="spellStart"/>
      <w:r w:rsidRPr="00797C2C">
        <w:rPr>
          <w:rFonts w:ascii="Times New Roman" w:eastAsia="Times New Roman" w:hAnsi="Times New Roman" w:cs="Times New Roman"/>
          <w:sz w:val="24"/>
          <w:szCs w:val="24"/>
        </w:rPr>
        <w:t>Pirmohamed</w:t>
      </w:r>
      <w:proofErr w:type="spellEnd"/>
      <w:r w:rsidRPr="00797C2C">
        <w:rPr>
          <w:rFonts w:ascii="Times New Roman" w:eastAsia="Times New Roman" w:hAnsi="Times New Roman" w:cs="Times New Roman"/>
          <w:sz w:val="24"/>
          <w:szCs w:val="24"/>
        </w:rPr>
        <w:t xml:space="preserve">, M. (2018) </w:t>
      </w:r>
      <w:r w:rsidRPr="00797C2C">
        <w:rPr>
          <w:rFonts w:ascii="Times New Roman" w:eastAsia="Times New Roman" w:hAnsi="Times New Roman" w:cs="Times New Roman"/>
          <w:sz w:val="24"/>
          <w:szCs w:val="24"/>
        </w:rPr>
        <w:lastRenderedPageBreak/>
        <w:t>'Drug repurposing: progress, challenges and recommendations', Nature Reviews Drug Discovery, 18(1), pp.41–58. doi:10.1038/nrd.2018.168.</w:t>
      </w:r>
    </w:p>
    <w:p w14:paraId="2C0199AA"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Ren, F., </w:t>
      </w:r>
      <w:proofErr w:type="spellStart"/>
      <w:r w:rsidRPr="00797C2C">
        <w:rPr>
          <w:rFonts w:ascii="Times New Roman" w:eastAsia="Times New Roman" w:hAnsi="Times New Roman" w:cs="Times New Roman"/>
          <w:sz w:val="24"/>
          <w:szCs w:val="24"/>
        </w:rPr>
        <w:t>Aliper</w:t>
      </w:r>
      <w:proofErr w:type="spellEnd"/>
      <w:r w:rsidRPr="00797C2C">
        <w:rPr>
          <w:rFonts w:ascii="Times New Roman" w:eastAsia="Times New Roman" w:hAnsi="Times New Roman" w:cs="Times New Roman"/>
          <w:sz w:val="24"/>
          <w:szCs w:val="24"/>
        </w:rPr>
        <w:t>, A., Chen, J., Zhao, H., Udo, C., Fang, Z., Zhao, Q. and Zhavoronkov, A. (2024) 'Beyond boundaries: exploring the transformative power of AI in pharmaceuticals', Discover Artificial Intelligence, 4(1). doi:10.1007/s44163-024-00192-7.</w:t>
      </w:r>
    </w:p>
    <w:p w14:paraId="5470DFE7"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Singh, R., Zhou, K. and Auclair, J.R. (2025) 'Reimagining drug regulation in the age of AI: a framework for the AI-enabled Ecosystem for Therapeutics', Frontiers in Medicine, 12. doi:10.3389/fmed.2025.1679611.</w:t>
      </w:r>
    </w:p>
    <w:p w14:paraId="094A9642" w14:textId="77777777"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Szadeczky, T. and </w:t>
      </w:r>
      <w:proofErr w:type="spellStart"/>
      <w:r w:rsidRPr="00797C2C">
        <w:rPr>
          <w:rFonts w:ascii="Times New Roman" w:eastAsia="Times New Roman" w:hAnsi="Times New Roman" w:cs="Times New Roman"/>
          <w:sz w:val="24"/>
          <w:szCs w:val="24"/>
        </w:rPr>
        <w:t>Bederna</w:t>
      </w:r>
      <w:proofErr w:type="spellEnd"/>
      <w:r w:rsidRPr="00797C2C">
        <w:rPr>
          <w:rFonts w:ascii="Times New Roman" w:eastAsia="Times New Roman" w:hAnsi="Times New Roman" w:cs="Times New Roman"/>
          <w:sz w:val="24"/>
          <w:szCs w:val="24"/>
        </w:rPr>
        <w:t>, Z. (2025) 'Risk, regulation, and governance: evaluating artificial intelligence across diverse application scenarios', Security Journal, 38(1). doi:10.1057/s41284-025-00495-z.</w:t>
      </w:r>
    </w:p>
    <w:p w14:paraId="0D7326B0" w14:textId="7500C398"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Topol, E.J. (2019) 'High-performance medicine: the Convergence of Human and Artificial Intelligence', Nature Medicine, 25(1), pp.44–56. Available at: </w:t>
      </w:r>
      <w:hyperlink r:id="rId14" w:history="1">
        <w:r w:rsidR="00BE7A93" w:rsidRPr="00797C2C">
          <w:rPr>
            <w:rStyle w:val="Hyperlink"/>
            <w:sz w:val="24"/>
            <w:szCs w:val="24"/>
          </w:rPr>
          <w:t>https://www.nature.com/articles/s41591-018-0300-7</w:t>
        </w:r>
      </w:hyperlink>
      <w:r w:rsidR="00BE7A93" w:rsidRPr="00797C2C">
        <w:rPr>
          <w:sz w:val="24"/>
          <w:szCs w:val="24"/>
        </w:rPr>
        <w:t xml:space="preserve"> </w:t>
      </w:r>
    </w:p>
    <w:p w14:paraId="159FF712" w14:textId="759A57CA"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US Food and Drug Administration (2021) Artificial Intelligence/Machine Learning (AI/ML)-Based Software as a Medical Device (SaMD) Action Plan. Silver Spring, MD: FDA. Available at: </w:t>
      </w:r>
      <w:hyperlink r:id="rId15" w:history="1">
        <w:r w:rsidR="00BE7A93" w:rsidRPr="00797C2C">
          <w:rPr>
            <w:rStyle w:val="Hyperlink"/>
            <w:sz w:val="24"/>
            <w:szCs w:val="24"/>
          </w:rPr>
          <w:t>https://www.fda.gov/media/145022/download</w:t>
        </w:r>
      </w:hyperlink>
      <w:r w:rsidR="00BE7A93" w:rsidRPr="00797C2C">
        <w:rPr>
          <w:sz w:val="24"/>
          <w:szCs w:val="24"/>
        </w:rPr>
        <w:t xml:space="preserve"> </w:t>
      </w:r>
    </w:p>
    <w:p w14:paraId="175B5581" w14:textId="2B6C7280"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World Economic Forum (2024) Global Risks Report 2024. Geneva: World Economic Forum. Available at: </w:t>
      </w:r>
      <w:hyperlink r:id="rId16" w:history="1">
        <w:r w:rsidR="00BE7A93" w:rsidRPr="00797C2C">
          <w:rPr>
            <w:rStyle w:val="Hyperlink"/>
            <w:sz w:val="24"/>
            <w:szCs w:val="24"/>
          </w:rPr>
          <w:t>https://www.weforum.org/reports/global-risks-report-2024/</w:t>
        </w:r>
      </w:hyperlink>
      <w:r w:rsidR="00BE7A93" w:rsidRPr="00797C2C">
        <w:rPr>
          <w:sz w:val="24"/>
          <w:szCs w:val="24"/>
        </w:rPr>
        <w:t xml:space="preserve"> </w:t>
      </w:r>
    </w:p>
    <w:p w14:paraId="25EBFD46" w14:textId="7959870E" w:rsidR="00E82880" w:rsidRPr="00797C2C" w:rsidRDefault="00312E6D" w:rsidP="00B227B6">
      <w:pPr>
        <w:spacing w:before="60" w:after="80" w:line="360" w:lineRule="auto"/>
        <w:jc w:val="both"/>
        <w:rPr>
          <w:sz w:val="24"/>
          <w:szCs w:val="24"/>
        </w:rPr>
      </w:pPr>
      <w:r w:rsidRPr="00797C2C">
        <w:rPr>
          <w:rFonts w:ascii="Times New Roman" w:eastAsia="Times New Roman" w:hAnsi="Times New Roman" w:cs="Times New Roman"/>
          <w:sz w:val="24"/>
          <w:szCs w:val="24"/>
        </w:rPr>
        <w:t xml:space="preserve">World Health </w:t>
      </w:r>
      <w:proofErr w:type="spellStart"/>
      <w:r w:rsidRPr="00797C2C">
        <w:rPr>
          <w:rFonts w:ascii="Times New Roman" w:eastAsia="Times New Roman" w:hAnsi="Times New Roman" w:cs="Times New Roman"/>
          <w:sz w:val="24"/>
          <w:szCs w:val="24"/>
        </w:rPr>
        <w:t>Organisation</w:t>
      </w:r>
      <w:proofErr w:type="spellEnd"/>
      <w:r w:rsidRPr="00797C2C">
        <w:rPr>
          <w:rFonts w:ascii="Times New Roman" w:eastAsia="Times New Roman" w:hAnsi="Times New Roman" w:cs="Times New Roman"/>
          <w:sz w:val="24"/>
          <w:szCs w:val="24"/>
        </w:rPr>
        <w:t xml:space="preserve"> (2021) Ethics and Governance of Artificial Intelligence for Health: WHO Guidance. Geneva: WHO. Available at: </w:t>
      </w:r>
      <w:hyperlink r:id="rId17" w:history="1">
        <w:r w:rsidR="00BE7A93" w:rsidRPr="00797C2C">
          <w:rPr>
            <w:rStyle w:val="Hyperlink"/>
            <w:sz w:val="24"/>
            <w:szCs w:val="24"/>
          </w:rPr>
          <w:t>https://www.who.int/publications/i/item/9789240029200</w:t>
        </w:r>
      </w:hyperlink>
      <w:r w:rsidR="00BE7A93" w:rsidRPr="00797C2C">
        <w:rPr>
          <w:sz w:val="24"/>
          <w:szCs w:val="24"/>
        </w:rPr>
        <w:t xml:space="preserve"> </w:t>
      </w:r>
    </w:p>
    <w:sectPr w:rsidR="00E82880" w:rsidRPr="00797C2C">
      <w:footerReference w:type="default" r:id="rId18"/>
      <w:pgSz w:w="11906" w:h="16838"/>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F00DA" w14:textId="77777777" w:rsidR="003A2AB1" w:rsidRDefault="003A2AB1">
      <w:pPr>
        <w:spacing w:before="0" w:after="0" w:line="240" w:lineRule="auto"/>
      </w:pPr>
      <w:r>
        <w:separator/>
      </w:r>
    </w:p>
  </w:endnote>
  <w:endnote w:type="continuationSeparator" w:id="0">
    <w:p w14:paraId="7A2B2C29" w14:textId="77777777" w:rsidR="003A2AB1" w:rsidRDefault="003A2A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47898"/>
      <w:docPartObj>
        <w:docPartGallery w:val="Page Numbers (Bottom of Page)"/>
        <w:docPartUnique/>
      </w:docPartObj>
    </w:sdtPr>
    <w:sdtEndPr>
      <w:rPr>
        <w:noProof/>
        <w:sz w:val="24"/>
        <w:szCs w:val="24"/>
      </w:rPr>
    </w:sdtEndPr>
    <w:sdtContent>
      <w:p w14:paraId="5518DA34" w14:textId="2568A56D" w:rsidR="00797C2C" w:rsidRPr="00811256" w:rsidRDefault="00797C2C" w:rsidP="00811256">
        <w:pPr>
          <w:pStyle w:val="Footer"/>
          <w:jc w:val="center"/>
          <w:rPr>
            <w:sz w:val="24"/>
            <w:szCs w:val="24"/>
          </w:rPr>
        </w:pPr>
        <w:r w:rsidRPr="00811256">
          <w:rPr>
            <w:sz w:val="24"/>
            <w:szCs w:val="24"/>
          </w:rPr>
          <w:fldChar w:fldCharType="begin"/>
        </w:r>
        <w:r w:rsidRPr="00811256">
          <w:rPr>
            <w:sz w:val="24"/>
            <w:szCs w:val="24"/>
          </w:rPr>
          <w:instrText xml:space="preserve"> PAGE   \* MERGEFORMAT </w:instrText>
        </w:r>
        <w:r w:rsidRPr="00811256">
          <w:rPr>
            <w:sz w:val="24"/>
            <w:szCs w:val="24"/>
          </w:rPr>
          <w:fldChar w:fldCharType="separate"/>
        </w:r>
        <w:r w:rsidRPr="00811256">
          <w:rPr>
            <w:noProof/>
            <w:sz w:val="24"/>
            <w:szCs w:val="24"/>
          </w:rPr>
          <w:t>2</w:t>
        </w:r>
        <w:r w:rsidRPr="00811256">
          <w:rPr>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848DC" w14:textId="77777777" w:rsidR="003A2AB1" w:rsidRDefault="003A2AB1">
      <w:pPr>
        <w:spacing w:before="0" w:after="0" w:line="240" w:lineRule="auto"/>
      </w:pPr>
      <w:r>
        <w:separator/>
      </w:r>
    </w:p>
  </w:footnote>
  <w:footnote w:type="continuationSeparator" w:id="0">
    <w:p w14:paraId="38575A19" w14:textId="77777777" w:rsidR="003A2AB1" w:rsidRDefault="003A2AB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7AFF"/>
    <w:multiLevelType w:val="hybridMultilevel"/>
    <w:tmpl w:val="8CA63F2E"/>
    <w:lvl w:ilvl="0" w:tplc="0CB614FE">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95238F7"/>
    <w:multiLevelType w:val="hybridMultilevel"/>
    <w:tmpl w:val="1A06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A658ED"/>
    <w:multiLevelType w:val="hybridMultilevel"/>
    <w:tmpl w:val="8518819C"/>
    <w:lvl w:ilvl="0" w:tplc="B55E452A">
      <w:start w:val="1"/>
      <w:numFmt w:val="bullet"/>
      <w:lvlText w:val="•"/>
      <w:lvlJc w:val="left"/>
      <w:pPr>
        <w:ind w:left="720" w:hanging="360"/>
      </w:pPr>
    </w:lvl>
    <w:lvl w:ilvl="1" w:tplc="D744073C">
      <w:numFmt w:val="decimal"/>
      <w:lvlText w:val=""/>
      <w:lvlJc w:val="left"/>
    </w:lvl>
    <w:lvl w:ilvl="2" w:tplc="C53AF0B8">
      <w:numFmt w:val="decimal"/>
      <w:lvlText w:val=""/>
      <w:lvlJc w:val="left"/>
    </w:lvl>
    <w:lvl w:ilvl="3" w:tplc="601CACB8">
      <w:numFmt w:val="decimal"/>
      <w:lvlText w:val=""/>
      <w:lvlJc w:val="left"/>
    </w:lvl>
    <w:lvl w:ilvl="4" w:tplc="8508F754">
      <w:numFmt w:val="decimal"/>
      <w:lvlText w:val=""/>
      <w:lvlJc w:val="left"/>
    </w:lvl>
    <w:lvl w:ilvl="5" w:tplc="E8F23BB2">
      <w:numFmt w:val="decimal"/>
      <w:lvlText w:val=""/>
      <w:lvlJc w:val="left"/>
    </w:lvl>
    <w:lvl w:ilvl="6" w:tplc="7C12572C">
      <w:numFmt w:val="decimal"/>
      <w:lvlText w:val=""/>
      <w:lvlJc w:val="left"/>
    </w:lvl>
    <w:lvl w:ilvl="7" w:tplc="998AE43C">
      <w:numFmt w:val="decimal"/>
      <w:lvlText w:val=""/>
      <w:lvlJc w:val="left"/>
    </w:lvl>
    <w:lvl w:ilvl="8" w:tplc="94807C74">
      <w:numFmt w:val="decimal"/>
      <w:lvlText w:val=""/>
      <w:lvlJc w:val="left"/>
    </w:lvl>
  </w:abstractNum>
  <w:abstractNum w:abstractNumId="3" w15:restartNumberingAfterBreak="0">
    <w:nsid w:val="287A033C"/>
    <w:multiLevelType w:val="hybridMultilevel"/>
    <w:tmpl w:val="87761D22"/>
    <w:lvl w:ilvl="0" w:tplc="0CB614FE">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2ADC731F"/>
    <w:multiLevelType w:val="hybridMultilevel"/>
    <w:tmpl w:val="7F0A36E0"/>
    <w:lvl w:ilvl="0" w:tplc="973EBB7E">
      <w:start w:val="1"/>
      <w:numFmt w:val="decimal"/>
      <w:lvlText w:val="%1."/>
      <w:lvlJc w:val="left"/>
      <w:pPr>
        <w:ind w:left="720" w:hanging="360"/>
      </w:pPr>
    </w:lvl>
    <w:lvl w:ilvl="1" w:tplc="7942638E">
      <w:numFmt w:val="decimal"/>
      <w:lvlText w:val=""/>
      <w:lvlJc w:val="left"/>
    </w:lvl>
    <w:lvl w:ilvl="2" w:tplc="B14A11D4">
      <w:numFmt w:val="decimal"/>
      <w:lvlText w:val=""/>
      <w:lvlJc w:val="left"/>
    </w:lvl>
    <w:lvl w:ilvl="3" w:tplc="4E2ECFD0">
      <w:numFmt w:val="decimal"/>
      <w:lvlText w:val=""/>
      <w:lvlJc w:val="left"/>
    </w:lvl>
    <w:lvl w:ilvl="4" w:tplc="F8822A46">
      <w:numFmt w:val="decimal"/>
      <w:lvlText w:val=""/>
      <w:lvlJc w:val="left"/>
    </w:lvl>
    <w:lvl w:ilvl="5" w:tplc="35BAA6B0">
      <w:numFmt w:val="decimal"/>
      <w:lvlText w:val=""/>
      <w:lvlJc w:val="left"/>
    </w:lvl>
    <w:lvl w:ilvl="6" w:tplc="5BA8CA94">
      <w:numFmt w:val="decimal"/>
      <w:lvlText w:val=""/>
      <w:lvlJc w:val="left"/>
    </w:lvl>
    <w:lvl w:ilvl="7" w:tplc="0B983034">
      <w:numFmt w:val="decimal"/>
      <w:lvlText w:val=""/>
      <w:lvlJc w:val="left"/>
    </w:lvl>
    <w:lvl w:ilvl="8" w:tplc="A5BA772E">
      <w:numFmt w:val="decimal"/>
      <w:lvlText w:val=""/>
      <w:lvlJc w:val="left"/>
    </w:lvl>
  </w:abstractNum>
  <w:abstractNum w:abstractNumId="5" w15:restartNumberingAfterBreak="0">
    <w:nsid w:val="39A230CE"/>
    <w:multiLevelType w:val="hybridMultilevel"/>
    <w:tmpl w:val="0CDA50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547B2986"/>
    <w:multiLevelType w:val="hybridMultilevel"/>
    <w:tmpl w:val="CD2A615E"/>
    <w:lvl w:ilvl="0" w:tplc="0CB614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8F7335"/>
    <w:multiLevelType w:val="hybridMultilevel"/>
    <w:tmpl w:val="53206E14"/>
    <w:lvl w:ilvl="0" w:tplc="0CB614FE">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6EF205D3"/>
    <w:multiLevelType w:val="hybridMultilevel"/>
    <w:tmpl w:val="4A4009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B0949F3"/>
    <w:multiLevelType w:val="hybridMultilevel"/>
    <w:tmpl w:val="76A05484"/>
    <w:lvl w:ilvl="0" w:tplc="D2A0F874">
      <w:start w:val="1"/>
      <w:numFmt w:val="bullet"/>
      <w:lvlText w:val="●"/>
      <w:lvlJc w:val="left"/>
      <w:pPr>
        <w:ind w:left="720" w:hanging="360"/>
      </w:pPr>
    </w:lvl>
    <w:lvl w:ilvl="1" w:tplc="168C6ACE">
      <w:start w:val="1"/>
      <w:numFmt w:val="bullet"/>
      <w:lvlText w:val="○"/>
      <w:lvlJc w:val="left"/>
      <w:pPr>
        <w:ind w:left="1440" w:hanging="360"/>
      </w:pPr>
    </w:lvl>
    <w:lvl w:ilvl="2" w:tplc="D8C6A754">
      <w:start w:val="1"/>
      <w:numFmt w:val="bullet"/>
      <w:lvlText w:val="■"/>
      <w:lvlJc w:val="left"/>
      <w:pPr>
        <w:ind w:left="2160" w:hanging="360"/>
      </w:pPr>
    </w:lvl>
    <w:lvl w:ilvl="3" w:tplc="ED7A1AEC">
      <w:start w:val="1"/>
      <w:numFmt w:val="bullet"/>
      <w:lvlText w:val="●"/>
      <w:lvlJc w:val="left"/>
      <w:pPr>
        <w:ind w:left="2880" w:hanging="360"/>
      </w:pPr>
    </w:lvl>
    <w:lvl w:ilvl="4" w:tplc="2F368F0C">
      <w:start w:val="1"/>
      <w:numFmt w:val="bullet"/>
      <w:lvlText w:val="○"/>
      <w:lvlJc w:val="left"/>
      <w:pPr>
        <w:ind w:left="3600" w:hanging="360"/>
      </w:pPr>
    </w:lvl>
    <w:lvl w:ilvl="5" w:tplc="2B1E9766">
      <w:start w:val="1"/>
      <w:numFmt w:val="bullet"/>
      <w:lvlText w:val="■"/>
      <w:lvlJc w:val="left"/>
      <w:pPr>
        <w:ind w:left="4320" w:hanging="360"/>
      </w:pPr>
    </w:lvl>
    <w:lvl w:ilvl="6" w:tplc="90B01408">
      <w:start w:val="1"/>
      <w:numFmt w:val="bullet"/>
      <w:lvlText w:val="●"/>
      <w:lvlJc w:val="left"/>
      <w:pPr>
        <w:ind w:left="5040" w:hanging="360"/>
      </w:pPr>
    </w:lvl>
    <w:lvl w:ilvl="7" w:tplc="DD664BB4">
      <w:start w:val="1"/>
      <w:numFmt w:val="bullet"/>
      <w:lvlText w:val="●"/>
      <w:lvlJc w:val="left"/>
      <w:pPr>
        <w:ind w:left="5760" w:hanging="360"/>
      </w:pPr>
    </w:lvl>
    <w:lvl w:ilvl="8" w:tplc="C20013D8">
      <w:start w:val="1"/>
      <w:numFmt w:val="bullet"/>
      <w:lvlText w:val="●"/>
      <w:lvlJc w:val="left"/>
      <w:pPr>
        <w:ind w:left="6480" w:hanging="360"/>
      </w:pPr>
    </w:lvl>
  </w:abstractNum>
  <w:num w:numId="1">
    <w:abstractNumId w:val="9"/>
    <w:lvlOverride w:ilvl="0">
      <w:startOverride w:val="1"/>
    </w:lvlOverride>
  </w:num>
  <w:num w:numId="2">
    <w:abstractNumId w:val="4"/>
    <w:lvlOverride w:ilvl="0">
      <w:startOverride w:val="1"/>
    </w:lvlOverride>
  </w:num>
  <w:num w:numId="3">
    <w:abstractNumId w:val="1"/>
  </w:num>
  <w:num w:numId="4">
    <w:abstractNumId w:val="6"/>
  </w:num>
  <w:num w:numId="5">
    <w:abstractNumId w:val="0"/>
  </w:num>
  <w:num w:numId="6">
    <w:abstractNumId w:val="8"/>
  </w:num>
  <w:num w:numId="7">
    <w:abstractNumId w:val="7"/>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880"/>
    <w:rsid w:val="001979C2"/>
    <w:rsid w:val="00263437"/>
    <w:rsid w:val="00312E6D"/>
    <w:rsid w:val="00323E2C"/>
    <w:rsid w:val="003A2AB1"/>
    <w:rsid w:val="00417BA9"/>
    <w:rsid w:val="004F4F5B"/>
    <w:rsid w:val="00504511"/>
    <w:rsid w:val="006E4C6E"/>
    <w:rsid w:val="00707A5B"/>
    <w:rsid w:val="00714034"/>
    <w:rsid w:val="00797C2C"/>
    <w:rsid w:val="007D7AE6"/>
    <w:rsid w:val="00811256"/>
    <w:rsid w:val="00980EF6"/>
    <w:rsid w:val="00AD7AEB"/>
    <w:rsid w:val="00B20D67"/>
    <w:rsid w:val="00B227B6"/>
    <w:rsid w:val="00BB0881"/>
    <w:rsid w:val="00BE7A93"/>
    <w:rsid w:val="00D017D4"/>
    <w:rsid w:val="00D465B6"/>
    <w:rsid w:val="00E828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3C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C2C"/>
  </w:style>
  <w:style w:type="paragraph" w:styleId="Heading1">
    <w:name w:val="heading 1"/>
    <w:basedOn w:val="Normal"/>
    <w:next w:val="Normal"/>
    <w:link w:val="Heading1Char"/>
    <w:uiPriority w:val="9"/>
    <w:qFormat/>
    <w:rsid w:val="00797C2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97C2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797C2C"/>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797C2C"/>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797C2C"/>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797C2C"/>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797C2C"/>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797C2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97C2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7C2C"/>
    <w:pPr>
      <w:spacing w:before="0" w:after="0"/>
    </w:pPr>
    <w:rPr>
      <w:rFonts w:asciiTheme="majorHAnsi" w:eastAsiaTheme="majorEastAsia" w:hAnsiTheme="majorHAnsi" w:cstheme="majorBidi"/>
      <w:caps/>
      <w:color w:val="4472C4" w:themeColor="accent1"/>
      <w:spacing w:val="10"/>
      <w:sz w:val="52"/>
      <w:szCs w:val="52"/>
    </w:rPr>
  </w:style>
  <w:style w:type="paragraph" w:customStyle="1" w:styleId="Strong1">
    <w:name w:val="Strong1"/>
    <w:rPr>
      <w:b/>
      <w:bCs/>
    </w:rPr>
  </w:style>
  <w:style w:type="paragraph" w:styleId="ListParagraph">
    <w:name w:val="List Paragraph"/>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E7A93"/>
    <w:pPr>
      <w:tabs>
        <w:tab w:val="center" w:pos="4680"/>
        <w:tab w:val="right" w:pos="9360"/>
      </w:tabs>
    </w:pPr>
  </w:style>
  <w:style w:type="character" w:customStyle="1" w:styleId="HeaderChar">
    <w:name w:val="Header Char"/>
    <w:basedOn w:val="DefaultParagraphFont"/>
    <w:link w:val="Header"/>
    <w:uiPriority w:val="99"/>
    <w:rsid w:val="00BE7A93"/>
  </w:style>
  <w:style w:type="paragraph" w:styleId="Footer">
    <w:name w:val="footer"/>
    <w:basedOn w:val="Normal"/>
    <w:link w:val="FooterChar"/>
    <w:uiPriority w:val="99"/>
    <w:unhideWhenUsed/>
    <w:rsid w:val="00BE7A93"/>
    <w:pPr>
      <w:tabs>
        <w:tab w:val="center" w:pos="4680"/>
        <w:tab w:val="right" w:pos="9360"/>
      </w:tabs>
    </w:pPr>
  </w:style>
  <w:style w:type="character" w:customStyle="1" w:styleId="FooterChar">
    <w:name w:val="Footer Char"/>
    <w:basedOn w:val="DefaultParagraphFont"/>
    <w:link w:val="Footer"/>
    <w:uiPriority w:val="99"/>
    <w:rsid w:val="00BE7A93"/>
  </w:style>
  <w:style w:type="character" w:styleId="UnresolvedMention">
    <w:name w:val="Unresolved Mention"/>
    <w:basedOn w:val="DefaultParagraphFont"/>
    <w:uiPriority w:val="99"/>
    <w:semiHidden/>
    <w:unhideWhenUsed/>
    <w:rsid w:val="00BE7A93"/>
    <w:rPr>
      <w:color w:val="605E5C"/>
      <w:shd w:val="clear" w:color="auto" w:fill="E1DFDD"/>
    </w:rPr>
  </w:style>
  <w:style w:type="character" w:customStyle="1" w:styleId="Heading1Char">
    <w:name w:val="Heading 1 Char"/>
    <w:basedOn w:val="DefaultParagraphFont"/>
    <w:link w:val="Heading1"/>
    <w:uiPriority w:val="9"/>
    <w:rsid w:val="00797C2C"/>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797C2C"/>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797C2C"/>
    <w:rPr>
      <w:caps/>
      <w:color w:val="1F3763" w:themeColor="accent1" w:themeShade="7F"/>
      <w:spacing w:val="15"/>
    </w:rPr>
  </w:style>
  <w:style w:type="character" w:customStyle="1" w:styleId="Heading4Char">
    <w:name w:val="Heading 4 Char"/>
    <w:basedOn w:val="DefaultParagraphFont"/>
    <w:link w:val="Heading4"/>
    <w:uiPriority w:val="9"/>
    <w:semiHidden/>
    <w:rsid w:val="00797C2C"/>
    <w:rPr>
      <w:caps/>
      <w:color w:val="2F5496" w:themeColor="accent1" w:themeShade="BF"/>
      <w:spacing w:val="10"/>
    </w:rPr>
  </w:style>
  <w:style w:type="character" w:customStyle="1" w:styleId="Heading5Char">
    <w:name w:val="Heading 5 Char"/>
    <w:basedOn w:val="DefaultParagraphFont"/>
    <w:link w:val="Heading5"/>
    <w:uiPriority w:val="9"/>
    <w:semiHidden/>
    <w:rsid w:val="00797C2C"/>
    <w:rPr>
      <w:caps/>
      <w:color w:val="2F5496" w:themeColor="accent1" w:themeShade="BF"/>
      <w:spacing w:val="10"/>
    </w:rPr>
  </w:style>
  <w:style w:type="character" w:customStyle="1" w:styleId="Heading6Char">
    <w:name w:val="Heading 6 Char"/>
    <w:basedOn w:val="DefaultParagraphFont"/>
    <w:link w:val="Heading6"/>
    <w:uiPriority w:val="9"/>
    <w:semiHidden/>
    <w:rsid w:val="00797C2C"/>
    <w:rPr>
      <w:caps/>
      <w:color w:val="2F5496" w:themeColor="accent1" w:themeShade="BF"/>
      <w:spacing w:val="10"/>
    </w:rPr>
  </w:style>
  <w:style w:type="character" w:customStyle="1" w:styleId="Heading7Char">
    <w:name w:val="Heading 7 Char"/>
    <w:basedOn w:val="DefaultParagraphFont"/>
    <w:link w:val="Heading7"/>
    <w:uiPriority w:val="9"/>
    <w:semiHidden/>
    <w:rsid w:val="00797C2C"/>
    <w:rPr>
      <w:caps/>
      <w:color w:val="2F5496" w:themeColor="accent1" w:themeShade="BF"/>
      <w:spacing w:val="10"/>
    </w:rPr>
  </w:style>
  <w:style w:type="character" w:customStyle="1" w:styleId="Heading8Char">
    <w:name w:val="Heading 8 Char"/>
    <w:basedOn w:val="DefaultParagraphFont"/>
    <w:link w:val="Heading8"/>
    <w:uiPriority w:val="9"/>
    <w:semiHidden/>
    <w:rsid w:val="00797C2C"/>
    <w:rPr>
      <w:caps/>
      <w:spacing w:val="10"/>
      <w:sz w:val="18"/>
      <w:szCs w:val="18"/>
    </w:rPr>
  </w:style>
  <w:style w:type="character" w:customStyle="1" w:styleId="Heading9Char">
    <w:name w:val="Heading 9 Char"/>
    <w:basedOn w:val="DefaultParagraphFont"/>
    <w:link w:val="Heading9"/>
    <w:uiPriority w:val="9"/>
    <w:semiHidden/>
    <w:rsid w:val="00797C2C"/>
    <w:rPr>
      <w:i/>
      <w:iCs/>
      <w:caps/>
      <w:spacing w:val="10"/>
      <w:sz w:val="18"/>
      <w:szCs w:val="18"/>
    </w:rPr>
  </w:style>
  <w:style w:type="paragraph" w:styleId="Caption">
    <w:name w:val="caption"/>
    <w:basedOn w:val="Normal"/>
    <w:next w:val="Normal"/>
    <w:uiPriority w:val="35"/>
    <w:semiHidden/>
    <w:unhideWhenUsed/>
    <w:qFormat/>
    <w:rsid w:val="00797C2C"/>
    <w:rPr>
      <w:b/>
      <w:bCs/>
      <w:color w:val="2F5496" w:themeColor="accent1" w:themeShade="BF"/>
      <w:sz w:val="16"/>
      <w:szCs w:val="16"/>
    </w:rPr>
  </w:style>
  <w:style w:type="character" w:customStyle="1" w:styleId="TitleChar">
    <w:name w:val="Title Char"/>
    <w:basedOn w:val="DefaultParagraphFont"/>
    <w:link w:val="Title"/>
    <w:uiPriority w:val="10"/>
    <w:rsid w:val="00797C2C"/>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797C2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797C2C"/>
    <w:rPr>
      <w:caps/>
      <w:color w:val="595959" w:themeColor="text1" w:themeTint="A6"/>
      <w:spacing w:val="10"/>
      <w:sz w:val="21"/>
      <w:szCs w:val="21"/>
    </w:rPr>
  </w:style>
  <w:style w:type="character" w:styleId="Strong">
    <w:name w:val="Strong"/>
    <w:uiPriority w:val="22"/>
    <w:qFormat/>
    <w:rsid w:val="00797C2C"/>
    <w:rPr>
      <w:b/>
      <w:bCs/>
    </w:rPr>
  </w:style>
  <w:style w:type="character" w:styleId="Emphasis">
    <w:name w:val="Emphasis"/>
    <w:uiPriority w:val="20"/>
    <w:qFormat/>
    <w:rsid w:val="00797C2C"/>
    <w:rPr>
      <w:caps/>
      <w:color w:val="1F3763" w:themeColor="accent1" w:themeShade="7F"/>
      <w:spacing w:val="5"/>
    </w:rPr>
  </w:style>
  <w:style w:type="paragraph" w:styleId="NoSpacing">
    <w:name w:val="No Spacing"/>
    <w:uiPriority w:val="1"/>
    <w:qFormat/>
    <w:rsid w:val="00797C2C"/>
    <w:pPr>
      <w:spacing w:after="0" w:line="240" w:lineRule="auto"/>
    </w:pPr>
  </w:style>
  <w:style w:type="paragraph" w:styleId="Quote">
    <w:name w:val="Quote"/>
    <w:basedOn w:val="Normal"/>
    <w:next w:val="Normal"/>
    <w:link w:val="QuoteChar"/>
    <w:uiPriority w:val="29"/>
    <w:qFormat/>
    <w:rsid w:val="00797C2C"/>
    <w:rPr>
      <w:i/>
      <w:iCs/>
      <w:sz w:val="24"/>
      <w:szCs w:val="24"/>
    </w:rPr>
  </w:style>
  <w:style w:type="character" w:customStyle="1" w:styleId="QuoteChar">
    <w:name w:val="Quote Char"/>
    <w:basedOn w:val="DefaultParagraphFont"/>
    <w:link w:val="Quote"/>
    <w:uiPriority w:val="29"/>
    <w:rsid w:val="00797C2C"/>
    <w:rPr>
      <w:i/>
      <w:iCs/>
      <w:sz w:val="24"/>
      <w:szCs w:val="24"/>
    </w:rPr>
  </w:style>
  <w:style w:type="paragraph" w:styleId="IntenseQuote">
    <w:name w:val="Intense Quote"/>
    <w:basedOn w:val="Normal"/>
    <w:next w:val="Normal"/>
    <w:link w:val="IntenseQuoteChar"/>
    <w:uiPriority w:val="30"/>
    <w:qFormat/>
    <w:rsid w:val="00797C2C"/>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797C2C"/>
    <w:rPr>
      <w:color w:val="4472C4" w:themeColor="accent1"/>
      <w:sz w:val="24"/>
      <w:szCs w:val="24"/>
    </w:rPr>
  </w:style>
  <w:style w:type="character" w:styleId="SubtleEmphasis">
    <w:name w:val="Subtle Emphasis"/>
    <w:uiPriority w:val="19"/>
    <w:qFormat/>
    <w:rsid w:val="00797C2C"/>
    <w:rPr>
      <w:i/>
      <w:iCs/>
      <w:color w:val="1F3763" w:themeColor="accent1" w:themeShade="7F"/>
    </w:rPr>
  </w:style>
  <w:style w:type="character" w:styleId="IntenseEmphasis">
    <w:name w:val="Intense Emphasis"/>
    <w:uiPriority w:val="21"/>
    <w:qFormat/>
    <w:rsid w:val="00797C2C"/>
    <w:rPr>
      <w:b/>
      <w:bCs/>
      <w:caps/>
      <w:color w:val="1F3763" w:themeColor="accent1" w:themeShade="7F"/>
      <w:spacing w:val="10"/>
    </w:rPr>
  </w:style>
  <w:style w:type="character" w:styleId="SubtleReference">
    <w:name w:val="Subtle Reference"/>
    <w:uiPriority w:val="31"/>
    <w:qFormat/>
    <w:rsid w:val="00797C2C"/>
    <w:rPr>
      <w:b/>
      <w:bCs/>
      <w:color w:val="4472C4" w:themeColor="accent1"/>
    </w:rPr>
  </w:style>
  <w:style w:type="character" w:styleId="IntenseReference">
    <w:name w:val="Intense Reference"/>
    <w:uiPriority w:val="32"/>
    <w:qFormat/>
    <w:rsid w:val="00797C2C"/>
    <w:rPr>
      <w:b/>
      <w:bCs/>
      <w:i/>
      <w:iCs/>
      <w:caps/>
      <w:color w:val="4472C4" w:themeColor="accent1"/>
    </w:rPr>
  </w:style>
  <w:style w:type="character" w:styleId="BookTitle">
    <w:name w:val="Book Title"/>
    <w:uiPriority w:val="33"/>
    <w:qFormat/>
    <w:rsid w:val="00797C2C"/>
    <w:rPr>
      <w:b/>
      <w:bCs/>
      <w:i/>
      <w:iCs/>
      <w:spacing w:val="0"/>
    </w:rPr>
  </w:style>
  <w:style w:type="paragraph" w:styleId="TOCHeading">
    <w:name w:val="TOC Heading"/>
    <w:basedOn w:val="Heading1"/>
    <w:next w:val="Normal"/>
    <w:uiPriority w:val="39"/>
    <w:unhideWhenUsed/>
    <w:qFormat/>
    <w:rsid w:val="00797C2C"/>
    <w:pPr>
      <w:outlineLvl w:val="9"/>
    </w:pPr>
  </w:style>
  <w:style w:type="paragraph" w:styleId="TOC1">
    <w:name w:val="toc 1"/>
    <w:basedOn w:val="Normal"/>
    <w:next w:val="Normal"/>
    <w:autoRedefine/>
    <w:uiPriority w:val="39"/>
    <w:unhideWhenUsed/>
    <w:rsid w:val="00797C2C"/>
    <w:pPr>
      <w:spacing w:after="100"/>
    </w:pPr>
  </w:style>
  <w:style w:type="paragraph" w:styleId="TOC2">
    <w:name w:val="toc 2"/>
    <w:basedOn w:val="Normal"/>
    <w:next w:val="Normal"/>
    <w:autoRedefine/>
    <w:uiPriority w:val="39"/>
    <w:unhideWhenUsed/>
    <w:rsid w:val="00797C2C"/>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uring.ac.uk/sites/default/files/2019-06/understanding_artificial_intelligence_ethics_and_safety.pdf" TargetMode="External"/><Relationship Id="rId13" Type="http://schemas.openxmlformats.org/officeDocument/2006/relationships/hyperlink" Target="https://www.gov.uk/government/publications/software-and-ai-as-a-medical-device-change-programm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sk.com/en-gb/responsibility/reporting-and-policies/esg-performance-report/" TargetMode="External"/><Relationship Id="rId17" Type="http://schemas.openxmlformats.org/officeDocument/2006/relationships/hyperlink" Target="https://www.who.int/publications/i/item/9789240029200" TargetMode="External"/><Relationship Id="rId2" Type="http://schemas.openxmlformats.org/officeDocument/2006/relationships/styles" Target="styles.xml"/><Relationship Id="rId16" Type="http://schemas.openxmlformats.org/officeDocument/2006/relationships/hyperlink" Target="https://www.weforum.org/reports/global-risks-report-202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c.gov/Archives/edgar/data/0001131399/000113139925000007/gsk-20241231.htm" TargetMode="External"/><Relationship Id="rId5" Type="http://schemas.openxmlformats.org/officeDocument/2006/relationships/footnotes" Target="footnotes.xml"/><Relationship Id="rId15" Type="http://schemas.openxmlformats.org/officeDocument/2006/relationships/hyperlink" Target="https://www.fda.gov/media/145022/download" TargetMode="External"/><Relationship Id="rId10" Type="http://schemas.openxmlformats.org/officeDocument/2006/relationships/hyperlink" Target="https://www.sec.gov/Archives/edgar/data/0001131399/000113139924000007/gsk-20231231.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ur-lex.europa.eu/legal-content/EN/TXT/?uri=OJ:L_202401689" TargetMode="External"/><Relationship Id="rId14" Type="http://schemas.openxmlformats.org/officeDocument/2006/relationships/hyperlink" Target="https://www.nature.com/articles/s41591-018-0300-7" TargetMode="Externa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6341</Words>
  <Characters>36144</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2026-04-27T11:26:00Z</dcterms:created>
  <dcterms:modified xsi:type="dcterms:W3CDTF">2026-04-27T11:26:00Z</dcterms:modified>
</cp:coreProperties>
</file>