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7BB9F1" w14:textId="6B81E204" w:rsidR="00100BB3" w:rsidRPr="00690763" w:rsidRDefault="00100BB3" w:rsidP="00E95771">
      <w:pPr>
        <w:spacing w:line="360" w:lineRule="auto"/>
        <w:jc w:val="center"/>
        <w:rPr>
          <w:rFonts w:cstheme="minorHAnsi"/>
          <w:b/>
          <w:bCs/>
          <w:sz w:val="32"/>
          <w:szCs w:val="32"/>
        </w:rPr>
      </w:pPr>
      <w:r w:rsidRPr="00690763">
        <w:rPr>
          <w:rFonts w:cstheme="minorHAnsi"/>
          <w:b/>
          <w:bCs/>
          <w:sz w:val="32"/>
          <w:szCs w:val="32"/>
        </w:rPr>
        <w:t>From Biological Decline to Functional Resilience: A Reflexive Evaluation of Qualitative Research in Aging Resistance-Trained Adults</w:t>
      </w:r>
    </w:p>
    <w:p w14:paraId="778E2C15" w14:textId="5D33ACAA" w:rsidR="00BF3B44" w:rsidRPr="00690763" w:rsidRDefault="00BF3B44" w:rsidP="00E95771">
      <w:pPr>
        <w:spacing w:line="360" w:lineRule="auto"/>
        <w:jc w:val="both"/>
        <w:rPr>
          <w:rFonts w:cstheme="minorHAnsi"/>
          <w:b/>
          <w:bCs/>
          <w:sz w:val="28"/>
          <w:szCs w:val="28"/>
        </w:rPr>
      </w:pPr>
      <w:r w:rsidRPr="00690763">
        <w:rPr>
          <w:rFonts w:cstheme="minorHAnsi"/>
          <w:b/>
          <w:bCs/>
          <w:sz w:val="28"/>
          <w:szCs w:val="28"/>
        </w:rPr>
        <w:t>1.0</w:t>
      </w:r>
      <w:r w:rsidR="00737B0D" w:rsidRPr="00690763">
        <w:rPr>
          <w:rFonts w:cstheme="minorHAnsi"/>
          <w:b/>
          <w:bCs/>
          <w:sz w:val="28"/>
          <w:szCs w:val="28"/>
        </w:rPr>
        <w:t xml:space="preserve"> Introduction </w:t>
      </w:r>
    </w:p>
    <w:p w14:paraId="674A275D" w14:textId="79148E2E" w:rsidR="00976212" w:rsidRPr="00690763" w:rsidRDefault="00976212" w:rsidP="00E95771">
      <w:pPr>
        <w:spacing w:line="360" w:lineRule="auto"/>
        <w:jc w:val="both"/>
        <w:rPr>
          <w:rFonts w:cstheme="minorHAnsi"/>
          <w:sz w:val="24"/>
          <w:szCs w:val="24"/>
        </w:rPr>
      </w:pPr>
      <w:r w:rsidRPr="00690763">
        <w:rPr>
          <w:rFonts w:cstheme="minorHAnsi"/>
          <w:sz w:val="24"/>
          <w:szCs w:val="24"/>
        </w:rPr>
        <w:t xml:space="preserve">This reflective paper presents a critical evaluation of the development and initial implementation of a qualitative research project entitled </w:t>
      </w:r>
      <w:r w:rsidRPr="00690763">
        <w:rPr>
          <w:rStyle w:val="Emphasis"/>
          <w:rFonts w:cstheme="minorHAnsi"/>
          <w:sz w:val="24"/>
          <w:szCs w:val="24"/>
        </w:rPr>
        <w:t>‘Perceptions and Adaptations to Age-Related Physiological Changes Among Recreationally Resistance-Trained Adults Aged 40+.’</w:t>
      </w:r>
      <w:r w:rsidRPr="00690763">
        <w:rPr>
          <w:rFonts w:cstheme="minorHAnsi"/>
          <w:sz w:val="24"/>
          <w:szCs w:val="24"/>
        </w:rPr>
        <w:t xml:space="preserve"> </w:t>
      </w:r>
      <w:r w:rsidRPr="00690763">
        <w:rPr>
          <w:rFonts w:cstheme="minorHAnsi"/>
          <w:sz w:val="24"/>
          <w:szCs w:val="24"/>
        </w:rPr>
        <w:t>Conducted as part of the MSc in Sport and Exercise Nutrition, this study aimed to bridge the gap between well-documented physiological declines associated with aging, such as sarcopenia and anabolic resistance, and the experiences of individuals engaging in resistance training to mitigate these effects.</w:t>
      </w:r>
      <w:r w:rsidRPr="00690763">
        <w:rPr>
          <w:rFonts w:cstheme="minorHAnsi"/>
          <w:sz w:val="24"/>
          <w:szCs w:val="24"/>
        </w:rPr>
        <w:t xml:space="preserve"> Tu </w:t>
      </w:r>
      <w:r w:rsidRPr="00690763">
        <w:rPr>
          <w:rFonts w:cstheme="minorHAnsi"/>
          <w:i/>
          <w:iCs/>
          <w:sz w:val="24"/>
          <w:szCs w:val="24"/>
        </w:rPr>
        <w:t>et al.</w:t>
      </w:r>
      <w:r w:rsidRPr="00690763">
        <w:rPr>
          <w:rFonts w:cstheme="minorHAnsi"/>
          <w:sz w:val="24"/>
          <w:szCs w:val="24"/>
        </w:rPr>
        <w:t xml:space="preserve"> (2025) emphasise that existing research predominantly focuses on objective indicators of decline, including muscle cross-sectional area, grip strength, and biochemical markers. Although valuable, these measures provide limited insight into how individuals perceive, adapt to, and manage these changes in real-world contexts. This gap highlights the need for methodological approaches that capture the subjective and context-specific dimensions of aging. </w:t>
      </w:r>
      <w:r w:rsidRPr="00690763">
        <w:rPr>
          <w:rFonts w:cstheme="minorHAnsi"/>
          <w:sz w:val="24"/>
          <w:szCs w:val="24"/>
        </w:rPr>
        <w:t>Consequently, this study reframes aging not merely as physiological decline but as an adaptive process shaped by behavioural and experiential factors.</w:t>
      </w:r>
    </w:p>
    <w:p w14:paraId="647B8B6F" w14:textId="72F80D7E" w:rsidR="00BF3B44" w:rsidRPr="00690763" w:rsidRDefault="00BF3B44" w:rsidP="00E95771">
      <w:pPr>
        <w:pStyle w:val="NormalWeb"/>
        <w:spacing w:line="360" w:lineRule="auto"/>
        <w:rPr>
          <w:rFonts w:asciiTheme="minorHAnsi" w:hAnsiTheme="minorHAnsi" w:cstheme="minorHAnsi"/>
          <w:b/>
          <w:bCs/>
          <w:sz w:val="28"/>
          <w:szCs w:val="28"/>
        </w:rPr>
      </w:pPr>
      <w:r w:rsidRPr="00690763">
        <w:rPr>
          <w:rFonts w:asciiTheme="minorHAnsi" w:hAnsiTheme="minorHAnsi" w:cstheme="minorHAnsi"/>
          <w:b/>
          <w:bCs/>
          <w:sz w:val="28"/>
          <w:szCs w:val="28"/>
        </w:rPr>
        <w:t>2.0</w:t>
      </w:r>
      <w:r w:rsidR="00737B0D" w:rsidRPr="00690763">
        <w:rPr>
          <w:rFonts w:asciiTheme="minorHAnsi" w:hAnsiTheme="minorHAnsi" w:cstheme="minorHAnsi"/>
          <w:b/>
          <w:bCs/>
          <w:sz w:val="28"/>
          <w:szCs w:val="28"/>
        </w:rPr>
        <w:t xml:space="preserve"> </w:t>
      </w:r>
      <w:r w:rsidR="00737B0D" w:rsidRPr="00690763">
        <w:rPr>
          <w:rFonts w:asciiTheme="minorHAnsi" w:hAnsiTheme="minorHAnsi" w:cstheme="minorHAnsi"/>
          <w:b/>
          <w:bCs/>
          <w:sz w:val="28"/>
          <w:szCs w:val="28"/>
        </w:rPr>
        <w:t>Literature Context and Rationale</w:t>
      </w:r>
    </w:p>
    <w:p w14:paraId="5CEFF12A" w14:textId="77391865" w:rsidR="00976212" w:rsidRPr="00976212" w:rsidRDefault="001C5D86" w:rsidP="00E95771">
      <w:pPr>
        <w:spacing w:before="100" w:beforeAutospacing="1" w:after="100" w:afterAutospacing="1" w:line="360" w:lineRule="auto"/>
        <w:jc w:val="both"/>
        <w:rPr>
          <w:rFonts w:eastAsia="Times New Roman" w:cstheme="minorHAnsi"/>
          <w:kern w:val="0"/>
          <w:sz w:val="24"/>
          <w:szCs w:val="24"/>
          <w:lang w:eastAsia="en-GB"/>
          <w14:ligatures w14:val="none"/>
        </w:rPr>
      </w:pPr>
      <w:r w:rsidRPr="00690763">
        <w:rPr>
          <w:rFonts w:eastAsia="Times New Roman" w:cstheme="minorHAnsi"/>
          <w:kern w:val="0"/>
          <w:sz w:val="24"/>
          <w:szCs w:val="24"/>
          <w:lang w:eastAsia="en-GB"/>
          <w14:ligatures w14:val="none"/>
        </w:rPr>
        <w:t>In contemporary sports nutrition literature, there is a predominant emphasis on a reductionist biochemical perspective of aging, frequently portraying athletes over 40 years of age as undergoing inevitable physiological decline. Everett (2025) contests this viewpoint, arguing that research has historically prioritized metabolic and cellular mechanisms over functional resilience, thereby limiting the understanding of how performance is maintained despite age-related physiological changes.</w:t>
      </w:r>
    </w:p>
    <w:p w14:paraId="7C03AD00" w14:textId="44AE697D" w:rsidR="00976212" w:rsidRPr="00976212" w:rsidRDefault="001C5D86" w:rsidP="00E95771">
      <w:pPr>
        <w:spacing w:before="100" w:beforeAutospacing="1" w:after="100" w:afterAutospacing="1" w:line="360" w:lineRule="auto"/>
        <w:jc w:val="both"/>
        <w:rPr>
          <w:rFonts w:eastAsia="Times New Roman" w:cstheme="minorHAnsi"/>
          <w:kern w:val="0"/>
          <w:sz w:val="24"/>
          <w:szCs w:val="24"/>
          <w:lang w:eastAsia="en-GB"/>
          <w14:ligatures w14:val="none"/>
        </w:rPr>
      </w:pPr>
      <w:r w:rsidRPr="00690763">
        <w:rPr>
          <w:rFonts w:eastAsia="Times New Roman" w:cstheme="minorHAnsi"/>
          <w:kern w:val="0"/>
          <w:sz w:val="24"/>
          <w:szCs w:val="24"/>
          <w:lang w:eastAsia="en-GB"/>
          <w14:ligatures w14:val="none"/>
        </w:rPr>
        <w:t xml:space="preserve">Recent evidence increasingly contests this prevailing narrative. Flensted-Jensen </w:t>
      </w:r>
      <w:r w:rsidRPr="00690763">
        <w:rPr>
          <w:rFonts w:eastAsia="Times New Roman" w:cstheme="minorHAnsi"/>
          <w:i/>
          <w:iCs/>
          <w:kern w:val="0"/>
          <w:sz w:val="24"/>
          <w:szCs w:val="24"/>
          <w:lang w:eastAsia="en-GB"/>
          <w14:ligatures w14:val="none"/>
        </w:rPr>
        <w:t>et al.</w:t>
      </w:r>
      <w:r w:rsidRPr="00690763">
        <w:rPr>
          <w:rFonts w:eastAsia="Times New Roman" w:cstheme="minorHAnsi"/>
          <w:kern w:val="0"/>
          <w:sz w:val="24"/>
          <w:szCs w:val="24"/>
          <w:lang w:eastAsia="en-GB"/>
          <w14:ligatures w14:val="none"/>
        </w:rPr>
        <w:t xml:space="preserve"> (2025) demonstrated that aging athletes can undergo beneficial adaptations, such as increased type II muscle fibre size and VO₂max, indicating that aging is not exclusively degenerative. </w:t>
      </w:r>
      <w:r w:rsidRPr="00690763">
        <w:rPr>
          <w:rFonts w:eastAsia="Times New Roman" w:cstheme="minorHAnsi"/>
          <w:kern w:val="0"/>
          <w:sz w:val="24"/>
          <w:szCs w:val="24"/>
          <w:lang w:eastAsia="en-GB"/>
          <w14:ligatures w14:val="none"/>
        </w:rPr>
        <w:lastRenderedPageBreak/>
        <w:t xml:space="preserve">Conversely, Gonzalez </w:t>
      </w:r>
      <w:r w:rsidRPr="00690763">
        <w:rPr>
          <w:rFonts w:eastAsia="Times New Roman" w:cstheme="minorHAnsi"/>
          <w:i/>
          <w:iCs/>
          <w:kern w:val="0"/>
          <w:sz w:val="24"/>
          <w:szCs w:val="24"/>
          <w:lang w:eastAsia="en-GB"/>
          <w14:ligatures w14:val="none"/>
        </w:rPr>
        <w:t>et al.</w:t>
      </w:r>
      <w:r w:rsidRPr="00690763">
        <w:rPr>
          <w:rFonts w:eastAsia="Times New Roman" w:cstheme="minorHAnsi"/>
          <w:kern w:val="0"/>
          <w:sz w:val="24"/>
          <w:szCs w:val="24"/>
          <w:lang w:eastAsia="en-GB"/>
          <w14:ligatures w14:val="none"/>
        </w:rPr>
        <w:t xml:space="preserve"> (2022) highlighted that standard nutritional guidelines frequently neglect behavioural and metabolic adaptations in recreationally trained individuals, exposing a gap between theoretical guidance and practical application. Collectively, these studies suggest that aging cannot be comprehensively understood through physiological decline.</w:t>
      </w:r>
    </w:p>
    <w:p w14:paraId="3410C38D" w14:textId="162D6D73" w:rsidR="00976212" w:rsidRPr="00690763" w:rsidRDefault="001C5D86" w:rsidP="00E95771">
      <w:pPr>
        <w:spacing w:before="100" w:beforeAutospacing="1" w:after="100" w:afterAutospacing="1" w:line="360" w:lineRule="auto"/>
        <w:jc w:val="both"/>
        <w:rPr>
          <w:rFonts w:eastAsia="Times New Roman" w:cstheme="minorHAnsi"/>
          <w:kern w:val="0"/>
          <w:sz w:val="24"/>
          <w:szCs w:val="24"/>
          <w:lang w:eastAsia="en-GB"/>
          <w14:ligatures w14:val="none"/>
        </w:rPr>
      </w:pPr>
      <w:r w:rsidRPr="00690763">
        <w:rPr>
          <w:rFonts w:eastAsia="Times New Roman" w:cstheme="minorHAnsi"/>
          <w:kern w:val="0"/>
          <w:sz w:val="24"/>
          <w:szCs w:val="24"/>
          <w:lang w:eastAsia="en-GB"/>
          <w14:ligatures w14:val="none"/>
        </w:rPr>
        <w:t xml:space="preserve">To address this gap, I reassessed my methodological approach in accordance with Flück </w:t>
      </w:r>
      <w:r w:rsidRPr="00690763">
        <w:rPr>
          <w:rFonts w:eastAsia="Times New Roman" w:cstheme="minorHAnsi"/>
          <w:i/>
          <w:iCs/>
          <w:kern w:val="0"/>
          <w:sz w:val="24"/>
          <w:szCs w:val="24"/>
          <w:lang w:eastAsia="en-GB"/>
          <w14:ligatures w14:val="none"/>
        </w:rPr>
        <w:t>et al.</w:t>
      </w:r>
      <w:r w:rsidRPr="00690763">
        <w:rPr>
          <w:rFonts w:eastAsia="Times New Roman" w:cstheme="minorHAnsi"/>
          <w:kern w:val="0"/>
          <w:sz w:val="24"/>
          <w:szCs w:val="24"/>
          <w:lang w:eastAsia="en-GB"/>
          <w14:ligatures w14:val="none"/>
        </w:rPr>
        <w:t xml:space="preserve"> (2026), adopting a resilience-oriented framework that encompasses physiological, cognitive, and behavioural dimensions of adaptation. This shift transcends the sole reliance on biomarkers and supports the use of qualitative inquiry to examine how individuals actively construct and maintain performance through adaptive strategies in real-world settings. Crucially, this reframing aligns directly with the study’s aim of capturing lived experiences, which are systematically excluded from reductionist models of aging.</w:t>
      </w:r>
    </w:p>
    <w:p w14:paraId="30D8505D" w14:textId="3BBE88F9" w:rsidR="001C5D86" w:rsidRPr="00690763" w:rsidRDefault="001C5D86" w:rsidP="00E95771">
      <w:pPr>
        <w:spacing w:before="100" w:beforeAutospacing="1" w:after="100" w:afterAutospacing="1" w:line="360" w:lineRule="auto"/>
        <w:jc w:val="both"/>
        <w:rPr>
          <w:rFonts w:eastAsia="Times New Roman" w:cstheme="minorHAnsi"/>
          <w:b/>
          <w:bCs/>
          <w:kern w:val="0"/>
          <w:sz w:val="28"/>
          <w:szCs w:val="28"/>
          <w:lang w:eastAsia="en-GB"/>
          <w14:ligatures w14:val="none"/>
        </w:rPr>
      </w:pPr>
      <w:r w:rsidRPr="00690763">
        <w:rPr>
          <w:rFonts w:eastAsia="Times New Roman" w:cstheme="minorHAnsi"/>
          <w:b/>
          <w:bCs/>
          <w:kern w:val="0"/>
          <w:sz w:val="28"/>
          <w:szCs w:val="28"/>
          <w:lang w:eastAsia="en-GB"/>
          <w14:ligatures w14:val="none"/>
        </w:rPr>
        <w:t>3.0</w:t>
      </w:r>
      <w:r w:rsidR="00737B0D" w:rsidRPr="00690763">
        <w:rPr>
          <w:rFonts w:eastAsia="Times New Roman" w:cstheme="minorHAnsi"/>
          <w:b/>
          <w:bCs/>
          <w:kern w:val="0"/>
          <w:sz w:val="28"/>
          <w:szCs w:val="28"/>
          <w:lang w:eastAsia="en-GB"/>
          <w14:ligatures w14:val="none"/>
        </w:rPr>
        <w:t xml:space="preserve"> </w:t>
      </w:r>
      <w:r w:rsidR="00737B0D" w:rsidRPr="00690763">
        <w:rPr>
          <w:rFonts w:cstheme="minorHAnsi"/>
          <w:b/>
          <w:bCs/>
          <w:sz w:val="28"/>
          <w:szCs w:val="28"/>
        </w:rPr>
        <w:t>Philosophical Positioning and Research Design</w:t>
      </w:r>
    </w:p>
    <w:p w14:paraId="15B4F51E" w14:textId="24D86B6E" w:rsidR="004C55DE" w:rsidRPr="004C55DE" w:rsidRDefault="004C55DE" w:rsidP="00E95771">
      <w:pPr>
        <w:spacing w:before="100" w:beforeAutospacing="1" w:after="100" w:afterAutospacing="1" w:line="360" w:lineRule="auto"/>
        <w:jc w:val="both"/>
        <w:rPr>
          <w:rFonts w:eastAsia="Times New Roman" w:cstheme="minorHAnsi"/>
          <w:kern w:val="0"/>
          <w:sz w:val="24"/>
          <w:szCs w:val="24"/>
          <w:lang w:eastAsia="en-GB"/>
          <w14:ligatures w14:val="none"/>
        </w:rPr>
      </w:pPr>
      <w:r w:rsidRPr="00690763">
        <w:rPr>
          <w:rFonts w:eastAsia="Times New Roman" w:cstheme="minorHAnsi"/>
          <w:kern w:val="0"/>
          <w:sz w:val="24"/>
          <w:szCs w:val="24"/>
          <w:lang w:eastAsia="en-GB"/>
          <w14:ligatures w14:val="none"/>
        </w:rPr>
        <w:t xml:space="preserve">This study is grounded in an interpretivist philosophical framework, which posits that knowledge is co-constructed through social interaction and lived experience rather than being reducible to observable physiological data. In contrast to positivist approaches that emphasise quantifiable outcomes, such as muscle mass and protein synthesis, interpretivism facilitates the exploration of meaning, perception, and adaptation within specific population contexts (Turyahikayo 2021). This epistemological stance is particularly apt for examining aging recreational athletes, where </w:t>
      </w:r>
      <w:proofErr w:type="spellStart"/>
      <w:r w:rsidRPr="00690763">
        <w:rPr>
          <w:rFonts w:eastAsia="Times New Roman" w:cstheme="minorHAnsi"/>
          <w:kern w:val="0"/>
          <w:sz w:val="24"/>
          <w:szCs w:val="24"/>
          <w:lang w:eastAsia="en-GB"/>
          <w14:ligatures w14:val="none"/>
        </w:rPr>
        <w:t>the</w:t>
      </w:r>
      <w:proofErr w:type="spellEnd"/>
      <w:r w:rsidRPr="00690763">
        <w:rPr>
          <w:rFonts w:eastAsia="Times New Roman" w:cstheme="minorHAnsi"/>
          <w:kern w:val="0"/>
          <w:sz w:val="24"/>
          <w:szCs w:val="24"/>
          <w:lang w:eastAsia="en-GB"/>
          <w14:ligatures w14:val="none"/>
        </w:rPr>
        <w:t xml:space="preserve"> lived experiences of adaptation may diverge from objective indicators of physiological decline, highlighting the limitations of purely reductionist explanations. Consequently, this study prioritises participants’ subjective interpretations of training, recovery, and bodily change as situated knowledge that actively shapes behaviour in context-dependent ways.</w:t>
      </w:r>
    </w:p>
    <w:p w14:paraId="5A2C4DBF" w14:textId="20F5FFDF" w:rsidR="004C55DE" w:rsidRPr="004C55DE" w:rsidRDefault="004C55DE" w:rsidP="00E95771">
      <w:pPr>
        <w:spacing w:before="100" w:beforeAutospacing="1" w:after="100" w:afterAutospacing="1" w:line="360" w:lineRule="auto"/>
        <w:jc w:val="both"/>
        <w:rPr>
          <w:rFonts w:eastAsia="Times New Roman" w:cstheme="minorHAnsi"/>
          <w:kern w:val="0"/>
          <w:sz w:val="24"/>
          <w:szCs w:val="24"/>
          <w:lang w:eastAsia="en-GB"/>
          <w14:ligatures w14:val="none"/>
        </w:rPr>
      </w:pPr>
      <w:r w:rsidRPr="00690763">
        <w:rPr>
          <w:rFonts w:eastAsia="Times New Roman" w:cstheme="minorHAnsi"/>
          <w:kern w:val="0"/>
          <w:sz w:val="24"/>
          <w:szCs w:val="24"/>
          <w:lang w:eastAsia="en-GB"/>
          <w14:ligatures w14:val="none"/>
        </w:rPr>
        <w:t xml:space="preserve">In accordance with this perspective, a qualitative descriptive design was utilised, as advocated by Pyo </w:t>
      </w:r>
      <w:r w:rsidRPr="00690763">
        <w:rPr>
          <w:rFonts w:eastAsia="Times New Roman" w:cstheme="minorHAnsi"/>
          <w:i/>
          <w:iCs/>
          <w:kern w:val="0"/>
          <w:sz w:val="24"/>
          <w:szCs w:val="24"/>
          <w:lang w:eastAsia="en-GB"/>
          <w14:ligatures w14:val="none"/>
        </w:rPr>
        <w:t>et al.</w:t>
      </w:r>
      <w:r w:rsidRPr="00690763">
        <w:rPr>
          <w:rFonts w:eastAsia="Times New Roman" w:cstheme="minorHAnsi"/>
          <w:kern w:val="0"/>
          <w:sz w:val="24"/>
          <w:szCs w:val="24"/>
          <w:lang w:eastAsia="en-GB"/>
          <w14:ligatures w14:val="none"/>
        </w:rPr>
        <w:t xml:space="preserve"> (2023) because of its efficacy in underexplored contexts where quantitative models are inadequate in capturing complexity. This approach enabled the development of detailed, experience-based narratives of aging athletes without imposing restrictive theoretical assumptions while remaining attentive to individual differences. Methodological positioning was subsequently implemented through structured recruitment and data </w:t>
      </w:r>
      <w:r w:rsidRPr="00690763">
        <w:rPr>
          <w:rFonts w:eastAsia="Times New Roman" w:cstheme="minorHAnsi"/>
          <w:kern w:val="0"/>
          <w:sz w:val="24"/>
          <w:szCs w:val="24"/>
          <w:lang w:eastAsia="en-GB"/>
          <w14:ligatures w14:val="none"/>
        </w:rPr>
        <w:lastRenderedPageBreak/>
        <w:t>collection strategies designed to access participants’ experiential knowledge within the practical constraints of independent fieldwork.</w:t>
      </w:r>
    </w:p>
    <w:p w14:paraId="23A99CDA" w14:textId="624A9811" w:rsidR="00DB1E47" w:rsidRPr="00690763" w:rsidRDefault="00DB1E47" w:rsidP="00E95771">
      <w:pPr>
        <w:spacing w:before="100" w:beforeAutospacing="1" w:after="100" w:afterAutospacing="1" w:line="360" w:lineRule="auto"/>
        <w:jc w:val="both"/>
        <w:rPr>
          <w:rFonts w:eastAsia="Times New Roman" w:cstheme="minorHAnsi"/>
          <w:b/>
          <w:bCs/>
          <w:kern w:val="0"/>
          <w:sz w:val="28"/>
          <w:szCs w:val="28"/>
          <w:lang w:eastAsia="en-GB"/>
          <w14:ligatures w14:val="none"/>
        </w:rPr>
      </w:pPr>
      <w:r w:rsidRPr="00690763">
        <w:rPr>
          <w:rFonts w:eastAsia="Times New Roman" w:cstheme="minorHAnsi"/>
          <w:b/>
          <w:bCs/>
          <w:kern w:val="0"/>
          <w:sz w:val="28"/>
          <w:szCs w:val="28"/>
          <w:lang w:eastAsia="en-GB"/>
          <w14:ligatures w14:val="none"/>
        </w:rPr>
        <w:t>4.0</w:t>
      </w:r>
      <w:r w:rsidR="00737B0D" w:rsidRPr="00690763">
        <w:rPr>
          <w:rFonts w:eastAsia="Times New Roman" w:cstheme="minorHAnsi"/>
          <w:b/>
          <w:bCs/>
          <w:kern w:val="0"/>
          <w:sz w:val="28"/>
          <w:szCs w:val="28"/>
          <w:lang w:eastAsia="en-GB"/>
          <w14:ligatures w14:val="none"/>
        </w:rPr>
        <w:t xml:space="preserve"> S</w:t>
      </w:r>
      <w:r w:rsidR="00737B0D" w:rsidRPr="00690763">
        <w:rPr>
          <w:rFonts w:cstheme="minorHAnsi"/>
          <w:b/>
          <w:bCs/>
          <w:sz w:val="28"/>
          <w:szCs w:val="28"/>
        </w:rPr>
        <w:t>ampling Strategy and Research Context</w:t>
      </w:r>
    </w:p>
    <w:p w14:paraId="4E9DF190" w14:textId="5043FC05" w:rsidR="00DB1E47" w:rsidRPr="00DB1E47" w:rsidRDefault="00DB1E47" w:rsidP="00E95771">
      <w:pPr>
        <w:spacing w:before="100" w:beforeAutospacing="1" w:after="100" w:afterAutospacing="1" w:line="360" w:lineRule="auto"/>
        <w:jc w:val="both"/>
        <w:rPr>
          <w:rFonts w:eastAsia="Times New Roman" w:cstheme="minorHAnsi"/>
          <w:kern w:val="0"/>
          <w:sz w:val="24"/>
          <w:szCs w:val="24"/>
          <w:lang w:eastAsia="en-GB"/>
          <w14:ligatures w14:val="none"/>
        </w:rPr>
      </w:pPr>
      <w:r w:rsidRPr="00690763">
        <w:rPr>
          <w:rFonts w:eastAsia="Times New Roman" w:cstheme="minorHAnsi"/>
          <w:kern w:val="0"/>
          <w:sz w:val="24"/>
          <w:szCs w:val="24"/>
          <w:lang w:eastAsia="en-GB"/>
          <w14:ligatures w14:val="none"/>
        </w:rPr>
        <w:t xml:space="preserve">The implementation phase required a systematic approach to ensure congruence between the participants and the study objectives. Convenience sampling, as recommended by </w:t>
      </w:r>
      <w:proofErr w:type="spellStart"/>
      <w:r w:rsidR="00B15003" w:rsidRPr="00690763">
        <w:rPr>
          <w:rFonts w:cstheme="minorHAnsi"/>
          <w:sz w:val="24"/>
          <w:szCs w:val="24"/>
        </w:rPr>
        <w:t>Merkebu</w:t>
      </w:r>
      <w:proofErr w:type="spellEnd"/>
      <w:r w:rsidR="00B15003" w:rsidRPr="00690763">
        <w:rPr>
          <w:rFonts w:cstheme="minorHAnsi"/>
          <w:sz w:val="24"/>
          <w:szCs w:val="24"/>
        </w:rPr>
        <w:t>, Geringer and Samuel (2025)</w:t>
      </w:r>
      <w:r w:rsidR="00B15003" w:rsidRPr="00690763">
        <w:rPr>
          <w:rFonts w:cstheme="minorHAnsi"/>
        </w:rPr>
        <w:t xml:space="preserve"> </w:t>
      </w:r>
      <w:r w:rsidRPr="00690763">
        <w:rPr>
          <w:rFonts w:eastAsia="Times New Roman" w:cstheme="minorHAnsi"/>
          <w:kern w:val="0"/>
          <w:sz w:val="24"/>
          <w:szCs w:val="24"/>
          <w:lang w:eastAsia="en-GB"/>
          <w14:ligatures w14:val="none"/>
        </w:rPr>
        <w:t xml:space="preserve">for qualitative descriptive studies, was used, particularly in contexts where access to specific populations is limited. While Memon </w:t>
      </w:r>
      <w:r w:rsidRPr="00690763">
        <w:rPr>
          <w:rFonts w:eastAsia="Times New Roman" w:cstheme="minorHAnsi"/>
          <w:i/>
          <w:iCs/>
          <w:kern w:val="0"/>
          <w:sz w:val="24"/>
          <w:szCs w:val="24"/>
          <w:lang w:eastAsia="en-GB"/>
          <w14:ligatures w14:val="none"/>
        </w:rPr>
        <w:t>et al.</w:t>
      </w:r>
      <w:r w:rsidRPr="00690763">
        <w:rPr>
          <w:rFonts w:eastAsia="Times New Roman" w:cstheme="minorHAnsi"/>
          <w:kern w:val="0"/>
          <w:sz w:val="24"/>
          <w:szCs w:val="24"/>
          <w:lang w:eastAsia="en-GB"/>
          <w14:ligatures w14:val="none"/>
        </w:rPr>
        <w:t xml:space="preserve"> (2025) emphasised its effectiveness in expediting recruitment, this method also presents a risk of selection bias, as participants recruited through accessible networks may display similar training behaviours and attitudes, thus constraining transferability. Consequently, a cohort of recreationally resistance-trained adults who engaged in training at least twice a week was selected. The final sample comprised four participants (n=4), with equal gender representation. Participants were recruited through existing networks and screened using eligibility criteria based on their training behaviour and availability.</w:t>
      </w:r>
    </w:p>
    <w:p w14:paraId="1C4912C2" w14:textId="3A586429" w:rsidR="00DB1E47" w:rsidRPr="00690763" w:rsidRDefault="00DB1E47" w:rsidP="00E95771">
      <w:pPr>
        <w:spacing w:before="100" w:beforeAutospacing="1" w:after="100" w:afterAutospacing="1" w:line="360" w:lineRule="auto"/>
        <w:jc w:val="both"/>
        <w:rPr>
          <w:rFonts w:eastAsia="Times New Roman" w:cstheme="minorHAnsi"/>
          <w:kern w:val="0"/>
          <w:sz w:val="24"/>
          <w:szCs w:val="24"/>
          <w:lang w:eastAsia="en-GB"/>
          <w14:ligatures w14:val="none"/>
        </w:rPr>
      </w:pPr>
      <w:r w:rsidRPr="00690763">
        <w:rPr>
          <w:rFonts w:eastAsia="Times New Roman" w:cstheme="minorHAnsi"/>
          <w:kern w:val="0"/>
          <w:sz w:val="24"/>
          <w:szCs w:val="24"/>
          <w:lang w:eastAsia="en-GB"/>
          <w14:ligatures w14:val="none"/>
        </w:rPr>
        <w:t>While this approach is appropriate for small-scale studies, it requires significant modifications for application in larger studies (n &gt; 20). These modifications would include the development of more structured recruitment pathways, scheduling systems, and data management processes. Furthermore, ethical oversight and informed consent procedures must be expanded to ensure consistency and protection of participants. In summary, scalability introduces methodological and logistical constraints that directly impact data quality and participant engagement.</w:t>
      </w:r>
    </w:p>
    <w:p w14:paraId="7FCCC46B" w14:textId="77777777" w:rsidR="00737B0D" w:rsidRPr="00690763" w:rsidRDefault="00737B0D" w:rsidP="00E95771">
      <w:pPr>
        <w:spacing w:before="100" w:beforeAutospacing="1" w:after="100" w:afterAutospacing="1" w:line="360" w:lineRule="auto"/>
        <w:jc w:val="both"/>
        <w:rPr>
          <w:rFonts w:eastAsia="Times New Roman" w:cstheme="minorHAnsi"/>
          <w:kern w:val="0"/>
          <w:sz w:val="24"/>
          <w:szCs w:val="24"/>
          <w:lang w:eastAsia="en-GB"/>
          <w14:ligatures w14:val="none"/>
        </w:rPr>
      </w:pPr>
    </w:p>
    <w:p w14:paraId="0E60DA44" w14:textId="741780FA" w:rsidR="00FD6180" w:rsidRPr="00690763" w:rsidRDefault="00FD6180" w:rsidP="00E95771">
      <w:pPr>
        <w:spacing w:before="100" w:beforeAutospacing="1" w:after="100" w:afterAutospacing="1" w:line="360" w:lineRule="auto"/>
        <w:jc w:val="both"/>
        <w:rPr>
          <w:rFonts w:eastAsia="Times New Roman" w:cstheme="minorHAnsi"/>
          <w:b/>
          <w:bCs/>
          <w:kern w:val="0"/>
          <w:sz w:val="28"/>
          <w:szCs w:val="28"/>
          <w:lang w:eastAsia="en-GB"/>
          <w14:ligatures w14:val="none"/>
        </w:rPr>
      </w:pPr>
      <w:r w:rsidRPr="00690763">
        <w:rPr>
          <w:rFonts w:eastAsia="Times New Roman" w:cstheme="minorHAnsi"/>
          <w:b/>
          <w:bCs/>
          <w:kern w:val="0"/>
          <w:sz w:val="28"/>
          <w:szCs w:val="28"/>
          <w:lang w:eastAsia="en-GB"/>
          <w14:ligatures w14:val="none"/>
        </w:rPr>
        <w:t xml:space="preserve">5.0 </w:t>
      </w:r>
      <w:r w:rsidR="00737B0D" w:rsidRPr="00690763">
        <w:rPr>
          <w:rFonts w:cstheme="minorHAnsi"/>
          <w:b/>
          <w:bCs/>
          <w:sz w:val="28"/>
          <w:szCs w:val="28"/>
        </w:rPr>
        <w:t>Methodological Adaptation: Food Diary Trade-Off</w:t>
      </w:r>
    </w:p>
    <w:p w14:paraId="0A42F277" w14:textId="50CE3D6A" w:rsidR="00FD6180" w:rsidRPr="00FD6180" w:rsidRDefault="00FD6180" w:rsidP="00E95771">
      <w:pPr>
        <w:spacing w:before="100" w:beforeAutospacing="1" w:after="100" w:afterAutospacing="1" w:line="360" w:lineRule="auto"/>
        <w:jc w:val="both"/>
        <w:rPr>
          <w:rFonts w:eastAsia="Times New Roman" w:cstheme="minorHAnsi"/>
          <w:kern w:val="0"/>
          <w:sz w:val="24"/>
          <w:szCs w:val="24"/>
          <w:lang w:eastAsia="en-GB"/>
          <w14:ligatures w14:val="none"/>
        </w:rPr>
      </w:pPr>
      <w:r w:rsidRPr="00690763">
        <w:rPr>
          <w:rFonts w:eastAsia="Times New Roman" w:cstheme="minorHAnsi"/>
          <w:kern w:val="0"/>
          <w:sz w:val="24"/>
          <w:szCs w:val="24"/>
          <w:lang w:eastAsia="en-GB"/>
          <w14:ligatures w14:val="none"/>
        </w:rPr>
        <w:t xml:space="preserve">One of the principal challenges encountered during implementation was the modification of the initially planned five-day food diary to a three-day version. This alteration highlights the tension between an idealised methodological design and the practical realities of participant engagement. The original five-day protocol was intended to provide a more comprehensive </w:t>
      </w:r>
      <w:r w:rsidRPr="00690763">
        <w:rPr>
          <w:rFonts w:eastAsia="Times New Roman" w:cstheme="minorHAnsi"/>
          <w:kern w:val="0"/>
          <w:sz w:val="24"/>
          <w:szCs w:val="24"/>
          <w:lang w:eastAsia="en-GB"/>
          <w14:ligatures w14:val="none"/>
        </w:rPr>
        <w:lastRenderedPageBreak/>
        <w:t xml:space="preserve">view of protein distribution, particularly in addressing anabolic resistance, as identified by </w:t>
      </w:r>
      <w:proofErr w:type="spellStart"/>
      <w:r w:rsidRPr="00690763">
        <w:rPr>
          <w:rFonts w:eastAsia="Times New Roman" w:cstheme="minorHAnsi"/>
          <w:kern w:val="0"/>
          <w:sz w:val="24"/>
          <w:szCs w:val="24"/>
          <w:lang w:eastAsia="en-GB"/>
          <w14:ligatures w14:val="none"/>
        </w:rPr>
        <w:t>Prokopidis</w:t>
      </w:r>
      <w:proofErr w:type="spellEnd"/>
      <w:r w:rsidRPr="00690763">
        <w:rPr>
          <w:rFonts w:eastAsia="Times New Roman" w:cstheme="minorHAnsi"/>
          <w:kern w:val="0"/>
          <w:sz w:val="24"/>
          <w:szCs w:val="24"/>
          <w:lang w:eastAsia="en-GB"/>
          <w14:ligatures w14:val="none"/>
        </w:rPr>
        <w:t xml:space="preserve"> </w:t>
      </w:r>
      <w:r w:rsidRPr="00690763">
        <w:rPr>
          <w:rFonts w:eastAsia="Times New Roman" w:cstheme="minorHAnsi"/>
          <w:i/>
          <w:iCs/>
          <w:kern w:val="0"/>
          <w:sz w:val="24"/>
          <w:szCs w:val="24"/>
          <w:lang w:eastAsia="en-GB"/>
          <w14:ligatures w14:val="none"/>
        </w:rPr>
        <w:t>et al.</w:t>
      </w:r>
      <w:r w:rsidRPr="00690763">
        <w:rPr>
          <w:rFonts w:eastAsia="Times New Roman" w:cstheme="minorHAnsi"/>
          <w:kern w:val="0"/>
          <w:sz w:val="24"/>
          <w:szCs w:val="24"/>
          <w:lang w:eastAsia="en-GB"/>
          <w14:ligatures w14:val="none"/>
        </w:rPr>
        <w:t xml:space="preserve"> (2021). However, during recruitment, it became evident that participant burden significantly reduced compliance, thereby increasing the risk of incomplete or withdrawn data. In response, the diary was shortened to two weekdays and one weekend. While this adjustment enhanced completion rates and data quality, it also introduced a limitation by reducing longitudinal resolution, potentially restricting the ability to fully capture habitual variability in the intake. </w:t>
      </w:r>
      <w:r w:rsidR="00B15003" w:rsidRPr="00690763">
        <w:rPr>
          <w:rFonts w:eastAsia="Times New Roman" w:cstheme="minorHAnsi"/>
          <w:kern w:val="0"/>
          <w:sz w:val="24"/>
          <w:szCs w:val="24"/>
          <w:lang w:eastAsia="en-GB"/>
          <w14:ligatures w14:val="none"/>
        </w:rPr>
        <w:t>Nonetheless, within an interpretivist framework, prioritising high-fidelity, context-rich data was deemed more appropriate than maintaining longer but unreliable records.</w:t>
      </w:r>
    </w:p>
    <w:p w14:paraId="08C5C31E" w14:textId="07CE31B1" w:rsidR="00FD6180" w:rsidRPr="00FD6180" w:rsidRDefault="00B15003" w:rsidP="00E95771">
      <w:pPr>
        <w:spacing w:before="100" w:beforeAutospacing="1" w:after="100" w:afterAutospacing="1" w:line="360" w:lineRule="auto"/>
        <w:jc w:val="both"/>
        <w:rPr>
          <w:rFonts w:eastAsia="Times New Roman" w:cstheme="minorHAnsi"/>
          <w:kern w:val="0"/>
          <w:sz w:val="24"/>
          <w:szCs w:val="24"/>
          <w:lang w:eastAsia="en-GB"/>
          <w14:ligatures w14:val="none"/>
        </w:rPr>
      </w:pPr>
      <w:r w:rsidRPr="00690763">
        <w:rPr>
          <w:rFonts w:cstheme="minorHAnsi"/>
          <w:sz w:val="24"/>
          <w:szCs w:val="24"/>
        </w:rPr>
        <w:t>Jordan, Troth and Yan (2024</w:t>
      </w:r>
      <w:r w:rsidRPr="00690763">
        <w:rPr>
          <w:rFonts w:cstheme="minorHAnsi"/>
        </w:rPr>
        <w:t>)</w:t>
      </w:r>
      <w:r w:rsidRPr="00690763">
        <w:rPr>
          <w:rFonts w:cstheme="minorHAnsi"/>
        </w:rPr>
        <w:t xml:space="preserve"> </w:t>
      </w:r>
      <w:r w:rsidR="00FD6180" w:rsidRPr="00690763">
        <w:rPr>
          <w:rFonts w:eastAsia="Times New Roman" w:cstheme="minorHAnsi"/>
          <w:kern w:val="0"/>
          <w:sz w:val="24"/>
          <w:szCs w:val="24"/>
          <w:lang w:eastAsia="en-GB"/>
          <w14:ligatures w14:val="none"/>
        </w:rPr>
        <w:t>argued that the quality of a methodology is determined by its alignment with the research question rather than strict adherence to established protocols. This perspective supports the prioritisation of feasibility and participant experience over extensive data collection. Importantly, this shift emphasises the ethical commitment to minimising participant burden, particularly given the demands on physically active adults over 40 years of age. Ultimately, this adaptation underscores the importance of flexibility in qualitative nutrition research, where strict adherence does not guarantee data quality. Instead, methodological choices must balance rigor and realism to produce meaningful, usable data.</w:t>
      </w:r>
    </w:p>
    <w:p w14:paraId="6A5CD0F4" w14:textId="7E0FFD4A" w:rsidR="00FD6180" w:rsidRPr="00690763" w:rsidRDefault="00A81376" w:rsidP="00E95771">
      <w:pPr>
        <w:spacing w:before="100" w:beforeAutospacing="1" w:after="100" w:afterAutospacing="1" w:line="360" w:lineRule="auto"/>
        <w:jc w:val="both"/>
        <w:rPr>
          <w:rFonts w:eastAsia="Times New Roman" w:cstheme="minorHAnsi"/>
          <w:b/>
          <w:bCs/>
          <w:kern w:val="0"/>
          <w:sz w:val="28"/>
          <w:szCs w:val="28"/>
          <w:lang w:eastAsia="en-GB"/>
          <w14:ligatures w14:val="none"/>
        </w:rPr>
      </w:pPr>
      <w:r w:rsidRPr="00690763">
        <w:rPr>
          <w:rFonts w:eastAsia="Times New Roman" w:cstheme="minorHAnsi"/>
          <w:b/>
          <w:bCs/>
          <w:kern w:val="0"/>
          <w:sz w:val="28"/>
          <w:szCs w:val="28"/>
          <w:lang w:eastAsia="en-GB"/>
          <w14:ligatures w14:val="none"/>
        </w:rPr>
        <w:t>6.0</w:t>
      </w:r>
      <w:r w:rsidR="00737B0D" w:rsidRPr="00690763">
        <w:rPr>
          <w:rFonts w:eastAsia="Times New Roman" w:cstheme="minorHAnsi"/>
          <w:b/>
          <w:bCs/>
          <w:kern w:val="0"/>
          <w:sz w:val="28"/>
          <w:szCs w:val="28"/>
          <w:lang w:eastAsia="en-GB"/>
          <w14:ligatures w14:val="none"/>
        </w:rPr>
        <w:t xml:space="preserve"> </w:t>
      </w:r>
      <w:r w:rsidR="00737B0D" w:rsidRPr="00690763">
        <w:rPr>
          <w:rFonts w:cstheme="minorHAnsi"/>
          <w:b/>
          <w:bCs/>
          <w:sz w:val="28"/>
          <w:szCs w:val="28"/>
        </w:rPr>
        <w:t>Data Collection and Triangulation</w:t>
      </w:r>
    </w:p>
    <w:p w14:paraId="655897FC" w14:textId="3FF1A6C8" w:rsidR="00E6441A" w:rsidRPr="00E6441A" w:rsidRDefault="00E6441A" w:rsidP="00E95771">
      <w:pPr>
        <w:spacing w:before="100" w:beforeAutospacing="1" w:after="100" w:afterAutospacing="1" w:line="360" w:lineRule="auto"/>
        <w:jc w:val="both"/>
        <w:rPr>
          <w:rFonts w:eastAsia="Times New Roman" w:cstheme="minorHAnsi"/>
          <w:kern w:val="0"/>
          <w:sz w:val="24"/>
          <w:szCs w:val="24"/>
          <w:lang w:eastAsia="en-GB"/>
          <w14:ligatures w14:val="none"/>
        </w:rPr>
      </w:pPr>
      <w:r w:rsidRPr="00690763">
        <w:rPr>
          <w:rFonts w:eastAsia="Times New Roman" w:cstheme="minorHAnsi"/>
          <w:kern w:val="0"/>
          <w:sz w:val="24"/>
          <w:szCs w:val="24"/>
          <w:lang w:eastAsia="en-GB"/>
          <w14:ligatures w14:val="none"/>
        </w:rPr>
        <w:t xml:space="preserve">A multi-method data collection strategy was employed to capture tacit knowledge, incorporating three-day food diaries, training logs, and semi-structured interviews. While diaries and logs provide quantifiable indicators of protein intake and training behaviour, their interpretative value is limited when considered in isolation, particularly in relation to complex physiological processes, such as anabolic resistance. </w:t>
      </w:r>
      <w:proofErr w:type="spellStart"/>
      <w:r w:rsidRPr="00690763">
        <w:rPr>
          <w:rFonts w:eastAsia="Times New Roman" w:cstheme="minorHAnsi"/>
          <w:kern w:val="0"/>
          <w:sz w:val="24"/>
          <w:szCs w:val="24"/>
          <w:lang w:eastAsia="en-GB"/>
          <w14:ligatures w14:val="none"/>
        </w:rPr>
        <w:t>Paulussen</w:t>
      </w:r>
      <w:proofErr w:type="spellEnd"/>
      <w:r w:rsidRPr="00690763">
        <w:rPr>
          <w:rFonts w:eastAsia="Times New Roman" w:cstheme="minorHAnsi"/>
          <w:kern w:val="0"/>
          <w:sz w:val="24"/>
          <w:szCs w:val="24"/>
          <w:lang w:eastAsia="en-GB"/>
          <w14:ligatures w14:val="none"/>
        </w:rPr>
        <w:t xml:space="preserve"> </w:t>
      </w:r>
      <w:r w:rsidRPr="00690763">
        <w:rPr>
          <w:rFonts w:eastAsia="Times New Roman" w:cstheme="minorHAnsi"/>
          <w:i/>
          <w:iCs/>
          <w:kern w:val="0"/>
          <w:sz w:val="24"/>
          <w:szCs w:val="24"/>
          <w:lang w:eastAsia="en-GB"/>
          <w14:ligatures w14:val="none"/>
        </w:rPr>
        <w:t>et al.</w:t>
      </w:r>
      <w:r w:rsidRPr="00690763">
        <w:rPr>
          <w:rFonts w:eastAsia="Times New Roman" w:cstheme="minorHAnsi"/>
          <w:kern w:val="0"/>
          <w:sz w:val="24"/>
          <w:szCs w:val="24"/>
          <w:lang w:eastAsia="en-GB"/>
          <w14:ligatures w14:val="none"/>
        </w:rPr>
        <w:t xml:space="preserve"> (2021) described anabolic resistance as a reduced muscle protein synthesis response to dietary protein and exercise; however, translating this mechanism into real-world behaviour requires consideration of contextual and behavioural influences that are not captured in numerical data.</w:t>
      </w:r>
    </w:p>
    <w:p w14:paraId="12CB7F5B" w14:textId="4DFDB47F" w:rsidR="00E6441A" w:rsidRPr="00E6441A" w:rsidRDefault="00E6441A" w:rsidP="00E95771">
      <w:pPr>
        <w:spacing w:before="100" w:beforeAutospacing="1" w:after="100" w:afterAutospacing="1" w:line="360" w:lineRule="auto"/>
        <w:jc w:val="both"/>
        <w:rPr>
          <w:rFonts w:eastAsia="Times New Roman" w:cstheme="minorHAnsi"/>
          <w:kern w:val="0"/>
          <w:sz w:val="24"/>
          <w:szCs w:val="24"/>
          <w:lang w:eastAsia="en-GB"/>
          <w14:ligatures w14:val="none"/>
        </w:rPr>
      </w:pPr>
      <w:r w:rsidRPr="00690763">
        <w:rPr>
          <w:rFonts w:eastAsia="Times New Roman" w:cstheme="minorHAnsi"/>
          <w:kern w:val="0"/>
          <w:sz w:val="24"/>
          <w:szCs w:val="24"/>
          <w:lang w:eastAsia="en-GB"/>
          <w14:ligatures w14:val="none"/>
        </w:rPr>
        <w:lastRenderedPageBreak/>
        <w:t xml:space="preserve">Although diaries and logs offer valuable descriptive data, they do not adequately address the psychological, motivational, and situational factors influencing participant behaviour. This limitation underscores the necessity of employing semi-structured interviews as the primary qualitative method. Jordan </w:t>
      </w:r>
      <w:r w:rsidRPr="00690763">
        <w:rPr>
          <w:rFonts w:eastAsia="Times New Roman" w:cstheme="minorHAnsi"/>
          <w:i/>
          <w:iCs/>
          <w:kern w:val="0"/>
          <w:sz w:val="24"/>
          <w:szCs w:val="24"/>
          <w:lang w:eastAsia="en-GB"/>
          <w14:ligatures w14:val="none"/>
        </w:rPr>
        <w:t>et al.</w:t>
      </w:r>
      <w:r w:rsidRPr="00690763">
        <w:rPr>
          <w:rFonts w:eastAsia="Times New Roman" w:cstheme="minorHAnsi"/>
          <w:kern w:val="0"/>
          <w:sz w:val="24"/>
          <w:szCs w:val="24"/>
          <w:lang w:eastAsia="en-GB"/>
          <w14:ligatures w14:val="none"/>
        </w:rPr>
        <w:t xml:space="preserve"> (2024) contend that methodological quality is determined by its alignment with the research question rather than the completeness of measurement, thereby advocating the integration of qualitative approaches to examine lived experiences alongside behavioural records.</w:t>
      </w:r>
    </w:p>
    <w:p w14:paraId="23E1939D" w14:textId="01E32158" w:rsidR="00E6441A" w:rsidRPr="00690763" w:rsidRDefault="00E6441A" w:rsidP="00E95771">
      <w:pPr>
        <w:spacing w:before="100" w:beforeAutospacing="1" w:after="100" w:afterAutospacing="1" w:line="360" w:lineRule="auto"/>
        <w:jc w:val="both"/>
        <w:rPr>
          <w:rFonts w:eastAsia="Times New Roman" w:cstheme="minorHAnsi"/>
          <w:kern w:val="0"/>
          <w:sz w:val="24"/>
          <w:szCs w:val="24"/>
          <w:lang w:eastAsia="en-GB"/>
          <w14:ligatures w14:val="none"/>
        </w:rPr>
      </w:pPr>
      <w:r w:rsidRPr="00690763">
        <w:rPr>
          <w:rFonts w:eastAsia="Times New Roman" w:cstheme="minorHAnsi"/>
          <w:kern w:val="0"/>
          <w:sz w:val="24"/>
          <w:szCs w:val="24"/>
          <w:lang w:eastAsia="en-GB"/>
          <w14:ligatures w14:val="none"/>
        </w:rPr>
        <w:t xml:space="preserve">This triangulated design facilitated a comparison between reported behaviours and their interpreted meanings, particularly when participants described experiences such as the </w:t>
      </w:r>
      <w:r w:rsidR="00D307CB" w:rsidRPr="00690763">
        <w:rPr>
          <w:rFonts w:eastAsia="Times New Roman" w:cstheme="minorHAnsi"/>
          <w:kern w:val="0"/>
          <w:sz w:val="24"/>
          <w:szCs w:val="24"/>
          <w:lang w:eastAsia="en-GB"/>
          <w14:ligatures w14:val="none"/>
        </w:rPr>
        <w:t>‘</w:t>
      </w:r>
      <w:r w:rsidRPr="00690763">
        <w:rPr>
          <w:rFonts w:eastAsia="Times New Roman" w:cstheme="minorHAnsi"/>
          <w:kern w:val="0"/>
          <w:sz w:val="24"/>
          <w:szCs w:val="24"/>
          <w:lang w:eastAsia="en-GB"/>
          <w14:ligatures w14:val="none"/>
        </w:rPr>
        <w:t>Strength Paradox</w:t>
      </w:r>
      <w:r w:rsidR="00D307CB" w:rsidRPr="00690763">
        <w:rPr>
          <w:rFonts w:eastAsia="Times New Roman" w:cstheme="minorHAnsi"/>
          <w:kern w:val="0"/>
          <w:sz w:val="24"/>
          <w:szCs w:val="24"/>
          <w:lang w:eastAsia="en-GB"/>
          <w14:ligatures w14:val="none"/>
        </w:rPr>
        <w:t>’</w:t>
      </w:r>
      <w:r w:rsidRPr="00690763">
        <w:rPr>
          <w:rFonts w:eastAsia="Times New Roman" w:cstheme="minorHAnsi"/>
          <w:kern w:val="0"/>
          <w:sz w:val="24"/>
          <w:szCs w:val="24"/>
          <w:lang w:eastAsia="en-GB"/>
          <w14:ligatures w14:val="none"/>
        </w:rPr>
        <w:t>, where subjective perceptions of fatigue and recovery diverged from objective training outputs. Consequently, the interviews offered interpretative depth that could not be achieved through quantitative data.</w:t>
      </w:r>
    </w:p>
    <w:p w14:paraId="08A589AE" w14:textId="33EC97F1" w:rsidR="00A81376" w:rsidRPr="00690763" w:rsidRDefault="00602B63" w:rsidP="00E95771">
      <w:pPr>
        <w:spacing w:before="100" w:beforeAutospacing="1" w:after="100" w:afterAutospacing="1" w:line="360" w:lineRule="auto"/>
        <w:jc w:val="both"/>
        <w:rPr>
          <w:rFonts w:eastAsia="Times New Roman" w:cstheme="minorHAnsi"/>
          <w:b/>
          <w:bCs/>
          <w:kern w:val="0"/>
          <w:sz w:val="28"/>
          <w:szCs w:val="28"/>
          <w:lang w:eastAsia="en-GB"/>
          <w14:ligatures w14:val="none"/>
        </w:rPr>
      </w:pPr>
      <w:r w:rsidRPr="00690763">
        <w:rPr>
          <w:rFonts w:eastAsia="Times New Roman" w:cstheme="minorHAnsi"/>
          <w:b/>
          <w:bCs/>
          <w:kern w:val="0"/>
          <w:sz w:val="28"/>
          <w:szCs w:val="28"/>
          <w:lang w:eastAsia="en-GB"/>
          <w14:ligatures w14:val="none"/>
        </w:rPr>
        <w:t>7.0</w:t>
      </w:r>
      <w:r w:rsidR="00737B0D" w:rsidRPr="00690763">
        <w:rPr>
          <w:rFonts w:eastAsia="Times New Roman" w:cstheme="minorHAnsi"/>
          <w:b/>
          <w:bCs/>
          <w:kern w:val="0"/>
          <w:sz w:val="28"/>
          <w:szCs w:val="28"/>
          <w:lang w:eastAsia="en-GB"/>
          <w14:ligatures w14:val="none"/>
        </w:rPr>
        <w:t xml:space="preserve"> </w:t>
      </w:r>
      <w:r w:rsidR="00737B0D" w:rsidRPr="00690763">
        <w:rPr>
          <w:rFonts w:cstheme="minorHAnsi"/>
          <w:b/>
          <w:bCs/>
          <w:sz w:val="28"/>
          <w:szCs w:val="28"/>
        </w:rPr>
        <w:t>Ethical Considerations and Reflexive Practice</w:t>
      </w:r>
    </w:p>
    <w:p w14:paraId="01A091AE" w14:textId="23CA3F1E" w:rsidR="00A55480" w:rsidRPr="00690763" w:rsidRDefault="00A55480" w:rsidP="00E95771">
      <w:pPr>
        <w:pStyle w:val="NormalWeb"/>
        <w:spacing w:line="360" w:lineRule="auto"/>
        <w:jc w:val="both"/>
        <w:rPr>
          <w:rFonts w:asciiTheme="minorHAnsi" w:hAnsiTheme="minorHAnsi" w:cstheme="minorHAnsi"/>
        </w:rPr>
      </w:pPr>
      <w:r w:rsidRPr="00690763">
        <w:rPr>
          <w:rFonts w:asciiTheme="minorHAnsi" w:hAnsiTheme="minorHAnsi" w:cstheme="minorHAnsi"/>
        </w:rPr>
        <w:t xml:space="preserve">Conducting independent qualitative fieldwork requires ongoing reflexive judgment to manage the unpredictability of participants’ engagement and the interpretation of data. This challenge is an epistemological issue regarding the co-construction of knowledge between researchers and participants. Fanning </w:t>
      </w:r>
      <w:r w:rsidRPr="00690763">
        <w:rPr>
          <w:rFonts w:asciiTheme="minorHAnsi" w:hAnsiTheme="minorHAnsi" w:cstheme="minorHAnsi"/>
          <w:i/>
          <w:iCs/>
        </w:rPr>
        <w:t>et al.</w:t>
      </w:r>
      <w:r w:rsidRPr="00690763">
        <w:rPr>
          <w:rFonts w:asciiTheme="minorHAnsi" w:hAnsiTheme="minorHAnsi" w:cstheme="minorHAnsi"/>
        </w:rPr>
        <w:t xml:space="preserve"> (2025) noted that self-reported nutritional knowledge is shaped by contextual and psycho-behavioural factors, indicating that such data are neither transparent nor objective. Therefore, participants' self-assessments, such as their claims of </w:t>
      </w:r>
      <w:r w:rsidR="00D307CB" w:rsidRPr="00690763">
        <w:rPr>
          <w:rFonts w:asciiTheme="minorHAnsi" w:hAnsiTheme="minorHAnsi" w:cstheme="minorHAnsi"/>
        </w:rPr>
        <w:t>‘</w:t>
      </w:r>
      <w:r w:rsidRPr="00690763">
        <w:rPr>
          <w:rFonts w:asciiTheme="minorHAnsi" w:hAnsiTheme="minorHAnsi" w:cstheme="minorHAnsi"/>
        </w:rPr>
        <w:t>moderate to high</w:t>
      </w:r>
      <w:r w:rsidR="00D307CB" w:rsidRPr="00690763">
        <w:rPr>
          <w:rFonts w:asciiTheme="minorHAnsi" w:hAnsiTheme="minorHAnsi" w:cstheme="minorHAnsi"/>
        </w:rPr>
        <w:t>’</w:t>
      </w:r>
      <w:r w:rsidRPr="00690763">
        <w:rPr>
          <w:rFonts w:asciiTheme="minorHAnsi" w:hAnsiTheme="minorHAnsi" w:cstheme="minorHAnsi"/>
        </w:rPr>
        <w:t xml:space="preserve"> nutritional knowledge, were not definitive indicators of competence. Instead, these self-assessments were systematically cross-referenced with three-day dietary records and interview narratives. This methodology was not used to validate "truth" in a positivist sense but to explore the coherence and divergence between perceived and actual behaviour, aligning with the interpretivist focus on situated meaning.</w:t>
      </w:r>
    </w:p>
    <w:p w14:paraId="080180E1" w14:textId="7B7BAF1C" w:rsidR="00A55480" w:rsidRPr="00690763" w:rsidRDefault="00092C50" w:rsidP="00E95771">
      <w:pPr>
        <w:pStyle w:val="NormalWeb"/>
        <w:spacing w:line="360" w:lineRule="auto"/>
        <w:jc w:val="both"/>
        <w:rPr>
          <w:rFonts w:asciiTheme="minorHAnsi" w:hAnsiTheme="minorHAnsi" w:cstheme="minorHAnsi"/>
        </w:rPr>
      </w:pPr>
      <w:r w:rsidRPr="00690763">
        <w:rPr>
          <w:rFonts w:asciiTheme="minorHAnsi" w:hAnsiTheme="minorHAnsi" w:cstheme="minorHAnsi"/>
        </w:rPr>
        <w:t>From an ethical perspective, this extends beyond merely adhering to the informed consent protocols.</w:t>
      </w:r>
      <w:r w:rsidR="00A55480" w:rsidRPr="00690763">
        <w:rPr>
          <w:rFonts w:asciiTheme="minorHAnsi" w:hAnsiTheme="minorHAnsi" w:cstheme="minorHAnsi"/>
        </w:rPr>
        <w:t xml:space="preserve"> </w:t>
      </w:r>
      <w:r w:rsidRPr="00690763">
        <w:rPr>
          <w:rFonts w:asciiTheme="minorHAnsi" w:hAnsiTheme="minorHAnsi" w:cstheme="minorHAnsi"/>
        </w:rPr>
        <w:t>This necessitates continuous attention to individual experiences, ensuring that narratives are not excessively reduced to biomedical terms or concepts.</w:t>
      </w:r>
      <w:r w:rsidR="00A55480" w:rsidRPr="00690763">
        <w:rPr>
          <w:rFonts w:asciiTheme="minorHAnsi" w:hAnsiTheme="minorHAnsi" w:cstheme="minorHAnsi"/>
        </w:rPr>
        <w:t xml:space="preserve"> In practice, this involves avoiding the imposition of preconceived physiological notions during interviews. As </w:t>
      </w:r>
      <w:r w:rsidR="00B15003" w:rsidRPr="00690763">
        <w:rPr>
          <w:rFonts w:asciiTheme="minorHAnsi" w:hAnsiTheme="minorHAnsi" w:cstheme="minorHAnsi"/>
        </w:rPr>
        <w:t>Timonen, Foley and Conlon (2024)</w:t>
      </w:r>
      <w:r w:rsidR="00B15003" w:rsidRPr="00690763">
        <w:rPr>
          <w:rFonts w:asciiTheme="minorHAnsi" w:hAnsiTheme="minorHAnsi" w:cstheme="minorHAnsi"/>
        </w:rPr>
        <w:t xml:space="preserve"> </w:t>
      </w:r>
      <w:r w:rsidR="00A55480" w:rsidRPr="00690763">
        <w:rPr>
          <w:rFonts w:asciiTheme="minorHAnsi" w:hAnsiTheme="minorHAnsi" w:cstheme="minorHAnsi"/>
        </w:rPr>
        <w:t xml:space="preserve">propose, quality in qualitative research is a "relational </w:t>
      </w:r>
      <w:r w:rsidR="00A55480" w:rsidRPr="00690763">
        <w:rPr>
          <w:rFonts w:asciiTheme="minorHAnsi" w:hAnsiTheme="minorHAnsi" w:cstheme="minorHAnsi"/>
        </w:rPr>
        <w:lastRenderedPageBreak/>
        <w:t>process" wherein credibility is established through committed engagement at every stage, rather than by simply "checking off lists." Adopting this approach significantly enhanced trust and was instrumental in augmenting the authenticity of the data; thus, ethics were not a discrete phase but a continuous relational practice embedded in every interpretive decision-making process.</w:t>
      </w:r>
    </w:p>
    <w:p w14:paraId="6D08D08B" w14:textId="15C95786" w:rsidR="00644EB5" w:rsidRPr="00690763" w:rsidRDefault="00644EB5" w:rsidP="00E95771">
      <w:pPr>
        <w:pStyle w:val="NormalWeb"/>
        <w:spacing w:line="360" w:lineRule="auto"/>
        <w:jc w:val="both"/>
        <w:rPr>
          <w:rFonts w:asciiTheme="minorHAnsi" w:hAnsiTheme="minorHAnsi" w:cstheme="minorHAnsi"/>
          <w:b/>
          <w:bCs/>
          <w:sz w:val="28"/>
          <w:szCs w:val="28"/>
        </w:rPr>
      </w:pPr>
      <w:r w:rsidRPr="00690763">
        <w:rPr>
          <w:rFonts w:asciiTheme="minorHAnsi" w:hAnsiTheme="minorHAnsi" w:cstheme="minorHAnsi"/>
          <w:b/>
          <w:bCs/>
          <w:sz w:val="28"/>
          <w:szCs w:val="28"/>
        </w:rPr>
        <w:t xml:space="preserve">8.0 </w:t>
      </w:r>
      <w:r w:rsidR="00737B0D" w:rsidRPr="00690763">
        <w:rPr>
          <w:rFonts w:asciiTheme="minorHAnsi" w:hAnsiTheme="minorHAnsi" w:cstheme="minorHAnsi"/>
          <w:b/>
          <w:bCs/>
          <w:sz w:val="28"/>
          <w:szCs w:val="28"/>
        </w:rPr>
        <w:t>Thematic Analysis and Interpretation</w:t>
      </w:r>
    </w:p>
    <w:p w14:paraId="1D2AD8C5" w14:textId="448FA938" w:rsidR="00644EB5" w:rsidRPr="00690763" w:rsidRDefault="00644EB5" w:rsidP="00E95771">
      <w:pPr>
        <w:spacing w:before="100" w:beforeAutospacing="1" w:after="100" w:afterAutospacing="1" w:line="360" w:lineRule="auto"/>
        <w:jc w:val="both"/>
        <w:rPr>
          <w:rFonts w:eastAsia="Times New Roman" w:cstheme="minorHAnsi"/>
          <w:kern w:val="0"/>
          <w:sz w:val="24"/>
          <w:szCs w:val="24"/>
          <w:lang w:eastAsia="en-GB"/>
          <w14:ligatures w14:val="none"/>
        </w:rPr>
      </w:pPr>
      <w:r w:rsidRPr="00690763">
        <w:rPr>
          <w:rFonts w:eastAsia="Times New Roman" w:cstheme="minorHAnsi"/>
          <w:kern w:val="0"/>
          <w:sz w:val="24"/>
          <w:szCs w:val="24"/>
          <w:lang w:eastAsia="en-GB"/>
          <w14:ligatures w14:val="none"/>
        </w:rPr>
        <w:t xml:space="preserve">Upon completion of data collection, the study progressed to an interpretive phase, wherein raw interviews, training logs, and food diaries were analysed collectively rather than as discrete data points. Thematic analysis was conducted using Braun and Clarke’s (2006) six-phase framework. </w:t>
      </w:r>
      <w:r w:rsidRPr="00690763">
        <w:rPr>
          <w:rFonts w:eastAsia="Times New Roman" w:cstheme="minorHAnsi"/>
          <w:kern w:val="0"/>
          <w:sz w:val="24"/>
          <w:szCs w:val="24"/>
          <w:lang w:eastAsia="en-GB"/>
          <w14:ligatures w14:val="none"/>
        </w:rPr>
        <w:t>This framework functioned not as a prescriptive guide but as a flexible tool congruent with the study’s interpretive approach to data analysis.</w:t>
      </w:r>
      <w:r w:rsidRPr="00690763">
        <w:rPr>
          <w:rFonts w:eastAsia="Times New Roman" w:cstheme="minorHAnsi"/>
          <w:kern w:val="0"/>
          <w:sz w:val="24"/>
          <w:szCs w:val="24"/>
          <w:lang w:eastAsia="en-GB"/>
          <w14:ligatures w14:val="none"/>
        </w:rPr>
        <w:t xml:space="preserve"> Instead of merely summarising the participants' statements, the analysis aimed to uncover deeper meanings in their descriptions of aging, adaptation, and performance. This process involved probing beneath the surface to understand how the participants perceived changes in their bodies during training.</w:t>
      </w:r>
    </w:p>
    <w:p w14:paraId="0FCAC7E6" w14:textId="77777777" w:rsidR="00644EB5" w:rsidRPr="00690763" w:rsidRDefault="00644EB5" w:rsidP="00E95771">
      <w:pPr>
        <w:spacing w:before="100" w:beforeAutospacing="1" w:after="100" w:afterAutospacing="1" w:line="360" w:lineRule="auto"/>
        <w:jc w:val="both"/>
        <w:rPr>
          <w:rFonts w:eastAsia="Times New Roman" w:cstheme="minorHAnsi"/>
          <w:kern w:val="0"/>
          <w:sz w:val="24"/>
          <w:szCs w:val="24"/>
          <w:lang w:eastAsia="en-GB"/>
          <w14:ligatures w14:val="none"/>
        </w:rPr>
      </w:pPr>
      <w:r w:rsidRPr="00690763">
        <w:rPr>
          <w:rFonts w:eastAsia="Times New Roman" w:cstheme="minorHAnsi"/>
          <w:kern w:val="0"/>
          <w:sz w:val="24"/>
          <w:szCs w:val="24"/>
          <w:lang w:eastAsia="en-GB"/>
          <w14:ligatures w14:val="none"/>
        </w:rPr>
        <w:t>The methodology adopted to explore beyond the basic descriptions provided by the data is consistent with the recommendations of Terry and Hayfield (2025). They advocated for a comprehensive analysis of interview notes and a comparative examination of training logs with food diaries, facilitating the organic emergence of patterns. For example, initial patterns such as 'slower recovery' and 'technique prioritisation ' highlighted participants' perceptions and management of physiological changes. These patterns developed into themes that revealed both common and unique adaptation strategies within the cohort. The progression from data to themes was intricate and shaped by the participants' narratives, performance data, and the researchers' insights. This approach culminated in themes centred on resilience, conceptualised not merely as a physical outcome but as a synthesis of perceived decline, behavioural adjustments, and the pursuit of meaning through resistance training.</w:t>
      </w:r>
    </w:p>
    <w:p w14:paraId="7856338F" w14:textId="77777777" w:rsidR="00737B0D" w:rsidRPr="006C6E9C" w:rsidRDefault="00644EB5" w:rsidP="00E95771">
      <w:pPr>
        <w:spacing w:before="100" w:beforeAutospacing="1" w:after="100" w:afterAutospacing="1" w:line="360" w:lineRule="auto"/>
        <w:jc w:val="both"/>
        <w:rPr>
          <w:rFonts w:cstheme="minorHAnsi"/>
          <w:b/>
          <w:bCs/>
          <w:sz w:val="28"/>
          <w:szCs w:val="28"/>
        </w:rPr>
      </w:pPr>
      <w:r w:rsidRPr="006C6E9C">
        <w:rPr>
          <w:rFonts w:eastAsia="Times New Roman" w:cstheme="minorHAnsi"/>
          <w:b/>
          <w:bCs/>
          <w:kern w:val="0"/>
          <w:sz w:val="28"/>
          <w:szCs w:val="28"/>
          <w:lang w:eastAsia="en-GB"/>
          <w14:ligatures w14:val="none"/>
        </w:rPr>
        <w:t xml:space="preserve">9.0. </w:t>
      </w:r>
      <w:r w:rsidR="00737B0D" w:rsidRPr="006C6E9C">
        <w:rPr>
          <w:rFonts w:cstheme="minorHAnsi"/>
          <w:b/>
          <w:bCs/>
          <w:sz w:val="28"/>
          <w:szCs w:val="28"/>
        </w:rPr>
        <w:t>Key Findings: The ‘Strength Paradox’</w:t>
      </w:r>
    </w:p>
    <w:p w14:paraId="26909CF7" w14:textId="1220E1AF" w:rsidR="00644EB5" w:rsidRPr="00DB0960" w:rsidRDefault="00644EB5" w:rsidP="00E95771">
      <w:pPr>
        <w:spacing w:before="100" w:beforeAutospacing="1" w:after="100" w:afterAutospacing="1" w:line="360" w:lineRule="auto"/>
        <w:jc w:val="both"/>
        <w:rPr>
          <w:rFonts w:eastAsia="Times New Roman" w:cstheme="minorHAnsi"/>
          <w:kern w:val="0"/>
          <w:sz w:val="24"/>
          <w:szCs w:val="24"/>
          <w:lang w:eastAsia="en-GB"/>
          <w14:ligatures w14:val="none"/>
        </w:rPr>
      </w:pPr>
      <w:r w:rsidRPr="00690763">
        <w:rPr>
          <w:rFonts w:eastAsia="Times New Roman" w:cstheme="minorHAnsi"/>
          <w:kern w:val="0"/>
          <w:sz w:val="24"/>
          <w:szCs w:val="24"/>
          <w:lang w:eastAsia="en-GB"/>
          <w14:ligatures w14:val="none"/>
        </w:rPr>
        <w:lastRenderedPageBreak/>
        <w:t>Upon comparing training logs documenting strength gains with reports of perceived weakness, a significant difference emerged.</w:t>
      </w:r>
      <w:r w:rsidRPr="00690763">
        <w:rPr>
          <w:rFonts w:eastAsia="Times New Roman" w:cstheme="minorHAnsi"/>
          <w:kern w:val="0"/>
          <w:sz w:val="24"/>
          <w:szCs w:val="24"/>
          <w:lang w:eastAsia="en-GB"/>
          <w14:ligatures w14:val="none"/>
        </w:rPr>
        <w:t xml:space="preserve"> This finding corroborates the work of Middlebrook </w:t>
      </w:r>
      <w:r w:rsidRPr="00690763">
        <w:rPr>
          <w:rFonts w:eastAsia="Times New Roman" w:cstheme="minorHAnsi"/>
          <w:i/>
          <w:iCs/>
          <w:kern w:val="0"/>
          <w:sz w:val="24"/>
          <w:szCs w:val="24"/>
          <w:lang w:eastAsia="en-GB"/>
          <w14:ligatures w14:val="none"/>
        </w:rPr>
        <w:t>et al.</w:t>
      </w:r>
      <w:r w:rsidRPr="00690763">
        <w:rPr>
          <w:rFonts w:eastAsia="Times New Roman" w:cstheme="minorHAnsi"/>
          <w:kern w:val="0"/>
          <w:sz w:val="24"/>
          <w:szCs w:val="24"/>
          <w:lang w:eastAsia="en-GB"/>
          <w14:ligatures w14:val="none"/>
        </w:rPr>
        <w:t xml:space="preserve"> (2025), who emphasised that recovery is a multifaceted process that extends beyond the mere restoration of physical strength. Such complexity can lead to discrepancies between the objective measurements and subjective perceptions of pain. All participants (n=4) experienced age-related changes, including slower recovery and joint pain. </w:t>
      </w:r>
      <w:r w:rsidRPr="00690763">
        <w:rPr>
          <w:rFonts w:eastAsia="Times New Roman" w:cstheme="minorHAnsi"/>
          <w:kern w:val="0"/>
          <w:sz w:val="24"/>
          <w:szCs w:val="24"/>
          <w:lang w:eastAsia="en-GB"/>
          <w14:ligatures w14:val="none"/>
        </w:rPr>
        <w:t>However, these sensations did not diminish training intensity or performance levels.</w:t>
      </w:r>
      <w:r w:rsidRPr="00690763">
        <w:rPr>
          <w:rFonts w:eastAsia="Times New Roman" w:cstheme="minorHAnsi"/>
          <w:kern w:val="0"/>
          <w:sz w:val="24"/>
          <w:szCs w:val="24"/>
          <w:lang w:eastAsia="en-GB"/>
          <w14:ligatures w14:val="none"/>
        </w:rPr>
        <w:t xml:space="preserve"> Instead, participants adapted their behaviour and diet, adjusting their training plans and emphasising protein intake. </w:t>
      </w:r>
      <w:r w:rsidRPr="00690763">
        <w:rPr>
          <w:rFonts w:eastAsia="Times New Roman" w:cstheme="minorHAnsi"/>
          <w:kern w:val="0"/>
          <w:sz w:val="24"/>
          <w:szCs w:val="24"/>
          <w:lang w:eastAsia="en-GB"/>
          <w14:ligatures w14:val="none"/>
        </w:rPr>
        <w:t>These modifications enabled them to maintain their performance despite these challenges.</w:t>
      </w:r>
    </w:p>
    <w:p w14:paraId="14E27A70" w14:textId="7A5C1EA6" w:rsidR="00644EB5" w:rsidRPr="00690763" w:rsidRDefault="00644EB5" w:rsidP="00E95771">
      <w:pPr>
        <w:spacing w:before="100" w:beforeAutospacing="1" w:after="100" w:afterAutospacing="1" w:line="360" w:lineRule="auto"/>
        <w:jc w:val="both"/>
        <w:rPr>
          <w:rFonts w:eastAsia="Times New Roman" w:cstheme="minorHAnsi"/>
          <w:kern w:val="0"/>
          <w:sz w:val="24"/>
          <w:szCs w:val="24"/>
          <w:lang w:eastAsia="en-GB"/>
          <w14:ligatures w14:val="none"/>
        </w:rPr>
      </w:pPr>
      <w:r w:rsidRPr="00690763">
        <w:rPr>
          <w:rFonts w:eastAsia="Times New Roman" w:cstheme="minorHAnsi"/>
          <w:kern w:val="0"/>
          <w:sz w:val="24"/>
          <w:szCs w:val="24"/>
          <w:lang w:eastAsia="en-GB"/>
          <w14:ligatures w14:val="none"/>
        </w:rPr>
        <w:t xml:space="preserve">The </w:t>
      </w:r>
      <w:r w:rsidR="00D307CB" w:rsidRPr="00690763">
        <w:rPr>
          <w:rFonts w:eastAsia="Times New Roman" w:cstheme="minorHAnsi"/>
          <w:kern w:val="0"/>
          <w:sz w:val="24"/>
          <w:szCs w:val="24"/>
          <w:lang w:eastAsia="en-GB"/>
          <w14:ligatures w14:val="none"/>
        </w:rPr>
        <w:t>‘</w:t>
      </w:r>
      <w:r w:rsidRPr="00690763">
        <w:rPr>
          <w:rFonts w:eastAsia="Times New Roman" w:cstheme="minorHAnsi"/>
          <w:kern w:val="0"/>
          <w:sz w:val="24"/>
          <w:szCs w:val="24"/>
          <w:lang w:eastAsia="en-GB"/>
          <w14:ligatures w14:val="none"/>
        </w:rPr>
        <w:t>Strength Paradox</w:t>
      </w:r>
      <w:r w:rsidR="00D307CB" w:rsidRPr="00690763">
        <w:rPr>
          <w:rFonts w:eastAsia="Times New Roman" w:cstheme="minorHAnsi"/>
          <w:kern w:val="0"/>
          <w:sz w:val="24"/>
          <w:szCs w:val="24"/>
          <w:lang w:eastAsia="en-GB"/>
          <w14:ligatures w14:val="none"/>
        </w:rPr>
        <w:t xml:space="preserve">’ </w:t>
      </w:r>
      <w:r w:rsidRPr="00690763">
        <w:rPr>
          <w:rFonts w:eastAsia="Times New Roman" w:cstheme="minorHAnsi"/>
          <w:kern w:val="0"/>
          <w:sz w:val="24"/>
          <w:szCs w:val="24"/>
          <w:lang w:eastAsia="en-GB"/>
          <w14:ligatures w14:val="none"/>
        </w:rPr>
        <w:t>exemplifies the capacity of older adults to excel in physical activities despite their biological decline.</w:t>
      </w:r>
      <w:r w:rsidRPr="00690763">
        <w:rPr>
          <w:rFonts w:eastAsia="Times New Roman" w:cstheme="minorHAnsi"/>
          <w:kern w:val="0"/>
          <w:sz w:val="24"/>
          <w:szCs w:val="24"/>
          <w:lang w:eastAsia="en-GB"/>
          <w14:ligatures w14:val="none"/>
        </w:rPr>
        <w:t xml:space="preserve"> </w:t>
      </w:r>
      <w:r w:rsidRPr="00690763">
        <w:rPr>
          <w:rFonts w:eastAsia="Times New Roman" w:cstheme="minorHAnsi"/>
          <w:kern w:val="0"/>
          <w:sz w:val="24"/>
          <w:szCs w:val="24"/>
          <w:lang w:eastAsia="en-GB"/>
          <w14:ligatures w14:val="none"/>
        </w:rPr>
        <w:t>This phenomenon is not contradictory; rather, it illustrates how aging athletes adapt to and reinterpret their physiological signals while maintaining their training regimen.</w:t>
      </w:r>
      <w:r w:rsidRPr="00690763">
        <w:rPr>
          <w:rFonts w:eastAsia="Times New Roman" w:cstheme="minorHAnsi"/>
          <w:kern w:val="0"/>
          <w:sz w:val="24"/>
          <w:szCs w:val="24"/>
          <w:lang w:eastAsia="en-GB"/>
          <w14:ligatures w14:val="none"/>
        </w:rPr>
        <w:t xml:space="preserve"> "Functional resilience" does not seek to reverse aging but emphasises adaptation through mental strategies, training modifications, and enhanced nutrition. </w:t>
      </w:r>
      <w:r w:rsidRPr="00690763">
        <w:rPr>
          <w:rFonts w:eastAsia="Times New Roman" w:cstheme="minorHAnsi"/>
          <w:kern w:val="0"/>
          <w:sz w:val="24"/>
          <w:szCs w:val="24"/>
          <w:lang w:eastAsia="en-GB"/>
          <w14:ligatures w14:val="none"/>
        </w:rPr>
        <w:t xml:space="preserve">Participants adjusted their protein intake to address anabolic resistance, as elucidated by </w:t>
      </w:r>
      <w:proofErr w:type="spellStart"/>
      <w:r w:rsidRPr="00690763">
        <w:rPr>
          <w:rFonts w:eastAsia="Times New Roman" w:cstheme="minorHAnsi"/>
          <w:kern w:val="0"/>
          <w:sz w:val="24"/>
          <w:szCs w:val="24"/>
          <w:lang w:eastAsia="en-GB"/>
          <w14:ligatures w14:val="none"/>
        </w:rPr>
        <w:t>Prokopidis</w:t>
      </w:r>
      <w:proofErr w:type="spellEnd"/>
      <w:r w:rsidRPr="00690763">
        <w:rPr>
          <w:rFonts w:eastAsia="Times New Roman" w:cstheme="minorHAnsi"/>
          <w:kern w:val="0"/>
          <w:sz w:val="24"/>
          <w:szCs w:val="24"/>
          <w:lang w:eastAsia="en-GB"/>
          <w14:ligatures w14:val="none"/>
        </w:rPr>
        <w:t xml:space="preserve"> </w:t>
      </w:r>
      <w:r w:rsidRPr="00690763">
        <w:rPr>
          <w:rFonts w:eastAsia="Times New Roman" w:cstheme="minorHAnsi"/>
          <w:i/>
          <w:iCs/>
          <w:kern w:val="0"/>
          <w:sz w:val="24"/>
          <w:szCs w:val="24"/>
          <w:lang w:eastAsia="en-GB"/>
          <w14:ligatures w14:val="none"/>
        </w:rPr>
        <w:t>et al.</w:t>
      </w:r>
      <w:r w:rsidRPr="00690763">
        <w:rPr>
          <w:rFonts w:eastAsia="Times New Roman" w:cstheme="minorHAnsi"/>
          <w:kern w:val="0"/>
          <w:sz w:val="24"/>
          <w:szCs w:val="24"/>
          <w:lang w:eastAsia="en-GB"/>
          <w14:ligatures w14:val="none"/>
        </w:rPr>
        <w:t xml:space="preserve"> (2021), rather than directly counteracting muscle loss.</w:t>
      </w:r>
    </w:p>
    <w:p w14:paraId="509C641D" w14:textId="4E69EA19" w:rsidR="00644EB5" w:rsidRPr="00690763" w:rsidRDefault="00644EB5" w:rsidP="00E95771">
      <w:pPr>
        <w:pStyle w:val="NormalWeb"/>
        <w:spacing w:line="360" w:lineRule="auto"/>
        <w:jc w:val="both"/>
        <w:rPr>
          <w:rFonts w:asciiTheme="minorHAnsi" w:hAnsiTheme="minorHAnsi" w:cstheme="minorHAnsi"/>
          <w:b/>
          <w:bCs/>
          <w:sz w:val="28"/>
          <w:szCs w:val="28"/>
        </w:rPr>
      </w:pPr>
      <w:r w:rsidRPr="00690763">
        <w:rPr>
          <w:rFonts w:asciiTheme="minorHAnsi" w:hAnsiTheme="minorHAnsi" w:cstheme="minorHAnsi"/>
          <w:b/>
          <w:bCs/>
          <w:sz w:val="28"/>
          <w:szCs w:val="28"/>
        </w:rPr>
        <w:t>10.0</w:t>
      </w:r>
      <w:r w:rsidR="00737B0D" w:rsidRPr="00690763">
        <w:rPr>
          <w:rFonts w:asciiTheme="minorHAnsi" w:hAnsiTheme="minorHAnsi" w:cstheme="minorHAnsi"/>
          <w:b/>
          <w:bCs/>
          <w:sz w:val="28"/>
          <w:szCs w:val="28"/>
        </w:rPr>
        <w:t xml:space="preserve"> </w:t>
      </w:r>
      <w:r w:rsidR="00737B0D" w:rsidRPr="00690763">
        <w:rPr>
          <w:rFonts w:asciiTheme="minorHAnsi" w:hAnsiTheme="minorHAnsi" w:cstheme="minorHAnsi"/>
          <w:b/>
          <w:bCs/>
          <w:sz w:val="28"/>
          <w:szCs w:val="28"/>
        </w:rPr>
        <w:t>Analytical Rigour and Credibility</w:t>
      </w:r>
    </w:p>
    <w:p w14:paraId="3FCB74E8" w14:textId="542B0AEB" w:rsidR="002A48FF" w:rsidRPr="00690763" w:rsidRDefault="002A48FF" w:rsidP="00E95771">
      <w:pPr>
        <w:spacing w:before="100" w:beforeAutospacing="1" w:after="100" w:afterAutospacing="1" w:line="360" w:lineRule="auto"/>
        <w:jc w:val="both"/>
        <w:rPr>
          <w:rFonts w:eastAsia="Times New Roman" w:cstheme="minorHAnsi"/>
          <w:kern w:val="0"/>
          <w:sz w:val="24"/>
          <w:szCs w:val="24"/>
          <w:lang w:eastAsia="en-GB"/>
          <w14:ligatures w14:val="none"/>
        </w:rPr>
      </w:pPr>
      <w:r w:rsidRPr="00690763">
        <w:rPr>
          <w:rFonts w:eastAsia="Times New Roman" w:cstheme="minorHAnsi"/>
          <w:kern w:val="0"/>
          <w:sz w:val="24"/>
          <w:szCs w:val="24"/>
          <w:lang w:eastAsia="en-GB"/>
          <w14:ligatures w14:val="none"/>
        </w:rPr>
        <w:t xml:space="preserve">Themes were systematically developed and refined throughout the research process to ensure fidelity to the participants' narratives and the data collected. </w:t>
      </w:r>
      <w:r w:rsidR="002853CC" w:rsidRPr="00690763">
        <w:rPr>
          <w:rFonts w:eastAsia="Times New Roman" w:cstheme="minorHAnsi"/>
          <w:kern w:val="0"/>
          <w:sz w:val="24"/>
          <w:szCs w:val="24"/>
          <w:lang w:eastAsia="en-GB"/>
          <w14:ligatures w14:val="none"/>
        </w:rPr>
        <w:t>This analysis constituted an interpretative act, wherein meanings were constructed through the examination of data and context and my interpretative lens.</w:t>
      </w:r>
      <w:r w:rsidRPr="00690763">
        <w:rPr>
          <w:rFonts w:eastAsia="Times New Roman" w:cstheme="minorHAnsi"/>
          <w:kern w:val="0"/>
          <w:sz w:val="24"/>
          <w:szCs w:val="24"/>
          <w:lang w:eastAsia="en-GB"/>
          <w14:ligatures w14:val="none"/>
        </w:rPr>
        <w:t xml:space="preserve"> </w:t>
      </w:r>
      <w:r w:rsidR="002853CC" w:rsidRPr="00690763">
        <w:rPr>
          <w:rFonts w:eastAsia="Times New Roman" w:cstheme="minorHAnsi"/>
          <w:kern w:val="0"/>
          <w:sz w:val="24"/>
          <w:szCs w:val="24"/>
          <w:lang w:eastAsia="en-GB"/>
          <w14:ligatures w14:val="none"/>
        </w:rPr>
        <w:t>A critical component of this process involved grouping narratives, not with the intent to prove a hypothesis but to discern common patterns across diverse accounts.</w:t>
      </w:r>
      <w:r w:rsidRPr="00690763">
        <w:rPr>
          <w:rFonts w:eastAsia="Times New Roman" w:cstheme="minorHAnsi"/>
          <w:kern w:val="0"/>
          <w:sz w:val="24"/>
          <w:szCs w:val="24"/>
          <w:lang w:eastAsia="en-GB"/>
          <w14:ligatures w14:val="none"/>
        </w:rPr>
        <w:t xml:space="preserve"> By categorizing related experiences, such as perspectives on recovery, modifications in training, and dietary adjustments, it became feasible to elucidate how these elements collectively contribute to a comprehensive understanding of resilience.</w:t>
      </w:r>
    </w:p>
    <w:p w14:paraId="7B50AB90" w14:textId="5FC53C80" w:rsidR="002A48FF" w:rsidRPr="00690763" w:rsidRDefault="002853CC" w:rsidP="00E95771">
      <w:pPr>
        <w:spacing w:before="100" w:beforeAutospacing="1" w:after="100" w:afterAutospacing="1" w:line="360" w:lineRule="auto"/>
        <w:jc w:val="both"/>
        <w:rPr>
          <w:rFonts w:eastAsia="Times New Roman" w:cstheme="minorHAnsi"/>
          <w:kern w:val="0"/>
          <w:sz w:val="24"/>
          <w:szCs w:val="24"/>
          <w:lang w:eastAsia="en-GB"/>
          <w14:ligatures w14:val="none"/>
        </w:rPr>
      </w:pPr>
      <w:r w:rsidRPr="00690763">
        <w:rPr>
          <w:rFonts w:eastAsia="Times New Roman" w:cstheme="minorHAnsi"/>
          <w:kern w:val="0"/>
          <w:sz w:val="24"/>
          <w:szCs w:val="24"/>
          <w:lang w:eastAsia="en-GB"/>
          <w14:ligatures w14:val="none"/>
        </w:rPr>
        <w:t>This approach bolstered the credibility of the analysis by illustrating the correlation between the individual interview data and principal themes.</w:t>
      </w:r>
      <w:r w:rsidR="002A48FF" w:rsidRPr="00690763">
        <w:rPr>
          <w:rFonts w:eastAsia="Times New Roman" w:cstheme="minorHAnsi"/>
          <w:kern w:val="0"/>
          <w:sz w:val="24"/>
          <w:szCs w:val="24"/>
          <w:lang w:eastAsia="en-GB"/>
          <w14:ligatures w14:val="none"/>
        </w:rPr>
        <w:t xml:space="preserve"> It also facilitated the identification of variations and complexities in the data. </w:t>
      </w:r>
      <w:r w:rsidRPr="00690763">
        <w:rPr>
          <w:rFonts w:eastAsia="Times New Roman" w:cstheme="minorHAnsi"/>
          <w:kern w:val="0"/>
          <w:sz w:val="24"/>
          <w:szCs w:val="24"/>
          <w:lang w:eastAsia="en-GB"/>
          <w14:ligatures w14:val="none"/>
        </w:rPr>
        <w:t xml:space="preserve">According to </w:t>
      </w:r>
      <w:proofErr w:type="spellStart"/>
      <w:r w:rsidRPr="00690763">
        <w:rPr>
          <w:rFonts w:eastAsia="Times New Roman" w:cstheme="minorHAnsi"/>
          <w:kern w:val="0"/>
          <w:sz w:val="24"/>
          <w:szCs w:val="24"/>
          <w:lang w:eastAsia="en-GB"/>
          <w14:ligatures w14:val="none"/>
        </w:rPr>
        <w:t>Hartigh</w:t>
      </w:r>
      <w:proofErr w:type="spellEnd"/>
      <w:r w:rsidRPr="00690763">
        <w:rPr>
          <w:rFonts w:eastAsia="Times New Roman" w:cstheme="minorHAnsi"/>
          <w:kern w:val="0"/>
          <w:sz w:val="24"/>
          <w:szCs w:val="24"/>
          <w:lang w:eastAsia="en-GB"/>
          <w14:ligatures w14:val="none"/>
        </w:rPr>
        <w:t xml:space="preserve"> </w:t>
      </w:r>
      <w:r w:rsidRPr="00690763">
        <w:rPr>
          <w:rFonts w:eastAsia="Times New Roman" w:cstheme="minorHAnsi"/>
          <w:i/>
          <w:iCs/>
          <w:kern w:val="0"/>
          <w:sz w:val="24"/>
          <w:szCs w:val="24"/>
          <w:lang w:eastAsia="en-GB"/>
          <w14:ligatures w14:val="none"/>
        </w:rPr>
        <w:t>et al.</w:t>
      </w:r>
      <w:r w:rsidRPr="00690763">
        <w:rPr>
          <w:rFonts w:eastAsia="Times New Roman" w:cstheme="minorHAnsi"/>
          <w:kern w:val="0"/>
          <w:sz w:val="24"/>
          <w:szCs w:val="24"/>
          <w:lang w:eastAsia="en-GB"/>
          <w14:ligatures w14:val="none"/>
        </w:rPr>
        <w:t xml:space="preserve"> (2022), trust in qualitative </w:t>
      </w:r>
      <w:r w:rsidRPr="00690763">
        <w:rPr>
          <w:rFonts w:eastAsia="Times New Roman" w:cstheme="minorHAnsi"/>
          <w:kern w:val="0"/>
          <w:sz w:val="24"/>
          <w:szCs w:val="24"/>
          <w:lang w:eastAsia="en-GB"/>
          <w14:ligatures w14:val="none"/>
        </w:rPr>
        <w:lastRenderedPageBreak/>
        <w:t>research is derived from openness and consistency rather than from a claim of perfect accuracy.</w:t>
      </w:r>
      <w:r w:rsidR="002A48FF" w:rsidRPr="00690763">
        <w:rPr>
          <w:rFonts w:eastAsia="Times New Roman" w:cstheme="minorHAnsi"/>
          <w:kern w:val="0"/>
          <w:sz w:val="24"/>
          <w:szCs w:val="24"/>
          <w:lang w:eastAsia="en-GB"/>
          <w14:ligatures w14:val="none"/>
        </w:rPr>
        <w:t xml:space="preserve"> </w:t>
      </w:r>
      <w:r w:rsidRPr="00690763">
        <w:rPr>
          <w:rFonts w:eastAsia="Times New Roman" w:cstheme="minorHAnsi"/>
          <w:kern w:val="0"/>
          <w:sz w:val="24"/>
          <w:szCs w:val="24"/>
          <w:lang w:eastAsia="en-GB"/>
          <w14:ligatures w14:val="none"/>
        </w:rPr>
        <w:t>However, researchers must remain aware of their role in delineating thematic boundaries.</w:t>
      </w:r>
      <w:r w:rsidR="002A48FF" w:rsidRPr="00690763">
        <w:rPr>
          <w:rFonts w:eastAsia="Times New Roman" w:cstheme="minorHAnsi"/>
          <w:kern w:val="0"/>
          <w:sz w:val="24"/>
          <w:szCs w:val="24"/>
          <w:lang w:eastAsia="en-GB"/>
          <w14:ligatures w14:val="none"/>
        </w:rPr>
        <w:t xml:space="preserve"> </w:t>
      </w:r>
      <w:r w:rsidRPr="00690763">
        <w:rPr>
          <w:rFonts w:eastAsia="Times New Roman" w:cstheme="minorHAnsi"/>
          <w:kern w:val="0"/>
          <w:sz w:val="24"/>
          <w:szCs w:val="24"/>
          <w:lang w:eastAsia="en-GB"/>
          <w14:ligatures w14:val="none"/>
        </w:rPr>
        <w:t>Decisions regarding which narratives to group, emphasise, or simplify reflect personal judgment.</w:t>
      </w:r>
      <w:r w:rsidR="002A48FF" w:rsidRPr="00690763">
        <w:rPr>
          <w:rFonts w:eastAsia="Times New Roman" w:cstheme="minorHAnsi"/>
          <w:kern w:val="0"/>
          <w:sz w:val="24"/>
          <w:szCs w:val="24"/>
          <w:lang w:eastAsia="en-GB"/>
          <w14:ligatures w14:val="none"/>
        </w:rPr>
        <w:t xml:space="preserve"> This underscores the necessity of self-reflection to maintain the integrity of the analysis. </w:t>
      </w:r>
      <w:r w:rsidRPr="00690763">
        <w:rPr>
          <w:rFonts w:eastAsia="Times New Roman" w:cstheme="minorHAnsi"/>
          <w:kern w:val="0"/>
          <w:sz w:val="24"/>
          <w:szCs w:val="24"/>
          <w:lang w:eastAsia="en-GB"/>
          <w14:ligatures w14:val="none"/>
        </w:rPr>
        <w:t>Thus, the strength of this study lies not in eliminating personal perspectives but in managing them carefully and transparently.</w:t>
      </w:r>
    </w:p>
    <w:p w14:paraId="2984930A" w14:textId="77777777" w:rsidR="0054695E" w:rsidRPr="00690763" w:rsidRDefault="00681025" w:rsidP="00E95771">
      <w:pPr>
        <w:pStyle w:val="NormalWeb"/>
        <w:spacing w:line="360" w:lineRule="auto"/>
        <w:jc w:val="both"/>
        <w:rPr>
          <w:rFonts w:asciiTheme="minorHAnsi" w:hAnsiTheme="minorHAnsi" w:cstheme="minorHAnsi"/>
          <w:b/>
          <w:bCs/>
          <w:sz w:val="28"/>
          <w:szCs w:val="28"/>
        </w:rPr>
      </w:pPr>
      <w:r w:rsidRPr="00690763">
        <w:rPr>
          <w:rFonts w:asciiTheme="minorHAnsi" w:hAnsiTheme="minorHAnsi" w:cstheme="minorHAnsi"/>
          <w:b/>
          <w:bCs/>
          <w:sz w:val="28"/>
          <w:szCs w:val="28"/>
        </w:rPr>
        <w:t>11.0</w:t>
      </w:r>
      <w:r w:rsidR="00737B0D" w:rsidRPr="00690763">
        <w:rPr>
          <w:rFonts w:asciiTheme="minorHAnsi" w:hAnsiTheme="minorHAnsi" w:cstheme="minorHAnsi"/>
          <w:b/>
          <w:bCs/>
          <w:sz w:val="28"/>
          <w:szCs w:val="28"/>
        </w:rPr>
        <w:t xml:space="preserve"> </w:t>
      </w:r>
      <w:r w:rsidR="0054695E" w:rsidRPr="00690763">
        <w:rPr>
          <w:rFonts w:asciiTheme="minorHAnsi" w:hAnsiTheme="minorHAnsi" w:cstheme="minorHAnsi"/>
          <w:b/>
          <w:bCs/>
          <w:sz w:val="28"/>
          <w:szCs w:val="28"/>
        </w:rPr>
        <w:t>Reflexivity and Researcher Role in the Study</w:t>
      </w:r>
    </w:p>
    <w:p w14:paraId="1B5656EB" w14:textId="7DDB4809" w:rsidR="00BE2DA2" w:rsidRPr="00277C8D" w:rsidRDefault="00BE2DA2" w:rsidP="00B15003">
      <w:pPr>
        <w:pStyle w:val="NormalWeb"/>
        <w:spacing w:line="360" w:lineRule="auto"/>
        <w:jc w:val="both"/>
        <w:rPr>
          <w:rFonts w:asciiTheme="minorHAnsi" w:hAnsiTheme="minorHAnsi" w:cstheme="minorHAnsi"/>
          <w14:ligatures w14:val="none"/>
        </w:rPr>
      </w:pPr>
      <w:r w:rsidRPr="00690763">
        <w:rPr>
          <w:rFonts w:asciiTheme="minorHAnsi" w:hAnsiTheme="minorHAnsi" w:cstheme="minorHAnsi"/>
          <w14:ligatures w14:val="none"/>
        </w:rPr>
        <w:t xml:space="preserve">In qualitative research, the researcher serves as the main tool for gathering and analysing data, which requires a strong awareness of their biases and professional history. </w:t>
      </w:r>
      <w:r w:rsidR="00B15003" w:rsidRPr="00690763">
        <w:rPr>
          <w:rFonts w:asciiTheme="minorHAnsi" w:hAnsiTheme="minorHAnsi" w:cstheme="minorHAnsi"/>
          <w14:ligatures w14:val="none"/>
        </w:rPr>
        <w:t>As noted by Bright, McKay and Firth (2023), to address the potential biases that come with this inherent subjectivity, researchers should apply rigorous, reflective methods.</w:t>
      </w:r>
      <w:r w:rsidRPr="00690763">
        <w:rPr>
          <w:rFonts w:asciiTheme="minorHAnsi" w:hAnsiTheme="minorHAnsi" w:cstheme="minorHAnsi"/>
          <w14:ligatures w14:val="none"/>
        </w:rPr>
        <w:t xml:space="preserve"> In this project, I found myself in a nuanced ‘insider-outsider role’. As a Master's student specialising in Sport and Exercise Nutrition, my ‘insider’ understanding of protein synthesis and the mechanics of resistance training enabled me to quickly establish a connection with the participants. They saw me as a peer who comprehended the ‘Strength Paradox’ from a technical perspective, which encouraged them to openly discuss their training routines and experiences. For instance, when a participant mentioned 'slower recovery', my clinical instinct was to immediately interpret it as an indicator of anabolic resistance. Reflexivity enabled me to pause and pose open-ended questions, allowing participants to define recovery through their own subjective understanding of 'Functional Resilience'. By maintaining a reflexive journal throughout the thematic analysis, I ensured that the themes that emerged genuinely represented the participants' perspectives rather than my own preconceived academic notions.</w:t>
      </w:r>
    </w:p>
    <w:p w14:paraId="5A512CF7" w14:textId="1FA35325" w:rsidR="00BE2DA2" w:rsidRPr="00690763" w:rsidRDefault="00BE2DA2" w:rsidP="00E95771">
      <w:pPr>
        <w:spacing w:before="100" w:beforeAutospacing="1" w:after="100" w:afterAutospacing="1" w:line="360" w:lineRule="auto"/>
        <w:jc w:val="both"/>
        <w:rPr>
          <w:rFonts w:eastAsia="Times New Roman" w:cstheme="minorHAnsi"/>
          <w:kern w:val="0"/>
          <w:sz w:val="24"/>
          <w:szCs w:val="24"/>
          <w:lang w:eastAsia="en-GB"/>
          <w14:ligatures w14:val="none"/>
        </w:rPr>
      </w:pPr>
      <w:r w:rsidRPr="00690763">
        <w:rPr>
          <w:rFonts w:eastAsia="Times New Roman" w:cstheme="minorHAnsi"/>
          <w:kern w:val="0"/>
          <w:sz w:val="24"/>
          <w:szCs w:val="24"/>
          <w:lang w:eastAsia="en-GB"/>
          <w14:ligatures w14:val="none"/>
        </w:rPr>
        <w:t xml:space="preserve">The shift from a 'detached observer' to a 'reflexive instrument' has been the most significant change in my development as a researcher. As Sibbald </w:t>
      </w:r>
      <w:r w:rsidRPr="00690763">
        <w:rPr>
          <w:rFonts w:eastAsia="Times New Roman" w:cstheme="minorHAnsi"/>
          <w:i/>
          <w:iCs/>
          <w:kern w:val="0"/>
          <w:sz w:val="24"/>
          <w:szCs w:val="24"/>
          <w:lang w:eastAsia="en-GB"/>
          <w14:ligatures w14:val="none"/>
        </w:rPr>
        <w:t>et al.</w:t>
      </w:r>
      <w:r w:rsidRPr="00690763">
        <w:rPr>
          <w:rFonts w:eastAsia="Times New Roman" w:cstheme="minorHAnsi"/>
          <w:kern w:val="0"/>
          <w:sz w:val="24"/>
          <w:szCs w:val="24"/>
          <w:lang w:eastAsia="en-GB"/>
          <w14:ligatures w14:val="none"/>
        </w:rPr>
        <w:t xml:space="preserve"> (2025) suggest, this transformation signifies deep epistemological and ethical growth; it involves viewing one's subjectivity as an asset rather than a liability, engaging in continuous self-examination, and taking responsibility for knowledge generation. </w:t>
      </w:r>
      <w:r w:rsidRPr="00690763">
        <w:rPr>
          <w:rFonts w:eastAsia="Times New Roman" w:cstheme="minorHAnsi"/>
          <w:kern w:val="0"/>
          <w:sz w:val="24"/>
          <w:szCs w:val="24"/>
          <w:lang w:eastAsia="en-GB"/>
          <w14:ligatures w14:val="none"/>
        </w:rPr>
        <w:t>This change promotes transparency, rigor, and ethical responsibility, representing a crucial advancement in qualitative research.</w:t>
      </w:r>
      <w:r w:rsidRPr="00690763">
        <w:rPr>
          <w:rFonts w:eastAsia="Times New Roman" w:cstheme="minorHAnsi"/>
          <w:kern w:val="0"/>
          <w:sz w:val="24"/>
          <w:szCs w:val="24"/>
          <w:lang w:eastAsia="en-GB"/>
          <w14:ligatures w14:val="none"/>
        </w:rPr>
        <w:t xml:space="preserve"> Beyond clinical bracketing, I needed to remain aware of the power dynamics in the researcher-</w:t>
      </w:r>
      <w:r w:rsidRPr="00690763">
        <w:rPr>
          <w:rFonts w:eastAsia="Times New Roman" w:cstheme="minorHAnsi"/>
          <w:kern w:val="0"/>
          <w:sz w:val="24"/>
          <w:szCs w:val="24"/>
          <w:lang w:eastAsia="en-GB"/>
          <w14:ligatures w14:val="none"/>
        </w:rPr>
        <w:lastRenderedPageBreak/>
        <w:t xml:space="preserve">participant relationship. Although my 'insider' status helped build rapport, it also risked 'social desirability bias,' where participants might have over-reported positive behaviours, such as protein adherence, to meet perceived expectations. Acknowledging this, I used the three-day food diaries not just as data, but as a 'reflexive anchor' to cross-reference verbal narratives with documented behaviours. </w:t>
      </w:r>
      <w:r w:rsidRPr="00690763">
        <w:rPr>
          <w:rFonts w:eastAsia="Times New Roman" w:cstheme="minorHAnsi"/>
          <w:kern w:val="0"/>
          <w:sz w:val="24"/>
          <w:szCs w:val="24"/>
          <w:lang w:eastAsia="en-GB"/>
          <w14:ligatures w14:val="none"/>
        </w:rPr>
        <w:t>This approach enabled me to navigate the tension between participants' desired self-image and their reality, ensuring that the final themes authentically represented their experiences rather than their ideal' athletic behaviour.</w:t>
      </w:r>
      <w:r w:rsidRPr="00690763">
        <w:rPr>
          <w:rFonts w:eastAsia="Times New Roman" w:cstheme="minorHAnsi"/>
          <w:kern w:val="0"/>
          <w:sz w:val="24"/>
          <w:szCs w:val="24"/>
          <w:lang w:eastAsia="en-GB"/>
          <w14:ligatures w14:val="none"/>
        </w:rPr>
        <w:t xml:space="preserve"> This reflexive process reinforced my commitment to an interpretivist approach, ensuring that participants’ accounts were not reduced to predefined physiological explanations but were understood within their experiential frameworks.</w:t>
      </w:r>
    </w:p>
    <w:p w14:paraId="25435275" w14:textId="64D91CB9" w:rsidR="00681025" w:rsidRPr="00690763" w:rsidRDefault="00BE2DA2" w:rsidP="00E95771">
      <w:pPr>
        <w:pStyle w:val="NormalWeb"/>
        <w:spacing w:line="360" w:lineRule="auto"/>
        <w:jc w:val="both"/>
        <w:rPr>
          <w:rFonts w:asciiTheme="minorHAnsi" w:hAnsiTheme="minorHAnsi" w:cstheme="minorHAnsi"/>
          <w:b/>
          <w:bCs/>
          <w:sz w:val="28"/>
          <w:szCs w:val="28"/>
        </w:rPr>
      </w:pPr>
      <w:r w:rsidRPr="00690763">
        <w:rPr>
          <w:rFonts w:asciiTheme="minorHAnsi" w:hAnsiTheme="minorHAnsi" w:cstheme="minorHAnsi"/>
          <w:b/>
          <w:bCs/>
          <w:sz w:val="28"/>
          <w:szCs w:val="28"/>
        </w:rPr>
        <w:t>12.0</w:t>
      </w:r>
      <w:r w:rsidR="00737B0D" w:rsidRPr="00690763">
        <w:rPr>
          <w:rFonts w:asciiTheme="minorHAnsi" w:hAnsiTheme="minorHAnsi" w:cstheme="minorHAnsi"/>
          <w:b/>
          <w:bCs/>
          <w:sz w:val="28"/>
          <w:szCs w:val="28"/>
        </w:rPr>
        <w:t xml:space="preserve"> </w:t>
      </w:r>
      <w:r w:rsidR="00737B0D" w:rsidRPr="00690763">
        <w:rPr>
          <w:rFonts w:asciiTheme="minorHAnsi" w:hAnsiTheme="minorHAnsi" w:cstheme="minorHAnsi"/>
          <w:b/>
          <w:bCs/>
          <w:sz w:val="28"/>
          <w:szCs w:val="28"/>
        </w:rPr>
        <w:t>Implications for Professional Practice</w:t>
      </w:r>
    </w:p>
    <w:p w14:paraId="3CDFE211" w14:textId="154F7919" w:rsidR="00BE2DA2" w:rsidRPr="00690763" w:rsidRDefault="00BE2DA2" w:rsidP="00E95771">
      <w:pPr>
        <w:spacing w:before="100" w:beforeAutospacing="1" w:after="100" w:afterAutospacing="1" w:line="360" w:lineRule="auto"/>
        <w:jc w:val="both"/>
        <w:rPr>
          <w:rFonts w:eastAsia="Times New Roman" w:cstheme="minorHAnsi"/>
          <w:kern w:val="0"/>
          <w:sz w:val="24"/>
          <w:szCs w:val="24"/>
          <w:lang w:eastAsia="en-GB"/>
          <w14:ligatures w14:val="none"/>
        </w:rPr>
      </w:pPr>
      <w:r w:rsidRPr="00690763">
        <w:rPr>
          <w:rFonts w:cstheme="minorHAnsi"/>
          <w:sz w:val="24"/>
          <w:szCs w:val="24"/>
        </w:rPr>
        <w:t>Adopting an interpretivist approach in this research revealed that comprehending the behaviour of the cohort extends beyond mere physical data; it requires an understanding of personal meaning, experience, and the adaptive strategies athletes employ.</w:t>
      </w:r>
      <w:r w:rsidRPr="00690763">
        <w:rPr>
          <w:rFonts w:cstheme="minorHAnsi"/>
          <w:sz w:val="24"/>
          <w:szCs w:val="24"/>
        </w:rPr>
        <w:t xml:space="preserve"> This study demonstrates that performance is not exclusively reliant on biological capabilities. Instead, adaptation arises from athletes' perceptions of bodily changes and the strategies they use to manage these changes. Pretorius (2024) argued that this constitutes a novel perspective in sarcopenia research, where biological decline is frequently perceived as unavoidable. In this framework, 'biological decline' is considered a challenge that athletes can navigate effectively. The </w:t>
      </w:r>
      <w:r w:rsidR="00D307CB" w:rsidRPr="00690763">
        <w:rPr>
          <w:rFonts w:cstheme="minorHAnsi"/>
          <w:sz w:val="24"/>
          <w:szCs w:val="24"/>
        </w:rPr>
        <w:t>‘</w:t>
      </w:r>
      <w:r w:rsidRPr="00690763">
        <w:rPr>
          <w:rFonts w:cstheme="minorHAnsi"/>
          <w:sz w:val="24"/>
          <w:szCs w:val="24"/>
        </w:rPr>
        <w:t>Strength Paradox</w:t>
      </w:r>
      <w:r w:rsidR="00D307CB" w:rsidRPr="00690763">
        <w:rPr>
          <w:rFonts w:cstheme="minorHAnsi"/>
          <w:sz w:val="24"/>
          <w:szCs w:val="24"/>
        </w:rPr>
        <w:t>’</w:t>
      </w:r>
      <w:r w:rsidRPr="00690763">
        <w:rPr>
          <w:rFonts w:cstheme="minorHAnsi"/>
          <w:sz w:val="24"/>
          <w:szCs w:val="24"/>
        </w:rPr>
        <w:t xml:space="preserve"> exemplifies how individuals maintain high performance despite physical changes, underscoring that adaptation is as dependent on mental and behavioural responses as it is on biological factors.</w:t>
      </w:r>
    </w:p>
    <w:p w14:paraId="73F06C61" w14:textId="4F9DB527" w:rsidR="00BE2DA2" w:rsidRPr="00897230" w:rsidRDefault="00BE2DA2" w:rsidP="00E95771">
      <w:pPr>
        <w:spacing w:before="100" w:beforeAutospacing="1" w:after="100" w:afterAutospacing="1" w:line="360" w:lineRule="auto"/>
        <w:jc w:val="both"/>
        <w:rPr>
          <w:rFonts w:eastAsia="Times New Roman" w:cstheme="minorHAnsi"/>
          <w:kern w:val="0"/>
          <w:sz w:val="24"/>
          <w:szCs w:val="24"/>
          <w:lang w:eastAsia="en-GB"/>
          <w14:ligatures w14:val="none"/>
        </w:rPr>
      </w:pPr>
      <w:r w:rsidRPr="00690763">
        <w:rPr>
          <w:rFonts w:eastAsia="Times New Roman" w:cstheme="minorHAnsi"/>
          <w:kern w:val="0"/>
          <w:sz w:val="24"/>
          <w:szCs w:val="24"/>
          <w:lang w:eastAsia="en-GB"/>
          <w14:ligatures w14:val="none"/>
        </w:rPr>
        <w:t xml:space="preserve">The findings of this study have significant implications for professional practice. Rather than exclusively depending on standardised assessments or objective intake metrics, this study recommends the integration of semi-structured interview techniques in nutritional consultations to capture the contextual and experiential dimensions of behaviour. This approach facilitates the identification of </w:t>
      </w:r>
      <w:r w:rsidR="00D307CB" w:rsidRPr="00690763">
        <w:rPr>
          <w:rFonts w:eastAsia="Times New Roman" w:cstheme="minorHAnsi"/>
          <w:kern w:val="0"/>
          <w:sz w:val="24"/>
          <w:szCs w:val="24"/>
          <w:lang w:eastAsia="en-GB"/>
          <w14:ligatures w14:val="none"/>
        </w:rPr>
        <w:t>‘</w:t>
      </w:r>
      <w:r w:rsidRPr="00690763">
        <w:rPr>
          <w:rFonts w:eastAsia="Times New Roman" w:cstheme="minorHAnsi"/>
          <w:kern w:val="0"/>
          <w:sz w:val="24"/>
          <w:szCs w:val="24"/>
          <w:lang w:eastAsia="en-GB"/>
          <w14:ligatures w14:val="none"/>
        </w:rPr>
        <w:t>narrative clusters</w:t>
      </w:r>
      <w:r w:rsidR="00D307CB" w:rsidRPr="00690763">
        <w:rPr>
          <w:rFonts w:eastAsia="Times New Roman" w:cstheme="minorHAnsi"/>
          <w:kern w:val="0"/>
          <w:sz w:val="24"/>
          <w:szCs w:val="24"/>
          <w:lang w:eastAsia="en-GB"/>
          <w14:ligatures w14:val="none"/>
        </w:rPr>
        <w:t>’</w:t>
      </w:r>
      <w:r w:rsidRPr="00690763">
        <w:rPr>
          <w:rFonts w:eastAsia="Times New Roman" w:cstheme="minorHAnsi"/>
          <w:kern w:val="0"/>
          <w:sz w:val="24"/>
          <w:szCs w:val="24"/>
          <w:lang w:eastAsia="en-GB"/>
          <w14:ligatures w14:val="none"/>
        </w:rPr>
        <w:t>, which aid in comprehending clients' beliefs, motivations, and perceived barriers, in conjunction with their physiological profiles. For example, understanding how a client perceives their own performance decline</w:t>
      </w:r>
      <w:r w:rsidR="00D307CB" w:rsidRPr="00690763">
        <w:rPr>
          <w:rFonts w:eastAsia="Times New Roman" w:cstheme="minorHAnsi"/>
          <w:kern w:val="0"/>
          <w:sz w:val="24"/>
          <w:szCs w:val="24"/>
          <w:lang w:eastAsia="en-GB"/>
          <w14:ligatures w14:val="none"/>
        </w:rPr>
        <w:t xml:space="preserve"> </w:t>
      </w:r>
      <w:r w:rsidRPr="00690763">
        <w:rPr>
          <w:rFonts w:eastAsia="Times New Roman" w:cstheme="minorHAnsi"/>
          <w:kern w:val="0"/>
          <w:sz w:val="24"/>
          <w:szCs w:val="24"/>
          <w:lang w:eastAsia="en-GB"/>
          <w14:ligatures w14:val="none"/>
        </w:rPr>
        <w:t>or the absence thereof</w:t>
      </w:r>
      <w:r w:rsidR="00D307CB" w:rsidRPr="00690763">
        <w:rPr>
          <w:rFonts w:eastAsia="Times New Roman" w:cstheme="minorHAnsi"/>
          <w:kern w:val="0"/>
          <w:sz w:val="24"/>
          <w:szCs w:val="24"/>
          <w:lang w:eastAsia="en-GB"/>
          <w14:ligatures w14:val="none"/>
        </w:rPr>
        <w:t xml:space="preserve"> </w:t>
      </w:r>
      <w:r w:rsidRPr="00690763">
        <w:rPr>
          <w:rFonts w:eastAsia="Times New Roman" w:cstheme="minorHAnsi"/>
          <w:kern w:val="0"/>
          <w:sz w:val="24"/>
          <w:szCs w:val="24"/>
          <w:lang w:eastAsia="en-GB"/>
          <w14:ligatures w14:val="none"/>
        </w:rPr>
        <w:t xml:space="preserve">provides a more nuanced basis for intervention than merely applying </w:t>
      </w:r>
      <w:r w:rsidRPr="00690763">
        <w:rPr>
          <w:rFonts w:eastAsia="Times New Roman" w:cstheme="minorHAnsi"/>
          <w:kern w:val="0"/>
          <w:sz w:val="24"/>
          <w:szCs w:val="24"/>
          <w:lang w:eastAsia="en-GB"/>
          <w14:ligatures w14:val="none"/>
        </w:rPr>
        <w:lastRenderedPageBreak/>
        <w:t xml:space="preserve">generalised protein targets. </w:t>
      </w:r>
      <w:r w:rsidRPr="00690763">
        <w:rPr>
          <w:rFonts w:eastAsia="Times New Roman" w:cstheme="minorHAnsi"/>
          <w:kern w:val="0"/>
          <w:sz w:val="24"/>
          <w:szCs w:val="24"/>
          <w:lang w:eastAsia="en-GB"/>
          <w14:ligatures w14:val="none"/>
        </w:rPr>
        <w:t xml:space="preserve">Although physiological factors, such as muscle protein synthesis (MPS) blunting, described by </w:t>
      </w:r>
      <w:proofErr w:type="spellStart"/>
      <w:r w:rsidRPr="00690763">
        <w:rPr>
          <w:rFonts w:eastAsia="Times New Roman" w:cstheme="minorHAnsi"/>
          <w:kern w:val="0"/>
          <w:sz w:val="24"/>
          <w:szCs w:val="24"/>
          <w:lang w:eastAsia="en-GB"/>
          <w14:ligatures w14:val="none"/>
        </w:rPr>
        <w:t>Paulussen</w:t>
      </w:r>
      <w:proofErr w:type="spellEnd"/>
      <w:r w:rsidRPr="00690763">
        <w:rPr>
          <w:rFonts w:eastAsia="Times New Roman" w:cstheme="minorHAnsi"/>
          <w:kern w:val="0"/>
          <w:sz w:val="24"/>
          <w:szCs w:val="24"/>
          <w:lang w:eastAsia="en-GB"/>
          <w14:ligatures w14:val="none"/>
        </w:rPr>
        <w:t xml:space="preserve"> </w:t>
      </w:r>
      <w:r w:rsidRPr="00690763">
        <w:rPr>
          <w:rFonts w:eastAsia="Times New Roman" w:cstheme="minorHAnsi"/>
          <w:i/>
          <w:iCs/>
          <w:kern w:val="0"/>
          <w:sz w:val="24"/>
          <w:szCs w:val="24"/>
          <w:lang w:eastAsia="en-GB"/>
          <w14:ligatures w14:val="none"/>
        </w:rPr>
        <w:t>et al.</w:t>
      </w:r>
      <w:r w:rsidRPr="00690763">
        <w:rPr>
          <w:rFonts w:eastAsia="Times New Roman" w:cstheme="minorHAnsi"/>
          <w:kern w:val="0"/>
          <w:sz w:val="24"/>
          <w:szCs w:val="24"/>
          <w:lang w:eastAsia="en-GB"/>
          <w14:ligatures w14:val="none"/>
        </w:rPr>
        <w:t xml:space="preserve"> (2021), remain important, their practical relevance is shaped by how individuals interpret and respond to these changes in their daily training and diet.</w:t>
      </w:r>
    </w:p>
    <w:p w14:paraId="697ACD02" w14:textId="08788B93" w:rsidR="00BE2DA2" w:rsidRPr="00690763" w:rsidRDefault="00BE2DA2" w:rsidP="00E95771">
      <w:pPr>
        <w:spacing w:before="100" w:beforeAutospacing="1" w:after="100" w:afterAutospacing="1" w:line="360" w:lineRule="auto"/>
        <w:jc w:val="both"/>
        <w:rPr>
          <w:rFonts w:eastAsia="Times New Roman" w:cstheme="minorHAnsi"/>
          <w:kern w:val="0"/>
          <w:sz w:val="24"/>
          <w:szCs w:val="24"/>
          <w:lang w:eastAsia="en-GB"/>
          <w14:ligatures w14:val="none"/>
        </w:rPr>
      </w:pPr>
      <w:r w:rsidRPr="00690763">
        <w:rPr>
          <w:rFonts w:eastAsia="Times New Roman" w:cstheme="minorHAnsi"/>
          <w:kern w:val="0"/>
          <w:sz w:val="24"/>
          <w:szCs w:val="24"/>
          <w:lang w:eastAsia="en-GB"/>
          <w14:ligatures w14:val="none"/>
        </w:rPr>
        <w:t xml:space="preserve">This dual-lens strategy, which combines quantitative metrics with qualitative insights, facilitates biologically informative and behaviourally sustainable interventions. </w:t>
      </w:r>
      <w:r w:rsidRPr="00690763">
        <w:rPr>
          <w:rFonts w:eastAsia="Times New Roman" w:cstheme="minorHAnsi"/>
          <w:kern w:val="0"/>
          <w:sz w:val="24"/>
          <w:szCs w:val="24"/>
          <w:lang w:eastAsia="en-GB"/>
          <w14:ligatures w14:val="none"/>
        </w:rPr>
        <w:t>Adherence is a primary component of effective practice.</w:t>
      </w:r>
      <w:r w:rsidRPr="00690763">
        <w:rPr>
          <w:rFonts w:eastAsia="Times New Roman" w:cstheme="minorHAnsi"/>
          <w:kern w:val="0"/>
          <w:sz w:val="24"/>
          <w:szCs w:val="24"/>
          <w:lang w:eastAsia="en-GB"/>
          <w14:ligatures w14:val="none"/>
        </w:rPr>
        <w:t xml:space="preserve"> The shift from a five-day to a three-day food diary underscores this, showing that effective practice aligns with the participants' real-life situations. Professionally, this means adopting flexible assessment strategies that prioritise meaningful engagement over ineffective rigid procedures. These experiences transform the professional identity from a technical focus to a reflexive, context-sensitive "scholar-practitioner" approach. In this framework, resilience is an adaptive process influenced by physiological, psychological, and behavioural factors, not merely the absence of decline in these factors. This perspective supports a nuanced and responsive model of sports nutrition practice, particularly for aging athletes.</w:t>
      </w:r>
    </w:p>
    <w:p w14:paraId="734E2318" w14:textId="6A3EF197" w:rsidR="00DB1E47" w:rsidRPr="00690763" w:rsidRDefault="00BE2DA2" w:rsidP="00E95771">
      <w:pPr>
        <w:spacing w:before="100" w:beforeAutospacing="1" w:after="100" w:afterAutospacing="1" w:line="360" w:lineRule="auto"/>
        <w:jc w:val="both"/>
        <w:rPr>
          <w:rFonts w:eastAsia="Times New Roman" w:cstheme="minorHAnsi"/>
          <w:b/>
          <w:bCs/>
          <w:kern w:val="0"/>
          <w:sz w:val="28"/>
          <w:szCs w:val="28"/>
          <w:lang w:eastAsia="en-GB"/>
          <w14:ligatures w14:val="none"/>
        </w:rPr>
      </w:pPr>
      <w:r w:rsidRPr="00690763">
        <w:rPr>
          <w:rFonts w:eastAsia="Times New Roman" w:cstheme="minorHAnsi"/>
          <w:b/>
          <w:bCs/>
          <w:kern w:val="0"/>
          <w:sz w:val="28"/>
          <w:szCs w:val="28"/>
          <w:lang w:eastAsia="en-GB"/>
          <w14:ligatures w14:val="none"/>
        </w:rPr>
        <w:t>13.0</w:t>
      </w:r>
      <w:r w:rsidR="00737B0D" w:rsidRPr="00690763">
        <w:rPr>
          <w:rFonts w:eastAsia="Times New Roman" w:cstheme="minorHAnsi"/>
          <w:b/>
          <w:bCs/>
          <w:kern w:val="0"/>
          <w:sz w:val="28"/>
          <w:szCs w:val="28"/>
          <w:lang w:eastAsia="en-GB"/>
          <w14:ligatures w14:val="none"/>
        </w:rPr>
        <w:t xml:space="preserve"> Conclusion</w:t>
      </w:r>
    </w:p>
    <w:p w14:paraId="5150F208" w14:textId="0A1CF231" w:rsidR="00BE2DA2" w:rsidRPr="00690763" w:rsidRDefault="001D381A" w:rsidP="00E95771">
      <w:pPr>
        <w:pStyle w:val="NormalWeb"/>
        <w:spacing w:before="0" w:beforeAutospacing="0" w:line="360" w:lineRule="auto"/>
        <w:jc w:val="both"/>
        <w:rPr>
          <w:rFonts w:asciiTheme="minorHAnsi" w:hAnsiTheme="minorHAnsi" w:cstheme="minorHAnsi"/>
        </w:rPr>
      </w:pPr>
      <w:r w:rsidRPr="00690763">
        <w:rPr>
          <w:rFonts w:asciiTheme="minorHAnsi" w:hAnsiTheme="minorHAnsi" w:cstheme="minorHAnsi"/>
        </w:rPr>
        <w:t>This study demonstrates that comprehending the experiences of aging recreational athletes extends beyond mere physiological analysis; it requires exploring the meanings and strategies that individuals employ to interpret and respond to their bodily changes.</w:t>
      </w:r>
      <w:r w:rsidR="00BE2DA2" w:rsidRPr="00690763">
        <w:rPr>
          <w:rFonts w:asciiTheme="minorHAnsi" w:hAnsiTheme="minorHAnsi" w:cstheme="minorHAnsi"/>
        </w:rPr>
        <w:t xml:space="preserve"> </w:t>
      </w:r>
      <w:r w:rsidRPr="00690763">
        <w:rPr>
          <w:rFonts w:asciiTheme="minorHAnsi" w:hAnsiTheme="minorHAnsi" w:cstheme="minorHAnsi"/>
        </w:rPr>
        <w:t>By emphasising implicit knowledge and lived experiences, the research highlights how performance is sustained not despite a perceived decline but through ongoing behavioural and psychological adaptation.</w:t>
      </w:r>
      <w:r w:rsidR="00BE2DA2" w:rsidRPr="00690763">
        <w:rPr>
          <w:rFonts w:asciiTheme="minorHAnsi" w:hAnsiTheme="minorHAnsi" w:cstheme="minorHAnsi"/>
        </w:rPr>
        <w:t xml:space="preserve"> The concept of the "Strength Paradox" encapsulates this dynamic, illustrating how athletes can maintain objective performance while acknowledging physiological limitations. As Cai </w:t>
      </w:r>
      <w:r w:rsidR="00BE2DA2" w:rsidRPr="00690763">
        <w:rPr>
          <w:rFonts w:asciiTheme="minorHAnsi" w:hAnsiTheme="minorHAnsi" w:cstheme="minorHAnsi"/>
          <w:i/>
          <w:iCs/>
        </w:rPr>
        <w:t>et al.</w:t>
      </w:r>
      <w:r w:rsidR="00BE2DA2" w:rsidRPr="00690763">
        <w:rPr>
          <w:rFonts w:asciiTheme="minorHAnsi" w:hAnsiTheme="minorHAnsi" w:cstheme="minorHAnsi"/>
        </w:rPr>
        <w:t xml:space="preserve"> (2025) emphasised, psychological resilience encompasses coping mechanisms and self-efficacy that alleviate stress and facilitate long-term adaptations.</w:t>
      </w:r>
    </w:p>
    <w:p w14:paraId="29620D9A" w14:textId="0A39BB3D" w:rsidR="00BE2DA2" w:rsidRPr="00690763" w:rsidRDefault="00BE2DA2" w:rsidP="00E95771">
      <w:pPr>
        <w:spacing w:before="100" w:beforeAutospacing="1" w:after="100" w:afterAutospacing="1" w:line="360" w:lineRule="auto"/>
        <w:jc w:val="both"/>
        <w:rPr>
          <w:rFonts w:eastAsia="Times New Roman" w:cstheme="minorHAnsi"/>
          <w:kern w:val="0"/>
          <w:sz w:val="24"/>
          <w:szCs w:val="24"/>
          <w:lang w:eastAsia="en-GB"/>
          <w14:ligatures w14:val="none"/>
        </w:rPr>
      </w:pPr>
      <w:r w:rsidRPr="00690763">
        <w:rPr>
          <w:rFonts w:eastAsia="Times New Roman" w:cstheme="minorHAnsi"/>
          <w:kern w:val="0"/>
          <w:sz w:val="24"/>
          <w:szCs w:val="24"/>
          <w:lang w:eastAsia="en-GB"/>
          <w14:ligatures w14:val="none"/>
        </w:rPr>
        <w:t xml:space="preserve">In terms of methodology, transitioning from a five-day to a three-day food diary exemplifies adaptive research practices, emphasising that the quality of the methodology is contingent on its contextual relevance. </w:t>
      </w:r>
      <w:r w:rsidR="001D381A" w:rsidRPr="00690763">
        <w:rPr>
          <w:rFonts w:eastAsia="Times New Roman" w:cstheme="minorHAnsi"/>
          <w:kern w:val="0"/>
          <w:sz w:val="24"/>
          <w:szCs w:val="24"/>
          <w:lang w:eastAsia="en-GB"/>
          <w14:ligatures w14:val="none"/>
        </w:rPr>
        <w:t>This highlights the necessity of aligning the research design with participants’ realities to produce credible and meaningful data.</w:t>
      </w:r>
      <w:r w:rsidRPr="00690763">
        <w:rPr>
          <w:rFonts w:eastAsia="Times New Roman" w:cstheme="minorHAnsi"/>
          <w:kern w:val="0"/>
          <w:sz w:val="24"/>
          <w:szCs w:val="24"/>
          <w:lang w:eastAsia="en-GB"/>
          <w14:ligatures w14:val="none"/>
        </w:rPr>
        <w:t xml:space="preserve"> </w:t>
      </w:r>
      <w:proofErr w:type="spellStart"/>
      <w:r w:rsidRPr="00690763">
        <w:rPr>
          <w:rFonts w:eastAsia="Times New Roman" w:cstheme="minorHAnsi"/>
          <w:kern w:val="0"/>
          <w:sz w:val="24"/>
          <w:szCs w:val="24"/>
          <w:lang w:eastAsia="en-GB"/>
          <w14:ligatures w14:val="none"/>
        </w:rPr>
        <w:t>Jonvik</w:t>
      </w:r>
      <w:proofErr w:type="spellEnd"/>
      <w:r w:rsidRPr="00690763">
        <w:rPr>
          <w:rFonts w:eastAsia="Times New Roman" w:cstheme="minorHAnsi"/>
          <w:kern w:val="0"/>
          <w:sz w:val="24"/>
          <w:szCs w:val="24"/>
          <w:lang w:eastAsia="en-GB"/>
          <w14:ligatures w14:val="none"/>
        </w:rPr>
        <w:t xml:space="preserve"> </w:t>
      </w:r>
      <w:r w:rsidRPr="00690763">
        <w:rPr>
          <w:rFonts w:eastAsia="Times New Roman" w:cstheme="minorHAnsi"/>
          <w:i/>
          <w:iCs/>
          <w:kern w:val="0"/>
          <w:sz w:val="24"/>
          <w:szCs w:val="24"/>
          <w:lang w:eastAsia="en-GB"/>
          <w14:ligatures w14:val="none"/>
        </w:rPr>
        <w:t>et al.</w:t>
      </w:r>
      <w:r w:rsidRPr="00690763">
        <w:rPr>
          <w:rFonts w:eastAsia="Times New Roman" w:cstheme="minorHAnsi"/>
          <w:kern w:val="0"/>
          <w:sz w:val="24"/>
          <w:szCs w:val="24"/>
          <w:lang w:eastAsia="en-GB"/>
          <w14:ligatures w14:val="none"/>
        </w:rPr>
        <w:t xml:space="preserve"> (2022) </w:t>
      </w:r>
      <w:r w:rsidRPr="00690763">
        <w:rPr>
          <w:rFonts w:eastAsia="Times New Roman" w:cstheme="minorHAnsi"/>
          <w:kern w:val="0"/>
          <w:sz w:val="24"/>
          <w:szCs w:val="24"/>
          <w:lang w:eastAsia="en-GB"/>
          <w14:ligatures w14:val="none"/>
        </w:rPr>
        <w:lastRenderedPageBreak/>
        <w:t xml:space="preserve">emphasised the importance of field-based data collection in creating "ecologically valid, personalized interventions" that consider an athlete’s unique environment and preferences. </w:t>
      </w:r>
      <w:r w:rsidR="001D381A" w:rsidRPr="00690763">
        <w:rPr>
          <w:rFonts w:eastAsia="Times New Roman" w:cstheme="minorHAnsi"/>
          <w:kern w:val="0"/>
          <w:sz w:val="24"/>
          <w:szCs w:val="24"/>
          <w:lang w:eastAsia="en-GB"/>
          <w14:ligatures w14:val="none"/>
        </w:rPr>
        <w:t>Together, these insights advocate for a shift in the professional focus from a primarily technical emphasis on biological metrics to a more reflective and context-sensitive approach.</w:t>
      </w:r>
      <w:r w:rsidRPr="00690763">
        <w:rPr>
          <w:rFonts w:eastAsia="Times New Roman" w:cstheme="minorHAnsi"/>
          <w:kern w:val="0"/>
          <w:sz w:val="24"/>
          <w:szCs w:val="24"/>
          <w:lang w:eastAsia="en-GB"/>
          <w14:ligatures w14:val="none"/>
        </w:rPr>
        <w:t xml:space="preserve"> In this framework, resilience is viewed not as the absence of decline but as an adaptive process influenced by the interaction of physiological, psychological, and behavioural factors. </w:t>
      </w:r>
      <w:proofErr w:type="spellStart"/>
      <w:r w:rsidRPr="00690763">
        <w:rPr>
          <w:rFonts w:eastAsia="Times New Roman" w:cstheme="minorHAnsi"/>
          <w:kern w:val="0"/>
          <w:sz w:val="24"/>
          <w:szCs w:val="24"/>
          <w:lang w:eastAsia="en-GB"/>
          <w14:ligatures w14:val="none"/>
        </w:rPr>
        <w:t>Mcclean</w:t>
      </w:r>
      <w:proofErr w:type="spellEnd"/>
      <w:r w:rsidRPr="00690763">
        <w:rPr>
          <w:rFonts w:eastAsia="Times New Roman" w:cstheme="minorHAnsi"/>
          <w:kern w:val="0"/>
          <w:sz w:val="24"/>
          <w:szCs w:val="24"/>
          <w:lang w:eastAsia="en-GB"/>
          <w14:ligatures w14:val="none"/>
        </w:rPr>
        <w:t xml:space="preserve"> </w:t>
      </w:r>
      <w:r w:rsidRPr="00690763">
        <w:rPr>
          <w:rFonts w:eastAsia="Times New Roman" w:cstheme="minorHAnsi"/>
          <w:i/>
          <w:iCs/>
          <w:kern w:val="0"/>
          <w:sz w:val="24"/>
          <w:szCs w:val="24"/>
          <w:lang w:eastAsia="en-GB"/>
          <w14:ligatures w14:val="none"/>
        </w:rPr>
        <w:t>et al.</w:t>
      </w:r>
      <w:r w:rsidRPr="00690763">
        <w:rPr>
          <w:rFonts w:eastAsia="Times New Roman" w:cstheme="minorHAnsi"/>
          <w:kern w:val="0"/>
          <w:sz w:val="24"/>
          <w:szCs w:val="24"/>
          <w:lang w:eastAsia="en-GB"/>
          <w14:ligatures w14:val="none"/>
        </w:rPr>
        <w:t xml:space="preserve"> (2024) argue that a comprehensive biopsychosocial framework is crucial for tailoring interventions by integrating biological vulnerabilities with psychological and social challenges. This approach transforms the practitioner's role from merely administering interventions to interpreting personal experiences and combining quantitative and qualitative data to ensure sustained performance as individuals age.</w:t>
      </w:r>
    </w:p>
    <w:p w14:paraId="0A607185" w14:textId="2FE5A66E" w:rsidR="00E95771" w:rsidRPr="00690763" w:rsidRDefault="00E95771" w:rsidP="00E95771">
      <w:pPr>
        <w:spacing w:before="100" w:beforeAutospacing="1" w:after="100" w:afterAutospacing="1" w:line="360" w:lineRule="auto"/>
        <w:jc w:val="both"/>
        <w:rPr>
          <w:rFonts w:eastAsia="Times New Roman" w:cstheme="minorHAnsi"/>
          <w:kern w:val="0"/>
          <w:sz w:val="24"/>
          <w:szCs w:val="24"/>
          <w:lang w:eastAsia="en-GB"/>
          <w14:ligatures w14:val="none"/>
        </w:rPr>
      </w:pPr>
      <w:r w:rsidRPr="00690763">
        <w:rPr>
          <w:rFonts w:eastAsia="Times New Roman" w:cstheme="minorHAnsi"/>
          <w:kern w:val="0"/>
          <w:sz w:val="24"/>
          <w:szCs w:val="24"/>
          <w:lang w:eastAsia="en-GB"/>
          <w14:ligatures w14:val="none"/>
        </w:rPr>
        <w:t>Word Count 3231</w:t>
      </w:r>
    </w:p>
    <w:p w14:paraId="5CBE6F0F" w14:textId="77777777" w:rsidR="000F2D8E" w:rsidRPr="00690763" w:rsidRDefault="000F2D8E" w:rsidP="00E95771">
      <w:pPr>
        <w:spacing w:before="100" w:beforeAutospacing="1" w:after="100" w:afterAutospacing="1" w:line="360" w:lineRule="auto"/>
        <w:jc w:val="both"/>
        <w:rPr>
          <w:rFonts w:eastAsia="Times New Roman" w:cstheme="minorHAnsi"/>
          <w:kern w:val="0"/>
          <w:sz w:val="24"/>
          <w:szCs w:val="24"/>
          <w:lang w:eastAsia="en-GB"/>
          <w14:ligatures w14:val="none"/>
        </w:rPr>
      </w:pPr>
    </w:p>
    <w:p w14:paraId="6757C956" w14:textId="77777777" w:rsidR="000F2D8E" w:rsidRPr="00690763" w:rsidRDefault="000F2D8E" w:rsidP="00E95771">
      <w:pPr>
        <w:spacing w:before="100" w:beforeAutospacing="1" w:after="100" w:afterAutospacing="1" w:line="360" w:lineRule="auto"/>
        <w:jc w:val="both"/>
        <w:rPr>
          <w:rFonts w:eastAsia="Times New Roman" w:cstheme="minorHAnsi"/>
          <w:kern w:val="0"/>
          <w:sz w:val="24"/>
          <w:szCs w:val="24"/>
          <w:lang w:eastAsia="en-GB"/>
          <w14:ligatures w14:val="none"/>
        </w:rPr>
      </w:pPr>
    </w:p>
    <w:p w14:paraId="3552918B" w14:textId="77777777" w:rsidR="000F2D8E" w:rsidRPr="00690763" w:rsidRDefault="000F2D8E" w:rsidP="00E95771">
      <w:pPr>
        <w:spacing w:before="100" w:beforeAutospacing="1" w:after="100" w:afterAutospacing="1" w:line="360" w:lineRule="auto"/>
        <w:jc w:val="both"/>
        <w:rPr>
          <w:rFonts w:eastAsia="Times New Roman" w:cstheme="minorHAnsi"/>
          <w:kern w:val="0"/>
          <w:sz w:val="24"/>
          <w:szCs w:val="24"/>
          <w:lang w:eastAsia="en-GB"/>
          <w14:ligatures w14:val="none"/>
        </w:rPr>
      </w:pPr>
    </w:p>
    <w:p w14:paraId="7835E1F9" w14:textId="77777777" w:rsidR="000F2D8E" w:rsidRPr="00690763" w:rsidRDefault="000F2D8E" w:rsidP="00E95771">
      <w:pPr>
        <w:spacing w:before="100" w:beforeAutospacing="1" w:after="100" w:afterAutospacing="1" w:line="360" w:lineRule="auto"/>
        <w:jc w:val="both"/>
        <w:rPr>
          <w:rFonts w:eastAsia="Times New Roman" w:cstheme="minorHAnsi"/>
          <w:kern w:val="0"/>
          <w:sz w:val="24"/>
          <w:szCs w:val="24"/>
          <w:lang w:eastAsia="en-GB"/>
          <w14:ligatures w14:val="none"/>
        </w:rPr>
      </w:pPr>
    </w:p>
    <w:p w14:paraId="7922E751" w14:textId="77777777" w:rsidR="000F2D8E" w:rsidRPr="00690763" w:rsidRDefault="000F2D8E" w:rsidP="00E95771">
      <w:pPr>
        <w:spacing w:before="100" w:beforeAutospacing="1" w:after="100" w:afterAutospacing="1" w:line="360" w:lineRule="auto"/>
        <w:jc w:val="both"/>
        <w:rPr>
          <w:rFonts w:eastAsia="Times New Roman" w:cstheme="minorHAnsi"/>
          <w:kern w:val="0"/>
          <w:sz w:val="24"/>
          <w:szCs w:val="24"/>
          <w:lang w:eastAsia="en-GB"/>
          <w14:ligatures w14:val="none"/>
        </w:rPr>
      </w:pPr>
    </w:p>
    <w:p w14:paraId="69E3975E" w14:textId="77777777" w:rsidR="000F2D8E" w:rsidRPr="00690763" w:rsidRDefault="000F2D8E" w:rsidP="00E95771">
      <w:pPr>
        <w:spacing w:before="100" w:beforeAutospacing="1" w:after="100" w:afterAutospacing="1" w:line="360" w:lineRule="auto"/>
        <w:jc w:val="both"/>
        <w:rPr>
          <w:rFonts w:eastAsia="Times New Roman" w:cstheme="minorHAnsi"/>
          <w:kern w:val="0"/>
          <w:sz w:val="24"/>
          <w:szCs w:val="24"/>
          <w:lang w:eastAsia="en-GB"/>
          <w14:ligatures w14:val="none"/>
        </w:rPr>
      </w:pPr>
    </w:p>
    <w:p w14:paraId="483D2B17" w14:textId="77777777" w:rsidR="000F2D8E" w:rsidRPr="00690763" w:rsidRDefault="000F2D8E" w:rsidP="00E95771">
      <w:pPr>
        <w:spacing w:before="100" w:beforeAutospacing="1" w:after="100" w:afterAutospacing="1" w:line="360" w:lineRule="auto"/>
        <w:jc w:val="both"/>
        <w:rPr>
          <w:rFonts w:eastAsia="Times New Roman" w:cstheme="minorHAnsi"/>
          <w:kern w:val="0"/>
          <w:sz w:val="24"/>
          <w:szCs w:val="24"/>
          <w:lang w:eastAsia="en-GB"/>
          <w14:ligatures w14:val="none"/>
        </w:rPr>
      </w:pPr>
    </w:p>
    <w:p w14:paraId="4EE8A789" w14:textId="77777777" w:rsidR="000F2D8E" w:rsidRPr="00690763" w:rsidRDefault="000F2D8E" w:rsidP="00E95771">
      <w:pPr>
        <w:spacing w:before="100" w:beforeAutospacing="1" w:after="100" w:afterAutospacing="1" w:line="360" w:lineRule="auto"/>
        <w:jc w:val="both"/>
        <w:rPr>
          <w:rFonts w:eastAsia="Times New Roman" w:cstheme="minorHAnsi"/>
          <w:kern w:val="0"/>
          <w:sz w:val="24"/>
          <w:szCs w:val="24"/>
          <w:lang w:eastAsia="en-GB"/>
          <w14:ligatures w14:val="none"/>
        </w:rPr>
      </w:pPr>
    </w:p>
    <w:p w14:paraId="3E8BECB8" w14:textId="77777777" w:rsidR="000F2D8E" w:rsidRPr="00690763" w:rsidRDefault="000F2D8E" w:rsidP="00E95771">
      <w:pPr>
        <w:spacing w:before="100" w:beforeAutospacing="1" w:after="100" w:afterAutospacing="1" w:line="360" w:lineRule="auto"/>
        <w:jc w:val="both"/>
        <w:rPr>
          <w:rFonts w:eastAsia="Times New Roman" w:cstheme="minorHAnsi"/>
          <w:kern w:val="0"/>
          <w:sz w:val="24"/>
          <w:szCs w:val="24"/>
          <w:lang w:eastAsia="en-GB"/>
          <w14:ligatures w14:val="none"/>
        </w:rPr>
      </w:pPr>
    </w:p>
    <w:p w14:paraId="764CCF5D" w14:textId="77777777" w:rsidR="000F2D8E" w:rsidRPr="00690763" w:rsidRDefault="000F2D8E" w:rsidP="00E95771">
      <w:pPr>
        <w:spacing w:before="100" w:beforeAutospacing="1" w:after="100" w:afterAutospacing="1" w:line="360" w:lineRule="auto"/>
        <w:jc w:val="both"/>
        <w:rPr>
          <w:rFonts w:eastAsia="Times New Roman" w:cstheme="minorHAnsi"/>
          <w:kern w:val="0"/>
          <w:sz w:val="24"/>
          <w:szCs w:val="24"/>
          <w:lang w:eastAsia="en-GB"/>
          <w14:ligatures w14:val="none"/>
        </w:rPr>
      </w:pPr>
    </w:p>
    <w:p w14:paraId="65FA9E1F" w14:textId="77777777" w:rsidR="000F2D8E" w:rsidRPr="00690763" w:rsidRDefault="000F2D8E" w:rsidP="00E95771">
      <w:pPr>
        <w:spacing w:before="100" w:beforeAutospacing="1" w:after="100" w:afterAutospacing="1" w:line="360" w:lineRule="auto"/>
        <w:jc w:val="both"/>
        <w:rPr>
          <w:rFonts w:eastAsia="Times New Roman" w:cstheme="minorHAnsi"/>
          <w:kern w:val="0"/>
          <w:sz w:val="24"/>
          <w:szCs w:val="24"/>
          <w:lang w:eastAsia="en-GB"/>
          <w14:ligatures w14:val="none"/>
        </w:rPr>
      </w:pPr>
    </w:p>
    <w:p w14:paraId="05C5B032" w14:textId="5AA50341" w:rsidR="000F2D8E" w:rsidRPr="00690763" w:rsidRDefault="000F2D8E" w:rsidP="00E95771">
      <w:pPr>
        <w:spacing w:before="100" w:beforeAutospacing="1" w:after="100" w:afterAutospacing="1" w:line="360" w:lineRule="auto"/>
        <w:jc w:val="both"/>
        <w:rPr>
          <w:rFonts w:eastAsia="Times New Roman" w:cstheme="minorHAnsi"/>
          <w:b/>
          <w:bCs/>
          <w:kern w:val="0"/>
          <w:sz w:val="32"/>
          <w:szCs w:val="32"/>
          <w:lang w:eastAsia="en-GB"/>
          <w14:ligatures w14:val="none"/>
        </w:rPr>
      </w:pPr>
      <w:r w:rsidRPr="00690763">
        <w:rPr>
          <w:rFonts w:eastAsia="Times New Roman" w:cstheme="minorHAnsi"/>
          <w:b/>
          <w:bCs/>
          <w:kern w:val="0"/>
          <w:sz w:val="32"/>
          <w:szCs w:val="32"/>
          <w:lang w:eastAsia="en-GB"/>
          <w14:ligatures w14:val="none"/>
        </w:rPr>
        <w:lastRenderedPageBreak/>
        <w:t xml:space="preserve">Reference List </w:t>
      </w:r>
    </w:p>
    <w:p w14:paraId="55A5F612" w14:textId="77777777" w:rsidR="000F2D8E" w:rsidRPr="00631019" w:rsidRDefault="000F2D8E" w:rsidP="000F2D8E">
      <w:pPr>
        <w:spacing w:before="100" w:beforeAutospacing="1" w:after="100" w:afterAutospacing="1" w:line="240" w:lineRule="auto"/>
        <w:rPr>
          <w:rFonts w:eastAsia="Times New Roman" w:cstheme="minorHAnsi"/>
          <w:kern w:val="0"/>
          <w:sz w:val="24"/>
          <w:szCs w:val="24"/>
          <w:lang w:eastAsia="en-GB"/>
          <w14:ligatures w14:val="none"/>
        </w:rPr>
      </w:pPr>
      <w:r w:rsidRPr="00631019">
        <w:rPr>
          <w:rFonts w:eastAsia="Times New Roman" w:cstheme="minorHAnsi"/>
          <w:kern w:val="0"/>
          <w:sz w:val="24"/>
          <w:szCs w:val="24"/>
          <w:lang w:eastAsia="en-GB"/>
          <w14:ligatures w14:val="none"/>
        </w:rPr>
        <w:t xml:space="preserve">Braun, V. and Clarke, V. (2006) ‘Using thematic analysis in psychology’, </w:t>
      </w:r>
      <w:r w:rsidRPr="00631019">
        <w:rPr>
          <w:rFonts w:eastAsia="Times New Roman" w:cstheme="minorHAnsi"/>
          <w:i/>
          <w:iCs/>
          <w:kern w:val="0"/>
          <w:sz w:val="24"/>
          <w:szCs w:val="24"/>
          <w:lang w:eastAsia="en-GB"/>
          <w14:ligatures w14:val="none"/>
        </w:rPr>
        <w:t>Qualitative Research in Psychology</w:t>
      </w:r>
      <w:r w:rsidRPr="00631019">
        <w:rPr>
          <w:rFonts w:eastAsia="Times New Roman" w:cstheme="minorHAnsi"/>
          <w:kern w:val="0"/>
          <w:sz w:val="24"/>
          <w:szCs w:val="24"/>
          <w:lang w:eastAsia="en-GB"/>
          <w14:ligatures w14:val="none"/>
        </w:rPr>
        <w:t xml:space="preserve">, 3(2), pp. 77–101. Available at: </w:t>
      </w:r>
      <w:hyperlink r:id="rId6" w:tgtFrame="_blank" w:history="1">
        <w:r w:rsidRPr="00631019">
          <w:rPr>
            <w:rFonts w:eastAsia="Times New Roman" w:cstheme="minorHAnsi"/>
            <w:kern w:val="0"/>
            <w:sz w:val="24"/>
            <w:szCs w:val="24"/>
            <w:lang w:eastAsia="en-GB"/>
            <w14:ligatures w14:val="none"/>
          </w:rPr>
          <w:t>https://doi.org/10.1191/1478088706qp063oa</w:t>
        </w:r>
      </w:hyperlink>
      <w:r w:rsidRPr="00631019">
        <w:rPr>
          <w:rFonts w:eastAsia="Times New Roman" w:cstheme="minorHAnsi"/>
          <w:kern w:val="0"/>
          <w:sz w:val="24"/>
          <w:szCs w:val="24"/>
          <w:lang w:eastAsia="en-GB"/>
          <w14:ligatures w14:val="none"/>
        </w:rPr>
        <w:t xml:space="preserve"> (Accessed: 1 April 2026).</w:t>
      </w:r>
    </w:p>
    <w:p w14:paraId="5ADDF59E" w14:textId="77777777" w:rsidR="000F2D8E" w:rsidRPr="00631019" w:rsidRDefault="000F2D8E" w:rsidP="000F2D8E">
      <w:pPr>
        <w:spacing w:before="100" w:beforeAutospacing="1" w:after="100" w:afterAutospacing="1" w:line="240" w:lineRule="auto"/>
        <w:rPr>
          <w:rFonts w:eastAsia="Times New Roman" w:cstheme="minorHAnsi"/>
          <w:kern w:val="0"/>
          <w:sz w:val="24"/>
          <w:szCs w:val="24"/>
          <w:lang w:eastAsia="en-GB"/>
          <w14:ligatures w14:val="none"/>
        </w:rPr>
      </w:pPr>
      <w:r w:rsidRPr="00631019">
        <w:rPr>
          <w:rFonts w:eastAsia="Times New Roman" w:cstheme="minorHAnsi"/>
          <w:kern w:val="0"/>
          <w:sz w:val="24"/>
          <w:szCs w:val="24"/>
          <w:lang w:eastAsia="en-GB"/>
          <w14:ligatures w14:val="none"/>
        </w:rPr>
        <w:t xml:space="preserve">Bright, D., </w:t>
      </w:r>
      <w:proofErr w:type="spellStart"/>
      <w:r w:rsidRPr="00631019">
        <w:rPr>
          <w:rFonts w:eastAsia="Times New Roman" w:cstheme="minorHAnsi"/>
          <w:kern w:val="0"/>
          <w:sz w:val="24"/>
          <w:szCs w:val="24"/>
          <w:lang w:eastAsia="en-GB"/>
          <w14:ligatures w14:val="none"/>
        </w:rPr>
        <w:t>Mckay</w:t>
      </w:r>
      <w:proofErr w:type="spellEnd"/>
      <w:r w:rsidRPr="00631019">
        <w:rPr>
          <w:rFonts w:eastAsia="Times New Roman" w:cstheme="minorHAnsi"/>
          <w:kern w:val="0"/>
          <w:sz w:val="24"/>
          <w:szCs w:val="24"/>
          <w:lang w:eastAsia="en-GB"/>
          <w14:ligatures w14:val="none"/>
        </w:rPr>
        <w:t xml:space="preserve">, A. and Firth, K. (2023) ‘How to be reflexive: Foucault, ethics and writing qualitative research as a technology of the self’, </w:t>
      </w:r>
      <w:r w:rsidRPr="00631019">
        <w:rPr>
          <w:rFonts w:eastAsia="Times New Roman" w:cstheme="minorHAnsi"/>
          <w:i/>
          <w:iCs/>
          <w:kern w:val="0"/>
          <w:sz w:val="24"/>
          <w:szCs w:val="24"/>
          <w:lang w:eastAsia="en-GB"/>
          <w14:ligatures w14:val="none"/>
        </w:rPr>
        <w:t>International Journal of Research &amp; Method in Education</w:t>
      </w:r>
      <w:r w:rsidRPr="00631019">
        <w:rPr>
          <w:rFonts w:eastAsia="Times New Roman" w:cstheme="minorHAnsi"/>
          <w:kern w:val="0"/>
          <w:sz w:val="24"/>
          <w:szCs w:val="24"/>
          <w:lang w:eastAsia="en-GB"/>
          <w14:ligatures w14:val="none"/>
        </w:rPr>
        <w:t xml:space="preserve">, 47(4), pp. 408–420. Available at: </w:t>
      </w:r>
      <w:hyperlink r:id="rId7" w:tgtFrame="_blank" w:history="1">
        <w:r w:rsidRPr="00631019">
          <w:rPr>
            <w:rFonts w:eastAsia="Times New Roman" w:cstheme="minorHAnsi"/>
            <w:kern w:val="0"/>
            <w:sz w:val="24"/>
            <w:szCs w:val="24"/>
            <w:lang w:eastAsia="en-GB"/>
            <w14:ligatures w14:val="none"/>
          </w:rPr>
          <w:t>https://doi.org/10.1080/1743727x.2023.2290185</w:t>
        </w:r>
      </w:hyperlink>
      <w:r w:rsidRPr="00631019">
        <w:rPr>
          <w:rFonts w:eastAsia="Times New Roman" w:cstheme="minorHAnsi"/>
          <w:kern w:val="0"/>
          <w:sz w:val="24"/>
          <w:szCs w:val="24"/>
          <w:lang w:eastAsia="en-GB"/>
          <w14:ligatures w14:val="none"/>
        </w:rPr>
        <w:t xml:space="preserve"> (Accessed: 3 April 2026).</w:t>
      </w:r>
    </w:p>
    <w:p w14:paraId="10248984" w14:textId="77777777" w:rsidR="000F2D8E" w:rsidRPr="00631019" w:rsidRDefault="000F2D8E" w:rsidP="000F2D8E">
      <w:pPr>
        <w:spacing w:before="100" w:beforeAutospacing="1" w:after="100" w:afterAutospacing="1" w:line="240" w:lineRule="auto"/>
        <w:rPr>
          <w:rFonts w:eastAsia="Times New Roman" w:cstheme="minorHAnsi"/>
          <w:kern w:val="0"/>
          <w:sz w:val="24"/>
          <w:szCs w:val="24"/>
          <w:lang w:eastAsia="en-GB"/>
          <w14:ligatures w14:val="none"/>
        </w:rPr>
      </w:pPr>
      <w:r w:rsidRPr="00631019">
        <w:rPr>
          <w:rFonts w:eastAsia="Times New Roman" w:cstheme="minorHAnsi"/>
          <w:kern w:val="0"/>
          <w:sz w:val="24"/>
          <w:szCs w:val="24"/>
          <w:lang w:eastAsia="en-GB"/>
          <w14:ligatures w14:val="none"/>
        </w:rPr>
        <w:t xml:space="preserve">Cai, C., Mei, Z., Yang, Y. and Luo, S. (2025) ‘From adversity to adaptation: the struggle between resilience and athlete burnout in stressful situations’, </w:t>
      </w:r>
      <w:r w:rsidRPr="00631019">
        <w:rPr>
          <w:rFonts w:eastAsia="Times New Roman" w:cstheme="minorHAnsi"/>
          <w:i/>
          <w:iCs/>
          <w:kern w:val="0"/>
          <w:sz w:val="24"/>
          <w:szCs w:val="24"/>
          <w:lang w:eastAsia="en-GB"/>
          <w14:ligatures w14:val="none"/>
        </w:rPr>
        <w:t>Frontiers in Psychology</w:t>
      </w:r>
      <w:r w:rsidRPr="00631019">
        <w:rPr>
          <w:rFonts w:eastAsia="Times New Roman" w:cstheme="minorHAnsi"/>
          <w:kern w:val="0"/>
          <w:sz w:val="24"/>
          <w:szCs w:val="24"/>
          <w:lang w:eastAsia="en-GB"/>
          <w14:ligatures w14:val="none"/>
        </w:rPr>
        <w:t xml:space="preserve">, 16, article 1578198. Available at: </w:t>
      </w:r>
      <w:hyperlink r:id="rId8" w:tgtFrame="_blank" w:history="1">
        <w:r w:rsidRPr="00631019">
          <w:rPr>
            <w:rFonts w:eastAsia="Times New Roman" w:cstheme="minorHAnsi"/>
            <w:kern w:val="0"/>
            <w:sz w:val="24"/>
            <w:szCs w:val="24"/>
            <w:lang w:eastAsia="en-GB"/>
            <w14:ligatures w14:val="none"/>
          </w:rPr>
          <w:t>https://doi.org/10.3389/fpsyg.2025.1578198</w:t>
        </w:r>
      </w:hyperlink>
      <w:r w:rsidRPr="00631019">
        <w:rPr>
          <w:rFonts w:eastAsia="Times New Roman" w:cstheme="minorHAnsi"/>
          <w:kern w:val="0"/>
          <w:sz w:val="24"/>
          <w:szCs w:val="24"/>
          <w:lang w:eastAsia="en-GB"/>
          <w14:ligatures w14:val="none"/>
        </w:rPr>
        <w:t xml:space="preserve"> (Accessed: 5 April 2026).</w:t>
      </w:r>
    </w:p>
    <w:p w14:paraId="64BC3BA2" w14:textId="77777777" w:rsidR="000F2D8E" w:rsidRPr="00631019" w:rsidRDefault="000F2D8E" w:rsidP="000F2D8E">
      <w:pPr>
        <w:spacing w:before="100" w:beforeAutospacing="1" w:after="100" w:afterAutospacing="1" w:line="240" w:lineRule="auto"/>
        <w:rPr>
          <w:rFonts w:eastAsia="Times New Roman" w:cstheme="minorHAnsi"/>
          <w:kern w:val="0"/>
          <w:sz w:val="24"/>
          <w:szCs w:val="24"/>
          <w:lang w:eastAsia="en-GB"/>
          <w14:ligatures w14:val="none"/>
        </w:rPr>
      </w:pPr>
      <w:r w:rsidRPr="00631019">
        <w:rPr>
          <w:rFonts w:eastAsia="Times New Roman" w:cstheme="minorHAnsi"/>
          <w:kern w:val="0"/>
          <w:sz w:val="24"/>
          <w:szCs w:val="24"/>
          <w:lang w:eastAsia="en-GB"/>
          <w14:ligatures w14:val="none"/>
        </w:rPr>
        <w:t xml:space="preserve">Den Hartigh, R.J.R., Meerhoff, L.A., Van </w:t>
      </w:r>
      <w:proofErr w:type="spellStart"/>
      <w:r w:rsidRPr="00631019">
        <w:rPr>
          <w:rFonts w:eastAsia="Times New Roman" w:cstheme="minorHAnsi"/>
          <w:kern w:val="0"/>
          <w:sz w:val="24"/>
          <w:szCs w:val="24"/>
          <w:lang w:eastAsia="en-GB"/>
          <w14:ligatures w14:val="none"/>
        </w:rPr>
        <w:t>Yperen</w:t>
      </w:r>
      <w:proofErr w:type="spellEnd"/>
      <w:r w:rsidRPr="00631019">
        <w:rPr>
          <w:rFonts w:eastAsia="Times New Roman" w:cstheme="minorHAnsi"/>
          <w:kern w:val="0"/>
          <w:sz w:val="24"/>
          <w:szCs w:val="24"/>
          <w:lang w:eastAsia="en-GB"/>
          <w14:ligatures w14:val="none"/>
        </w:rPr>
        <w:t xml:space="preserve">, N.W., Neumann, S.A., </w:t>
      </w:r>
      <w:proofErr w:type="spellStart"/>
      <w:r w:rsidRPr="00631019">
        <w:rPr>
          <w:rFonts w:eastAsia="Times New Roman" w:cstheme="minorHAnsi"/>
          <w:kern w:val="0"/>
          <w:sz w:val="24"/>
          <w:szCs w:val="24"/>
          <w:lang w:eastAsia="en-GB"/>
          <w14:ligatures w14:val="none"/>
        </w:rPr>
        <w:t>Brauers</w:t>
      </w:r>
      <w:proofErr w:type="spellEnd"/>
      <w:r w:rsidRPr="00631019">
        <w:rPr>
          <w:rFonts w:eastAsia="Times New Roman" w:cstheme="minorHAnsi"/>
          <w:kern w:val="0"/>
          <w:sz w:val="24"/>
          <w:szCs w:val="24"/>
          <w:lang w:eastAsia="en-GB"/>
          <w14:ligatures w14:val="none"/>
        </w:rPr>
        <w:t xml:space="preserve">, J.J., Frencken, W.G., Emerencia, A.C., Hill, Y., </w:t>
      </w:r>
      <w:proofErr w:type="spellStart"/>
      <w:r w:rsidRPr="00631019">
        <w:rPr>
          <w:rFonts w:eastAsia="Times New Roman" w:cstheme="minorHAnsi"/>
          <w:kern w:val="0"/>
          <w:sz w:val="24"/>
          <w:szCs w:val="24"/>
          <w:lang w:eastAsia="en-GB"/>
          <w14:ligatures w14:val="none"/>
        </w:rPr>
        <w:t>Platvoet</w:t>
      </w:r>
      <w:proofErr w:type="spellEnd"/>
      <w:r w:rsidRPr="00631019">
        <w:rPr>
          <w:rFonts w:eastAsia="Times New Roman" w:cstheme="minorHAnsi"/>
          <w:kern w:val="0"/>
          <w:sz w:val="24"/>
          <w:szCs w:val="24"/>
          <w:lang w:eastAsia="en-GB"/>
          <w14:ligatures w14:val="none"/>
        </w:rPr>
        <w:t xml:space="preserve">, S., </w:t>
      </w:r>
      <w:proofErr w:type="spellStart"/>
      <w:r w:rsidRPr="00631019">
        <w:rPr>
          <w:rFonts w:eastAsia="Times New Roman" w:cstheme="minorHAnsi"/>
          <w:kern w:val="0"/>
          <w:sz w:val="24"/>
          <w:szCs w:val="24"/>
          <w:lang w:eastAsia="en-GB"/>
          <w14:ligatures w14:val="none"/>
        </w:rPr>
        <w:t>Atzmueller</w:t>
      </w:r>
      <w:proofErr w:type="spellEnd"/>
      <w:r w:rsidRPr="00631019">
        <w:rPr>
          <w:rFonts w:eastAsia="Times New Roman" w:cstheme="minorHAnsi"/>
          <w:kern w:val="0"/>
          <w:sz w:val="24"/>
          <w:szCs w:val="24"/>
          <w:lang w:eastAsia="en-GB"/>
          <w14:ligatures w14:val="none"/>
        </w:rPr>
        <w:t xml:space="preserve">, M. and </w:t>
      </w:r>
      <w:proofErr w:type="spellStart"/>
      <w:r w:rsidRPr="00631019">
        <w:rPr>
          <w:rFonts w:eastAsia="Times New Roman" w:cstheme="minorHAnsi"/>
          <w:kern w:val="0"/>
          <w:sz w:val="24"/>
          <w:szCs w:val="24"/>
          <w:lang w:eastAsia="en-GB"/>
          <w14:ligatures w14:val="none"/>
        </w:rPr>
        <w:t>Lemmink</w:t>
      </w:r>
      <w:proofErr w:type="spellEnd"/>
      <w:r w:rsidRPr="00631019">
        <w:rPr>
          <w:rFonts w:eastAsia="Times New Roman" w:cstheme="minorHAnsi"/>
          <w:kern w:val="0"/>
          <w:sz w:val="24"/>
          <w:szCs w:val="24"/>
          <w:lang w:eastAsia="en-GB"/>
          <w14:ligatures w14:val="none"/>
        </w:rPr>
        <w:t xml:space="preserve">, K.A. (2022) ‘Resilience in sports: a multidisciplinary, dynamic, and personalized perspective’, </w:t>
      </w:r>
      <w:r w:rsidRPr="00631019">
        <w:rPr>
          <w:rFonts w:eastAsia="Times New Roman" w:cstheme="minorHAnsi"/>
          <w:i/>
          <w:iCs/>
          <w:kern w:val="0"/>
          <w:sz w:val="24"/>
          <w:szCs w:val="24"/>
          <w:lang w:eastAsia="en-GB"/>
          <w14:ligatures w14:val="none"/>
        </w:rPr>
        <w:t>International Review of Sport and Exercise Psychology</w:t>
      </w:r>
      <w:r w:rsidRPr="00631019">
        <w:rPr>
          <w:rFonts w:eastAsia="Times New Roman" w:cstheme="minorHAnsi"/>
          <w:kern w:val="0"/>
          <w:sz w:val="24"/>
          <w:szCs w:val="24"/>
          <w:lang w:eastAsia="en-GB"/>
          <w14:ligatures w14:val="none"/>
        </w:rPr>
        <w:t xml:space="preserve">, 17(1), pp. 564–586. Available at: </w:t>
      </w:r>
      <w:hyperlink r:id="rId9" w:tgtFrame="_blank" w:history="1">
        <w:r w:rsidRPr="00631019">
          <w:rPr>
            <w:rFonts w:eastAsia="Times New Roman" w:cstheme="minorHAnsi"/>
            <w:kern w:val="0"/>
            <w:sz w:val="24"/>
            <w:szCs w:val="24"/>
            <w:lang w:eastAsia="en-GB"/>
            <w14:ligatures w14:val="none"/>
          </w:rPr>
          <w:t>https://doi.org/10.1080/1750984x.2022.2039749</w:t>
        </w:r>
      </w:hyperlink>
      <w:r w:rsidRPr="00631019">
        <w:rPr>
          <w:rFonts w:eastAsia="Times New Roman" w:cstheme="minorHAnsi"/>
          <w:kern w:val="0"/>
          <w:sz w:val="24"/>
          <w:szCs w:val="24"/>
          <w:lang w:eastAsia="en-GB"/>
          <w14:ligatures w14:val="none"/>
        </w:rPr>
        <w:t xml:space="preserve"> (Accessed: 7 April 2026).</w:t>
      </w:r>
    </w:p>
    <w:p w14:paraId="244895E9" w14:textId="77777777" w:rsidR="000F2D8E" w:rsidRPr="00631019" w:rsidRDefault="000F2D8E" w:rsidP="000F2D8E">
      <w:pPr>
        <w:spacing w:before="100" w:beforeAutospacing="1" w:after="100" w:afterAutospacing="1" w:line="240" w:lineRule="auto"/>
        <w:rPr>
          <w:rFonts w:eastAsia="Times New Roman" w:cstheme="minorHAnsi"/>
          <w:kern w:val="0"/>
          <w:sz w:val="24"/>
          <w:szCs w:val="24"/>
          <w:lang w:eastAsia="en-GB"/>
          <w14:ligatures w14:val="none"/>
        </w:rPr>
      </w:pPr>
      <w:r w:rsidRPr="00631019">
        <w:rPr>
          <w:rFonts w:eastAsia="Times New Roman" w:cstheme="minorHAnsi"/>
          <w:kern w:val="0"/>
          <w:sz w:val="24"/>
          <w:szCs w:val="24"/>
          <w:lang w:eastAsia="en-GB"/>
          <w14:ligatures w14:val="none"/>
        </w:rPr>
        <w:t xml:space="preserve">Everett, S. (2025) ‘Optimizing performance nutrition for adolescent athletes: a review of dietary needs, risks, and practical strategies’, </w:t>
      </w:r>
      <w:r w:rsidRPr="00631019">
        <w:rPr>
          <w:rFonts w:eastAsia="Times New Roman" w:cstheme="minorHAnsi"/>
          <w:i/>
          <w:iCs/>
          <w:kern w:val="0"/>
          <w:sz w:val="24"/>
          <w:szCs w:val="24"/>
          <w:lang w:eastAsia="en-GB"/>
          <w14:ligatures w14:val="none"/>
        </w:rPr>
        <w:t>Nutrients</w:t>
      </w:r>
      <w:r w:rsidRPr="00631019">
        <w:rPr>
          <w:rFonts w:eastAsia="Times New Roman" w:cstheme="minorHAnsi"/>
          <w:kern w:val="0"/>
          <w:sz w:val="24"/>
          <w:szCs w:val="24"/>
          <w:lang w:eastAsia="en-GB"/>
          <w14:ligatures w14:val="none"/>
        </w:rPr>
        <w:t xml:space="preserve">, 17(17), article 2792. Available at: </w:t>
      </w:r>
      <w:hyperlink r:id="rId10" w:tgtFrame="_blank" w:history="1">
        <w:r w:rsidRPr="00631019">
          <w:rPr>
            <w:rFonts w:eastAsia="Times New Roman" w:cstheme="minorHAnsi"/>
            <w:kern w:val="0"/>
            <w:sz w:val="24"/>
            <w:szCs w:val="24"/>
            <w:lang w:eastAsia="en-GB"/>
            <w14:ligatures w14:val="none"/>
          </w:rPr>
          <w:t>https://doi.org/10.3390/nu17172792</w:t>
        </w:r>
      </w:hyperlink>
      <w:r w:rsidRPr="00631019">
        <w:rPr>
          <w:rFonts w:eastAsia="Times New Roman" w:cstheme="minorHAnsi"/>
          <w:kern w:val="0"/>
          <w:sz w:val="24"/>
          <w:szCs w:val="24"/>
          <w:lang w:eastAsia="en-GB"/>
          <w14:ligatures w14:val="none"/>
        </w:rPr>
        <w:t xml:space="preserve"> (Accessed: 9 April 2026).</w:t>
      </w:r>
    </w:p>
    <w:p w14:paraId="0FABE03E" w14:textId="77777777" w:rsidR="000F2D8E" w:rsidRPr="00631019" w:rsidRDefault="000F2D8E" w:rsidP="000F2D8E">
      <w:pPr>
        <w:spacing w:before="100" w:beforeAutospacing="1" w:after="100" w:afterAutospacing="1" w:line="240" w:lineRule="auto"/>
        <w:rPr>
          <w:rFonts w:eastAsia="Times New Roman" w:cstheme="minorHAnsi"/>
          <w:kern w:val="0"/>
          <w:sz w:val="24"/>
          <w:szCs w:val="24"/>
          <w:lang w:eastAsia="en-GB"/>
          <w14:ligatures w14:val="none"/>
        </w:rPr>
      </w:pPr>
      <w:r w:rsidRPr="00631019">
        <w:rPr>
          <w:rFonts w:eastAsia="Times New Roman" w:cstheme="minorHAnsi"/>
          <w:kern w:val="0"/>
          <w:sz w:val="24"/>
          <w:szCs w:val="24"/>
          <w:lang w:eastAsia="en-GB"/>
          <w14:ligatures w14:val="none"/>
        </w:rPr>
        <w:t xml:space="preserve">Fanning, N.C., Haussmann, A., McCauley, S.M., Szeitz, S., Miller, M., Prado, C.M., Wischmeyer, P.E. and </w:t>
      </w:r>
      <w:proofErr w:type="spellStart"/>
      <w:r w:rsidRPr="00631019">
        <w:rPr>
          <w:rFonts w:eastAsia="Times New Roman" w:cstheme="minorHAnsi"/>
          <w:kern w:val="0"/>
          <w:sz w:val="24"/>
          <w:szCs w:val="24"/>
          <w:lang w:eastAsia="en-GB"/>
          <w14:ligatures w14:val="none"/>
        </w:rPr>
        <w:t>Steur</w:t>
      </w:r>
      <w:proofErr w:type="spellEnd"/>
      <w:r w:rsidRPr="00631019">
        <w:rPr>
          <w:rFonts w:eastAsia="Times New Roman" w:cstheme="minorHAnsi"/>
          <w:kern w:val="0"/>
          <w:sz w:val="24"/>
          <w:szCs w:val="24"/>
          <w:lang w:eastAsia="en-GB"/>
          <w14:ligatures w14:val="none"/>
        </w:rPr>
        <w:t xml:space="preserve">, C.P. (2025) ‘Implementation strategies for integrating nutritional interventions into cancer care: a systematic literature review’, </w:t>
      </w:r>
      <w:r w:rsidRPr="00631019">
        <w:rPr>
          <w:rFonts w:eastAsia="Times New Roman" w:cstheme="minorHAnsi"/>
          <w:i/>
          <w:iCs/>
          <w:kern w:val="0"/>
          <w:sz w:val="24"/>
          <w:szCs w:val="24"/>
          <w:lang w:eastAsia="en-GB"/>
          <w14:ligatures w14:val="none"/>
        </w:rPr>
        <w:t>Clinical Nutrition</w:t>
      </w:r>
      <w:r w:rsidRPr="00631019">
        <w:rPr>
          <w:rFonts w:eastAsia="Times New Roman" w:cstheme="minorHAnsi"/>
          <w:kern w:val="0"/>
          <w:sz w:val="24"/>
          <w:szCs w:val="24"/>
          <w:lang w:eastAsia="en-GB"/>
          <w14:ligatures w14:val="none"/>
        </w:rPr>
        <w:t xml:space="preserve">, 57, article 106546. Available at: </w:t>
      </w:r>
      <w:hyperlink r:id="rId11" w:tgtFrame="_blank" w:history="1">
        <w:r w:rsidRPr="00631019">
          <w:rPr>
            <w:rFonts w:eastAsia="Times New Roman" w:cstheme="minorHAnsi"/>
            <w:kern w:val="0"/>
            <w:sz w:val="24"/>
            <w:szCs w:val="24"/>
            <w:lang w:eastAsia="en-GB"/>
            <w14:ligatures w14:val="none"/>
          </w:rPr>
          <w:t>https://doi.org/10.1016/j.clnu.2025.106546</w:t>
        </w:r>
      </w:hyperlink>
      <w:r w:rsidRPr="00631019">
        <w:rPr>
          <w:rFonts w:eastAsia="Times New Roman" w:cstheme="minorHAnsi"/>
          <w:kern w:val="0"/>
          <w:sz w:val="24"/>
          <w:szCs w:val="24"/>
          <w:lang w:eastAsia="en-GB"/>
          <w14:ligatures w14:val="none"/>
        </w:rPr>
        <w:t xml:space="preserve"> (Accessed: 11 April 2026).</w:t>
      </w:r>
    </w:p>
    <w:p w14:paraId="4FC660C5" w14:textId="77777777" w:rsidR="000F2D8E" w:rsidRPr="00631019" w:rsidRDefault="000F2D8E" w:rsidP="000F2D8E">
      <w:pPr>
        <w:spacing w:before="100" w:beforeAutospacing="1" w:after="100" w:afterAutospacing="1" w:line="240" w:lineRule="auto"/>
        <w:rPr>
          <w:rFonts w:eastAsia="Times New Roman" w:cstheme="minorHAnsi"/>
          <w:kern w:val="0"/>
          <w:sz w:val="24"/>
          <w:szCs w:val="24"/>
          <w:lang w:eastAsia="en-GB"/>
          <w14:ligatures w14:val="none"/>
        </w:rPr>
      </w:pPr>
      <w:r w:rsidRPr="00631019">
        <w:rPr>
          <w:rFonts w:eastAsia="Times New Roman" w:cstheme="minorHAnsi"/>
          <w:kern w:val="0"/>
          <w:sz w:val="24"/>
          <w:szCs w:val="24"/>
          <w:lang w:eastAsia="en-GB"/>
          <w14:ligatures w14:val="none"/>
        </w:rPr>
        <w:t xml:space="preserve">Flensted-Jensen, M., Weinreich, C.M., Kleis-Olsen, A.-S., Hansen, F., </w:t>
      </w:r>
      <w:proofErr w:type="spellStart"/>
      <w:r w:rsidRPr="00631019">
        <w:rPr>
          <w:rFonts w:eastAsia="Times New Roman" w:cstheme="minorHAnsi"/>
          <w:kern w:val="0"/>
          <w:sz w:val="24"/>
          <w:szCs w:val="24"/>
          <w:lang w:eastAsia="en-GB"/>
          <w14:ligatures w14:val="none"/>
        </w:rPr>
        <w:t>Skyggelund</w:t>
      </w:r>
      <w:proofErr w:type="spellEnd"/>
      <w:r w:rsidRPr="00631019">
        <w:rPr>
          <w:rFonts w:eastAsia="Times New Roman" w:cstheme="minorHAnsi"/>
          <w:kern w:val="0"/>
          <w:sz w:val="24"/>
          <w:szCs w:val="24"/>
          <w:lang w:eastAsia="en-GB"/>
          <w14:ligatures w14:val="none"/>
        </w:rPr>
        <w:t xml:space="preserve">, N.S., </w:t>
      </w:r>
      <w:proofErr w:type="spellStart"/>
      <w:r w:rsidRPr="00631019">
        <w:rPr>
          <w:rFonts w:eastAsia="Times New Roman" w:cstheme="minorHAnsi"/>
          <w:kern w:val="0"/>
          <w:sz w:val="24"/>
          <w:szCs w:val="24"/>
          <w:lang w:eastAsia="en-GB"/>
          <w14:ligatures w14:val="none"/>
        </w:rPr>
        <w:t>Pii</w:t>
      </w:r>
      <w:proofErr w:type="spellEnd"/>
      <w:r w:rsidRPr="00631019">
        <w:rPr>
          <w:rFonts w:eastAsia="Times New Roman" w:cstheme="minorHAnsi"/>
          <w:kern w:val="0"/>
          <w:sz w:val="24"/>
          <w:szCs w:val="24"/>
          <w:lang w:eastAsia="en-GB"/>
          <w14:ligatures w14:val="none"/>
        </w:rPr>
        <w:t xml:space="preserve">, J.R., Whitlock, R., Abrahamsen, M.-L.B., Petersen, T.I., Karlsen, A., </w:t>
      </w:r>
      <w:proofErr w:type="spellStart"/>
      <w:r w:rsidRPr="00631019">
        <w:rPr>
          <w:rFonts w:eastAsia="Times New Roman" w:cstheme="minorHAnsi"/>
          <w:kern w:val="0"/>
          <w:sz w:val="24"/>
          <w:szCs w:val="24"/>
          <w:lang w:eastAsia="en-GB"/>
          <w14:ligatures w14:val="none"/>
        </w:rPr>
        <w:t>Reihmane</w:t>
      </w:r>
      <w:proofErr w:type="spellEnd"/>
      <w:r w:rsidRPr="00631019">
        <w:rPr>
          <w:rFonts w:eastAsia="Times New Roman" w:cstheme="minorHAnsi"/>
          <w:kern w:val="0"/>
          <w:sz w:val="24"/>
          <w:szCs w:val="24"/>
          <w:lang w:eastAsia="en-GB"/>
          <w14:ligatures w14:val="none"/>
        </w:rPr>
        <w:t xml:space="preserve">, D. and Dela, F. (2025) ‘Effects of resistance-based training and polyphenol supplementation on physical function, metabolism, and inflammation in aging individuals’, </w:t>
      </w:r>
      <w:proofErr w:type="spellStart"/>
      <w:r w:rsidRPr="00631019">
        <w:rPr>
          <w:rFonts w:eastAsia="Times New Roman" w:cstheme="minorHAnsi"/>
          <w:i/>
          <w:iCs/>
          <w:kern w:val="0"/>
          <w:sz w:val="24"/>
          <w:szCs w:val="24"/>
          <w:lang w:eastAsia="en-GB"/>
          <w14:ligatures w14:val="none"/>
        </w:rPr>
        <w:t>GeroScience</w:t>
      </w:r>
      <w:proofErr w:type="spellEnd"/>
      <w:r w:rsidRPr="00631019">
        <w:rPr>
          <w:rFonts w:eastAsia="Times New Roman" w:cstheme="minorHAnsi"/>
          <w:kern w:val="0"/>
          <w:sz w:val="24"/>
          <w:szCs w:val="24"/>
          <w:lang w:eastAsia="en-GB"/>
          <w14:ligatures w14:val="none"/>
        </w:rPr>
        <w:t xml:space="preserve">, 48(2), pp. 2945–2968. Available at: </w:t>
      </w:r>
      <w:hyperlink r:id="rId12" w:tgtFrame="_blank" w:history="1">
        <w:r w:rsidRPr="00631019">
          <w:rPr>
            <w:rFonts w:eastAsia="Times New Roman" w:cstheme="minorHAnsi"/>
            <w:kern w:val="0"/>
            <w:sz w:val="24"/>
            <w:szCs w:val="24"/>
            <w:lang w:eastAsia="en-GB"/>
            <w14:ligatures w14:val="none"/>
          </w:rPr>
          <w:t>https://doi.org/10.1007/s11357-025-01839-8</w:t>
        </w:r>
      </w:hyperlink>
      <w:r w:rsidRPr="00631019">
        <w:rPr>
          <w:rFonts w:eastAsia="Times New Roman" w:cstheme="minorHAnsi"/>
          <w:kern w:val="0"/>
          <w:sz w:val="24"/>
          <w:szCs w:val="24"/>
          <w:lang w:eastAsia="en-GB"/>
          <w14:ligatures w14:val="none"/>
        </w:rPr>
        <w:t xml:space="preserve"> (Accessed: 13 April 2026).</w:t>
      </w:r>
    </w:p>
    <w:p w14:paraId="087B52E4" w14:textId="77777777" w:rsidR="000F2D8E" w:rsidRPr="00631019" w:rsidRDefault="000F2D8E" w:rsidP="000F2D8E">
      <w:pPr>
        <w:spacing w:before="100" w:beforeAutospacing="1" w:after="100" w:afterAutospacing="1" w:line="240" w:lineRule="auto"/>
        <w:rPr>
          <w:rFonts w:eastAsia="Times New Roman" w:cstheme="minorHAnsi"/>
          <w:kern w:val="0"/>
          <w:sz w:val="24"/>
          <w:szCs w:val="24"/>
          <w:lang w:eastAsia="en-GB"/>
          <w14:ligatures w14:val="none"/>
        </w:rPr>
      </w:pPr>
      <w:r w:rsidRPr="00631019">
        <w:rPr>
          <w:rFonts w:eastAsia="Times New Roman" w:cstheme="minorHAnsi"/>
          <w:kern w:val="0"/>
          <w:sz w:val="24"/>
          <w:szCs w:val="24"/>
          <w:lang w:eastAsia="en-GB"/>
          <w14:ligatures w14:val="none"/>
        </w:rPr>
        <w:t xml:space="preserve">Flück, M., </w:t>
      </w:r>
      <w:proofErr w:type="spellStart"/>
      <w:r w:rsidRPr="00631019">
        <w:rPr>
          <w:rFonts w:eastAsia="Times New Roman" w:cstheme="minorHAnsi"/>
          <w:kern w:val="0"/>
          <w:sz w:val="24"/>
          <w:szCs w:val="24"/>
          <w:lang w:eastAsia="en-GB"/>
          <w14:ligatures w14:val="none"/>
        </w:rPr>
        <w:t>Protte</w:t>
      </w:r>
      <w:proofErr w:type="spellEnd"/>
      <w:r w:rsidRPr="00631019">
        <w:rPr>
          <w:rFonts w:eastAsia="Times New Roman" w:cstheme="minorHAnsi"/>
          <w:kern w:val="0"/>
          <w:sz w:val="24"/>
          <w:szCs w:val="24"/>
          <w:lang w:eastAsia="en-GB"/>
          <w14:ligatures w14:val="none"/>
        </w:rPr>
        <w:t xml:space="preserve">, C., Giraud, M.-N., Häusler, E., </w:t>
      </w:r>
      <w:proofErr w:type="spellStart"/>
      <w:r w:rsidRPr="00631019">
        <w:rPr>
          <w:rFonts w:eastAsia="Times New Roman" w:cstheme="minorHAnsi"/>
          <w:kern w:val="0"/>
          <w:sz w:val="24"/>
          <w:szCs w:val="24"/>
          <w:lang w:eastAsia="en-GB"/>
          <w14:ligatures w14:val="none"/>
        </w:rPr>
        <w:t>Züger</w:t>
      </w:r>
      <w:proofErr w:type="spellEnd"/>
      <w:r w:rsidRPr="00631019">
        <w:rPr>
          <w:rFonts w:eastAsia="Times New Roman" w:cstheme="minorHAnsi"/>
          <w:kern w:val="0"/>
          <w:sz w:val="24"/>
          <w:szCs w:val="24"/>
          <w:lang w:eastAsia="en-GB"/>
          <w14:ligatures w14:val="none"/>
        </w:rPr>
        <w:t xml:space="preserve">, R. and </w:t>
      </w:r>
      <w:proofErr w:type="spellStart"/>
      <w:r w:rsidRPr="00631019">
        <w:rPr>
          <w:rFonts w:eastAsia="Times New Roman" w:cstheme="minorHAnsi"/>
          <w:kern w:val="0"/>
          <w:sz w:val="24"/>
          <w:szCs w:val="24"/>
          <w:lang w:eastAsia="en-GB"/>
          <w14:ligatures w14:val="none"/>
        </w:rPr>
        <w:t>Dössegger</w:t>
      </w:r>
      <w:proofErr w:type="spellEnd"/>
      <w:r w:rsidRPr="00631019">
        <w:rPr>
          <w:rFonts w:eastAsia="Times New Roman" w:cstheme="minorHAnsi"/>
          <w:kern w:val="0"/>
          <w:sz w:val="24"/>
          <w:szCs w:val="24"/>
          <w:lang w:eastAsia="en-GB"/>
          <w14:ligatures w14:val="none"/>
        </w:rPr>
        <w:t xml:space="preserve">, A. (2026) ‘COMT and ACE (epi)genetic variation is associated with cognitive and metabolic resilience in Swiss tactical athletes’, </w:t>
      </w:r>
      <w:r w:rsidRPr="00631019">
        <w:rPr>
          <w:rFonts w:eastAsia="Times New Roman" w:cstheme="minorHAnsi"/>
          <w:i/>
          <w:iCs/>
          <w:kern w:val="0"/>
          <w:sz w:val="24"/>
          <w:szCs w:val="24"/>
          <w:lang w:eastAsia="en-GB"/>
          <w14:ligatures w14:val="none"/>
        </w:rPr>
        <w:t>International Journal of Molecular Sciences</w:t>
      </w:r>
      <w:r w:rsidRPr="00631019">
        <w:rPr>
          <w:rFonts w:eastAsia="Times New Roman" w:cstheme="minorHAnsi"/>
          <w:kern w:val="0"/>
          <w:sz w:val="24"/>
          <w:szCs w:val="24"/>
          <w:lang w:eastAsia="en-GB"/>
          <w14:ligatures w14:val="none"/>
        </w:rPr>
        <w:t xml:space="preserve">, 27(3), article 1340. Available at: </w:t>
      </w:r>
      <w:hyperlink r:id="rId13" w:tgtFrame="_blank" w:history="1">
        <w:r w:rsidRPr="00631019">
          <w:rPr>
            <w:rFonts w:eastAsia="Times New Roman" w:cstheme="minorHAnsi"/>
            <w:kern w:val="0"/>
            <w:sz w:val="24"/>
            <w:szCs w:val="24"/>
            <w:lang w:eastAsia="en-GB"/>
            <w14:ligatures w14:val="none"/>
          </w:rPr>
          <w:t>https://doi.org/10.3390/ijms27031340</w:t>
        </w:r>
      </w:hyperlink>
      <w:r w:rsidRPr="00631019">
        <w:rPr>
          <w:rFonts w:eastAsia="Times New Roman" w:cstheme="minorHAnsi"/>
          <w:kern w:val="0"/>
          <w:sz w:val="24"/>
          <w:szCs w:val="24"/>
          <w:lang w:eastAsia="en-GB"/>
          <w14:ligatures w14:val="none"/>
        </w:rPr>
        <w:t xml:space="preserve"> (Accessed: 15 April 2026).</w:t>
      </w:r>
    </w:p>
    <w:p w14:paraId="7E27A8D3" w14:textId="77777777" w:rsidR="000F2D8E" w:rsidRPr="00631019" w:rsidRDefault="000F2D8E" w:rsidP="000F2D8E">
      <w:pPr>
        <w:spacing w:before="100" w:beforeAutospacing="1" w:after="100" w:afterAutospacing="1" w:line="240" w:lineRule="auto"/>
        <w:rPr>
          <w:rFonts w:eastAsia="Times New Roman" w:cstheme="minorHAnsi"/>
          <w:kern w:val="0"/>
          <w:sz w:val="24"/>
          <w:szCs w:val="24"/>
          <w:lang w:eastAsia="en-GB"/>
          <w14:ligatures w14:val="none"/>
        </w:rPr>
      </w:pPr>
      <w:r w:rsidRPr="00631019">
        <w:rPr>
          <w:rFonts w:eastAsia="Times New Roman" w:cstheme="minorHAnsi"/>
          <w:kern w:val="0"/>
          <w:sz w:val="24"/>
          <w:szCs w:val="24"/>
          <w:lang w:eastAsia="en-GB"/>
          <w14:ligatures w14:val="none"/>
        </w:rPr>
        <w:t xml:space="preserve">Gonzalez, D.E., Mcallister, M.J., Waldman, H.S., Ferrando, A.A., Joyce, J., Barringer, N.D., Dawes, J.J., Kieffer, A.J., Harvey, T., Kerksick, C.M., Stout, J.R., Ziegenfuss, T.N., Zapp, A., Tartar, J.L., Heileson, J.L., Vandusseldorp, T.A., Kalman, D.S., Campbell, B.I., Antonio, J. and Kreider, R.B. (2022) ‘International society of sports nutrition position stand: tactical athlete </w:t>
      </w:r>
      <w:r w:rsidRPr="00631019">
        <w:rPr>
          <w:rFonts w:eastAsia="Times New Roman" w:cstheme="minorHAnsi"/>
          <w:kern w:val="0"/>
          <w:sz w:val="24"/>
          <w:szCs w:val="24"/>
          <w:lang w:eastAsia="en-GB"/>
          <w14:ligatures w14:val="none"/>
        </w:rPr>
        <w:lastRenderedPageBreak/>
        <w:t xml:space="preserve">nutrition’, </w:t>
      </w:r>
      <w:r w:rsidRPr="00631019">
        <w:rPr>
          <w:rFonts w:eastAsia="Times New Roman" w:cstheme="minorHAnsi"/>
          <w:i/>
          <w:iCs/>
          <w:kern w:val="0"/>
          <w:sz w:val="24"/>
          <w:szCs w:val="24"/>
          <w:lang w:eastAsia="en-GB"/>
          <w14:ligatures w14:val="none"/>
        </w:rPr>
        <w:t>Journal of the International Society of Sports Nutrition</w:t>
      </w:r>
      <w:r w:rsidRPr="00631019">
        <w:rPr>
          <w:rFonts w:eastAsia="Times New Roman" w:cstheme="minorHAnsi"/>
          <w:kern w:val="0"/>
          <w:sz w:val="24"/>
          <w:szCs w:val="24"/>
          <w:lang w:eastAsia="en-GB"/>
          <w14:ligatures w14:val="none"/>
        </w:rPr>
        <w:t xml:space="preserve">, 19(1), pp. 267–315. Available at: </w:t>
      </w:r>
      <w:hyperlink r:id="rId14" w:tgtFrame="_blank" w:history="1">
        <w:r w:rsidRPr="00631019">
          <w:rPr>
            <w:rFonts w:eastAsia="Times New Roman" w:cstheme="minorHAnsi"/>
            <w:kern w:val="0"/>
            <w:sz w:val="24"/>
            <w:szCs w:val="24"/>
            <w:lang w:eastAsia="en-GB"/>
            <w14:ligatures w14:val="none"/>
          </w:rPr>
          <w:t>https://doi.org/10.1080/15502783.2022.2086017</w:t>
        </w:r>
      </w:hyperlink>
      <w:r w:rsidRPr="00631019">
        <w:rPr>
          <w:rFonts w:eastAsia="Times New Roman" w:cstheme="minorHAnsi"/>
          <w:kern w:val="0"/>
          <w:sz w:val="24"/>
          <w:szCs w:val="24"/>
          <w:lang w:eastAsia="en-GB"/>
          <w14:ligatures w14:val="none"/>
        </w:rPr>
        <w:t xml:space="preserve"> (Accessed: 17 April 2026).</w:t>
      </w:r>
    </w:p>
    <w:p w14:paraId="5284A91A" w14:textId="77777777" w:rsidR="000F2D8E" w:rsidRPr="00631019" w:rsidRDefault="000F2D8E" w:rsidP="000F2D8E">
      <w:pPr>
        <w:spacing w:before="100" w:beforeAutospacing="1" w:after="100" w:afterAutospacing="1" w:line="240" w:lineRule="auto"/>
        <w:rPr>
          <w:rFonts w:eastAsia="Times New Roman" w:cstheme="minorHAnsi"/>
          <w:kern w:val="0"/>
          <w:sz w:val="24"/>
          <w:szCs w:val="24"/>
          <w:lang w:eastAsia="en-GB"/>
          <w14:ligatures w14:val="none"/>
        </w:rPr>
      </w:pPr>
      <w:proofErr w:type="spellStart"/>
      <w:r w:rsidRPr="00631019">
        <w:rPr>
          <w:rFonts w:eastAsia="Times New Roman" w:cstheme="minorHAnsi"/>
          <w:kern w:val="0"/>
          <w:sz w:val="24"/>
          <w:szCs w:val="24"/>
          <w:lang w:eastAsia="en-GB"/>
          <w14:ligatures w14:val="none"/>
        </w:rPr>
        <w:t>Jonvik</w:t>
      </w:r>
      <w:proofErr w:type="spellEnd"/>
      <w:r w:rsidRPr="00631019">
        <w:rPr>
          <w:rFonts w:eastAsia="Times New Roman" w:cstheme="minorHAnsi"/>
          <w:kern w:val="0"/>
          <w:sz w:val="24"/>
          <w:szCs w:val="24"/>
          <w:lang w:eastAsia="en-GB"/>
          <w14:ligatures w14:val="none"/>
        </w:rPr>
        <w:t xml:space="preserve">, K.L., King, M., Rollo, I., Stellingwerff, T. and </w:t>
      </w:r>
      <w:proofErr w:type="spellStart"/>
      <w:r w:rsidRPr="00631019">
        <w:rPr>
          <w:rFonts w:eastAsia="Times New Roman" w:cstheme="minorHAnsi"/>
          <w:kern w:val="0"/>
          <w:sz w:val="24"/>
          <w:szCs w:val="24"/>
          <w:lang w:eastAsia="en-GB"/>
          <w14:ligatures w14:val="none"/>
        </w:rPr>
        <w:t>Pitsiladis</w:t>
      </w:r>
      <w:proofErr w:type="spellEnd"/>
      <w:r w:rsidRPr="00631019">
        <w:rPr>
          <w:rFonts w:eastAsia="Times New Roman" w:cstheme="minorHAnsi"/>
          <w:kern w:val="0"/>
          <w:sz w:val="24"/>
          <w:szCs w:val="24"/>
          <w:lang w:eastAsia="en-GB"/>
          <w14:ligatures w14:val="none"/>
        </w:rPr>
        <w:t xml:space="preserve">, Y. (2022) ‘New opportunities to advance the field of sports nutrition’, </w:t>
      </w:r>
      <w:r w:rsidRPr="00631019">
        <w:rPr>
          <w:rFonts w:eastAsia="Times New Roman" w:cstheme="minorHAnsi"/>
          <w:i/>
          <w:iCs/>
          <w:kern w:val="0"/>
          <w:sz w:val="24"/>
          <w:szCs w:val="24"/>
          <w:lang w:eastAsia="en-GB"/>
          <w14:ligatures w14:val="none"/>
        </w:rPr>
        <w:t>Frontiers in Sports and Active Living</w:t>
      </w:r>
      <w:r w:rsidRPr="00631019">
        <w:rPr>
          <w:rFonts w:eastAsia="Times New Roman" w:cstheme="minorHAnsi"/>
          <w:kern w:val="0"/>
          <w:sz w:val="24"/>
          <w:szCs w:val="24"/>
          <w:lang w:eastAsia="en-GB"/>
          <w14:ligatures w14:val="none"/>
        </w:rPr>
        <w:t>, 4(</w:t>
      </w:r>
      <w:proofErr w:type="spellStart"/>
      <w:r w:rsidRPr="00631019">
        <w:rPr>
          <w:rFonts w:eastAsia="Times New Roman" w:cstheme="minorHAnsi"/>
          <w:kern w:val="0"/>
          <w:sz w:val="24"/>
          <w:szCs w:val="24"/>
          <w:lang w:eastAsia="en-GB"/>
          <w14:ligatures w14:val="none"/>
        </w:rPr>
        <w:t>Suppl</w:t>
      </w:r>
      <w:proofErr w:type="spellEnd"/>
      <w:r w:rsidRPr="00631019">
        <w:rPr>
          <w:rFonts w:eastAsia="Times New Roman" w:cstheme="minorHAnsi"/>
          <w:kern w:val="0"/>
          <w:sz w:val="24"/>
          <w:szCs w:val="24"/>
          <w:lang w:eastAsia="en-GB"/>
          <w14:ligatures w14:val="none"/>
        </w:rPr>
        <w:t xml:space="preserve"> 1), article 852230. Available at: </w:t>
      </w:r>
      <w:hyperlink r:id="rId15" w:tgtFrame="_blank" w:history="1">
        <w:r w:rsidRPr="00631019">
          <w:rPr>
            <w:rFonts w:eastAsia="Times New Roman" w:cstheme="minorHAnsi"/>
            <w:kern w:val="0"/>
            <w:sz w:val="24"/>
            <w:szCs w:val="24"/>
            <w:lang w:eastAsia="en-GB"/>
            <w14:ligatures w14:val="none"/>
          </w:rPr>
          <w:t>https://doi.org/10.3389/fspor.2022.852230</w:t>
        </w:r>
      </w:hyperlink>
      <w:r w:rsidRPr="00631019">
        <w:rPr>
          <w:rFonts w:eastAsia="Times New Roman" w:cstheme="minorHAnsi"/>
          <w:kern w:val="0"/>
          <w:sz w:val="24"/>
          <w:szCs w:val="24"/>
          <w:lang w:eastAsia="en-GB"/>
          <w14:ligatures w14:val="none"/>
        </w:rPr>
        <w:t xml:space="preserve"> (Accessed: 19 April 2026).</w:t>
      </w:r>
    </w:p>
    <w:p w14:paraId="46582D6D" w14:textId="77777777" w:rsidR="000F2D8E" w:rsidRPr="00631019" w:rsidRDefault="000F2D8E" w:rsidP="000F2D8E">
      <w:pPr>
        <w:spacing w:before="100" w:beforeAutospacing="1" w:after="100" w:afterAutospacing="1" w:line="240" w:lineRule="auto"/>
        <w:rPr>
          <w:rFonts w:eastAsia="Times New Roman" w:cstheme="minorHAnsi"/>
          <w:kern w:val="0"/>
          <w:sz w:val="24"/>
          <w:szCs w:val="24"/>
          <w:lang w:eastAsia="en-GB"/>
          <w14:ligatures w14:val="none"/>
        </w:rPr>
      </w:pPr>
      <w:r w:rsidRPr="00631019">
        <w:rPr>
          <w:rFonts w:eastAsia="Times New Roman" w:cstheme="minorHAnsi"/>
          <w:kern w:val="0"/>
          <w:sz w:val="24"/>
          <w:szCs w:val="24"/>
          <w:lang w:eastAsia="en-GB"/>
          <w14:ligatures w14:val="none"/>
        </w:rPr>
        <w:t xml:space="preserve">Jordan, P.J., Troth, A.C. and Yan, H. (2024) ‘Objective and subjective measurement in applied business settings: improving research in organizations’, </w:t>
      </w:r>
      <w:r w:rsidRPr="00631019">
        <w:rPr>
          <w:rFonts w:eastAsia="Times New Roman" w:cstheme="minorHAnsi"/>
          <w:i/>
          <w:iCs/>
          <w:kern w:val="0"/>
          <w:sz w:val="24"/>
          <w:szCs w:val="24"/>
          <w:lang w:eastAsia="en-GB"/>
          <w14:ligatures w14:val="none"/>
        </w:rPr>
        <w:t>Australian Journal of Management</w:t>
      </w:r>
      <w:r w:rsidRPr="00631019">
        <w:rPr>
          <w:rFonts w:eastAsia="Times New Roman" w:cstheme="minorHAnsi"/>
          <w:kern w:val="0"/>
          <w:sz w:val="24"/>
          <w:szCs w:val="24"/>
          <w:lang w:eastAsia="en-GB"/>
          <w14:ligatures w14:val="none"/>
        </w:rPr>
        <w:t xml:space="preserve">, 50(1), pp. 8–31. Available at: </w:t>
      </w:r>
      <w:hyperlink r:id="rId16" w:tgtFrame="_blank" w:history="1">
        <w:r w:rsidRPr="00631019">
          <w:rPr>
            <w:rFonts w:eastAsia="Times New Roman" w:cstheme="minorHAnsi"/>
            <w:kern w:val="0"/>
            <w:sz w:val="24"/>
            <w:szCs w:val="24"/>
            <w:lang w:eastAsia="en-GB"/>
            <w14:ligatures w14:val="none"/>
          </w:rPr>
          <w:t>https://doi.org/10.1177/03128962241286258</w:t>
        </w:r>
      </w:hyperlink>
      <w:r w:rsidRPr="00631019">
        <w:rPr>
          <w:rFonts w:eastAsia="Times New Roman" w:cstheme="minorHAnsi"/>
          <w:kern w:val="0"/>
          <w:sz w:val="24"/>
          <w:szCs w:val="24"/>
          <w:lang w:eastAsia="en-GB"/>
          <w14:ligatures w14:val="none"/>
        </w:rPr>
        <w:t xml:space="preserve"> (Accessed: 21 April 2026).</w:t>
      </w:r>
    </w:p>
    <w:p w14:paraId="3FD3866A" w14:textId="77777777" w:rsidR="000F2D8E" w:rsidRPr="00631019" w:rsidRDefault="000F2D8E" w:rsidP="000F2D8E">
      <w:pPr>
        <w:spacing w:before="100" w:beforeAutospacing="1" w:after="100" w:afterAutospacing="1" w:line="240" w:lineRule="auto"/>
        <w:rPr>
          <w:rFonts w:eastAsia="Times New Roman" w:cstheme="minorHAnsi"/>
          <w:kern w:val="0"/>
          <w:sz w:val="24"/>
          <w:szCs w:val="24"/>
          <w:lang w:eastAsia="en-GB"/>
          <w14:ligatures w14:val="none"/>
        </w:rPr>
      </w:pPr>
      <w:proofErr w:type="spellStart"/>
      <w:r w:rsidRPr="00631019">
        <w:rPr>
          <w:rFonts w:eastAsia="Times New Roman" w:cstheme="minorHAnsi"/>
          <w:kern w:val="0"/>
          <w:sz w:val="24"/>
          <w:szCs w:val="24"/>
          <w:lang w:eastAsia="en-GB"/>
          <w14:ligatures w14:val="none"/>
        </w:rPr>
        <w:t>Mcclean</w:t>
      </w:r>
      <w:proofErr w:type="spellEnd"/>
      <w:r w:rsidRPr="00631019">
        <w:rPr>
          <w:rFonts w:eastAsia="Times New Roman" w:cstheme="minorHAnsi"/>
          <w:kern w:val="0"/>
          <w:sz w:val="24"/>
          <w:szCs w:val="24"/>
          <w:lang w:eastAsia="en-GB"/>
          <w14:ligatures w14:val="none"/>
        </w:rPr>
        <w:t xml:space="preserve">, Z.J., Pasanen, K., Lun, V., Charest, J., Herzog, W., </w:t>
      </w:r>
      <w:proofErr w:type="spellStart"/>
      <w:r w:rsidRPr="00631019">
        <w:rPr>
          <w:rFonts w:eastAsia="Times New Roman" w:cstheme="minorHAnsi"/>
          <w:kern w:val="0"/>
          <w:sz w:val="24"/>
          <w:szCs w:val="24"/>
          <w:lang w:eastAsia="en-GB"/>
          <w14:ligatures w14:val="none"/>
        </w:rPr>
        <w:t>Werthner</w:t>
      </w:r>
      <w:proofErr w:type="spellEnd"/>
      <w:r w:rsidRPr="00631019">
        <w:rPr>
          <w:rFonts w:eastAsia="Times New Roman" w:cstheme="minorHAnsi"/>
          <w:kern w:val="0"/>
          <w:sz w:val="24"/>
          <w:szCs w:val="24"/>
          <w:lang w:eastAsia="en-GB"/>
          <w14:ligatures w14:val="none"/>
        </w:rPr>
        <w:t xml:space="preserve">, P., Black, A., Vleuten, R.V., Lacoste, E. and Jordan, M.J. (2024) ‘A biopsychosocial model for understanding training load, fatigue, and musculoskeletal sport injury in university athletes: a scoping review’, </w:t>
      </w:r>
      <w:r w:rsidRPr="00631019">
        <w:rPr>
          <w:rFonts w:eastAsia="Times New Roman" w:cstheme="minorHAnsi"/>
          <w:i/>
          <w:iCs/>
          <w:kern w:val="0"/>
          <w:sz w:val="24"/>
          <w:szCs w:val="24"/>
          <w:lang w:eastAsia="en-GB"/>
          <w14:ligatures w14:val="none"/>
        </w:rPr>
        <w:t>Journal of Strength and Conditioning Research</w:t>
      </w:r>
      <w:r w:rsidRPr="00631019">
        <w:rPr>
          <w:rFonts w:eastAsia="Times New Roman" w:cstheme="minorHAnsi"/>
          <w:kern w:val="0"/>
          <w:sz w:val="24"/>
          <w:szCs w:val="24"/>
          <w:lang w:eastAsia="en-GB"/>
          <w14:ligatures w14:val="none"/>
        </w:rPr>
        <w:t xml:space="preserve">, 38(6), pp. 1177–1188. Available at: </w:t>
      </w:r>
      <w:hyperlink r:id="rId17" w:tgtFrame="_blank" w:history="1">
        <w:r w:rsidRPr="00631019">
          <w:rPr>
            <w:rFonts w:eastAsia="Times New Roman" w:cstheme="minorHAnsi"/>
            <w:kern w:val="0"/>
            <w:sz w:val="24"/>
            <w:szCs w:val="24"/>
            <w:lang w:eastAsia="en-GB"/>
            <w14:ligatures w14:val="none"/>
          </w:rPr>
          <w:t>https://doi.org/10.1519/jsc.0000000000004789</w:t>
        </w:r>
      </w:hyperlink>
      <w:r w:rsidRPr="00631019">
        <w:rPr>
          <w:rFonts w:eastAsia="Times New Roman" w:cstheme="minorHAnsi"/>
          <w:kern w:val="0"/>
          <w:sz w:val="24"/>
          <w:szCs w:val="24"/>
          <w:lang w:eastAsia="en-GB"/>
          <w14:ligatures w14:val="none"/>
        </w:rPr>
        <w:t xml:space="preserve"> (Accessed: 23 April 2026).</w:t>
      </w:r>
    </w:p>
    <w:p w14:paraId="30D865DA" w14:textId="77777777" w:rsidR="000F2D8E" w:rsidRPr="00631019" w:rsidRDefault="000F2D8E" w:rsidP="000F2D8E">
      <w:pPr>
        <w:spacing w:before="100" w:beforeAutospacing="1" w:after="100" w:afterAutospacing="1" w:line="240" w:lineRule="auto"/>
        <w:rPr>
          <w:rFonts w:eastAsia="Times New Roman" w:cstheme="minorHAnsi"/>
          <w:kern w:val="0"/>
          <w:sz w:val="24"/>
          <w:szCs w:val="24"/>
          <w:lang w:eastAsia="en-GB"/>
          <w14:ligatures w14:val="none"/>
        </w:rPr>
      </w:pPr>
      <w:r w:rsidRPr="00631019">
        <w:rPr>
          <w:rFonts w:eastAsia="Times New Roman" w:cstheme="minorHAnsi"/>
          <w:kern w:val="0"/>
          <w:sz w:val="24"/>
          <w:szCs w:val="24"/>
          <w:lang w:eastAsia="en-GB"/>
          <w14:ligatures w14:val="none"/>
        </w:rPr>
        <w:t xml:space="preserve">Memon, M., Thurasamy, R., Ting, H. and Cheah, J.-H. (2025) ‘Convenience sampling: a review and guidelines for quantitative research’, </w:t>
      </w:r>
      <w:r w:rsidRPr="00631019">
        <w:rPr>
          <w:rFonts w:eastAsia="Times New Roman" w:cstheme="minorHAnsi"/>
          <w:i/>
          <w:iCs/>
          <w:kern w:val="0"/>
          <w:sz w:val="24"/>
          <w:szCs w:val="24"/>
          <w:lang w:eastAsia="en-GB"/>
          <w14:ligatures w14:val="none"/>
        </w:rPr>
        <w:t xml:space="preserve">Journal of Applied Structural Equation </w:t>
      </w:r>
      <w:proofErr w:type="spellStart"/>
      <w:r w:rsidRPr="00631019">
        <w:rPr>
          <w:rFonts w:eastAsia="Times New Roman" w:cstheme="minorHAnsi"/>
          <w:i/>
          <w:iCs/>
          <w:kern w:val="0"/>
          <w:sz w:val="24"/>
          <w:szCs w:val="24"/>
          <w:lang w:eastAsia="en-GB"/>
          <w14:ligatures w14:val="none"/>
        </w:rPr>
        <w:t>Modeling</w:t>
      </w:r>
      <w:proofErr w:type="spellEnd"/>
      <w:r w:rsidRPr="00631019">
        <w:rPr>
          <w:rFonts w:eastAsia="Times New Roman" w:cstheme="minorHAnsi"/>
          <w:kern w:val="0"/>
          <w:sz w:val="24"/>
          <w:szCs w:val="24"/>
          <w:lang w:eastAsia="en-GB"/>
          <w14:ligatures w14:val="none"/>
        </w:rPr>
        <w:t xml:space="preserve">, 9(2), pp. 1–15. Available at: </w:t>
      </w:r>
      <w:hyperlink r:id="rId18" w:tgtFrame="_blank" w:history="1">
        <w:r w:rsidRPr="00631019">
          <w:rPr>
            <w:rFonts w:eastAsia="Times New Roman" w:cstheme="minorHAnsi"/>
            <w:kern w:val="0"/>
            <w:sz w:val="24"/>
            <w:szCs w:val="24"/>
            <w:lang w:eastAsia="en-GB"/>
            <w14:ligatures w14:val="none"/>
          </w:rPr>
          <w:t>https://doi.org/10.47263/jasem.9(2)01</w:t>
        </w:r>
      </w:hyperlink>
      <w:r w:rsidRPr="00631019">
        <w:rPr>
          <w:rFonts w:eastAsia="Times New Roman" w:cstheme="minorHAnsi"/>
          <w:kern w:val="0"/>
          <w:sz w:val="24"/>
          <w:szCs w:val="24"/>
          <w:lang w:eastAsia="en-GB"/>
          <w14:ligatures w14:val="none"/>
        </w:rPr>
        <w:t xml:space="preserve"> (Accessed: 25 April 2026).</w:t>
      </w:r>
    </w:p>
    <w:p w14:paraId="3329F050" w14:textId="77777777" w:rsidR="000F2D8E" w:rsidRPr="00631019" w:rsidRDefault="000F2D8E" w:rsidP="000F2D8E">
      <w:pPr>
        <w:spacing w:before="100" w:beforeAutospacing="1" w:after="100" w:afterAutospacing="1" w:line="240" w:lineRule="auto"/>
        <w:rPr>
          <w:rFonts w:eastAsia="Times New Roman" w:cstheme="minorHAnsi"/>
          <w:kern w:val="0"/>
          <w:sz w:val="24"/>
          <w:szCs w:val="24"/>
          <w:lang w:eastAsia="en-GB"/>
          <w14:ligatures w14:val="none"/>
        </w:rPr>
      </w:pPr>
      <w:proofErr w:type="spellStart"/>
      <w:r w:rsidRPr="00631019">
        <w:rPr>
          <w:rFonts w:eastAsia="Times New Roman" w:cstheme="minorHAnsi"/>
          <w:kern w:val="0"/>
          <w:sz w:val="24"/>
          <w:szCs w:val="24"/>
          <w:lang w:eastAsia="en-GB"/>
          <w14:ligatures w14:val="none"/>
        </w:rPr>
        <w:t>Merkebu</w:t>
      </w:r>
      <w:proofErr w:type="spellEnd"/>
      <w:r w:rsidRPr="00631019">
        <w:rPr>
          <w:rFonts w:eastAsia="Times New Roman" w:cstheme="minorHAnsi"/>
          <w:kern w:val="0"/>
          <w:sz w:val="24"/>
          <w:szCs w:val="24"/>
          <w:lang w:eastAsia="en-GB"/>
          <w14:ligatures w14:val="none"/>
        </w:rPr>
        <w:t xml:space="preserve">, J., Geringer, J. and Samuel, A. (2025) ‘Sampling thoughtfully in qualitative research: hallmarks of rigour in health professions education’, </w:t>
      </w:r>
      <w:r w:rsidRPr="00631019">
        <w:rPr>
          <w:rFonts w:eastAsia="Times New Roman" w:cstheme="minorHAnsi"/>
          <w:i/>
          <w:iCs/>
          <w:kern w:val="0"/>
          <w:sz w:val="24"/>
          <w:szCs w:val="24"/>
          <w:lang w:eastAsia="en-GB"/>
          <w14:ligatures w14:val="none"/>
        </w:rPr>
        <w:t>The Clinical Teacher</w:t>
      </w:r>
      <w:r w:rsidRPr="00631019">
        <w:rPr>
          <w:rFonts w:eastAsia="Times New Roman" w:cstheme="minorHAnsi"/>
          <w:kern w:val="0"/>
          <w:sz w:val="24"/>
          <w:szCs w:val="24"/>
          <w:lang w:eastAsia="en-GB"/>
          <w14:ligatures w14:val="none"/>
        </w:rPr>
        <w:t xml:space="preserve">, 22(4), article e70145. Available at: </w:t>
      </w:r>
      <w:hyperlink r:id="rId19" w:tgtFrame="_blank" w:history="1">
        <w:r w:rsidRPr="00631019">
          <w:rPr>
            <w:rFonts w:eastAsia="Times New Roman" w:cstheme="minorHAnsi"/>
            <w:kern w:val="0"/>
            <w:sz w:val="24"/>
            <w:szCs w:val="24"/>
            <w:lang w:eastAsia="en-GB"/>
            <w14:ligatures w14:val="none"/>
          </w:rPr>
          <w:t>https://doi.org/10.1111/tct.70145</w:t>
        </w:r>
      </w:hyperlink>
      <w:r w:rsidRPr="00631019">
        <w:rPr>
          <w:rFonts w:eastAsia="Times New Roman" w:cstheme="minorHAnsi"/>
          <w:kern w:val="0"/>
          <w:sz w:val="24"/>
          <w:szCs w:val="24"/>
          <w:lang w:eastAsia="en-GB"/>
          <w14:ligatures w14:val="none"/>
        </w:rPr>
        <w:t xml:space="preserve"> (Accessed: 29 April 2026).</w:t>
      </w:r>
    </w:p>
    <w:p w14:paraId="6AF50B3F" w14:textId="77777777" w:rsidR="000F2D8E" w:rsidRPr="00631019" w:rsidRDefault="000F2D8E" w:rsidP="000F2D8E">
      <w:pPr>
        <w:spacing w:before="100" w:beforeAutospacing="1" w:after="100" w:afterAutospacing="1" w:line="240" w:lineRule="auto"/>
        <w:rPr>
          <w:rFonts w:eastAsia="Times New Roman" w:cstheme="minorHAnsi"/>
          <w:kern w:val="0"/>
          <w:sz w:val="24"/>
          <w:szCs w:val="24"/>
          <w:lang w:eastAsia="en-GB"/>
          <w14:ligatures w14:val="none"/>
        </w:rPr>
      </w:pPr>
      <w:r w:rsidRPr="00631019">
        <w:rPr>
          <w:rFonts w:eastAsia="Times New Roman" w:cstheme="minorHAnsi"/>
          <w:kern w:val="0"/>
          <w:sz w:val="24"/>
          <w:szCs w:val="24"/>
          <w:lang w:eastAsia="en-GB"/>
          <w14:ligatures w14:val="none"/>
        </w:rPr>
        <w:t xml:space="preserve">Middlebrook, N., Heneghan, N.R., Moffatt, M., Silvester, L., Falla, D., Rushton, A.B. and Soundy, A.A. (2025) ‘Experiences, views and perceptions of recovery following musculoskeletal trauma of patients and physiotherapists: a qualitative study’, </w:t>
      </w:r>
      <w:r w:rsidRPr="00631019">
        <w:rPr>
          <w:rFonts w:eastAsia="Times New Roman" w:cstheme="minorHAnsi"/>
          <w:i/>
          <w:iCs/>
          <w:kern w:val="0"/>
          <w:sz w:val="24"/>
          <w:szCs w:val="24"/>
          <w:lang w:eastAsia="en-GB"/>
          <w14:ligatures w14:val="none"/>
        </w:rPr>
        <w:t>PLOS One</w:t>
      </w:r>
      <w:r w:rsidRPr="00631019">
        <w:rPr>
          <w:rFonts w:eastAsia="Times New Roman" w:cstheme="minorHAnsi"/>
          <w:kern w:val="0"/>
          <w:sz w:val="24"/>
          <w:szCs w:val="24"/>
          <w:lang w:eastAsia="en-GB"/>
          <w14:ligatures w14:val="none"/>
        </w:rPr>
        <w:t xml:space="preserve">, 20(5), article e0323575. Available at: </w:t>
      </w:r>
      <w:hyperlink r:id="rId20" w:tgtFrame="_blank" w:history="1">
        <w:r w:rsidRPr="00631019">
          <w:rPr>
            <w:rFonts w:eastAsia="Times New Roman" w:cstheme="minorHAnsi"/>
            <w:kern w:val="0"/>
            <w:sz w:val="24"/>
            <w:szCs w:val="24"/>
            <w:lang w:eastAsia="en-GB"/>
            <w14:ligatures w14:val="none"/>
          </w:rPr>
          <w:t>https://doi.org/10.1371/journal.pone.0323575</w:t>
        </w:r>
      </w:hyperlink>
      <w:r w:rsidRPr="00631019">
        <w:rPr>
          <w:rFonts w:eastAsia="Times New Roman" w:cstheme="minorHAnsi"/>
          <w:kern w:val="0"/>
          <w:sz w:val="24"/>
          <w:szCs w:val="24"/>
          <w:lang w:eastAsia="en-GB"/>
          <w14:ligatures w14:val="none"/>
        </w:rPr>
        <w:t xml:space="preserve"> (Accessed: 30 April 2026).</w:t>
      </w:r>
    </w:p>
    <w:p w14:paraId="5B9C80E7" w14:textId="77777777" w:rsidR="000F2D8E" w:rsidRPr="00631019" w:rsidRDefault="000F2D8E" w:rsidP="000F2D8E">
      <w:pPr>
        <w:spacing w:before="100" w:beforeAutospacing="1" w:after="100" w:afterAutospacing="1" w:line="240" w:lineRule="auto"/>
        <w:rPr>
          <w:rFonts w:eastAsia="Times New Roman" w:cstheme="minorHAnsi"/>
          <w:kern w:val="0"/>
          <w:sz w:val="24"/>
          <w:szCs w:val="24"/>
          <w:lang w:eastAsia="en-GB"/>
          <w14:ligatures w14:val="none"/>
        </w:rPr>
      </w:pPr>
      <w:r w:rsidRPr="00631019">
        <w:rPr>
          <w:rFonts w:eastAsia="Times New Roman" w:cstheme="minorHAnsi"/>
          <w:kern w:val="0"/>
          <w:sz w:val="24"/>
          <w:szCs w:val="24"/>
          <w:lang w:eastAsia="en-GB"/>
          <w14:ligatures w14:val="none"/>
        </w:rPr>
        <w:t xml:space="preserve">Paulussen, K.J.M., McKenna, C.F., Beals, J.W., Wilund, K.R., Salvador, A.F. and Burd, N.A. (2021) ‘Anabolic resistance of muscle protein turnover comes in various shapes and sizes’, </w:t>
      </w:r>
      <w:r w:rsidRPr="00631019">
        <w:rPr>
          <w:rFonts w:eastAsia="Times New Roman" w:cstheme="minorHAnsi"/>
          <w:i/>
          <w:iCs/>
          <w:kern w:val="0"/>
          <w:sz w:val="24"/>
          <w:szCs w:val="24"/>
          <w:lang w:eastAsia="en-GB"/>
          <w14:ligatures w14:val="none"/>
        </w:rPr>
        <w:t>Frontiers in Nutrition</w:t>
      </w:r>
      <w:r w:rsidRPr="00631019">
        <w:rPr>
          <w:rFonts w:eastAsia="Times New Roman" w:cstheme="minorHAnsi"/>
          <w:kern w:val="0"/>
          <w:sz w:val="24"/>
          <w:szCs w:val="24"/>
          <w:lang w:eastAsia="en-GB"/>
          <w14:ligatures w14:val="none"/>
        </w:rPr>
        <w:t xml:space="preserve">, 8, article 615849. Available at: </w:t>
      </w:r>
      <w:hyperlink r:id="rId21" w:tgtFrame="_blank" w:history="1">
        <w:r w:rsidRPr="00631019">
          <w:rPr>
            <w:rFonts w:eastAsia="Times New Roman" w:cstheme="minorHAnsi"/>
            <w:kern w:val="0"/>
            <w:sz w:val="24"/>
            <w:szCs w:val="24"/>
            <w:lang w:eastAsia="en-GB"/>
            <w14:ligatures w14:val="none"/>
          </w:rPr>
          <w:t>https://doi.org/10.3389/fnut.2021.615849</w:t>
        </w:r>
      </w:hyperlink>
      <w:r w:rsidRPr="00631019">
        <w:rPr>
          <w:rFonts w:eastAsia="Times New Roman" w:cstheme="minorHAnsi"/>
          <w:kern w:val="0"/>
          <w:sz w:val="24"/>
          <w:szCs w:val="24"/>
          <w:lang w:eastAsia="en-GB"/>
          <w14:ligatures w14:val="none"/>
        </w:rPr>
        <w:t xml:space="preserve"> (Accessed: 2 May 2026).</w:t>
      </w:r>
    </w:p>
    <w:p w14:paraId="1E0A01E0" w14:textId="77777777" w:rsidR="000F2D8E" w:rsidRPr="00631019" w:rsidRDefault="000F2D8E" w:rsidP="000F2D8E">
      <w:pPr>
        <w:spacing w:before="100" w:beforeAutospacing="1" w:after="100" w:afterAutospacing="1" w:line="240" w:lineRule="auto"/>
        <w:rPr>
          <w:rFonts w:eastAsia="Times New Roman" w:cstheme="minorHAnsi"/>
          <w:kern w:val="0"/>
          <w:sz w:val="24"/>
          <w:szCs w:val="24"/>
          <w:lang w:eastAsia="en-GB"/>
          <w14:ligatures w14:val="none"/>
        </w:rPr>
      </w:pPr>
      <w:r w:rsidRPr="00631019">
        <w:rPr>
          <w:rFonts w:eastAsia="Times New Roman" w:cstheme="minorHAnsi"/>
          <w:kern w:val="0"/>
          <w:sz w:val="24"/>
          <w:szCs w:val="24"/>
          <w:lang w:eastAsia="en-GB"/>
          <w14:ligatures w14:val="none"/>
        </w:rPr>
        <w:t xml:space="preserve">Pretorius, L. (2024) ‘Demystifying research paradigms: navigating ontology, epistemology, and axiology in research’, </w:t>
      </w:r>
      <w:r w:rsidRPr="00631019">
        <w:rPr>
          <w:rFonts w:eastAsia="Times New Roman" w:cstheme="minorHAnsi"/>
          <w:i/>
          <w:iCs/>
          <w:kern w:val="0"/>
          <w:sz w:val="24"/>
          <w:szCs w:val="24"/>
          <w:lang w:eastAsia="en-GB"/>
          <w14:ligatures w14:val="none"/>
        </w:rPr>
        <w:t>The Qualitative Report</w:t>
      </w:r>
      <w:r w:rsidRPr="00631019">
        <w:rPr>
          <w:rFonts w:eastAsia="Times New Roman" w:cstheme="minorHAnsi"/>
          <w:kern w:val="0"/>
          <w:sz w:val="24"/>
          <w:szCs w:val="24"/>
          <w:lang w:eastAsia="en-GB"/>
          <w14:ligatures w14:val="none"/>
        </w:rPr>
        <w:t xml:space="preserve">, 29(11), pp. 2883–2900. Available at: </w:t>
      </w:r>
      <w:hyperlink r:id="rId22" w:tgtFrame="_blank" w:history="1">
        <w:r w:rsidRPr="00631019">
          <w:rPr>
            <w:rFonts w:eastAsia="Times New Roman" w:cstheme="minorHAnsi"/>
            <w:kern w:val="0"/>
            <w:sz w:val="24"/>
            <w:szCs w:val="24"/>
            <w:lang w:eastAsia="en-GB"/>
            <w14:ligatures w14:val="none"/>
          </w:rPr>
          <w:t>https://doi.org/10.46743/2160-3715/2024.7632</w:t>
        </w:r>
      </w:hyperlink>
      <w:r w:rsidRPr="00631019">
        <w:rPr>
          <w:rFonts w:eastAsia="Times New Roman" w:cstheme="minorHAnsi"/>
          <w:kern w:val="0"/>
          <w:sz w:val="24"/>
          <w:szCs w:val="24"/>
          <w:lang w:eastAsia="en-GB"/>
          <w14:ligatures w14:val="none"/>
        </w:rPr>
        <w:t xml:space="preserve"> (Accessed: 3 May 2026).</w:t>
      </w:r>
    </w:p>
    <w:p w14:paraId="00F6ADB2" w14:textId="77777777" w:rsidR="000F2D8E" w:rsidRPr="00631019" w:rsidRDefault="000F2D8E" w:rsidP="000F2D8E">
      <w:pPr>
        <w:spacing w:before="100" w:beforeAutospacing="1" w:after="100" w:afterAutospacing="1" w:line="240" w:lineRule="auto"/>
        <w:rPr>
          <w:rFonts w:eastAsia="Times New Roman" w:cstheme="minorHAnsi"/>
          <w:kern w:val="0"/>
          <w:sz w:val="24"/>
          <w:szCs w:val="24"/>
          <w:lang w:eastAsia="en-GB"/>
          <w14:ligatures w14:val="none"/>
        </w:rPr>
      </w:pPr>
      <w:proofErr w:type="spellStart"/>
      <w:r w:rsidRPr="00631019">
        <w:rPr>
          <w:rFonts w:eastAsia="Times New Roman" w:cstheme="minorHAnsi"/>
          <w:kern w:val="0"/>
          <w:sz w:val="24"/>
          <w:szCs w:val="24"/>
          <w:lang w:eastAsia="en-GB"/>
          <w14:ligatures w14:val="none"/>
        </w:rPr>
        <w:t>Prokopidis</w:t>
      </w:r>
      <w:proofErr w:type="spellEnd"/>
      <w:r w:rsidRPr="00631019">
        <w:rPr>
          <w:rFonts w:eastAsia="Times New Roman" w:cstheme="minorHAnsi"/>
          <w:kern w:val="0"/>
          <w:sz w:val="24"/>
          <w:szCs w:val="24"/>
          <w:lang w:eastAsia="en-GB"/>
          <w14:ligatures w14:val="none"/>
        </w:rPr>
        <w:t xml:space="preserve">, K., Chambers, E., Ni Lochlainn, M. and </w:t>
      </w:r>
      <w:proofErr w:type="spellStart"/>
      <w:r w:rsidRPr="00631019">
        <w:rPr>
          <w:rFonts w:eastAsia="Times New Roman" w:cstheme="minorHAnsi"/>
          <w:kern w:val="0"/>
          <w:sz w:val="24"/>
          <w:szCs w:val="24"/>
          <w:lang w:eastAsia="en-GB"/>
          <w14:ligatures w14:val="none"/>
        </w:rPr>
        <w:t>Witard</w:t>
      </w:r>
      <w:proofErr w:type="spellEnd"/>
      <w:r w:rsidRPr="00631019">
        <w:rPr>
          <w:rFonts w:eastAsia="Times New Roman" w:cstheme="minorHAnsi"/>
          <w:kern w:val="0"/>
          <w:sz w:val="24"/>
          <w:szCs w:val="24"/>
          <w:lang w:eastAsia="en-GB"/>
          <w14:ligatures w14:val="none"/>
        </w:rPr>
        <w:t xml:space="preserve">, O.C. (2021) ‘Mechanisms linking the gut-muscle axis with muscle protein metabolism and anabolic resistance: implications for older adults at risk of sarcopenia’, </w:t>
      </w:r>
      <w:r w:rsidRPr="00631019">
        <w:rPr>
          <w:rFonts w:eastAsia="Times New Roman" w:cstheme="minorHAnsi"/>
          <w:i/>
          <w:iCs/>
          <w:kern w:val="0"/>
          <w:sz w:val="24"/>
          <w:szCs w:val="24"/>
          <w:lang w:eastAsia="en-GB"/>
          <w14:ligatures w14:val="none"/>
        </w:rPr>
        <w:t>Frontiers in Physiology</w:t>
      </w:r>
      <w:r w:rsidRPr="00631019">
        <w:rPr>
          <w:rFonts w:eastAsia="Times New Roman" w:cstheme="minorHAnsi"/>
          <w:kern w:val="0"/>
          <w:sz w:val="24"/>
          <w:szCs w:val="24"/>
          <w:lang w:eastAsia="en-GB"/>
          <w14:ligatures w14:val="none"/>
        </w:rPr>
        <w:t xml:space="preserve">, 12, article 770455. Available at: </w:t>
      </w:r>
      <w:hyperlink r:id="rId23" w:tgtFrame="_blank" w:history="1">
        <w:r w:rsidRPr="00631019">
          <w:rPr>
            <w:rFonts w:eastAsia="Times New Roman" w:cstheme="minorHAnsi"/>
            <w:kern w:val="0"/>
            <w:sz w:val="24"/>
            <w:szCs w:val="24"/>
            <w:lang w:eastAsia="en-GB"/>
            <w14:ligatures w14:val="none"/>
          </w:rPr>
          <w:t>https://doi.org/10.3389/fphys.2021.770455</w:t>
        </w:r>
      </w:hyperlink>
      <w:r w:rsidRPr="00631019">
        <w:rPr>
          <w:rFonts w:eastAsia="Times New Roman" w:cstheme="minorHAnsi"/>
          <w:kern w:val="0"/>
          <w:sz w:val="24"/>
          <w:szCs w:val="24"/>
          <w:lang w:eastAsia="en-GB"/>
          <w14:ligatures w14:val="none"/>
        </w:rPr>
        <w:t xml:space="preserve"> (Accessed: 3 May 2026).</w:t>
      </w:r>
    </w:p>
    <w:p w14:paraId="12722570" w14:textId="77777777" w:rsidR="000F2D8E" w:rsidRPr="00631019" w:rsidRDefault="000F2D8E" w:rsidP="000F2D8E">
      <w:pPr>
        <w:spacing w:before="100" w:beforeAutospacing="1" w:after="100" w:afterAutospacing="1" w:line="240" w:lineRule="auto"/>
        <w:rPr>
          <w:rFonts w:eastAsia="Times New Roman" w:cstheme="minorHAnsi"/>
          <w:kern w:val="0"/>
          <w:sz w:val="24"/>
          <w:szCs w:val="24"/>
          <w:lang w:eastAsia="en-GB"/>
          <w14:ligatures w14:val="none"/>
        </w:rPr>
      </w:pPr>
      <w:r w:rsidRPr="00631019">
        <w:rPr>
          <w:rFonts w:eastAsia="Times New Roman" w:cstheme="minorHAnsi"/>
          <w:kern w:val="0"/>
          <w:sz w:val="24"/>
          <w:szCs w:val="24"/>
          <w:lang w:eastAsia="en-GB"/>
          <w14:ligatures w14:val="none"/>
        </w:rPr>
        <w:lastRenderedPageBreak/>
        <w:t xml:space="preserve">Pyo, J., Lee, W., Choi, E.Y., Jang, S.G. and Ock, M. (2023) ‘Qualitative research in healthcare: necessity and characteristics’, </w:t>
      </w:r>
      <w:r w:rsidRPr="00631019">
        <w:rPr>
          <w:rFonts w:eastAsia="Times New Roman" w:cstheme="minorHAnsi"/>
          <w:i/>
          <w:iCs/>
          <w:kern w:val="0"/>
          <w:sz w:val="24"/>
          <w:szCs w:val="24"/>
          <w:lang w:eastAsia="en-GB"/>
          <w14:ligatures w14:val="none"/>
        </w:rPr>
        <w:t>Journal of Preventive Medicine and Public Health</w:t>
      </w:r>
      <w:r w:rsidRPr="00631019">
        <w:rPr>
          <w:rFonts w:eastAsia="Times New Roman" w:cstheme="minorHAnsi"/>
          <w:kern w:val="0"/>
          <w:sz w:val="24"/>
          <w:szCs w:val="24"/>
          <w:lang w:eastAsia="en-GB"/>
          <w14:ligatures w14:val="none"/>
        </w:rPr>
        <w:t xml:space="preserve">, 56(1), pp. 12–20. Available at: </w:t>
      </w:r>
      <w:hyperlink r:id="rId24" w:tgtFrame="_blank" w:history="1">
        <w:r w:rsidRPr="00631019">
          <w:rPr>
            <w:rFonts w:eastAsia="Times New Roman" w:cstheme="minorHAnsi"/>
            <w:kern w:val="0"/>
            <w:sz w:val="24"/>
            <w:szCs w:val="24"/>
            <w:lang w:eastAsia="en-GB"/>
            <w14:ligatures w14:val="none"/>
          </w:rPr>
          <w:t>https://doi.org/10.3961/jpmph.22.451</w:t>
        </w:r>
      </w:hyperlink>
      <w:r w:rsidRPr="00631019">
        <w:rPr>
          <w:rFonts w:eastAsia="Times New Roman" w:cstheme="minorHAnsi"/>
          <w:kern w:val="0"/>
          <w:sz w:val="24"/>
          <w:szCs w:val="24"/>
          <w:lang w:eastAsia="en-GB"/>
          <w14:ligatures w14:val="none"/>
        </w:rPr>
        <w:t xml:space="preserve"> (Accessed: 4 May 2026).</w:t>
      </w:r>
    </w:p>
    <w:p w14:paraId="4012EDC4" w14:textId="77777777" w:rsidR="000F2D8E" w:rsidRPr="00631019" w:rsidRDefault="000F2D8E" w:rsidP="000F2D8E">
      <w:pPr>
        <w:spacing w:before="100" w:beforeAutospacing="1" w:after="100" w:afterAutospacing="1" w:line="240" w:lineRule="auto"/>
        <w:rPr>
          <w:rFonts w:eastAsia="Times New Roman" w:cstheme="minorHAnsi"/>
          <w:kern w:val="0"/>
          <w:sz w:val="24"/>
          <w:szCs w:val="24"/>
          <w:lang w:eastAsia="en-GB"/>
          <w14:ligatures w14:val="none"/>
        </w:rPr>
      </w:pPr>
      <w:r w:rsidRPr="00631019">
        <w:rPr>
          <w:rFonts w:eastAsia="Times New Roman" w:cstheme="minorHAnsi"/>
          <w:kern w:val="0"/>
          <w:sz w:val="24"/>
          <w:szCs w:val="24"/>
          <w:lang w:eastAsia="en-GB"/>
          <w14:ligatures w14:val="none"/>
        </w:rPr>
        <w:t xml:space="preserve">Reinders, I., Visser, M., Jyväkorpi, S.K., Niskanen, R.T., Bosmans, J.E., </w:t>
      </w:r>
      <w:proofErr w:type="spellStart"/>
      <w:r w:rsidRPr="00631019">
        <w:rPr>
          <w:rFonts w:eastAsia="Times New Roman" w:cstheme="minorHAnsi"/>
          <w:kern w:val="0"/>
          <w:sz w:val="24"/>
          <w:szCs w:val="24"/>
          <w:lang w:eastAsia="en-GB"/>
          <w14:ligatures w14:val="none"/>
        </w:rPr>
        <w:t>Jornada</w:t>
      </w:r>
      <w:proofErr w:type="spellEnd"/>
      <w:r w:rsidRPr="00631019">
        <w:rPr>
          <w:rFonts w:eastAsia="Times New Roman" w:cstheme="minorHAnsi"/>
          <w:kern w:val="0"/>
          <w:sz w:val="24"/>
          <w:szCs w:val="24"/>
          <w:lang w:eastAsia="en-GB"/>
          <w14:ligatures w14:val="none"/>
        </w:rPr>
        <w:t xml:space="preserve"> Ben, Â., Brouwer, I.A., </w:t>
      </w:r>
      <w:proofErr w:type="spellStart"/>
      <w:r w:rsidRPr="00631019">
        <w:rPr>
          <w:rFonts w:eastAsia="Times New Roman" w:cstheme="minorHAnsi"/>
          <w:kern w:val="0"/>
          <w:sz w:val="24"/>
          <w:szCs w:val="24"/>
          <w:lang w:eastAsia="en-GB"/>
          <w14:ligatures w14:val="none"/>
        </w:rPr>
        <w:t>Kuijper</w:t>
      </w:r>
      <w:proofErr w:type="spellEnd"/>
      <w:r w:rsidRPr="00631019">
        <w:rPr>
          <w:rFonts w:eastAsia="Times New Roman" w:cstheme="minorHAnsi"/>
          <w:kern w:val="0"/>
          <w:sz w:val="24"/>
          <w:szCs w:val="24"/>
          <w:lang w:eastAsia="en-GB"/>
          <w14:ligatures w14:val="none"/>
        </w:rPr>
        <w:t xml:space="preserve">, L.D., Olthof, M.R., </w:t>
      </w:r>
      <w:proofErr w:type="spellStart"/>
      <w:r w:rsidRPr="00631019">
        <w:rPr>
          <w:rFonts w:eastAsia="Times New Roman" w:cstheme="minorHAnsi"/>
          <w:kern w:val="0"/>
          <w:sz w:val="24"/>
          <w:szCs w:val="24"/>
          <w:lang w:eastAsia="en-GB"/>
          <w14:ligatures w14:val="none"/>
        </w:rPr>
        <w:t>Pitkälä</w:t>
      </w:r>
      <w:proofErr w:type="spellEnd"/>
      <w:r w:rsidRPr="00631019">
        <w:rPr>
          <w:rFonts w:eastAsia="Times New Roman" w:cstheme="minorHAnsi"/>
          <w:kern w:val="0"/>
          <w:sz w:val="24"/>
          <w:szCs w:val="24"/>
          <w:lang w:eastAsia="en-GB"/>
          <w14:ligatures w14:val="none"/>
        </w:rPr>
        <w:t xml:space="preserve">, K.H., </w:t>
      </w:r>
      <w:proofErr w:type="spellStart"/>
      <w:r w:rsidRPr="00631019">
        <w:rPr>
          <w:rFonts w:eastAsia="Times New Roman" w:cstheme="minorHAnsi"/>
          <w:kern w:val="0"/>
          <w:sz w:val="24"/>
          <w:szCs w:val="24"/>
          <w:lang w:eastAsia="en-GB"/>
          <w14:ligatures w14:val="none"/>
        </w:rPr>
        <w:t>Vijlbrief</w:t>
      </w:r>
      <w:proofErr w:type="spellEnd"/>
      <w:r w:rsidRPr="00631019">
        <w:rPr>
          <w:rFonts w:eastAsia="Times New Roman" w:cstheme="minorHAnsi"/>
          <w:kern w:val="0"/>
          <w:sz w:val="24"/>
          <w:szCs w:val="24"/>
          <w:lang w:eastAsia="en-GB"/>
          <w14:ligatures w14:val="none"/>
        </w:rPr>
        <w:t xml:space="preserve">, R., Suominen, M.H. and Wijnhoven, H.A.H. (2021) ‘The cost effectiveness of personalized dietary advice to increase protein intake in older adults with lower habitual protein intake: a randomized controlled trial’, </w:t>
      </w:r>
      <w:r w:rsidRPr="00631019">
        <w:rPr>
          <w:rFonts w:eastAsia="Times New Roman" w:cstheme="minorHAnsi"/>
          <w:i/>
          <w:iCs/>
          <w:kern w:val="0"/>
          <w:sz w:val="24"/>
          <w:szCs w:val="24"/>
          <w:lang w:eastAsia="en-GB"/>
          <w14:ligatures w14:val="none"/>
        </w:rPr>
        <w:t>European Journal of Nutrition</w:t>
      </w:r>
      <w:r w:rsidRPr="00631019">
        <w:rPr>
          <w:rFonts w:eastAsia="Times New Roman" w:cstheme="minorHAnsi"/>
          <w:kern w:val="0"/>
          <w:sz w:val="24"/>
          <w:szCs w:val="24"/>
          <w:lang w:eastAsia="en-GB"/>
          <w14:ligatures w14:val="none"/>
        </w:rPr>
        <w:t xml:space="preserve">, 61(1), pp. 505–520. Available at: </w:t>
      </w:r>
      <w:hyperlink r:id="rId25" w:tgtFrame="_blank" w:history="1">
        <w:r w:rsidRPr="00631019">
          <w:rPr>
            <w:rFonts w:eastAsia="Times New Roman" w:cstheme="minorHAnsi"/>
            <w:kern w:val="0"/>
            <w:sz w:val="24"/>
            <w:szCs w:val="24"/>
            <w:lang w:eastAsia="en-GB"/>
            <w14:ligatures w14:val="none"/>
          </w:rPr>
          <w:t>https://doi.org/10.1007/s00394-021-02675-0</w:t>
        </w:r>
      </w:hyperlink>
      <w:r w:rsidRPr="00631019">
        <w:rPr>
          <w:rFonts w:eastAsia="Times New Roman" w:cstheme="minorHAnsi"/>
          <w:kern w:val="0"/>
          <w:sz w:val="24"/>
          <w:szCs w:val="24"/>
          <w:lang w:eastAsia="en-GB"/>
          <w14:ligatures w14:val="none"/>
        </w:rPr>
        <w:t xml:space="preserve"> (Accessed: 4 May 2026).</w:t>
      </w:r>
    </w:p>
    <w:p w14:paraId="560B5016" w14:textId="77777777" w:rsidR="000F2D8E" w:rsidRPr="00631019" w:rsidRDefault="000F2D8E" w:rsidP="000F2D8E">
      <w:pPr>
        <w:spacing w:before="100" w:beforeAutospacing="1" w:after="100" w:afterAutospacing="1" w:line="240" w:lineRule="auto"/>
        <w:rPr>
          <w:rFonts w:eastAsia="Times New Roman" w:cstheme="minorHAnsi"/>
          <w:kern w:val="0"/>
          <w:sz w:val="24"/>
          <w:szCs w:val="24"/>
          <w:lang w:eastAsia="en-GB"/>
          <w14:ligatures w14:val="none"/>
        </w:rPr>
      </w:pPr>
      <w:r w:rsidRPr="00631019">
        <w:rPr>
          <w:rFonts w:eastAsia="Times New Roman" w:cstheme="minorHAnsi"/>
          <w:kern w:val="0"/>
          <w:sz w:val="24"/>
          <w:szCs w:val="24"/>
          <w:lang w:eastAsia="en-GB"/>
          <w14:ligatures w14:val="none"/>
        </w:rPr>
        <w:t xml:space="preserve">Sibbald, K.R., Phelan, S.K., Beagan, B.L. and Pride, T.M. (2025) ‘Positioning positionality and reflecting on reflexivity: moving from performance to practice’, </w:t>
      </w:r>
      <w:r w:rsidRPr="00631019">
        <w:rPr>
          <w:rFonts w:eastAsia="Times New Roman" w:cstheme="minorHAnsi"/>
          <w:i/>
          <w:iCs/>
          <w:kern w:val="0"/>
          <w:sz w:val="24"/>
          <w:szCs w:val="24"/>
          <w:lang w:eastAsia="en-GB"/>
          <w14:ligatures w14:val="none"/>
        </w:rPr>
        <w:t>Qualitative Health Research</w:t>
      </w:r>
      <w:r w:rsidRPr="00631019">
        <w:rPr>
          <w:rFonts w:eastAsia="Times New Roman" w:cstheme="minorHAnsi"/>
          <w:kern w:val="0"/>
          <w:sz w:val="24"/>
          <w:szCs w:val="24"/>
          <w:lang w:eastAsia="en-GB"/>
          <w14:ligatures w14:val="none"/>
        </w:rPr>
        <w:t xml:space="preserve">, 35(1), pp. 1–12. Available at: </w:t>
      </w:r>
      <w:hyperlink r:id="rId26" w:tgtFrame="_blank" w:history="1">
        <w:r w:rsidRPr="00631019">
          <w:rPr>
            <w:rFonts w:eastAsia="Times New Roman" w:cstheme="minorHAnsi"/>
            <w:kern w:val="0"/>
            <w:sz w:val="24"/>
            <w:szCs w:val="24"/>
            <w:lang w:eastAsia="en-GB"/>
            <w14:ligatures w14:val="none"/>
          </w:rPr>
          <w:t>https://doi.org/10.1177/10497323241309230</w:t>
        </w:r>
      </w:hyperlink>
      <w:r w:rsidRPr="00631019">
        <w:rPr>
          <w:rFonts w:eastAsia="Times New Roman" w:cstheme="minorHAnsi"/>
          <w:kern w:val="0"/>
          <w:sz w:val="24"/>
          <w:szCs w:val="24"/>
          <w:lang w:eastAsia="en-GB"/>
          <w14:ligatures w14:val="none"/>
        </w:rPr>
        <w:t xml:space="preserve"> (Accessed: 5 May 2026).</w:t>
      </w:r>
    </w:p>
    <w:p w14:paraId="0B0C3D54" w14:textId="77777777" w:rsidR="000F2D8E" w:rsidRPr="00631019" w:rsidRDefault="000F2D8E" w:rsidP="000F2D8E">
      <w:pPr>
        <w:spacing w:before="100" w:beforeAutospacing="1" w:after="100" w:afterAutospacing="1" w:line="240" w:lineRule="auto"/>
        <w:rPr>
          <w:rFonts w:eastAsia="Times New Roman" w:cstheme="minorHAnsi"/>
          <w:kern w:val="0"/>
          <w:sz w:val="24"/>
          <w:szCs w:val="24"/>
          <w:lang w:eastAsia="en-GB"/>
          <w14:ligatures w14:val="none"/>
        </w:rPr>
      </w:pPr>
      <w:r w:rsidRPr="00631019">
        <w:rPr>
          <w:rFonts w:eastAsia="Times New Roman" w:cstheme="minorHAnsi"/>
          <w:kern w:val="0"/>
          <w:sz w:val="24"/>
          <w:szCs w:val="24"/>
          <w:lang w:eastAsia="en-GB"/>
          <w14:ligatures w14:val="none"/>
        </w:rPr>
        <w:t xml:space="preserve">Terry, G. and Hayfield, N. (2025) ‘Reflexive thematic analysis and men’s embodiment following injury or illness: a worked example’, </w:t>
      </w:r>
      <w:r w:rsidRPr="00631019">
        <w:rPr>
          <w:rFonts w:eastAsia="Times New Roman" w:cstheme="minorHAnsi"/>
          <w:i/>
          <w:iCs/>
          <w:kern w:val="0"/>
          <w:sz w:val="24"/>
          <w:szCs w:val="24"/>
          <w:lang w:eastAsia="en-GB"/>
          <w14:ligatures w14:val="none"/>
        </w:rPr>
        <w:t>Anatomical Sciences Education</w:t>
      </w:r>
      <w:r w:rsidRPr="00631019">
        <w:rPr>
          <w:rFonts w:eastAsia="Times New Roman" w:cstheme="minorHAnsi"/>
          <w:kern w:val="0"/>
          <w:sz w:val="24"/>
          <w:szCs w:val="24"/>
          <w:lang w:eastAsia="en-GB"/>
          <w14:ligatures w14:val="none"/>
        </w:rPr>
        <w:t xml:space="preserve">, 19(2), pp. 181–189. Available at: </w:t>
      </w:r>
      <w:hyperlink r:id="rId27" w:tgtFrame="_blank" w:history="1">
        <w:r w:rsidRPr="00631019">
          <w:rPr>
            <w:rFonts w:eastAsia="Times New Roman" w:cstheme="minorHAnsi"/>
            <w:kern w:val="0"/>
            <w:sz w:val="24"/>
            <w:szCs w:val="24"/>
            <w:lang w:eastAsia="en-GB"/>
            <w14:ligatures w14:val="none"/>
          </w:rPr>
          <w:t>https://doi.org/10.1002/ase.70058</w:t>
        </w:r>
      </w:hyperlink>
      <w:r w:rsidRPr="00631019">
        <w:rPr>
          <w:rFonts w:eastAsia="Times New Roman" w:cstheme="minorHAnsi"/>
          <w:kern w:val="0"/>
          <w:sz w:val="24"/>
          <w:szCs w:val="24"/>
          <w:lang w:eastAsia="en-GB"/>
          <w14:ligatures w14:val="none"/>
        </w:rPr>
        <w:t xml:space="preserve"> (Accessed: 5 May 2026).</w:t>
      </w:r>
    </w:p>
    <w:p w14:paraId="6F99711E" w14:textId="77777777" w:rsidR="000F2D8E" w:rsidRPr="00631019" w:rsidRDefault="000F2D8E" w:rsidP="000F2D8E">
      <w:pPr>
        <w:spacing w:before="100" w:beforeAutospacing="1" w:after="100" w:afterAutospacing="1" w:line="240" w:lineRule="auto"/>
        <w:rPr>
          <w:rFonts w:eastAsia="Times New Roman" w:cstheme="minorHAnsi"/>
          <w:kern w:val="0"/>
          <w:sz w:val="24"/>
          <w:szCs w:val="24"/>
          <w:lang w:eastAsia="en-GB"/>
          <w14:ligatures w14:val="none"/>
        </w:rPr>
      </w:pPr>
      <w:r w:rsidRPr="00631019">
        <w:rPr>
          <w:rFonts w:eastAsia="Times New Roman" w:cstheme="minorHAnsi"/>
          <w:kern w:val="0"/>
          <w:sz w:val="24"/>
          <w:szCs w:val="24"/>
          <w:lang w:eastAsia="en-GB"/>
          <w14:ligatures w14:val="none"/>
        </w:rPr>
        <w:t xml:space="preserve">Timonen, V., Foley, G. and Conlon, C. (2024) ‘Quality in qualitative research: a relational process’, </w:t>
      </w:r>
      <w:r w:rsidRPr="00631019">
        <w:rPr>
          <w:rFonts w:eastAsia="Times New Roman" w:cstheme="minorHAnsi"/>
          <w:i/>
          <w:iCs/>
          <w:kern w:val="0"/>
          <w:sz w:val="24"/>
          <w:szCs w:val="24"/>
          <w:lang w:eastAsia="en-GB"/>
          <w14:ligatures w14:val="none"/>
        </w:rPr>
        <w:t>Qualitative Research Journal</w:t>
      </w:r>
      <w:r w:rsidRPr="00631019">
        <w:rPr>
          <w:rFonts w:eastAsia="Times New Roman" w:cstheme="minorHAnsi"/>
          <w:kern w:val="0"/>
          <w:sz w:val="24"/>
          <w:szCs w:val="24"/>
          <w:lang w:eastAsia="en-GB"/>
          <w14:ligatures w14:val="none"/>
        </w:rPr>
        <w:t xml:space="preserve">, 24(1), pp. 1–15. Available at: </w:t>
      </w:r>
      <w:hyperlink r:id="rId28" w:tgtFrame="_blank" w:history="1">
        <w:r w:rsidRPr="00631019">
          <w:rPr>
            <w:rFonts w:eastAsia="Times New Roman" w:cstheme="minorHAnsi"/>
            <w:kern w:val="0"/>
            <w:sz w:val="24"/>
            <w:szCs w:val="24"/>
            <w:lang w:eastAsia="en-GB"/>
            <w14:ligatures w14:val="none"/>
          </w:rPr>
          <w:t>https://doi.org/10.1108/qrj-07-2024-0153</w:t>
        </w:r>
      </w:hyperlink>
      <w:r w:rsidRPr="00631019">
        <w:rPr>
          <w:rFonts w:eastAsia="Times New Roman" w:cstheme="minorHAnsi"/>
          <w:kern w:val="0"/>
          <w:sz w:val="24"/>
          <w:szCs w:val="24"/>
          <w:lang w:eastAsia="en-GB"/>
          <w14:ligatures w14:val="none"/>
        </w:rPr>
        <w:t xml:space="preserve"> (Accessed: 5 May 2026).</w:t>
      </w:r>
    </w:p>
    <w:p w14:paraId="6C956F2D" w14:textId="77777777" w:rsidR="000F2D8E" w:rsidRPr="00631019" w:rsidRDefault="000F2D8E" w:rsidP="000F2D8E">
      <w:pPr>
        <w:spacing w:before="100" w:beforeAutospacing="1" w:after="100" w:afterAutospacing="1" w:line="240" w:lineRule="auto"/>
        <w:rPr>
          <w:rFonts w:eastAsia="Times New Roman" w:cstheme="minorHAnsi"/>
          <w:kern w:val="0"/>
          <w:sz w:val="24"/>
          <w:szCs w:val="24"/>
          <w:lang w:eastAsia="en-GB"/>
          <w14:ligatures w14:val="none"/>
        </w:rPr>
      </w:pPr>
      <w:r w:rsidRPr="00631019">
        <w:rPr>
          <w:rFonts w:eastAsia="Times New Roman" w:cstheme="minorHAnsi"/>
          <w:kern w:val="0"/>
          <w:sz w:val="24"/>
          <w:szCs w:val="24"/>
          <w:lang w:eastAsia="en-GB"/>
          <w14:ligatures w14:val="none"/>
        </w:rPr>
        <w:t xml:space="preserve">Tu, S., Hao, X., Xu, S., Jin, X., Liao, W., Xia, H., Wang, S. and Sun, G. (2025) ‘Sarcopenia: current insights into molecular mechanisms, diagnostics, and emerging interventional approaches’, </w:t>
      </w:r>
      <w:r w:rsidRPr="00631019">
        <w:rPr>
          <w:rFonts w:eastAsia="Times New Roman" w:cstheme="minorHAnsi"/>
          <w:i/>
          <w:iCs/>
          <w:kern w:val="0"/>
          <w:sz w:val="24"/>
          <w:szCs w:val="24"/>
          <w:lang w:eastAsia="en-GB"/>
          <w14:ligatures w14:val="none"/>
        </w:rPr>
        <w:t>International Journal of Molecular Sciences</w:t>
      </w:r>
      <w:r w:rsidRPr="00631019">
        <w:rPr>
          <w:rFonts w:eastAsia="Times New Roman" w:cstheme="minorHAnsi"/>
          <w:kern w:val="0"/>
          <w:sz w:val="24"/>
          <w:szCs w:val="24"/>
          <w:lang w:eastAsia="en-GB"/>
          <w14:ligatures w14:val="none"/>
        </w:rPr>
        <w:t xml:space="preserve">, 26(14), article 6740. Available at: </w:t>
      </w:r>
      <w:hyperlink r:id="rId29" w:tgtFrame="_blank" w:history="1">
        <w:r w:rsidRPr="00631019">
          <w:rPr>
            <w:rFonts w:eastAsia="Times New Roman" w:cstheme="minorHAnsi"/>
            <w:kern w:val="0"/>
            <w:sz w:val="24"/>
            <w:szCs w:val="24"/>
            <w:lang w:eastAsia="en-GB"/>
            <w14:ligatures w14:val="none"/>
          </w:rPr>
          <w:t>https://doi.org/10.3390/ijms26146740</w:t>
        </w:r>
      </w:hyperlink>
      <w:r w:rsidRPr="00631019">
        <w:rPr>
          <w:rFonts w:eastAsia="Times New Roman" w:cstheme="minorHAnsi"/>
          <w:kern w:val="0"/>
          <w:sz w:val="24"/>
          <w:szCs w:val="24"/>
          <w:lang w:eastAsia="en-GB"/>
          <w14:ligatures w14:val="none"/>
        </w:rPr>
        <w:t xml:space="preserve"> (Accessed: 5 May 2026).</w:t>
      </w:r>
    </w:p>
    <w:p w14:paraId="7CDADD26" w14:textId="46DCD249" w:rsidR="00BE2DA2" w:rsidRPr="00690763" w:rsidRDefault="000F2D8E" w:rsidP="000F2D8E">
      <w:pPr>
        <w:spacing w:before="100" w:beforeAutospacing="1" w:after="100" w:afterAutospacing="1" w:line="240" w:lineRule="auto"/>
        <w:rPr>
          <w:rFonts w:eastAsia="Times New Roman" w:cstheme="minorHAnsi"/>
          <w:kern w:val="0"/>
          <w:sz w:val="24"/>
          <w:szCs w:val="24"/>
          <w:lang w:eastAsia="en-GB"/>
          <w14:ligatures w14:val="none"/>
        </w:rPr>
      </w:pPr>
      <w:r w:rsidRPr="00631019">
        <w:rPr>
          <w:rFonts w:eastAsia="Times New Roman" w:cstheme="minorHAnsi"/>
          <w:kern w:val="0"/>
          <w:sz w:val="24"/>
          <w:szCs w:val="24"/>
          <w:lang w:eastAsia="en-GB"/>
          <w14:ligatures w14:val="none"/>
        </w:rPr>
        <w:t xml:space="preserve">Turyahikayo, E. (2021) ‘Philosophical paradigms as the bases for knowledge management research and practice’, </w:t>
      </w:r>
      <w:r w:rsidRPr="00631019">
        <w:rPr>
          <w:rFonts w:eastAsia="Times New Roman" w:cstheme="minorHAnsi"/>
          <w:i/>
          <w:iCs/>
          <w:kern w:val="0"/>
          <w:sz w:val="24"/>
          <w:szCs w:val="24"/>
          <w:lang w:eastAsia="en-GB"/>
          <w14:ligatures w14:val="none"/>
        </w:rPr>
        <w:t>Knowledge Management &amp; E-Learning: An International Journal</w:t>
      </w:r>
      <w:r w:rsidRPr="00631019">
        <w:rPr>
          <w:rFonts w:eastAsia="Times New Roman" w:cstheme="minorHAnsi"/>
          <w:kern w:val="0"/>
          <w:sz w:val="24"/>
          <w:szCs w:val="24"/>
          <w:lang w:eastAsia="en-GB"/>
          <w14:ligatures w14:val="none"/>
        </w:rPr>
        <w:t xml:space="preserve">, 13(2), pp. 209–224. Available at: </w:t>
      </w:r>
      <w:hyperlink r:id="rId30" w:tgtFrame="_blank" w:history="1">
        <w:r w:rsidRPr="00631019">
          <w:rPr>
            <w:rFonts w:eastAsia="Times New Roman" w:cstheme="minorHAnsi"/>
            <w:kern w:val="0"/>
            <w:sz w:val="24"/>
            <w:szCs w:val="24"/>
            <w:lang w:eastAsia="en-GB"/>
            <w14:ligatures w14:val="none"/>
          </w:rPr>
          <w:t>https://doi.org/10.34105/j.kmel.2021.13.012</w:t>
        </w:r>
      </w:hyperlink>
      <w:r w:rsidRPr="00631019">
        <w:rPr>
          <w:rFonts w:eastAsia="Times New Roman" w:cstheme="minorHAnsi"/>
          <w:kern w:val="0"/>
          <w:sz w:val="24"/>
          <w:szCs w:val="24"/>
          <w:lang w:eastAsia="en-GB"/>
          <w14:ligatures w14:val="none"/>
        </w:rPr>
        <w:t xml:space="preserve"> (Accessed: 5 May 2026).</w:t>
      </w:r>
    </w:p>
    <w:sectPr w:rsidR="00BE2DA2" w:rsidRPr="00690763">
      <w:headerReference w:type="even" r:id="rId31"/>
      <w:headerReference w:type="default" r:id="rId32"/>
      <w:footerReference w:type="even" r:id="rId33"/>
      <w:footerReference w:type="default" r:id="rId34"/>
      <w:headerReference w:type="first" r:id="rId35"/>
      <w:footerReference w:type="firs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42F168" w14:textId="77777777" w:rsidR="00806BE6" w:rsidRDefault="00806BE6" w:rsidP="00E95771">
      <w:pPr>
        <w:spacing w:after="0" w:line="240" w:lineRule="auto"/>
      </w:pPr>
      <w:r>
        <w:separator/>
      </w:r>
    </w:p>
  </w:endnote>
  <w:endnote w:type="continuationSeparator" w:id="0">
    <w:p w14:paraId="250E4F62" w14:textId="77777777" w:rsidR="00806BE6" w:rsidRDefault="00806BE6" w:rsidP="00E957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FC6DF7" w14:textId="77777777" w:rsidR="00E95771" w:rsidRDefault="00E957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797F11" w14:textId="77777777" w:rsidR="00E95771" w:rsidRDefault="00E9577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5BCF81" w14:textId="77777777" w:rsidR="00E95771" w:rsidRDefault="00E957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C46124" w14:textId="77777777" w:rsidR="00806BE6" w:rsidRDefault="00806BE6" w:rsidP="00E95771">
      <w:pPr>
        <w:spacing w:after="0" w:line="240" w:lineRule="auto"/>
      </w:pPr>
      <w:r>
        <w:separator/>
      </w:r>
    </w:p>
  </w:footnote>
  <w:footnote w:type="continuationSeparator" w:id="0">
    <w:p w14:paraId="6D81E9B4" w14:textId="77777777" w:rsidR="00806BE6" w:rsidRDefault="00806BE6" w:rsidP="00E957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15D9DE" w14:textId="77777777" w:rsidR="00E95771" w:rsidRDefault="00E9577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4354128"/>
      <w:docPartObj>
        <w:docPartGallery w:val="Page Numbers (Top of Page)"/>
        <w:docPartUnique/>
      </w:docPartObj>
    </w:sdtPr>
    <w:sdtContent>
      <w:p w14:paraId="4534351F" w14:textId="73BB0A41" w:rsidR="00E95771" w:rsidRDefault="00E95771">
        <w:pPr>
          <w:pStyle w:val="Header"/>
          <w:jc w:val="right"/>
        </w:pPr>
        <w:r>
          <w:fldChar w:fldCharType="begin"/>
        </w:r>
        <w:r>
          <w:instrText>PAGE   \* MERGEFORMAT</w:instrText>
        </w:r>
        <w:r>
          <w:fldChar w:fldCharType="separate"/>
        </w:r>
        <w:r>
          <w:t>2</w:t>
        </w:r>
        <w:r>
          <w:fldChar w:fldCharType="end"/>
        </w:r>
      </w:p>
    </w:sdtContent>
  </w:sdt>
  <w:p w14:paraId="7AA2F741" w14:textId="77777777" w:rsidR="00E95771" w:rsidRDefault="00E9577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6FD5F1" w14:textId="77777777" w:rsidR="00E95771" w:rsidRDefault="00E9577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3FC"/>
    <w:rsid w:val="000771B8"/>
    <w:rsid w:val="00092C50"/>
    <w:rsid w:val="000F2D8E"/>
    <w:rsid w:val="00100BB3"/>
    <w:rsid w:val="001C5D86"/>
    <w:rsid w:val="001D381A"/>
    <w:rsid w:val="002853CC"/>
    <w:rsid w:val="002A48FF"/>
    <w:rsid w:val="00340F8F"/>
    <w:rsid w:val="003F5866"/>
    <w:rsid w:val="004C55DE"/>
    <w:rsid w:val="0054695E"/>
    <w:rsid w:val="00602B63"/>
    <w:rsid w:val="00644EB5"/>
    <w:rsid w:val="00681025"/>
    <w:rsid w:val="00690763"/>
    <w:rsid w:val="006C6E9C"/>
    <w:rsid w:val="00737B0D"/>
    <w:rsid w:val="007C2298"/>
    <w:rsid w:val="007F086F"/>
    <w:rsid w:val="00806BE6"/>
    <w:rsid w:val="008F6133"/>
    <w:rsid w:val="00976212"/>
    <w:rsid w:val="00A02D0F"/>
    <w:rsid w:val="00A55480"/>
    <w:rsid w:val="00A81376"/>
    <w:rsid w:val="00B15003"/>
    <w:rsid w:val="00BE2DA2"/>
    <w:rsid w:val="00BF3B44"/>
    <w:rsid w:val="00C4752F"/>
    <w:rsid w:val="00C95889"/>
    <w:rsid w:val="00D307CB"/>
    <w:rsid w:val="00D35696"/>
    <w:rsid w:val="00DB1E47"/>
    <w:rsid w:val="00DE6EC9"/>
    <w:rsid w:val="00E0536D"/>
    <w:rsid w:val="00E563FC"/>
    <w:rsid w:val="00E6441A"/>
    <w:rsid w:val="00E95771"/>
    <w:rsid w:val="00FD6180"/>
    <w:rsid w:val="00FE6A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D2906"/>
  <w15:chartTrackingRefBased/>
  <w15:docId w15:val="{7A00C82F-4926-44AD-9BCE-D17EA0CE72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63F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563F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563F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563F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563F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563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63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63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63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63F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563F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563F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563F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563F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563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63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63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63FC"/>
    <w:rPr>
      <w:rFonts w:eastAsiaTheme="majorEastAsia" w:cstheme="majorBidi"/>
      <w:color w:val="272727" w:themeColor="text1" w:themeTint="D8"/>
    </w:rPr>
  </w:style>
  <w:style w:type="paragraph" w:styleId="Title">
    <w:name w:val="Title"/>
    <w:basedOn w:val="Normal"/>
    <w:next w:val="Normal"/>
    <w:link w:val="TitleChar"/>
    <w:uiPriority w:val="10"/>
    <w:qFormat/>
    <w:rsid w:val="00E563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63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63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63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63FC"/>
    <w:pPr>
      <w:spacing w:before="160"/>
      <w:jc w:val="center"/>
    </w:pPr>
    <w:rPr>
      <w:i/>
      <w:iCs/>
      <w:color w:val="404040" w:themeColor="text1" w:themeTint="BF"/>
    </w:rPr>
  </w:style>
  <w:style w:type="character" w:customStyle="1" w:styleId="QuoteChar">
    <w:name w:val="Quote Char"/>
    <w:basedOn w:val="DefaultParagraphFont"/>
    <w:link w:val="Quote"/>
    <w:uiPriority w:val="29"/>
    <w:rsid w:val="00E563FC"/>
    <w:rPr>
      <w:i/>
      <w:iCs/>
      <w:color w:val="404040" w:themeColor="text1" w:themeTint="BF"/>
    </w:rPr>
  </w:style>
  <w:style w:type="paragraph" w:styleId="ListParagraph">
    <w:name w:val="List Paragraph"/>
    <w:basedOn w:val="Normal"/>
    <w:uiPriority w:val="34"/>
    <w:qFormat/>
    <w:rsid w:val="00E563FC"/>
    <w:pPr>
      <w:ind w:left="720"/>
      <w:contextualSpacing/>
    </w:pPr>
  </w:style>
  <w:style w:type="character" w:styleId="IntenseEmphasis">
    <w:name w:val="Intense Emphasis"/>
    <w:basedOn w:val="DefaultParagraphFont"/>
    <w:uiPriority w:val="21"/>
    <w:qFormat/>
    <w:rsid w:val="00E563FC"/>
    <w:rPr>
      <w:i/>
      <w:iCs/>
      <w:color w:val="2F5496" w:themeColor="accent1" w:themeShade="BF"/>
    </w:rPr>
  </w:style>
  <w:style w:type="paragraph" w:styleId="IntenseQuote">
    <w:name w:val="Intense Quote"/>
    <w:basedOn w:val="Normal"/>
    <w:next w:val="Normal"/>
    <w:link w:val="IntenseQuoteChar"/>
    <w:uiPriority w:val="30"/>
    <w:qFormat/>
    <w:rsid w:val="00E563F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563FC"/>
    <w:rPr>
      <w:i/>
      <w:iCs/>
      <w:color w:val="2F5496" w:themeColor="accent1" w:themeShade="BF"/>
    </w:rPr>
  </w:style>
  <w:style w:type="character" w:styleId="IntenseReference">
    <w:name w:val="Intense Reference"/>
    <w:basedOn w:val="DefaultParagraphFont"/>
    <w:uiPriority w:val="32"/>
    <w:qFormat/>
    <w:rsid w:val="00E563FC"/>
    <w:rPr>
      <w:b/>
      <w:bCs/>
      <w:smallCaps/>
      <w:color w:val="2F5496" w:themeColor="accent1" w:themeShade="BF"/>
      <w:spacing w:val="5"/>
    </w:rPr>
  </w:style>
  <w:style w:type="character" w:styleId="Emphasis">
    <w:name w:val="Emphasis"/>
    <w:basedOn w:val="DefaultParagraphFont"/>
    <w:uiPriority w:val="20"/>
    <w:qFormat/>
    <w:rsid w:val="00E563FC"/>
    <w:rPr>
      <w:i/>
      <w:iCs/>
    </w:rPr>
  </w:style>
  <w:style w:type="character" w:styleId="Strong">
    <w:name w:val="Strong"/>
    <w:basedOn w:val="DefaultParagraphFont"/>
    <w:uiPriority w:val="22"/>
    <w:qFormat/>
    <w:rsid w:val="00E563FC"/>
    <w:rPr>
      <w:b/>
      <w:bCs/>
    </w:rPr>
  </w:style>
  <w:style w:type="character" w:styleId="PlaceholderText">
    <w:name w:val="Placeholder Text"/>
    <w:basedOn w:val="DefaultParagraphFont"/>
    <w:uiPriority w:val="99"/>
    <w:semiHidden/>
    <w:rsid w:val="00E563FC"/>
    <w:rPr>
      <w:color w:val="666666"/>
    </w:rPr>
  </w:style>
  <w:style w:type="paragraph" w:styleId="NormalWeb">
    <w:name w:val="Normal (Web)"/>
    <w:basedOn w:val="Normal"/>
    <w:uiPriority w:val="99"/>
    <w:unhideWhenUsed/>
    <w:rsid w:val="00BF3B44"/>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Header">
    <w:name w:val="header"/>
    <w:basedOn w:val="Normal"/>
    <w:link w:val="HeaderChar"/>
    <w:uiPriority w:val="99"/>
    <w:unhideWhenUsed/>
    <w:rsid w:val="00E957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5771"/>
  </w:style>
  <w:style w:type="paragraph" w:styleId="Footer">
    <w:name w:val="footer"/>
    <w:basedOn w:val="Normal"/>
    <w:link w:val="FooterChar"/>
    <w:uiPriority w:val="99"/>
    <w:unhideWhenUsed/>
    <w:rsid w:val="00E957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57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90/ijms27031340" TargetMode="External"/><Relationship Id="rId18" Type="http://schemas.openxmlformats.org/officeDocument/2006/relationships/hyperlink" Target="https://doi.org/10.47263/jasem.9(2)01" TargetMode="External"/><Relationship Id="rId26" Type="http://schemas.openxmlformats.org/officeDocument/2006/relationships/hyperlink" Target="https://doi.org/10.1177/10497323241309230" TargetMode="External"/><Relationship Id="rId21" Type="http://schemas.openxmlformats.org/officeDocument/2006/relationships/hyperlink" Target="https://doi.org/10.3389/fnut.2021.615849" TargetMode="External"/><Relationship Id="rId34" Type="http://schemas.openxmlformats.org/officeDocument/2006/relationships/footer" Target="footer2.xml"/><Relationship Id="rId7" Type="http://schemas.openxmlformats.org/officeDocument/2006/relationships/hyperlink" Target="https://doi.org/10.1080/1743727x.2023.2290185" TargetMode="External"/><Relationship Id="rId12" Type="http://schemas.openxmlformats.org/officeDocument/2006/relationships/hyperlink" Target="https://doi.org/10.1007/s11357-025-01839-8" TargetMode="External"/><Relationship Id="rId17" Type="http://schemas.openxmlformats.org/officeDocument/2006/relationships/hyperlink" Target="https://doi.org/10.1519/jsc.0000000000004789" TargetMode="External"/><Relationship Id="rId25" Type="http://schemas.openxmlformats.org/officeDocument/2006/relationships/hyperlink" Target="https://doi.org/10.1007/s00394-021-02675-0" TargetMode="External"/><Relationship Id="rId33" Type="http://schemas.openxmlformats.org/officeDocument/2006/relationships/footer" Target="footer1.xm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doi.org/10.1177/03128962241286258" TargetMode="External"/><Relationship Id="rId20" Type="http://schemas.openxmlformats.org/officeDocument/2006/relationships/hyperlink" Target="https://doi.org/10.1371/journal.pone.0323575" TargetMode="External"/><Relationship Id="rId29" Type="http://schemas.openxmlformats.org/officeDocument/2006/relationships/hyperlink" Target="https://doi.org/10.3390/ijms26146740" TargetMode="External"/><Relationship Id="rId1" Type="http://schemas.openxmlformats.org/officeDocument/2006/relationships/styles" Target="styles.xml"/><Relationship Id="rId6" Type="http://schemas.openxmlformats.org/officeDocument/2006/relationships/hyperlink" Target="https://doi.org/10.1191/1478088706qp063oa" TargetMode="External"/><Relationship Id="rId11" Type="http://schemas.openxmlformats.org/officeDocument/2006/relationships/hyperlink" Target="https://doi.org/10.1016/j.clnu.2025.106546" TargetMode="External"/><Relationship Id="rId24" Type="http://schemas.openxmlformats.org/officeDocument/2006/relationships/hyperlink" Target="https://doi.org/10.3961/jpmph.22.451" TargetMode="External"/><Relationship Id="rId32" Type="http://schemas.openxmlformats.org/officeDocument/2006/relationships/header" Target="header2.xml"/><Relationship Id="rId37"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doi.org/10.3389/fspor.2022.852230" TargetMode="External"/><Relationship Id="rId23" Type="http://schemas.openxmlformats.org/officeDocument/2006/relationships/hyperlink" Target="https://doi.org/10.3389/fphys.2021.770455" TargetMode="External"/><Relationship Id="rId28" Type="http://schemas.openxmlformats.org/officeDocument/2006/relationships/hyperlink" Target="https://doi.org/10.1108/qrj-07-2024-0153" TargetMode="External"/><Relationship Id="rId36" Type="http://schemas.openxmlformats.org/officeDocument/2006/relationships/footer" Target="footer3.xml"/><Relationship Id="rId10" Type="http://schemas.openxmlformats.org/officeDocument/2006/relationships/hyperlink" Target="https://doi.org/10.3390/nu17172792" TargetMode="External"/><Relationship Id="rId19" Type="http://schemas.openxmlformats.org/officeDocument/2006/relationships/hyperlink" Target="https://doi.org/10.1111/tct.70145" TargetMode="External"/><Relationship Id="rId31"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doi.org/10.1080/1750984x.2022.2039749" TargetMode="External"/><Relationship Id="rId14" Type="http://schemas.openxmlformats.org/officeDocument/2006/relationships/hyperlink" Target="https://doi.org/10.1080/15502783.2022.2086017" TargetMode="External"/><Relationship Id="rId22" Type="http://schemas.openxmlformats.org/officeDocument/2006/relationships/hyperlink" Target="https://doi.org/10.46743/2160-3715/2024.7632" TargetMode="External"/><Relationship Id="rId27" Type="http://schemas.openxmlformats.org/officeDocument/2006/relationships/hyperlink" Target="https://doi.org/10.1002/ase.70058" TargetMode="External"/><Relationship Id="rId30" Type="http://schemas.openxmlformats.org/officeDocument/2006/relationships/hyperlink" Target="https://doi.org/10.34105/j.kmel.2021.13.012" TargetMode="External"/><Relationship Id="rId35" Type="http://schemas.openxmlformats.org/officeDocument/2006/relationships/header" Target="header3.xml"/><Relationship Id="rId8" Type="http://schemas.openxmlformats.org/officeDocument/2006/relationships/hyperlink" Target="https://doi.org/10.3389/fpsyg.2025.1578198"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949"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42D1F06-E270-47C2-81DC-BE725B33620C}">
  <we:reference id="wa200001361" version="2.129.3.0" store="en-GB" storeType="OMEX"/>
  <we:alternateReferences>
    <we:reference id="WA200001361" version="2.129.3.0" store="" storeType="OMEX"/>
  </we:alternateReferences>
  <we:properties>
    <we:property name="paperpal-document-id" value="&quot;ff9b9c6e-b1f5-478b-9e0a-3aaabc190d43&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0</TotalTime>
  <Pages>14</Pages>
  <Words>4492</Words>
  <Characters>30146</Characters>
  <Application>Microsoft Office Word</Application>
  <DocSecurity>0</DocSecurity>
  <Lines>436</Lines>
  <Paragraphs>83</Paragraphs>
  <ScaleCrop>false</ScaleCrop>
  <Company/>
  <LinksUpToDate>false</LinksUpToDate>
  <CharactersWithSpaces>34555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Watson</dc:creator>
  <cp:keywords/>
  <dc:description/>
  <cp:lastModifiedBy>Michael Watson</cp:lastModifiedBy>
  <cp:revision>9</cp:revision>
  <dcterms:created xsi:type="dcterms:W3CDTF">2026-05-07T12:16:00Z</dcterms:created>
  <dcterms:modified xsi:type="dcterms:W3CDTF">2026-05-09T11:45:00Z</dcterms:modified>
</cp:coreProperties>
</file>