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82B19C6" w:rsidP="41ADCD61" w:rsidRDefault="282B19C6" w14:paraId="7421E8E9" w14:textId="5B0175E3" w14:noSpellErr="1">
      <w:pPr>
        <w:rPr>
          <w:i w:val="0"/>
          <w:iCs w:val="0"/>
          <w:u w:val="single"/>
        </w:rPr>
      </w:pPr>
      <w:r w:rsidRPr="41ADCD61" w:rsidR="41ADCD61">
        <w:rPr>
          <w:i w:val="0"/>
          <w:iCs w:val="0"/>
          <w:u w:val="single"/>
        </w:rPr>
        <w:t>Yom Kippur</w:t>
      </w:r>
      <w:r w:rsidRPr="41ADCD61" w:rsidR="41ADCD61">
        <w:rPr>
          <w:i w:val="0"/>
          <w:iCs w:val="0"/>
        </w:rPr>
        <w:t xml:space="preserve"> </w:t>
      </w:r>
    </w:p>
    <w:p w:rsidR="282B19C6" w:rsidP="282B19C6" w:rsidRDefault="282B19C6" w14:paraId="3DFA5541" w14:textId="37FDBD04">
      <w:pPr>
        <w:pStyle w:val="Normal"/>
      </w:pPr>
      <w:r w:rsidR="282B19C6">
        <w:rPr/>
        <w:t>For many within Judaism, Yom Kippur is regarded as the most holy and sacred holiday on the Jewish calendar</w:t>
      </w:r>
      <w:r w:rsidRPr="282B19C6">
        <w:rPr>
          <w:rStyle w:val="FootnoteReference"/>
        </w:rPr>
        <w:footnoteReference w:id="15644"/>
      </w:r>
      <w:r w:rsidR="282B19C6">
        <w:rPr/>
        <w:t xml:space="preserve">, and </w:t>
      </w:r>
      <w:r w:rsidR="282B19C6">
        <w:rPr/>
        <w:t xml:space="preserve">is </w:t>
      </w:r>
      <w:r w:rsidR="282B19C6">
        <w:rPr/>
        <w:t>observed</w:t>
      </w:r>
      <w:r w:rsidR="282B19C6">
        <w:rPr/>
        <w:t xml:space="preserve"> on the 10</w:t>
      </w:r>
      <w:r w:rsidRPr="282B19C6" w:rsidR="282B19C6">
        <w:rPr>
          <w:vertAlign w:val="superscript"/>
        </w:rPr>
        <w:t>th</w:t>
      </w:r>
      <w:r w:rsidR="282B19C6">
        <w:rPr/>
        <w:t xml:space="preserve"> day of</w:t>
      </w:r>
      <w:r w:rsidR="282B19C6">
        <w:rPr/>
        <w:t xml:space="preserve"> the</w:t>
      </w:r>
      <w:r w:rsidRPr="2D176A4A" w:rsidR="282B19C6">
        <w:rPr/>
        <w:t xml:space="preserve"> </w:t>
      </w:r>
      <w:r w:rsidR="282B19C6">
        <w:rPr/>
        <w:t xml:space="preserve">Hebrew month of </w:t>
      </w:r>
      <w:proofErr w:type="spellStart"/>
      <w:r w:rsidR="282B19C6">
        <w:rPr/>
        <w:t>Tishrei</w:t>
      </w:r>
      <w:proofErr w:type="spellEnd"/>
      <w:r w:rsidRPr="2D176A4A" w:rsidR="282B19C6">
        <w:rPr/>
        <w:t>,</w:t>
      </w:r>
      <w:r w:rsidRPr="282B19C6">
        <w:rPr>
          <w:rStyle w:val="FootnoteReference"/>
        </w:rPr>
        <w:footnoteReference w:id="4375"/>
      </w:r>
      <w:r w:rsidR="282B19C6">
        <w:rPr/>
        <w:t xml:space="preserve"> which falls around the months of September and October.</w:t>
      </w:r>
      <w:r w:rsidRPr="282B19C6">
        <w:rPr>
          <w:rStyle w:val="FootnoteReference"/>
        </w:rPr>
        <w:footnoteReference w:id="13854"/>
      </w:r>
      <w:r w:rsidR="282B19C6">
        <w:rPr/>
        <w:t xml:space="preserve"> Yom</w:t>
      </w:r>
      <w:r w:rsidR="282B19C6">
        <w:rPr/>
        <w:t xml:space="preserve"> Kippur can be translated to 'day of atonement', and is therefore a day where many Jews will seek to make amends with those whom they have wronged and also forgiveness for our sins from God. It is the culmination of the days of repentance, or days of awe, which is a period of </w:t>
      </w:r>
      <w:r w:rsidR="282B19C6">
        <w:rPr/>
        <w:t xml:space="preserve">introspection, where we must </w:t>
      </w:r>
      <w:r w:rsidR="282B19C6">
        <w:rPr/>
        <w:t xml:space="preserve">take into consideration what we </w:t>
      </w:r>
      <w:r w:rsidR="282B19C6">
        <w:rPr/>
        <w:t>have done that may be deemed sinful in order to repent and be forgiven by God on Yom Kippur itself.</w:t>
      </w:r>
      <w:r w:rsidRPr="282B19C6">
        <w:rPr>
          <w:rStyle w:val="FootnoteReference"/>
        </w:rPr>
        <w:footnoteReference w:id="12162"/>
      </w:r>
      <w:r w:rsidRPr="2D176A4A" w:rsidR="282B19C6">
        <w:rPr/>
        <w:t xml:space="preserve"> </w:t>
      </w:r>
      <w:r w:rsidRPr="282B19C6">
        <w:rPr>
          <w:rStyle w:val="FootnoteReference"/>
        </w:rPr>
        <w:footnoteReference w:id="28335"/>
      </w:r>
    </w:p>
    <w:p w:rsidR="282B19C6" w:rsidP="41ADCD61" w:rsidRDefault="282B19C6" w14:noSpellErr="1" w14:paraId="6AB77571" w14:textId="4CB17A3A">
      <w:pPr>
        <w:pStyle w:val="Normal"/>
        <w:jc w:val="both"/>
        <w:rPr>
          <w:rFonts w:ascii="Calibri" w:hAnsi="Calibri" w:eastAsia="Calibri" w:cs="Calibri" w:asciiTheme="minorAscii" w:hAnsiTheme="minorAscii" w:eastAsiaTheme="minorAscii" w:cstheme="minorAscii"/>
          <w:noProof w:val="0"/>
          <w:sz w:val="22"/>
          <w:szCs w:val="22"/>
          <w:lang w:val="en-US"/>
        </w:rPr>
      </w:pPr>
      <w:r w:rsidR="41ADCD61">
        <w:rPr/>
        <w:t>Yom Kippur and the Jewish belief that on this day atonement will be made can be rooted in the Torah, and this can be seen in Leviticus 16:29-30, where it states tha</w:t>
      </w:r>
      <w:r w:rsidRPr="41ADCD61" w:rsidR="41ADCD61">
        <w:rPr>
          <w:rFonts w:ascii="Calibri" w:hAnsi="Calibri" w:eastAsia="Calibri" w:cs="Calibri" w:asciiTheme="minorAscii" w:hAnsiTheme="minorAscii" w:eastAsiaTheme="minorAscii" w:cstheme="minorAscii"/>
          <w:sz w:val="22"/>
          <w:szCs w:val="22"/>
        </w:rPr>
        <w:t>t '</w:t>
      </w:r>
      <w:r w:rsidRPr="41ADCD61" w:rsidR="41ADCD61">
        <w:rPr>
          <w:rFonts w:ascii="Calibri" w:hAnsi="Calibri" w:eastAsia="Calibri" w:cs="Calibri"/>
          <w:noProof w:val="0"/>
          <w:sz w:val="24"/>
          <w:szCs w:val="24"/>
          <w:lang w:val="en-US"/>
        </w:rPr>
        <w:t>I</w:t>
      </w:r>
      <w:r w:rsidRPr="41ADCD61" w:rsidR="41ADCD61">
        <w:rPr>
          <w:rFonts w:ascii="Calibri" w:hAnsi="Calibri" w:eastAsia="Calibri" w:cs="Calibri" w:asciiTheme="minorAscii" w:hAnsiTheme="minorAscii" w:eastAsiaTheme="minorAscii" w:cstheme="minorAscii"/>
          <w:noProof w:val="0"/>
          <w:sz w:val="22"/>
          <w:szCs w:val="22"/>
          <w:lang w:val="en-US"/>
        </w:rPr>
        <w:t xml:space="preserve">n the seventh month, on the tenth day of the month, you shall deny yourselves, </w:t>
      </w:r>
      <w:r w:rsidRPr="41ADCD61" w:rsidR="41ADCD61">
        <w:rPr>
          <w:rFonts w:ascii="Calibri" w:hAnsi="Calibri" w:eastAsia="Calibri" w:cs="Calibri" w:asciiTheme="minorAscii" w:hAnsiTheme="minorAscii" w:eastAsiaTheme="minorAscii" w:cstheme="minorAscii"/>
          <w:noProof w:val="0"/>
          <w:sz w:val="22"/>
          <w:szCs w:val="22"/>
          <w:lang w:val="en-US"/>
        </w:rPr>
        <w:t xml:space="preserve">and shall do no work, neither the citizen nor the alien who resides among you. </w:t>
      </w:r>
      <w:r w:rsidRPr="41ADCD61" w:rsidR="41ADCD61">
        <w:rPr>
          <w:rFonts w:ascii="Calibri" w:hAnsi="Calibri" w:eastAsia="Calibri" w:cs="Calibri" w:asciiTheme="minorAscii" w:hAnsiTheme="minorAscii" w:eastAsiaTheme="minorAscii" w:cstheme="minorAscii"/>
          <w:noProof w:val="0"/>
          <w:sz w:val="22"/>
          <w:szCs w:val="22"/>
          <w:lang w:val="en-US"/>
        </w:rPr>
        <w:t xml:space="preserve">For on this day atonement shall be made for you, to cleanse you; from all your sins you shall be clean before the Lord'. Here we can see that a clear set of </w:t>
      </w:r>
      <w:r w:rsidRPr="41ADCD61" w:rsidR="41ADCD61">
        <w:rPr>
          <w:rFonts w:ascii="Calibri" w:hAnsi="Calibri" w:eastAsia="Calibri" w:cs="Calibri" w:asciiTheme="minorAscii" w:hAnsiTheme="minorAscii" w:eastAsiaTheme="minorAscii" w:cstheme="minorAscii"/>
          <w:noProof w:val="0"/>
          <w:sz w:val="22"/>
          <w:szCs w:val="22"/>
          <w:lang w:val="en-US"/>
        </w:rPr>
        <w:t xml:space="preserve">instructions are made to us on when Yom Kippur should be </w:t>
      </w:r>
      <w:r w:rsidRPr="41ADCD61" w:rsidR="41ADCD61">
        <w:rPr>
          <w:rFonts w:ascii="Calibri" w:hAnsi="Calibri" w:eastAsia="Calibri" w:cs="Calibri" w:asciiTheme="minorAscii" w:hAnsiTheme="minorAscii" w:eastAsiaTheme="minorAscii" w:cstheme="minorAscii"/>
          <w:noProof w:val="0"/>
          <w:sz w:val="22"/>
          <w:szCs w:val="22"/>
          <w:lang w:val="en-US"/>
        </w:rPr>
        <w:t>obser</w:t>
      </w:r>
      <w:r w:rsidRPr="41ADCD61" w:rsidR="41ADCD61">
        <w:rPr>
          <w:rFonts w:ascii="Calibri" w:hAnsi="Calibri" w:eastAsia="Calibri" w:cs="Calibri" w:asciiTheme="minorAscii" w:hAnsiTheme="minorAscii" w:eastAsiaTheme="minorAscii" w:cstheme="minorAscii"/>
          <w:noProof w:val="0"/>
          <w:sz w:val="22"/>
          <w:szCs w:val="22"/>
          <w:lang w:val="en-US"/>
        </w:rPr>
        <w:t>ved, how it should be observed and also the results of this.</w:t>
      </w:r>
    </w:p>
    <w:p w:rsidR="282B19C6" w:rsidP="2D176A4A" w:rsidRDefault="282B19C6" w14:paraId="18F547BA" w14:textId="1089D12E">
      <w:pPr>
        <w:pStyle w:val="Normal"/>
        <w:jc w:val="both"/>
        <w:rPr>
          <w:rFonts w:ascii="Calibri" w:hAnsi="Calibri" w:eastAsia="Calibri" w:cs="Calibri" w:asciiTheme="minorAscii" w:hAnsiTheme="minorAscii" w:eastAsiaTheme="minorAscii" w:cstheme="minorAscii"/>
          <w:noProof w:val="0"/>
          <w:sz w:val="22"/>
          <w:szCs w:val="22"/>
          <w:lang w:val="en-US"/>
        </w:rPr>
      </w:pPr>
      <w:r w:rsidRPr="2D176A4A" w:rsidR="2D176A4A">
        <w:rPr>
          <w:rFonts w:ascii="Calibri" w:hAnsi="Calibri" w:eastAsia="Calibri" w:cs="Calibri" w:asciiTheme="minorAscii" w:hAnsiTheme="minorAscii" w:eastAsiaTheme="minorAscii" w:cstheme="minorAscii"/>
          <w:noProof w:val="0"/>
          <w:sz w:val="22"/>
          <w:szCs w:val="22"/>
          <w:u w:val="single"/>
          <w:lang w:val="en-US"/>
        </w:rPr>
        <w:t xml:space="preserve">The Five </w:t>
      </w:r>
      <w:proofErr w:type="spellStart"/>
      <w:r w:rsidRPr="2D176A4A" w:rsidR="2D176A4A">
        <w:rPr>
          <w:rFonts w:ascii="Calibri" w:hAnsi="Calibri" w:eastAsia="Calibri" w:cs="Calibri" w:asciiTheme="minorAscii" w:hAnsiTheme="minorAscii" w:eastAsiaTheme="minorAscii" w:cstheme="minorAscii"/>
          <w:noProof w:val="0"/>
          <w:sz w:val="22"/>
          <w:szCs w:val="22"/>
          <w:u w:val="single"/>
          <w:lang w:val="en-US"/>
        </w:rPr>
        <w:t>Innuyim</w:t>
      </w:r>
      <w:proofErr w:type="spellEnd"/>
    </w:p>
    <w:p w:rsidR="282B19C6" w:rsidP="2D176A4A" w:rsidRDefault="282B19C6" w14:paraId="51AE0DCC" w14:textId="4E5BC843">
      <w:pPr>
        <w:pStyle w:val="Normal"/>
        <w:jc w:val="both"/>
        <w:rPr>
          <w:rFonts w:ascii="Calibri" w:hAnsi="Calibri" w:eastAsia="Calibri" w:cs="Calibri" w:asciiTheme="minorAscii" w:hAnsiTheme="minorAscii" w:eastAsiaTheme="minorAscii" w:cstheme="minorAscii"/>
          <w:noProof w:val="0"/>
          <w:sz w:val="22"/>
          <w:szCs w:val="22"/>
          <w:u w:val="none"/>
          <w:lang w:val="en-US"/>
        </w:rPr>
      </w:pPr>
      <w:r w:rsidRPr="2D176A4A" w:rsidR="2D176A4A">
        <w:rPr>
          <w:rFonts w:ascii="Calibri" w:hAnsi="Calibri" w:eastAsia="Calibri" w:cs="Calibri"/>
          <w:noProof w:val="0"/>
          <w:sz w:val="22"/>
          <w:szCs w:val="22"/>
          <w:lang w:val="en-US"/>
        </w:rPr>
        <w:t>A</w:t>
      </w:r>
      <w:r w:rsidRPr="2D176A4A" w:rsidR="2D176A4A">
        <w:rPr>
          <w:rFonts w:ascii="Calibri" w:hAnsi="Calibri" w:eastAsia="Calibri" w:cs="Calibri"/>
          <w:noProof w:val="0"/>
          <w:sz w:val="22"/>
          <w:szCs w:val="22"/>
          <w:lang w:val="en-US"/>
        </w:rPr>
        <w:t xml:space="preserve">s stated </w:t>
      </w:r>
      <w:r w:rsidRPr="2D176A4A" w:rsidR="2D176A4A">
        <w:rPr>
          <w:rFonts w:ascii="Calibri" w:hAnsi="Calibri" w:eastAsia="Calibri" w:cs="Calibri"/>
          <w:noProof w:val="0"/>
          <w:sz w:val="22"/>
          <w:szCs w:val="22"/>
          <w:lang w:val="en-US"/>
        </w:rPr>
        <w:t xml:space="preserve">previously, the Torah </w:t>
      </w:r>
      <w:r w:rsidRPr="2D176A4A" w:rsidR="2D176A4A">
        <w:rPr>
          <w:rFonts w:ascii="Calibri" w:hAnsi="Calibri" w:eastAsia="Calibri" w:cs="Calibri"/>
          <w:noProof w:val="0"/>
          <w:sz w:val="22"/>
          <w:szCs w:val="22"/>
          <w:lang w:val="en-US"/>
        </w:rPr>
        <w:t>instru</w:t>
      </w:r>
      <w:r w:rsidRPr="2D176A4A" w:rsidR="2D176A4A">
        <w:rPr>
          <w:rFonts w:ascii="Calibri" w:hAnsi="Calibri" w:eastAsia="Calibri" w:cs="Calibri"/>
          <w:noProof w:val="0"/>
          <w:sz w:val="22"/>
          <w:szCs w:val="22"/>
          <w:lang w:val="en-US"/>
        </w:rPr>
        <w:t>cts</w:t>
      </w:r>
      <w:r w:rsidRPr="2D176A4A" w:rsidR="2D176A4A">
        <w:rPr>
          <w:rFonts w:ascii="Calibri" w:hAnsi="Calibri" w:eastAsia="Calibri" w:cs="Calibri"/>
          <w:noProof w:val="0"/>
          <w:sz w:val="22"/>
          <w:szCs w:val="22"/>
          <w:lang w:val="en-US"/>
        </w:rPr>
        <w:t xml:space="preserve"> on </w:t>
      </w:r>
      <w:r w:rsidRPr="2D176A4A" w:rsidR="2D176A4A">
        <w:rPr>
          <w:rFonts w:ascii="Calibri" w:hAnsi="Calibri" w:eastAsia="Calibri" w:cs="Calibri"/>
          <w:noProof w:val="0"/>
          <w:sz w:val="22"/>
          <w:szCs w:val="22"/>
          <w:lang w:val="en-US"/>
        </w:rPr>
        <w:t xml:space="preserve">how Yom Kippur should be observed being to 'deny </w:t>
      </w:r>
      <w:r w:rsidRPr="2D176A4A" w:rsidR="2D176A4A">
        <w:rPr>
          <w:rFonts w:ascii="Calibri" w:hAnsi="Calibri" w:eastAsia="Calibri" w:cs="Calibri"/>
          <w:noProof w:val="0"/>
          <w:sz w:val="22"/>
          <w:szCs w:val="22"/>
          <w:lang w:val="en-US"/>
        </w:rPr>
        <w:t>ourselves' and because of this m</w:t>
      </w:r>
      <w:r w:rsidRPr="282B19C6" w:rsidR="282B19C6">
        <w:rPr>
          <w:rFonts w:ascii="Calibri" w:hAnsi="Calibri" w:eastAsia="Calibri" w:cs="Calibri" w:asciiTheme="minorAscii" w:hAnsiTheme="minorAscii" w:eastAsiaTheme="minorAscii" w:cstheme="minorAscii"/>
          <w:noProof w:val="0"/>
          <w:sz w:val="22"/>
          <w:szCs w:val="22"/>
          <w:u w:val="none"/>
          <w:lang w:val="en-US"/>
        </w:rPr>
        <w:t>any Jews believe that atonement can only be achieved through self-</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denial in five areas.</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These</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self-denials are known as </w:t>
      </w:r>
      <w:proofErr w:type="spellStart"/>
      <w:r w:rsidRPr="282B19C6" w:rsidR="282B19C6">
        <w:rPr>
          <w:rFonts w:ascii="Calibri" w:hAnsi="Calibri" w:eastAsia="Calibri" w:cs="Calibri" w:asciiTheme="minorAscii" w:hAnsiTheme="minorAscii" w:eastAsiaTheme="minorAscii" w:cstheme="minorAscii"/>
          <w:noProof w:val="0"/>
          <w:sz w:val="22"/>
          <w:szCs w:val="22"/>
          <w:u w:val="none"/>
          <w:lang w:val="en-US"/>
        </w:rPr>
        <w:t>innuyim</w:t>
      </w:r>
      <w:proofErr w:type="spellEnd"/>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and Jews are expected to avoid enduring in these five things during Yom Kippur at all times. </w:t>
      </w:r>
      <w:r w:rsidRPr="282B19C6" w:rsidR="282B19C6">
        <w:rPr>
          <w:rFonts w:ascii="Calibri" w:hAnsi="Calibri" w:eastAsia="Calibri" w:cs="Calibri" w:asciiTheme="minorAscii" w:hAnsiTheme="minorAscii" w:eastAsiaTheme="minorAscii" w:cstheme="minorAscii"/>
          <w:noProof w:val="0"/>
          <w:sz w:val="22"/>
          <w:szCs w:val="22"/>
          <w:u w:val="none"/>
          <w:lang w:val="en-US"/>
        </w:rPr>
        <w:t>During</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Yom Kippur Jews are expected to undergo a 25 hour fast, starting at sundown on the eve on Yom Kippur and ending at sundown on the eve of Yom Kippur itself.</w:t>
      </w:r>
      <w:r w:rsidRPr="282B19C6">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14248"/>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However, some exceptions are made</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An e</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xample of this would be someone who </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is </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ill and needs to take medication, therefore a fast wouldn't be possible</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w:t>
      </w:r>
      <w:r w:rsidRPr="282B19C6">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9973"/>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Before the fast takes place, many </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will have a festive meal before sundown in order to gain strength for the fast and to </w:t>
      </w:r>
      <w:r w:rsidRPr="282B19C6" w:rsidR="282B19C6">
        <w:rPr>
          <w:rFonts w:ascii="Calibri" w:hAnsi="Calibri" w:eastAsia="Calibri" w:cs="Calibri" w:asciiTheme="minorAscii" w:hAnsiTheme="minorAscii" w:eastAsiaTheme="minorAscii" w:cstheme="minorAscii"/>
          <w:noProof w:val="0"/>
          <w:sz w:val="22"/>
          <w:szCs w:val="22"/>
          <w:u w:val="none"/>
          <w:lang w:val="en-US"/>
        </w:rPr>
        <w:t>also to some extent celebrate because Yom Kippur is a festival.</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w:t>
      </w:r>
      <w:r w:rsidRPr="282B19C6" w:rsidR="282B19C6">
        <w:rPr>
          <w:rFonts w:ascii="Calibri" w:hAnsi="Calibri" w:eastAsia="Calibri" w:cs="Calibri" w:asciiTheme="minorAscii" w:hAnsiTheme="minorAscii" w:eastAsiaTheme="minorAscii" w:cstheme="minorAscii"/>
          <w:noProof w:val="0"/>
          <w:sz w:val="22"/>
          <w:szCs w:val="22"/>
          <w:u w:val="none"/>
          <w:lang w:val="en-US"/>
        </w:rPr>
        <w:t>T</w:t>
      </w:r>
      <w:r w:rsidRPr="282B19C6" w:rsidR="282B19C6">
        <w:rPr>
          <w:rFonts w:ascii="Calibri" w:hAnsi="Calibri" w:eastAsia="Calibri" w:cs="Calibri" w:asciiTheme="minorAscii" w:hAnsiTheme="minorAscii" w:eastAsiaTheme="minorAscii" w:cstheme="minorAscii"/>
          <w:noProof w:val="0"/>
          <w:sz w:val="22"/>
          <w:szCs w:val="22"/>
          <w:u w:val="none"/>
          <w:lang w:val="en-US"/>
        </w:rPr>
        <w:t>he</w:t>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other four </w:t>
      </w:r>
      <w:proofErr w:type="spellStart"/>
      <w:r w:rsidRPr="282B19C6" w:rsidR="282B19C6">
        <w:rPr>
          <w:rFonts w:ascii="Calibri" w:hAnsi="Calibri" w:eastAsia="Calibri" w:cs="Calibri" w:asciiTheme="minorAscii" w:hAnsiTheme="minorAscii" w:eastAsiaTheme="minorAscii" w:cstheme="minorAscii"/>
          <w:noProof w:val="0"/>
          <w:sz w:val="22"/>
          <w:szCs w:val="22"/>
          <w:u w:val="none"/>
          <w:lang w:val="en-US"/>
        </w:rPr>
        <w:t>innuyim</w:t>
      </w:r>
      <w:proofErr w:type="spellEnd"/>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are anointing the body with oils, wearing leather shoes, sexual intimacy and bathing.</w:t>
      </w:r>
      <w:r w:rsidRPr="282B19C6">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5422"/>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w:t>
      </w:r>
      <w:r w:rsidRPr="282B19C6">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1201"/>
      </w:r>
      <w:r w:rsidRPr="282B19C6" w:rsidR="282B19C6">
        <w:rPr>
          <w:rFonts w:ascii="Calibri" w:hAnsi="Calibri" w:eastAsia="Calibri" w:cs="Calibri" w:asciiTheme="minorAscii" w:hAnsiTheme="minorAscii" w:eastAsiaTheme="minorAscii" w:cstheme="minorAscii"/>
          <w:noProof w:val="0"/>
          <w:sz w:val="22"/>
          <w:szCs w:val="22"/>
          <w:u w:val="none"/>
          <w:lang w:val="en-US"/>
        </w:rPr>
        <w:t xml:space="preserve"> It could be said that Jews are expected to deny themselves of these things because they can be viewed as luxuries, and when Yom Kippur is being observed we should set aside our desires and the things that give us pleasure in order to focus on what is most important during this time, being the repentance of our sins.</w:t>
      </w:r>
      <w:r w:rsidRPr="282B19C6">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32723"/>
      </w:r>
    </w:p>
    <w:p w:rsidR="41ADCD61" w:rsidP="41ADCD61" w:rsidRDefault="41ADCD61" w14:noSpellErr="1" w14:paraId="00FE1C94" w14:textId="5A367096">
      <w:pPr>
        <w:pStyle w:val="Normal"/>
        <w:jc w:val="both"/>
        <w:rPr>
          <w:rFonts w:ascii="Calibri" w:hAnsi="Calibri" w:eastAsia="Calibri" w:cs="Calibri" w:asciiTheme="minorAscii" w:hAnsiTheme="minorAscii" w:eastAsiaTheme="minorAscii" w:cstheme="minorAscii"/>
          <w:noProof w:val="0"/>
          <w:sz w:val="22"/>
          <w:szCs w:val="22"/>
          <w:u w:val="none"/>
          <w:lang w:val="en-US"/>
        </w:rPr>
      </w:pPr>
      <w:r w:rsidRPr="41ADCD61" w:rsidR="41ADCD61">
        <w:rPr>
          <w:rFonts w:ascii="Calibri" w:hAnsi="Calibri" w:eastAsia="Calibri" w:cs="Calibri" w:asciiTheme="minorAscii" w:hAnsiTheme="minorAscii" w:eastAsiaTheme="minorAscii" w:cstheme="minorAscii"/>
          <w:noProof w:val="0"/>
          <w:sz w:val="22"/>
          <w:szCs w:val="22"/>
          <w:u w:val="single"/>
          <w:lang w:val="en-US"/>
        </w:rPr>
        <w:t>The Services and The Synagogue</w:t>
      </w:r>
    </w:p>
    <w:p w:rsidR="41ADCD61" w:rsidP="41ADCD61" w:rsidRDefault="41ADCD61" w14:noSpellErr="1" w14:paraId="07AABEEF" w14:textId="344349B6">
      <w:pPr>
        <w:pStyle w:val="Normal"/>
        <w:jc w:val="both"/>
        <w:rPr>
          <w:rFonts w:ascii="Calibri" w:hAnsi="Calibri" w:eastAsia="Calibri" w:cs="Calibri" w:asciiTheme="minorAscii" w:hAnsiTheme="minorAscii" w:eastAsiaTheme="minorAscii" w:cstheme="minorAscii"/>
          <w:noProof w:val="0"/>
          <w:sz w:val="22"/>
          <w:szCs w:val="22"/>
          <w:u w:val="none"/>
          <w:lang w:val="en-US"/>
        </w:rPr>
      </w:pP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There are five services held in the synagogue during this Jewish holiday and is a vital part to </w:t>
      </w:r>
      <w:r w:rsidRPr="41ADCD61" w:rsidR="41ADCD61">
        <w:rPr>
          <w:rFonts w:ascii="Calibri" w:hAnsi="Calibri" w:eastAsia="Calibri" w:cs="Calibri" w:asciiTheme="minorAscii" w:hAnsiTheme="minorAscii" w:eastAsiaTheme="minorAscii" w:cstheme="minorAscii"/>
          <w:noProof w:val="0"/>
          <w:sz w:val="22"/>
          <w:szCs w:val="22"/>
          <w:u w:val="none"/>
          <w:lang w:val="en-US"/>
        </w:rPr>
        <w:t>observing Yom Kippur and achieving God's forgiveness for our sins. For many, spending time in the synagogue during this time gives believers a sense of connection with God and is therefore seen as highly significant.</w:t>
      </w:r>
      <w:r w:rsidRPr="41ADCD61">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5057"/>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Throughout the whole day many will recite prayers and hymns and read from the Torah during all services.</w:t>
      </w:r>
      <w:r w:rsidRPr="41ADCD61">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2752"/>
      </w:r>
    </w:p>
    <w:p w:rsidR="282B19C6" w:rsidP="2D176A4A" w:rsidRDefault="282B19C6" w14:paraId="204D784B" w14:textId="76A2469E">
      <w:pPr>
        <w:pStyle w:val="Normal"/>
        <w:jc w:val="both"/>
        <w:rPr>
          <w:rFonts w:ascii="Calibri" w:hAnsi="Calibri" w:eastAsia="Calibri" w:cs="Calibri" w:asciiTheme="minorAscii" w:hAnsiTheme="minorAscii" w:eastAsiaTheme="minorAscii" w:cstheme="minorAscii"/>
          <w:noProof w:val="0"/>
          <w:sz w:val="22"/>
          <w:szCs w:val="22"/>
          <w:u w:val="none"/>
          <w:lang w:val="en-US"/>
        </w:rPr>
      </w:pPr>
      <w:r w:rsidRPr="41ADCD61" w:rsidR="41ADCD61">
        <w:rPr>
          <w:rFonts w:ascii="Calibri" w:hAnsi="Calibri" w:eastAsia="Calibri" w:cs="Calibri" w:asciiTheme="minorAscii" w:hAnsiTheme="minorAscii" w:eastAsiaTheme="minorAscii" w:cstheme="minorAscii"/>
          <w:noProof w:val="0"/>
          <w:sz w:val="22"/>
          <w:szCs w:val="22"/>
          <w:u w:val="none"/>
          <w:lang w:val="en-US"/>
        </w:rPr>
        <w:t>The first service of this holiday takes place on</w:t>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the evening before Yom Kippur itself. This service is called </w:t>
      </w:r>
      <w:proofErr w:type="spellStart"/>
      <w:r w:rsidRPr="41ADCD61" w:rsidR="41ADCD61">
        <w:rPr>
          <w:rFonts w:ascii="Calibri" w:hAnsi="Calibri" w:eastAsia="Calibri" w:cs="Calibri" w:asciiTheme="minorAscii" w:hAnsiTheme="minorAscii" w:eastAsiaTheme="minorAscii" w:cstheme="minorAscii"/>
          <w:noProof w:val="0"/>
          <w:sz w:val="22"/>
          <w:szCs w:val="22"/>
          <w:u w:val="none"/>
          <w:lang w:val="en-US"/>
        </w:rPr>
        <w:t>K</w:t>
      </w:r>
      <w:r w:rsidRPr="41ADCD61" w:rsidR="41ADCD61">
        <w:rPr>
          <w:rFonts w:ascii="Calibri" w:hAnsi="Calibri" w:eastAsia="Calibri" w:cs="Calibri" w:asciiTheme="minorAscii" w:hAnsiTheme="minorAscii" w:eastAsiaTheme="minorAscii" w:cstheme="minorAscii"/>
          <w:noProof w:val="0"/>
          <w:sz w:val="22"/>
          <w:szCs w:val="22"/>
          <w:u w:val="none"/>
          <w:lang w:val="en-US"/>
        </w:rPr>
        <w:t>ol</w:t>
      </w:r>
      <w:proofErr w:type="spellEnd"/>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w:t>
      </w:r>
      <w:r w:rsidRPr="41ADCD61" w:rsidR="41ADCD61">
        <w:rPr>
          <w:rFonts w:ascii="Calibri" w:hAnsi="Calibri" w:eastAsia="Calibri" w:cs="Calibri" w:asciiTheme="minorAscii" w:hAnsiTheme="minorAscii" w:eastAsiaTheme="minorAscii" w:cstheme="minorAscii"/>
          <w:noProof w:val="0"/>
          <w:sz w:val="22"/>
          <w:szCs w:val="22"/>
          <w:u w:val="none"/>
          <w:lang w:val="en-US"/>
        </w:rPr>
        <w:t>Nidrei</w:t>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and marks the beginning of the holiday. The words '</w:t>
      </w:r>
      <w:proofErr w:type="spellStart"/>
      <w:r w:rsidRPr="41ADCD61" w:rsidR="41ADCD61">
        <w:rPr>
          <w:rFonts w:ascii="Calibri" w:hAnsi="Calibri" w:eastAsia="Calibri" w:cs="Calibri" w:asciiTheme="minorAscii" w:hAnsiTheme="minorAscii" w:eastAsiaTheme="minorAscii" w:cstheme="minorAscii"/>
          <w:noProof w:val="0"/>
          <w:sz w:val="22"/>
          <w:szCs w:val="22"/>
          <w:u w:val="none"/>
          <w:lang w:val="en-US"/>
        </w:rPr>
        <w:t>Kol</w:t>
      </w:r>
      <w:proofErr w:type="spellEnd"/>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Nidrei' mean 'all vows', and it is therefore a confession to God of all the mistakes and sins that one has committed the past year. This can be seen as an important part to Yom Kippur because in order for one to be forgiven by God, they must confess their sins.</w:t>
      </w:r>
      <w:r w:rsidRPr="41ADCD61">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293"/>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w:t>
      </w:r>
      <w:r w:rsidRPr="41ADCD61">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15073"/>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O</w:t>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n the following day many will spend the majority of their day in the mosque observing these services. The first two services, which are </w:t>
      </w:r>
      <w:proofErr w:type="spellStart"/>
      <w:r w:rsidRPr="41ADCD61" w:rsidR="41ADCD61">
        <w:rPr>
          <w:rFonts w:ascii="Calibri" w:hAnsi="Calibri" w:eastAsia="Calibri" w:cs="Calibri" w:asciiTheme="minorAscii" w:hAnsiTheme="minorAscii" w:eastAsiaTheme="minorAscii" w:cstheme="minorAscii"/>
          <w:noProof w:val="0"/>
          <w:sz w:val="22"/>
          <w:szCs w:val="22"/>
          <w:u w:val="none"/>
          <w:lang w:val="en-US"/>
        </w:rPr>
        <w:t>Shacharit</w:t>
      </w:r>
      <w:proofErr w:type="spellEnd"/>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(morning service) and </w:t>
      </w:r>
      <w:proofErr w:type="spellStart"/>
      <w:r w:rsidRPr="41ADCD61" w:rsidR="41ADCD61">
        <w:rPr>
          <w:rFonts w:ascii="Calibri" w:hAnsi="Calibri" w:eastAsia="Calibri" w:cs="Calibri" w:asciiTheme="minorAscii" w:hAnsiTheme="minorAscii" w:eastAsiaTheme="minorAscii" w:cstheme="minorAscii"/>
          <w:noProof w:val="0"/>
          <w:sz w:val="22"/>
          <w:szCs w:val="22"/>
          <w:u w:val="none"/>
          <w:lang w:val="en-US"/>
        </w:rPr>
        <w:t>Musaf</w:t>
      </w:r>
      <w:proofErr w:type="spellEnd"/>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(additional service), take six hours put together, which stresses the importance of time spent</w:t>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in the synagogue during this time. F</w:t>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ollowing these two services is the afternoon service known as </w:t>
      </w:r>
      <w:proofErr w:type="spellStart"/>
      <w:r w:rsidRPr="41ADCD61" w:rsidR="41ADCD61">
        <w:rPr>
          <w:rFonts w:ascii="Calibri" w:hAnsi="Calibri" w:eastAsia="Calibri" w:cs="Calibri" w:asciiTheme="minorAscii" w:hAnsiTheme="minorAscii" w:eastAsiaTheme="minorAscii" w:cstheme="minorAscii"/>
          <w:noProof w:val="0"/>
          <w:sz w:val="22"/>
          <w:szCs w:val="22"/>
          <w:u w:val="none"/>
          <w:lang w:val="en-US"/>
        </w:rPr>
        <w:t>minchan</w:t>
      </w:r>
      <w:proofErr w:type="spellEnd"/>
      <w:r w:rsidRPr="41ADCD61" w:rsidR="41ADCD61">
        <w:rPr>
          <w:rFonts w:ascii="Calibri" w:hAnsi="Calibri" w:eastAsia="Calibri" w:cs="Calibri" w:asciiTheme="minorAscii" w:hAnsiTheme="minorAscii" w:eastAsiaTheme="minorAscii" w:cstheme="minorAscii"/>
          <w:noProof w:val="0"/>
          <w:sz w:val="22"/>
          <w:szCs w:val="22"/>
          <w:u w:val="none"/>
          <w:lang w:val="en-US"/>
        </w:rPr>
        <w:t>.</w:t>
      </w:r>
      <w:r w:rsidRPr="41ADCD61">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20827"/>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w:t>
      </w:r>
      <w:r w:rsidRPr="41ADCD61" w:rsidR="41ADCD61">
        <w:rPr>
          <w:rFonts w:ascii="Calibri" w:hAnsi="Calibri" w:eastAsia="Calibri" w:cs="Calibri" w:asciiTheme="minorAscii" w:hAnsiTheme="minorAscii" w:eastAsiaTheme="minorAscii" w:cstheme="minorAscii"/>
          <w:noProof w:val="0"/>
          <w:sz w:val="22"/>
          <w:szCs w:val="22"/>
          <w:u w:val="none"/>
          <w:lang w:val="en-US"/>
        </w:rPr>
        <w:t>T</w:t>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he final service of the day is known as </w:t>
      </w:r>
      <w:proofErr w:type="spellStart"/>
      <w:r w:rsidRPr="41ADCD61" w:rsidR="41ADCD61">
        <w:rPr>
          <w:rFonts w:ascii="Calibri" w:hAnsi="Calibri" w:eastAsia="Calibri" w:cs="Calibri" w:asciiTheme="minorAscii" w:hAnsiTheme="minorAscii" w:eastAsiaTheme="minorAscii" w:cstheme="minorAscii"/>
          <w:noProof w:val="0"/>
          <w:sz w:val="22"/>
          <w:szCs w:val="22"/>
          <w:u w:val="none"/>
          <w:lang w:val="en-US"/>
        </w:rPr>
        <w:t>Ne</w:t>
      </w:r>
      <w:r w:rsidRPr="41ADCD61" w:rsidR="41ADCD61">
        <w:rPr>
          <w:rFonts w:ascii="Calibri" w:hAnsi="Calibri" w:eastAsia="Calibri" w:cs="Calibri" w:asciiTheme="minorAscii" w:hAnsiTheme="minorAscii" w:eastAsiaTheme="minorAscii" w:cstheme="minorAscii"/>
          <w:noProof w:val="0"/>
          <w:sz w:val="22"/>
          <w:szCs w:val="22"/>
          <w:u w:val="none"/>
          <w:lang w:val="en-US"/>
        </w:rPr>
        <w:t>'ilah</w:t>
      </w:r>
      <w:proofErr w:type="spellEnd"/>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w:t>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and is held in the evening of Yom </w:t>
      </w:r>
      <w:proofErr w:type="spellStart"/>
      <w:r w:rsidRPr="41ADCD61" w:rsidR="41ADCD61">
        <w:rPr>
          <w:rFonts w:ascii="Calibri" w:hAnsi="Calibri" w:eastAsia="Calibri" w:cs="Calibri" w:asciiTheme="minorAscii" w:hAnsiTheme="minorAscii" w:eastAsiaTheme="minorAscii" w:cstheme="minorAscii"/>
          <w:noProof w:val="0"/>
          <w:sz w:val="22"/>
          <w:szCs w:val="22"/>
          <w:u w:val="none"/>
          <w:lang w:val="en-US"/>
        </w:rPr>
        <w:t>ki</w:t>
      </w:r>
      <w:r w:rsidRPr="41ADCD61" w:rsidR="41ADCD61">
        <w:rPr>
          <w:rFonts w:ascii="Calibri" w:hAnsi="Calibri" w:eastAsia="Calibri" w:cs="Calibri" w:asciiTheme="minorAscii" w:hAnsiTheme="minorAscii" w:eastAsiaTheme="minorAscii" w:cstheme="minorAscii"/>
          <w:noProof w:val="0"/>
          <w:sz w:val="22"/>
          <w:szCs w:val="22"/>
          <w:u w:val="none"/>
          <w:lang w:val="en-US"/>
        </w:rPr>
        <w:t>ppur</w:t>
      </w:r>
      <w:proofErr w:type="spellEnd"/>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b</w:t>
      </w:r>
      <w:r w:rsidRPr="41ADCD61" w:rsidR="41ADCD61">
        <w:rPr>
          <w:rFonts w:ascii="Calibri" w:hAnsi="Calibri" w:eastAsia="Calibri" w:cs="Calibri" w:asciiTheme="minorAscii" w:hAnsiTheme="minorAscii" w:eastAsiaTheme="minorAscii" w:cstheme="minorAscii"/>
          <w:noProof w:val="0"/>
          <w:sz w:val="22"/>
          <w:szCs w:val="22"/>
          <w:u w:val="none"/>
          <w:lang w:val="en-US"/>
        </w:rPr>
        <w:t>ringing the festival to a close. Many believe by the end of this service God's judgement on whether we will be granted pure beings or not will be made</w:t>
      </w:r>
      <w:r w:rsidRPr="41ADCD61">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32270"/>
      </w:r>
      <w:r w:rsidRPr="41ADCD61" w:rsidR="41ADCD61">
        <w:rPr>
          <w:rFonts w:ascii="Calibri" w:hAnsi="Calibri" w:eastAsia="Calibri" w:cs="Calibri" w:asciiTheme="minorAscii" w:hAnsiTheme="minorAscii" w:eastAsiaTheme="minorAscii" w:cstheme="minorAscii"/>
          <w:noProof w:val="0"/>
          <w:sz w:val="22"/>
          <w:szCs w:val="22"/>
          <w:u w:val="none"/>
          <w:lang w:val="en-US"/>
        </w:rPr>
        <w:t>, because this is seen as the closing of the heavenly 'gates of repentance'.</w:t>
      </w:r>
      <w:r w:rsidRPr="41ADCD61">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771"/>
      </w:r>
    </w:p>
    <w:p w:rsidR="282B19C6" w:rsidP="41ADCD61" w:rsidRDefault="282B19C6" w14:noSpellErr="1" w14:paraId="705A997B" w14:textId="1F169F9B">
      <w:pPr>
        <w:pStyle w:val="Normal"/>
        <w:jc w:val="both"/>
        <w:rPr>
          <w:rFonts w:ascii="Calibri" w:hAnsi="Calibri" w:eastAsia="Calibri" w:cs="Calibri" w:asciiTheme="minorAscii" w:hAnsiTheme="minorAscii" w:eastAsiaTheme="minorAscii" w:cstheme="minorAscii"/>
          <w:noProof w:val="0"/>
          <w:sz w:val="22"/>
          <w:szCs w:val="22"/>
          <w:u w:val="none"/>
          <w:lang w:val="en-US"/>
        </w:rPr>
      </w:pPr>
      <w:r w:rsidRPr="41ADCD61" w:rsidR="41ADCD61">
        <w:rPr>
          <w:rFonts w:ascii="Calibri" w:hAnsi="Calibri" w:eastAsia="Calibri" w:cs="Calibri" w:asciiTheme="minorAscii" w:hAnsiTheme="minorAscii" w:eastAsiaTheme="minorAscii" w:cstheme="minorAscii"/>
          <w:noProof w:val="0"/>
          <w:sz w:val="22"/>
          <w:szCs w:val="22"/>
          <w:u w:val="single"/>
          <w:lang w:val="en-US"/>
        </w:rPr>
        <w:t>Breaking the Fast</w:t>
      </w:r>
    </w:p>
    <w:p w:rsidR="282B19C6" w:rsidP="41ADCD61" w:rsidRDefault="282B19C6" w14:noSpellErr="1" w14:paraId="6173E599" w14:textId="40DC44EA">
      <w:pPr>
        <w:pStyle w:val="Normal"/>
        <w:jc w:val="both"/>
        <w:rPr>
          <w:rFonts w:ascii="Calibri" w:hAnsi="Calibri" w:eastAsia="Calibri" w:cs="Calibri" w:asciiTheme="minorAscii" w:hAnsiTheme="minorAscii" w:eastAsiaTheme="minorAscii" w:cstheme="minorAscii"/>
          <w:noProof w:val="0"/>
          <w:sz w:val="22"/>
          <w:szCs w:val="22"/>
          <w:u w:val="none"/>
          <w:lang w:val="en-US"/>
        </w:rPr>
      </w:pPr>
      <w:r w:rsidRPr="41ADCD61" w:rsidR="41ADCD61">
        <w:rPr>
          <w:rFonts w:ascii="Calibri" w:hAnsi="Calibri" w:eastAsia="Calibri" w:cs="Calibri" w:asciiTheme="minorAscii" w:hAnsiTheme="minorAscii" w:eastAsiaTheme="minorAscii" w:cstheme="minorAscii"/>
          <w:noProof w:val="0"/>
          <w:sz w:val="22"/>
          <w:szCs w:val="22"/>
          <w:u w:val="none"/>
          <w:lang w:val="en-US"/>
        </w:rPr>
        <w:t>W</w:t>
      </w:r>
      <w:r w:rsidRPr="41ADCD61" w:rsidR="41ADCD61">
        <w:rPr>
          <w:rFonts w:ascii="Calibri" w:hAnsi="Calibri" w:eastAsia="Calibri" w:cs="Calibri" w:asciiTheme="minorAscii" w:hAnsiTheme="minorAscii" w:eastAsiaTheme="minorAscii" w:cstheme="minorAscii"/>
          <w:noProof w:val="0"/>
          <w:sz w:val="22"/>
          <w:szCs w:val="22"/>
          <w:u w:val="none"/>
          <w:lang w:val="en-US"/>
        </w:rPr>
        <w:t>hen the final of the services has finished the Shofar, which is a ram's horn, is blown to mark the end of this holiday. Many worshippers will go home to celebrate and break the fast with another festive meal with the hope that God has made them pure beings again.</w:t>
      </w:r>
      <w:r w:rsidRPr="41ADCD61">
        <w:rPr>
          <w:rStyle w:val="FootnoteReference"/>
          <w:rFonts w:ascii="Calibri" w:hAnsi="Calibri" w:eastAsia="Calibri" w:cs="Calibri" w:asciiTheme="minorAscii" w:hAnsiTheme="minorAscii" w:eastAsiaTheme="minorAscii" w:cstheme="minorAscii"/>
          <w:noProof w:val="0"/>
          <w:sz w:val="22"/>
          <w:szCs w:val="22"/>
          <w:u w:val="none"/>
          <w:lang w:val="en-US"/>
        </w:rPr>
        <w:footnoteReference w:id="544"/>
      </w:r>
      <w:r w:rsidRPr="41ADCD61" w:rsidR="41ADCD61">
        <w:rPr>
          <w:rFonts w:ascii="Calibri" w:hAnsi="Calibri" w:eastAsia="Calibri" w:cs="Calibri" w:asciiTheme="minorAscii" w:hAnsiTheme="minorAscii" w:eastAsiaTheme="minorAscii" w:cstheme="minorAscii"/>
          <w:noProof w:val="0"/>
          <w:sz w:val="22"/>
          <w:szCs w:val="22"/>
          <w:u w:val="none"/>
          <w:lang w:val="en-US"/>
        </w:rPr>
        <w:t xml:space="preserve"> </w:t>
      </w:r>
    </w:p>
    <w:p w:rsidR="2D176A4A" w:rsidP="2D176A4A" w:rsidRDefault="2D176A4A" w14:noSpellErr="1" w14:paraId="687A4E3B" w14:textId="39039E37">
      <w:pPr>
        <w:pStyle w:val="Normal"/>
        <w:jc w:val="both"/>
        <w:rPr>
          <w:rFonts w:ascii="Calibri" w:hAnsi="Calibri" w:eastAsia="Calibri" w:cs="Calibri" w:asciiTheme="minorAscii" w:hAnsiTheme="minorAscii" w:eastAsiaTheme="minorAscii" w:cstheme="minorAscii"/>
          <w:noProof w:val="0"/>
          <w:sz w:val="22"/>
          <w:szCs w:val="22"/>
          <w:u w:val="single"/>
          <w:lang w:val="en-US"/>
        </w:rPr>
      </w:pPr>
    </w:p>
    <w:p w:rsidR="2D176A4A" w:rsidP="2D176A4A" w:rsidRDefault="2D176A4A" w14:noSpellErr="1" w14:paraId="4E30E31E" w14:textId="4A983793">
      <w:pPr>
        <w:pStyle w:val="Normal"/>
        <w:jc w:val="both"/>
        <w:rPr>
          <w:rFonts w:ascii="Calibri" w:hAnsi="Calibri" w:eastAsia="Calibri" w:cs="Calibri" w:asciiTheme="minorAscii" w:hAnsiTheme="minorAscii" w:eastAsiaTheme="minorAscii" w:cstheme="minorAscii"/>
          <w:noProof w:val="0"/>
          <w:sz w:val="22"/>
          <w:szCs w:val="22"/>
          <w:u w:val="single"/>
          <w:lang w:val="en-US"/>
        </w:rPr>
      </w:pPr>
    </w:p>
    <w:p w:rsidR="2D176A4A" w:rsidP="2D176A4A" w:rsidRDefault="2D176A4A" w14:noSpellErr="1" w14:paraId="5025AB84" w14:textId="72B00571">
      <w:pPr>
        <w:pStyle w:val="Normal"/>
        <w:jc w:val="both"/>
        <w:rPr>
          <w:rFonts w:ascii="Calibri" w:hAnsi="Calibri" w:eastAsia="Calibri" w:cs="Calibri" w:asciiTheme="minorAscii" w:hAnsiTheme="minorAscii" w:eastAsiaTheme="minorAscii" w:cstheme="minorAscii"/>
          <w:noProof w:val="0"/>
          <w:sz w:val="22"/>
          <w:szCs w:val="22"/>
          <w:u w:val="single"/>
          <w:lang w:val="en-US"/>
        </w:rPr>
      </w:pPr>
    </w:p>
    <w:p w:rsidR="282B19C6" w:rsidP="2D176A4A" w:rsidRDefault="282B19C6" w14:paraId="3FDAEACD" w14:noSpellErr="1" w14:textId="5D6CBAE2">
      <w:pPr>
        <w:pStyle w:val="Normal"/>
        <w:jc w:val="both"/>
        <w:rPr>
          <w:rFonts w:ascii="Calibri" w:hAnsi="Calibri" w:eastAsia="Calibri" w:cs="Calibri" w:asciiTheme="minorAscii" w:hAnsiTheme="minorAscii" w:eastAsiaTheme="minorAscii" w:cstheme="minorAscii"/>
          <w:b w:val="1"/>
          <w:bCs w:val="1"/>
          <w:noProof w:val="0"/>
          <w:sz w:val="22"/>
          <w:szCs w:val="22"/>
          <w:u w:val="none"/>
          <w:lang w:val="en-US"/>
        </w:rPr>
      </w:pPr>
      <w:r w:rsidRPr="2D176A4A" w:rsidR="2D176A4A">
        <w:rPr>
          <w:rFonts w:ascii="Calibri" w:hAnsi="Calibri" w:eastAsia="Calibri" w:cs="Calibri" w:asciiTheme="minorAscii" w:hAnsiTheme="minorAscii" w:eastAsiaTheme="minorAscii" w:cstheme="minorAscii"/>
          <w:b w:val="1"/>
          <w:bCs w:val="1"/>
          <w:noProof w:val="0"/>
          <w:sz w:val="22"/>
          <w:szCs w:val="22"/>
          <w:u w:val="none"/>
          <w:lang w:val="en-US"/>
        </w:rPr>
        <w:t>Bibl</w:t>
      </w:r>
      <w:r w:rsidRPr="2D176A4A" w:rsidR="2D176A4A">
        <w:rPr>
          <w:rFonts w:ascii="Calibri" w:hAnsi="Calibri" w:eastAsia="Calibri" w:cs="Calibri" w:asciiTheme="minorAscii" w:hAnsiTheme="minorAscii" w:eastAsiaTheme="minorAscii" w:cstheme="minorAscii"/>
          <w:b w:val="1"/>
          <w:bCs w:val="1"/>
          <w:noProof w:val="0"/>
          <w:sz w:val="22"/>
          <w:szCs w:val="22"/>
          <w:u w:val="none"/>
          <w:lang w:val="en-US"/>
        </w:rPr>
        <w:t>i</w:t>
      </w:r>
      <w:r w:rsidRPr="2D176A4A" w:rsidR="2D176A4A">
        <w:rPr>
          <w:rFonts w:ascii="Calibri" w:hAnsi="Calibri" w:eastAsia="Calibri" w:cs="Calibri" w:asciiTheme="minorAscii" w:hAnsiTheme="minorAscii" w:eastAsiaTheme="minorAscii" w:cstheme="minorAscii"/>
          <w:b w:val="1"/>
          <w:bCs w:val="1"/>
          <w:noProof w:val="0"/>
          <w:sz w:val="22"/>
          <w:szCs w:val="22"/>
          <w:u w:val="none"/>
          <w:lang w:val="en-US"/>
        </w:rPr>
        <w:t>ography</w:t>
      </w:r>
    </w:p>
    <w:p w:rsidR="2D176A4A" w:rsidP="2D176A4A" w:rsidRDefault="2D176A4A" w14:noSpellErr="1" w14:paraId="0D3D2A86" w14:textId="65C77DA4">
      <w:pPr>
        <w:pStyle w:val="Normal"/>
        <w:jc w:val="both"/>
        <w:rPr>
          <w:rFonts w:ascii="Calibri" w:hAnsi="Calibri" w:eastAsia="Calibri" w:cs="Calibri" w:asciiTheme="minorAscii" w:hAnsiTheme="minorAscii" w:eastAsiaTheme="minorAscii" w:cstheme="minorAscii"/>
          <w:b w:val="1"/>
          <w:bCs w:val="1"/>
          <w:noProof w:val="0"/>
          <w:sz w:val="22"/>
          <w:szCs w:val="22"/>
          <w:u w:val="none"/>
          <w:lang w:val="en-US"/>
        </w:rPr>
      </w:pPr>
      <w:r w:rsidRPr="2D176A4A" w:rsidR="2D176A4A">
        <w:rPr>
          <w:rFonts w:ascii="Calibri" w:hAnsi="Calibri" w:eastAsia="Calibri" w:cs="Calibri" w:asciiTheme="minorAscii" w:hAnsiTheme="minorAscii" w:eastAsiaTheme="minorAscii" w:cstheme="minorAscii"/>
          <w:b w:val="0"/>
          <w:bCs w:val="0"/>
          <w:noProof w:val="0"/>
          <w:sz w:val="22"/>
          <w:szCs w:val="22"/>
          <w:u w:val="single"/>
          <w:lang w:val="en-US"/>
        </w:rPr>
        <w:t>Books</w:t>
      </w:r>
    </w:p>
    <w:p w:rsidR="2D176A4A" w:rsidP="2D176A4A" w:rsidRDefault="2D176A4A" w14:noSpellErr="1" w14:paraId="52CB9B35" w14:textId="6BE11C4C">
      <w:pPr>
        <w:pStyle w:val="Normal"/>
        <w:bidi w:val="0"/>
        <w:spacing w:after="160" w:line="240" w:lineRule="auto"/>
        <w:rPr>
          <w:rFonts w:ascii="Calibri" w:hAnsi="Calibri" w:eastAsia="Calibri" w:cs="Calibri"/>
          <w:noProof w:val="0"/>
          <w:sz w:val="22"/>
          <w:szCs w:val="22"/>
          <w:lang w:val="en-US"/>
        </w:rPr>
      </w:pPr>
      <w:r w:rsidRPr="2D176A4A" w:rsidR="2D176A4A">
        <w:rPr>
          <w:rFonts w:ascii="Calibri" w:hAnsi="Calibri" w:eastAsia="Calibri" w:cs="Calibri"/>
          <w:noProof w:val="0"/>
          <w:sz w:val="22"/>
          <w:szCs w:val="22"/>
          <w:lang w:val="en-US"/>
        </w:rPr>
        <w:t>Brawer</w:t>
      </w:r>
      <w:r w:rsidRPr="2D176A4A" w:rsidR="2D176A4A">
        <w:rPr>
          <w:rFonts w:ascii="Calibri" w:hAnsi="Calibri" w:eastAsia="Calibri" w:cs="Calibri"/>
          <w:noProof w:val="0"/>
          <w:sz w:val="22"/>
          <w:szCs w:val="22"/>
          <w:lang w:val="en-US"/>
        </w:rPr>
        <w:t>. N,</w:t>
      </w:r>
      <w:r w:rsidRPr="2D176A4A" w:rsidR="2D176A4A">
        <w:rPr>
          <w:rFonts w:ascii="Calibri" w:hAnsi="Calibri" w:eastAsia="Calibri" w:cs="Calibri"/>
          <w:noProof w:val="0"/>
          <w:sz w:val="22"/>
          <w:szCs w:val="22"/>
          <w:lang w:val="en-US"/>
        </w:rPr>
        <w:t xml:space="preserve"> </w:t>
      </w:r>
      <w:r w:rsidRPr="2D176A4A" w:rsidR="2D176A4A">
        <w:rPr>
          <w:rFonts w:ascii="Calibri" w:hAnsi="Calibri" w:eastAsia="Calibri" w:cs="Calibri"/>
          <w:i w:val="1"/>
          <w:iCs w:val="1"/>
          <w:noProof w:val="0"/>
          <w:sz w:val="22"/>
          <w:szCs w:val="22"/>
          <w:lang w:val="en-US"/>
        </w:rPr>
        <w:t xml:space="preserve">Judaism: Theology, History and Practice, </w:t>
      </w:r>
      <w:r w:rsidRPr="2D176A4A" w:rsidR="2D176A4A">
        <w:rPr>
          <w:rFonts w:ascii="Calibri" w:hAnsi="Calibri" w:eastAsia="Calibri" w:cs="Calibri"/>
          <w:noProof w:val="0"/>
          <w:sz w:val="22"/>
          <w:szCs w:val="22"/>
          <w:lang w:val="en-US"/>
        </w:rPr>
        <w:t>(London, Robinson, 2008)</w:t>
      </w:r>
    </w:p>
    <w:p w:rsidR="2D176A4A" w:rsidP="2D176A4A" w:rsidRDefault="2D176A4A" w14:noSpellErr="1" w14:paraId="33AA27CD" w14:textId="13481DDE">
      <w:pPr>
        <w:pStyle w:val="Normal"/>
        <w:bidi w:val="0"/>
        <w:spacing w:after="160" w:line="240" w:lineRule="auto"/>
        <w:rPr>
          <w:rFonts w:ascii="Calibri" w:hAnsi="Calibri" w:eastAsia="Calibri" w:cs="Calibri"/>
          <w:noProof w:val="0"/>
          <w:sz w:val="22"/>
          <w:szCs w:val="22"/>
          <w:lang w:val="en-US"/>
        </w:rPr>
      </w:pPr>
    </w:p>
    <w:p w:rsidR="2D176A4A" w:rsidP="2D176A4A" w:rsidRDefault="2D176A4A" w14:noSpellErr="1" w14:paraId="1DCEFCC1" w14:textId="11CD5F44">
      <w:pPr>
        <w:pStyle w:val="Normal"/>
        <w:bidi w:val="0"/>
        <w:spacing w:after="160" w:line="240" w:lineRule="auto"/>
        <w:rPr>
          <w:i w:val="0"/>
          <w:iCs w:val="0"/>
          <w:sz w:val="22"/>
          <w:szCs w:val="22"/>
        </w:rPr>
      </w:pPr>
      <w:r w:rsidRPr="2D176A4A" w:rsidR="2D176A4A">
        <w:rPr>
          <w:sz w:val="22"/>
          <w:szCs w:val="22"/>
        </w:rPr>
        <w:t>Robinson</w:t>
      </w:r>
      <w:r w:rsidRPr="2D176A4A" w:rsidR="2D176A4A">
        <w:rPr>
          <w:sz w:val="22"/>
          <w:szCs w:val="22"/>
        </w:rPr>
        <w:t>. G,</w:t>
      </w:r>
      <w:r w:rsidRPr="2D176A4A" w:rsidR="2D176A4A">
        <w:rPr>
          <w:sz w:val="22"/>
          <w:szCs w:val="22"/>
        </w:rPr>
        <w:t xml:space="preserve"> </w:t>
      </w:r>
      <w:r w:rsidRPr="2D176A4A" w:rsidR="2D176A4A">
        <w:rPr>
          <w:i w:val="1"/>
          <w:iCs w:val="1"/>
          <w:sz w:val="22"/>
          <w:szCs w:val="22"/>
        </w:rPr>
        <w:t xml:space="preserve">Essential Judaism: A complete guide to beliefs, customs and rituals, </w:t>
      </w:r>
      <w:r w:rsidRPr="2D176A4A" w:rsidR="2D176A4A">
        <w:rPr>
          <w:i w:val="0"/>
          <w:iCs w:val="0"/>
          <w:sz w:val="22"/>
          <w:szCs w:val="22"/>
        </w:rPr>
        <w:t>(New York, Pocket Books, 2000</w:t>
      </w:r>
      <w:r w:rsidRPr="2D176A4A" w:rsidR="2D176A4A">
        <w:rPr>
          <w:i w:val="0"/>
          <w:iCs w:val="0"/>
          <w:sz w:val="22"/>
          <w:szCs w:val="22"/>
        </w:rPr>
        <w:t>)</w:t>
      </w:r>
    </w:p>
    <w:p w:rsidR="2D176A4A" w:rsidP="2D176A4A" w:rsidRDefault="2D176A4A" w14:noSpellErr="1" w14:paraId="13ADBD91" w14:textId="429FADEF">
      <w:pPr>
        <w:pStyle w:val="Normal"/>
        <w:bidi w:val="0"/>
        <w:spacing w:after="160" w:line="240" w:lineRule="auto"/>
        <w:rPr>
          <w:i w:val="0"/>
          <w:iCs w:val="0"/>
          <w:sz w:val="22"/>
          <w:szCs w:val="22"/>
        </w:rPr>
      </w:pPr>
    </w:p>
    <w:p w:rsidR="2D176A4A" w:rsidP="2D176A4A" w:rsidRDefault="2D176A4A" w14:noSpellErr="1" w14:paraId="74B6C2DF" w14:textId="255038A9">
      <w:pPr>
        <w:pStyle w:val="FootnoteText"/>
        <w:bidi w:val="0"/>
        <w:rPr>
          <w:i w:val="0"/>
          <w:iCs w:val="0"/>
          <w:sz w:val="22"/>
          <w:szCs w:val="22"/>
        </w:rPr>
      </w:pPr>
      <w:r w:rsidRPr="2D176A4A" w:rsidR="2D176A4A">
        <w:rPr>
          <w:sz w:val="22"/>
          <w:szCs w:val="22"/>
        </w:rPr>
        <w:t>Segal</w:t>
      </w:r>
      <w:r w:rsidRPr="2D176A4A" w:rsidR="2D176A4A">
        <w:rPr>
          <w:sz w:val="22"/>
          <w:szCs w:val="22"/>
        </w:rPr>
        <w:t>. E,</w:t>
      </w:r>
      <w:r w:rsidRPr="2D176A4A" w:rsidR="2D176A4A">
        <w:rPr>
          <w:sz w:val="22"/>
          <w:szCs w:val="22"/>
        </w:rPr>
        <w:t xml:space="preserve"> </w:t>
      </w:r>
      <w:r w:rsidRPr="2D176A4A" w:rsidR="2D176A4A">
        <w:rPr>
          <w:i w:val="1"/>
          <w:iCs w:val="1"/>
          <w:sz w:val="22"/>
          <w:szCs w:val="22"/>
        </w:rPr>
        <w:t xml:space="preserve">Introducing Judaism, </w:t>
      </w:r>
      <w:r w:rsidRPr="2D176A4A" w:rsidR="2D176A4A">
        <w:rPr>
          <w:i w:val="0"/>
          <w:iCs w:val="0"/>
          <w:sz w:val="22"/>
          <w:szCs w:val="22"/>
        </w:rPr>
        <w:t>(Oxon, Routledge, 2009)</w:t>
      </w:r>
    </w:p>
    <w:p w:rsidR="2D176A4A" w:rsidP="2D176A4A" w:rsidRDefault="2D176A4A" w14:noSpellErr="1" w14:paraId="6EF4838F" w14:textId="4A65C950">
      <w:pPr>
        <w:pStyle w:val="Normal"/>
        <w:bidi w:val="0"/>
        <w:spacing w:after="160" w:line="240" w:lineRule="auto"/>
        <w:rPr>
          <w:rFonts w:ascii="Calibri" w:hAnsi="Calibri" w:eastAsia="Calibri" w:cs="Calibri"/>
          <w:noProof w:val="0"/>
          <w:sz w:val="22"/>
          <w:szCs w:val="22"/>
          <w:u w:val="single"/>
          <w:lang w:val="en-US"/>
        </w:rPr>
      </w:pPr>
    </w:p>
    <w:p w:rsidR="2D176A4A" w:rsidP="2D176A4A" w:rsidRDefault="2D176A4A" w14:noSpellErr="1" w14:paraId="56F9D588" w14:textId="59980864">
      <w:pPr>
        <w:pStyle w:val="Normal"/>
        <w:bidi w:val="0"/>
        <w:spacing w:after="160" w:line="240" w:lineRule="auto"/>
        <w:rPr>
          <w:rFonts w:ascii="Calibri" w:hAnsi="Calibri" w:eastAsia="Calibri" w:cs="Calibri"/>
          <w:noProof w:val="0"/>
          <w:sz w:val="22"/>
          <w:szCs w:val="22"/>
          <w:lang w:val="en-US"/>
        </w:rPr>
      </w:pPr>
      <w:r w:rsidRPr="2D176A4A" w:rsidR="2D176A4A">
        <w:rPr>
          <w:rFonts w:ascii="Calibri" w:hAnsi="Calibri" w:eastAsia="Calibri" w:cs="Calibri"/>
          <w:noProof w:val="0"/>
          <w:sz w:val="22"/>
          <w:szCs w:val="22"/>
          <w:u w:val="single"/>
          <w:lang w:val="en-US"/>
        </w:rPr>
        <w:t>Other Sources</w:t>
      </w:r>
    </w:p>
    <w:p w:rsidR="2D176A4A" w:rsidP="2D176A4A" w:rsidRDefault="2D176A4A" w14:noSpellErr="1" w14:paraId="083BCD64" w14:textId="0F81E503">
      <w:pPr>
        <w:pStyle w:val="FootnoteText"/>
        <w:bidi w:val="0"/>
        <w:rPr>
          <w:noProof w:val="0"/>
          <w:sz w:val="22"/>
          <w:szCs w:val="22"/>
          <w:lang w:val="en-US"/>
        </w:rPr>
      </w:pPr>
      <w:r w:rsidRPr="2D176A4A" w:rsidR="2D176A4A">
        <w:rPr>
          <w:b w:val="0"/>
          <w:bCs w:val="0"/>
          <w:sz w:val="22"/>
          <w:szCs w:val="22"/>
        </w:rPr>
        <w:t xml:space="preserve">BBC, </w:t>
      </w:r>
      <w:r w:rsidRPr="2D176A4A" w:rsidR="2D176A4A">
        <w:rPr>
          <w:b w:val="0"/>
          <w:bCs w:val="0"/>
          <w:i w:val="1"/>
          <w:iCs w:val="1"/>
          <w:sz w:val="22"/>
          <w:szCs w:val="22"/>
        </w:rPr>
        <w:t xml:space="preserve">Yom Kippur – The day of atonement, </w:t>
      </w:r>
      <w:hyperlink r:id="Rbc7bedd99c884796">
        <w:r w:rsidRPr="2D176A4A" w:rsidR="2D176A4A">
          <w:rPr>
            <w:rStyle w:val="Hyperlink"/>
            <w:noProof w:val="0"/>
            <w:sz w:val="22"/>
            <w:szCs w:val="22"/>
            <w:lang w:val="en-US"/>
          </w:rPr>
          <w:t>http://www.bbc.co.uk/religion/religions/judaism/holydays/yomkippur.shtml</w:t>
        </w:r>
      </w:hyperlink>
      <w:r w:rsidRPr="2D176A4A" w:rsidR="2D176A4A">
        <w:rPr>
          <w:noProof w:val="0"/>
          <w:sz w:val="22"/>
          <w:szCs w:val="22"/>
          <w:lang w:val="en-US"/>
        </w:rPr>
        <w:t>, (accessed 25</w:t>
      </w:r>
      <w:r w:rsidRPr="2D176A4A" w:rsidR="2D176A4A">
        <w:rPr>
          <w:noProof w:val="0"/>
          <w:sz w:val="22"/>
          <w:szCs w:val="22"/>
          <w:vertAlign w:val="superscript"/>
          <w:lang w:val="en-US"/>
        </w:rPr>
        <w:t>th</w:t>
      </w:r>
      <w:r w:rsidRPr="2D176A4A" w:rsidR="2D176A4A">
        <w:rPr>
          <w:noProof w:val="0"/>
          <w:sz w:val="22"/>
          <w:szCs w:val="22"/>
          <w:lang w:val="en-US"/>
        </w:rPr>
        <w:t xml:space="preserve"> October 2017)</w:t>
      </w:r>
    </w:p>
    <w:p w:rsidR="2D176A4A" w:rsidP="2D176A4A" w:rsidRDefault="2D176A4A" w14:noSpellErr="1" w14:paraId="4BE21C70" w14:textId="497AD145">
      <w:pPr>
        <w:pStyle w:val="FootnoteText"/>
        <w:bidi w:val="0"/>
        <w:rPr>
          <w:noProof w:val="0"/>
          <w:sz w:val="22"/>
          <w:szCs w:val="22"/>
          <w:lang w:val="en-US"/>
        </w:rPr>
      </w:pPr>
    </w:p>
    <w:p w:rsidR="2D176A4A" w:rsidP="2D176A4A" w:rsidRDefault="2D176A4A" w14:noSpellErr="1" w14:paraId="6EF00DA6" w14:textId="671C9A3E">
      <w:pPr>
        <w:pStyle w:val="FootnoteText"/>
        <w:bidi w:val="0"/>
        <w:rPr>
          <w:noProof w:val="0"/>
          <w:lang w:val="en-US"/>
        </w:rPr>
      </w:pPr>
      <w:r w:rsidR="2D176A4A">
        <w:rPr/>
        <w:t xml:space="preserve">Chabad.org, </w:t>
      </w:r>
      <w:hyperlink r:id="R8b28b949657a4b05">
        <w:r w:rsidRPr="2D176A4A" w:rsidR="2D176A4A">
          <w:rPr>
            <w:rStyle w:val="Hyperlink"/>
            <w:noProof w:val="0"/>
            <w:lang w:val="en-US"/>
          </w:rPr>
          <w:t>http://www.chabad.org/holidays/JewishNewYear/template_cdo/aid/1965282/jewish/What-You-Need-to-Know-About-Yom-Kippur-Synagogue-Services.htm</w:t>
        </w:r>
      </w:hyperlink>
      <w:r w:rsidRPr="2D176A4A" w:rsidR="2D176A4A">
        <w:rPr>
          <w:noProof w:val="0"/>
          <w:lang w:val="en-US"/>
        </w:rPr>
        <w:t>, (accessed 25</w:t>
      </w:r>
      <w:r w:rsidRPr="2D176A4A" w:rsidR="2D176A4A">
        <w:rPr>
          <w:noProof w:val="0"/>
          <w:vertAlign w:val="superscript"/>
          <w:lang w:val="en-US"/>
        </w:rPr>
        <w:t>th</w:t>
      </w:r>
      <w:r w:rsidRPr="2D176A4A" w:rsidR="2D176A4A">
        <w:rPr>
          <w:noProof w:val="0"/>
          <w:lang w:val="en-US"/>
        </w:rPr>
        <w:t xml:space="preserve"> October 2017) </w:t>
      </w:r>
    </w:p>
    <w:p w:rsidR="2D176A4A" w:rsidP="2D176A4A" w:rsidRDefault="2D176A4A" w14:noSpellErr="1" w14:paraId="1C099B40" w14:textId="4001ED87">
      <w:pPr>
        <w:pStyle w:val="FootnoteText"/>
        <w:bidi w:val="0"/>
        <w:rPr>
          <w:noProof w:val="0"/>
          <w:sz w:val="22"/>
          <w:szCs w:val="22"/>
          <w:lang w:val="en-US"/>
        </w:rPr>
      </w:pPr>
    </w:p>
    <w:p w:rsidR="2D176A4A" w:rsidP="2D176A4A" w:rsidRDefault="2D176A4A" w14:noSpellErr="1" w14:paraId="015FEC44" w14:textId="795203BA">
      <w:pPr>
        <w:pStyle w:val="FootnoteText"/>
        <w:bidi w:val="0"/>
        <w:rPr>
          <w:noProof w:val="0"/>
          <w:sz w:val="22"/>
          <w:szCs w:val="22"/>
          <w:lang w:val="en-US"/>
        </w:rPr>
      </w:pPr>
      <w:r w:rsidRPr="2D176A4A" w:rsidR="2D176A4A">
        <w:rPr>
          <w:sz w:val="22"/>
          <w:szCs w:val="22"/>
        </w:rPr>
        <w:t xml:space="preserve">Reform Judaism, </w:t>
      </w:r>
      <w:hyperlink r:id="R9c46f27369de4bed">
        <w:r w:rsidRPr="2D176A4A" w:rsidR="2D176A4A">
          <w:rPr>
            <w:rStyle w:val="Hyperlink"/>
            <w:noProof w:val="0"/>
            <w:sz w:val="22"/>
            <w:szCs w:val="22"/>
            <w:lang w:val="en-US"/>
          </w:rPr>
          <w:t>https://reformjudaism.org/jewish-holidays/yom-kippur-day-atonement</w:t>
        </w:r>
      </w:hyperlink>
      <w:r w:rsidRPr="2D176A4A" w:rsidR="2D176A4A">
        <w:rPr>
          <w:noProof w:val="0"/>
          <w:sz w:val="22"/>
          <w:szCs w:val="22"/>
          <w:lang w:val="en-US"/>
        </w:rPr>
        <w:t>, (accessed 25</w:t>
      </w:r>
      <w:r w:rsidRPr="2D176A4A" w:rsidR="2D176A4A">
        <w:rPr>
          <w:noProof w:val="0"/>
          <w:sz w:val="22"/>
          <w:szCs w:val="22"/>
          <w:vertAlign w:val="superscript"/>
          <w:lang w:val="en-US"/>
        </w:rPr>
        <w:t>th</w:t>
      </w:r>
      <w:r w:rsidRPr="2D176A4A" w:rsidR="2D176A4A">
        <w:rPr>
          <w:noProof w:val="0"/>
          <w:sz w:val="22"/>
          <w:szCs w:val="22"/>
          <w:lang w:val="en-US"/>
        </w:rPr>
        <w:t xml:space="preserve"> October 2017) </w:t>
      </w:r>
    </w:p>
    <w:p w:rsidR="2D176A4A" w:rsidP="2D176A4A" w:rsidRDefault="2D176A4A" w14:noSpellErr="1" w14:paraId="4EE5C15A" w14:textId="3B65E521">
      <w:pPr>
        <w:pStyle w:val="FootnoteText"/>
        <w:bidi w:val="0"/>
        <w:rPr>
          <w:noProof w:val="0"/>
          <w:sz w:val="22"/>
          <w:szCs w:val="22"/>
          <w:lang w:val="en-US"/>
        </w:rPr>
      </w:pPr>
    </w:p>
    <w:p w:rsidR="2D176A4A" w:rsidP="2D176A4A" w:rsidRDefault="2D176A4A" w14:noSpellErr="1" w14:paraId="63B9BB6E" w14:textId="023ECEB6">
      <w:pPr>
        <w:pStyle w:val="Normal"/>
        <w:bidi w:val="0"/>
        <w:spacing w:after="160" w:line="240" w:lineRule="auto"/>
        <w:rPr>
          <w:noProof w:val="0"/>
          <w:sz w:val="22"/>
          <w:szCs w:val="22"/>
          <w:lang w:val="en-US"/>
        </w:rPr>
      </w:pPr>
      <w:r w:rsidRPr="2D176A4A" w:rsidR="2D176A4A">
        <w:rPr>
          <w:sz w:val="22"/>
          <w:szCs w:val="22"/>
        </w:rPr>
        <w:t>Rich</w:t>
      </w:r>
      <w:r w:rsidRPr="2D176A4A" w:rsidR="2D176A4A">
        <w:rPr>
          <w:sz w:val="22"/>
          <w:szCs w:val="22"/>
        </w:rPr>
        <w:t>. T.R,</w:t>
      </w:r>
      <w:r w:rsidRPr="2D176A4A" w:rsidR="2D176A4A">
        <w:rPr>
          <w:sz w:val="22"/>
          <w:szCs w:val="22"/>
        </w:rPr>
        <w:t xml:space="preserve"> </w:t>
      </w:r>
      <w:r w:rsidRPr="2D176A4A" w:rsidR="2D176A4A">
        <w:rPr>
          <w:i w:val="1"/>
          <w:iCs w:val="1"/>
          <w:sz w:val="22"/>
          <w:szCs w:val="22"/>
        </w:rPr>
        <w:t xml:space="preserve">Yom Kippur, </w:t>
      </w:r>
      <w:hyperlink r:id="R4c697967a5b64176">
        <w:r w:rsidRPr="2D176A4A" w:rsidR="2D176A4A">
          <w:rPr>
            <w:rStyle w:val="Hyperlink"/>
            <w:noProof w:val="0"/>
            <w:sz w:val="22"/>
            <w:szCs w:val="22"/>
            <w:lang w:val="en-US"/>
          </w:rPr>
          <w:t>http://www.jewfaq.org/holiday4.htm</w:t>
        </w:r>
      </w:hyperlink>
      <w:r w:rsidRPr="2D176A4A" w:rsidR="2D176A4A">
        <w:rPr>
          <w:noProof w:val="0"/>
          <w:sz w:val="22"/>
          <w:szCs w:val="22"/>
          <w:lang w:val="en-US"/>
        </w:rPr>
        <w:t>, (accessed 25</w:t>
      </w:r>
      <w:r w:rsidRPr="2D176A4A" w:rsidR="2D176A4A">
        <w:rPr>
          <w:noProof w:val="0"/>
          <w:sz w:val="22"/>
          <w:szCs w:val="22"/>
          <w:vertAlign w:val="superscript"/>
          <w:lang w:val="en-US"/>
        </w:rPr>
        <w:t>th</w:t>
      </w:r>
      <w:r w:rsidRPr="2D176A4A" w:rsidR="2D176A4A">
        <w:rPr>
          <w:noProof w:val="0"/>
          <w:sz w:val="22"/>
          <w:szCs w:val="22"/>
          <w:lang w:val="en-US"/>
        </w:rPr>
        <w:t xml:space="preserve"> October 2017)</w:t>
      </w:r>
    </w:p>
    <w:p w:rsidR="2D176A4A" w:rsidP="2D176A4A" w:rsidRDefault="2D176A4A" w14:noSpellErr="1" w14:paraId="74FDCD47" w14:textId="02389248">
      <w:pPr>
        <w:pStyle w:val="Normal"/>
        <w:jc w:val="both"/>
        <w:rPr>
          <w:rFonts w:ascii="Calibri" w:hAnsi="Calibri" w:eastAsia="Calibri" w:cs="Calibri" w:asciiTheme="minorAscii" w:hAnsiTheme="minorAscii" w:eastAsiaTheme="minorAscii" w:cstheme="minorAscii"/>
          <w:noProof w:val="0"/>
          <w:sz w:val="22"/>
          <w:szCs w:val="22"/>
          <w:u w:val="single"/>
          <w:lang w:val="en-US"/>
        </w:rPr>
      </w:pPr>
    </w:p>
    <w:p w:rsidR="2D176A4A" w:rsidP="2D176A4A" w:rsidRDefault="2D176A4A" w14:noSpellErr="1" w14:paraId="790AD6EE" w14:textId="152F7B53">
      <w:pPr>
        <w:pStyle w:val="Normal"/>
        <w:jc w:val="both"/>
        <w:rPr>
          <w:rFonts w:ascii="Calibri" w:hAnsi="Calibri" w:eastAsia="Calibri" w:cs="Calibri" w:asciiTheme="minorAscii" w:hAnsiTheme="minorAscii" w:eastAsiaTheme="minorAscii" w:cstheme="minorAscii"/>
          <w:noProof w:val="0"/>
          <w:sz w:val="22"/>
          <w:szCs w:val="22"/>
          <w:u w:val="single"/>
          <w:lang w:val="en-US"/>
        </w:rPr>
      </w:pPr>
    </w:p>
    <w:p w:rsidR="282B19C6" w:rsidP="41ADCD61" w:rsidRDefault="282B19C6" w14:paraId="725C634A" w14:textId="148AFDD0">
      <w:pPr>
        <w:pStyle w:val="Normal"/>
        <w:jc w:val="both"/>
        <w:rPr>
          <w:rFonts w:ascii="Calibri" w:hAnsi="Calibri" w:eastAsia="Calibri" w:cs="Calibri" w:asciiTheme="minorAscii" w:hAnsiTheme="minorAscii" w:eastAsiaTheme="minorAscii" w:cstheme="minorAscii"/>
          <w:noProof w:val="0"/>
          <w:sz w:val="22"/>
          <w:szCs w:val="22"/>
          <w:u w:val="none"/>
          <w:lang w:val="en-US"/>
        </w:rPr>
      </w:pPr>
    </w:p>
    <w:p w:rsidR="282B19C6" w:rsidP="282B19C6" w:rsidRDefault="282B19C6" w14:paraId="3438AC97" w14:textId="42CF72B7">
      <w:pPr>
        <w:pStyle w:val="Normal"/>
        <w:jc w:val="both"/>
        <w:rPr>
          <w:rFonts w:ascii="Calibri" w:hAnsi="Calibri" w:eastAsia="Calibri" w:cs="Calibri" w:asciiTheme="minorAscii" w:hAnsiTheme="minorAscii" w:eastAsiaTheme="minorAscii" w:cstheme="minorAscii"/>
          <w:noProof w:val="0"/>
          <w:sz w:val="22"/>
          <w:szCs w:val="22"/>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282B19C6" w:rsidRDefault="282B19C6" w14:paraId="1ED9B65A" w14:textId="111699AD">
      <w:pPr>
        <w:spacing w:after="0" w:line="240" w:lineRule="auto"/>
      </w:pPr>
      <w:r>
        <w:separator/>
      </w:r>
    </w:p>
  </w:footnote>
  <w:footnote w:type="continuationSeparator" w:id="0">
    <w:p w:rsidR="282B19C6" w:rsidRDefault="282B19C6" w14:paraId="7FD411FC" w14:textId="3D1C9C39">
      <w:pPr>
        <w:spacing w:after="0" w:line="240" w:lineRule="auto"/>
      </w:pPr>
      <w:r>
        <w:continuationSeparator/>
      </w:r>
    </w:p>
  </w:footnote>
  <w:footnote w:id="15644">
    <w:p w:rsidR="282B19C6" w:rsidP="282B19C6" w:rsidRDefault="282B19C6" w14:noSpellErr="1" w14:paraId="4A874CBC" w14:textId="3CAAC05F">
      <w:pPr>
        <w:pStyle w:val="Normal"/>
        <w:bidi w:val="0"/>
        <w:spacing w:after="160" w:line="240" w:lineRule="auto"/>
        <w:rPr>
          <w:rFonts w:ascii="Calibri" w:hAnsi="Calibri" w:eastAsia="Calibri" w:cs="Calibri"/>
          <w:noProof w:val="0"/>
          <w:sz w:val="20"/>
          <w:szCs w:val="20"/>
          <w:lang w:val="en-US"/>
        </w:rPr>
      </w:pPr>
      <w:r w:rsidRPr="282B19C6">
        <w:rPr>
          <w:rStyle w:val="FootnoteReference"/>
        </w:rPr>
        <w:footnoteRef/>
      </w:r>
      <w:r w:rsidR="282B19C6">
        <w:rPr/>
        <w:t xml:space="preserve"> </w:t>
      </w:r>
      <w:r w:rsidRPr="282B19C6" w:rsidR="282B19C6">
        <w:rPr>
          <w:rFonts w:ascii="Calibri" w:hAnsi="Calibri" w:eastAsia="Calibri" w:cs="Calibri"/>
          <w:noProof w:val="0"/>
          <w:sz w:val="20"/>
          <w:szCs w:val="20"/>
          <w:lang w:val="en-US"/>
        </w:rPr>
        <w:t xml:space="preserve">Naftali Brawer, </w:t>
      </w:r>
      <w:r w:rsidRPr="282B19C6" w:rsidR="282B19C6">
        <w:rPr>
          <w:rFonts w:ascii="Calibri" w:hAnsi="Calibri" w:eastAsia="Calibri" w:cs="Calibri"/>
          <w:i w:val="1"/>
          <w:iCs w:val="1"/>
          <w:noProof w:val="0"/>
          <w:sz w:val="20"/>
          <w:szCs w:val="20"/>
          <w:lang w:val="en-US"/>
        </w:rPr>
        <w:t xml:space="preserve">Judaism: Theology, History and Practice, </w:t>
      </w:r>
      <w:r w:rsidRPr="282B19C6" w:rsidR="282B19C6">
        <w:rPr>
          <w:rFonts w:ascii="Calibri" w:hAnsi="Calibri" w:eastAsia="Calibri" w:cs="Calibri"/>
          <w:noProof w:val="0"/>
          <w:sz w:val="20"/>
          <w:szCs w:val="20"/>
          <w:lang w:val="en-US"/>
        </w:rPr>
        <w:t>(London, Robinson, 2008), p.199</w:t>
      </w:r>
    </w:p>
    <w:p w:rsidR="282B19C6" w:rsidP="282B19C6" w:rsidRDefault="282B19C6" w14:paraId="4D3137E5" w14:textId="79F56F13">
      <w:pPr>
        <w:pStyle w:val="FootnoteText"/>
        <w:bidi w:val="0"/>
      </w:pPr>
    </w:p>
  </w:footnote>
  <w:footnote w:id="12162">
    <w:p w:rsidR="282B19C6" w:rsidP="282B19C6" w:rsidRDefault="282B19C6" w14:noSpellErr="1" w14:paraId="3B1D2BA8" w14:textId="3C871A55">
      <w:pPr>
        <w:pStyle w:val="FootnoteText"/>
        <w:bidi w:val="0"/>
      </w:pPr>
      <w:r w:rsidRPr="282B19C6">
        <w:rPr>
          <w:rStyle w:val="FootnoteReference"/>
        </w:rPr>
        <w:footnoteRef/>
      </w:r>
      <w:r w:rsidR="282B19C6">
        <w:rPr/>
        <w:t xml:space="preserve"> Eliezer Segal, </w:t>
      </w:r>
      <w:r w:rsidRPr="282B19C6" w:rsidR="282B19C6">
        <w:rPr>
          <w:i w:val="1"/>
          <w:iCs w:val="1"/>
        </w:rPr>
        <w:t xml:space="preserve">Introducing Judaism, </w:t>
      </w:r>
      <w:r w:rsidRPr="282B19C6" w:rsidR="282B19C6">
        <w:rPr>
          <w:i w:val="0"/>
          <w:iCs w:val="0"/>
        </w:rPr>
        <w:t>(Oxon, Routledge, 2009), pp.287-288</w:t>
      </w:r>
    </w:p>
  </w:footnote>
  <w:footnote w:id="28335">
    <w:p w:rsidR="282B19C6" w:rsidP="2D176A4A" w:rsidRDefault="282B19C6" w14:paraId="2D17D4E9" w14:textId="37F50B74" w14:noSpellErr="1">
      <w:pPr>
        <w:pStyle w:val="Normal"/>
        <w:bidi w:val="0"/>
        <w:spacing w:after="160" w:line="240" w:lineRule="auto"/>
        <w:rPr>
          <w:rFonts w:ascii="Calibri" w:hAnsi="Calibri" w:eastAsia="Calibri" w:cs="Calibri"/>
          <w:noProof w:val="0"/>
          <w:sz w:val="20"/>
          <w:szCs w:val="20"/>
          <w:lang w:val="en-US"/>
        </w:rPr>
      </w:pPr>
      <w:r w:rsidRPr="282B19C6">
        <w:rPr>
          <w:rStyle w:val="FootnoteReference"/>
        </w:rPr>
        <w:footnoteRef/>
      </w:r>
      <w:r w:rsidRPr="2D176A4A" w:rsidR="282B19C6">
        <w:rPr/>
        <w:t xml:space="preserve"> </w:t>
      </w:r>
      <w:r w:rsidRPr="2D176A4A" w:rsidR="282B19C6">
        <w:rPr/>
        <w:t xml:space="preserve"> </w:t>
      </w:r>
      <w:r w:rsidRPr="282B19C6" w:rsidR="282B19C6">
        <w:rPr>
          <w:rFonts w:ascii="Calibri" w:hAnsi="Calibri" w:eastAsia="Calibri" w:cs="Calibri"/>
          <w:noProof w:val="0"/>
          <w:sz w:val="20"/>
          <w:szCs w:val="20"/>
          <w:lang w:val="en-US"/>
        </w:rPr>
        <w:t xml:space="preserve">Naftali Brawer, </w:t>
      </w:r>
      <w:r w:rsidRPr="2D176A4A" w:rsidR="282B19C6">
        <w:rPr>
          <w:rFonts w:ascii="Calibri" w:hAnsi="Calibri" w:eastAsia="Calibri" w:cs="Calibri"/>
          <w:i w:val="1"/>
          <w:iCs w:val="1"/>
          <w:noProof w:val="0"/>
          <w:sz w:val="20"/>
          <w:szCs w:val="20"/>
          <w:lang w:val="en-US"/>
        </w:rPr>
        <w:t xml:space="preserve">Judaism: Theology, History and Practice, </w:t>
      </w:r>
      <w:r w:rsidRPr="282B19C6" w:rsidR="282B19C6">
        <w:rPr>
          <w:rFonts w:ascii="Calibri" w:hAnsi="Calibri" w:eastAsia="Calibri" w:cs="Calibri"/>
          <w:noProof w:val="0"/>
          <w:sz w:val="20"/>
          <w:szCs w:val="20"/>
          <w:lang w:val="en-US"/>
        </w:rPr>
        <w:t>(London, Robinson, 2008), p.199</w:t>
      </w:r>
    </w:p>
    <w:p w:rsidR="282B19C6" w:rsidP="282B19C6" w:rsidRDefault="282B19C6" w14:paraId="7C4A7490" w14:textId="7B750B1E">
      <w:pPr>
        <w:pStyle w:val="FootnoteText"/>
        <w:bidi w:val="0"/>
      </w:pPr>
    </w:p>
  </w:footnote>
  <w:footnote w:id="13854">
    <w:p w:rsidR="282B19C6" w:rsidP="282B19C6" w:rsidRDefault="282B19C6" w14:noSpellErr="1" w14:paraId="4BC86251" w14:textId="45025DB7">
      <w:pPr>
        <w:pStyle w:val="Normal"/>
        <w:bidi w:val="0"/>
        <w:spacing w:after="160" w:line="240" w:lineRule="auto"/>
        <w:rPr>
          <w:noProof w:val="0"/>
          <w:lang w:val="en-US"/>
        </w:rPr>
      </w:pPr>
      <w:r w:rsidRPr="282B19C6">
        <w:rPr>
          <w:rStyle w:val="FootnoteReference"/>
        </w:rPr>
        <w:footnoteRef/>
      </w:r>
      <w:r w:rsidRPr="282B19C6" w:rsidR="282B19C6">
        <w:rPr>
          <w:rFonts w:ascii="Calibri" w:hAnsi="Calibri" w:eastAsia="Calibri" w:cs="Calibri"/>
          <w:noProof w:val="0"/>
          <w:sz w:val="20"/>
          <w:szCs w:val="20"/>
          <w:lang w:val="en-US"/>
        </w:rPr>
        <w:t xml:space="preserve">Naftali Brawer, </w:t>
      </w:r>
      <w:r w:rsidRPr="282B19C6" w:rsidR="282B19C6">
        <w:rPr>
          <w:rFonts w:ascii="Calibri" w:hAnsi="Calibri" w:eastAsia="Calibri" w:cs="Calibri"/>
          <w:i w:val="1"/>
          <w:iCs w:val="1"/>
          <w:noProof w:val="0"/>
          <w:sz w:val="20"/>
          <w:szCs w:val="20"/>
          <w:lang w:val="en-US"/>
        </w:rPr>
        <w:t xml:space="preserve">Judaism: Theology, History and Practice, </w:t>
      </w:r>
      <w:r w:rsidRPr="282B19C6" w:rsidR="282B19C6">
        <w:rPr>
          <w:rFonts w:ascii="Calibri" w:hAnsi="Calibri" w:eastAsia="Calibri" w:cs="Calibri"/>
          <w:noProof w:val="0"/>
          <w:sz w:val="20"/>
          <w:szCs w:val="20"/>
          <w:lang w:val="en-US"/>
        </w:rPr>
        <w:t>(London, Robinson, 2008), p.19</w:t>
      </w:r>
      <w:r w:rsidRPr="282B19C6" w:rsidR="282B19C6">
        <w:rPr>
          <w:rFonts w:ascii="Calibri" w:hAnsi="Calibri" w:eastAsia="Calibri" w:cs="Calibri"/>
          <w:noProof w:val="0"/>
          <w:sz w:val="20"/>
          <w:szCs w:val="20"/>
          <w:lang w:val="en-US"/>
        </w:rPr>
        <w:t>4</w:t>
      </w:r>
      <w:r w:rsidR="282B19C6">
        <w:rPr/>
        <w:t xml:space="preserve"> </w:t>
      </w:r>
    </w:p>
  </w:footnote>
  <w:footnote w:id="4375">
    <w:p w:rsidR="282B19C6" w:rsidP="282B19C6" w:rsidRDefault="282B19C6" w14:noSpellErr="1" w14:paraId="7DAEE555" w14:textId="15916C9A">
      <w:pPr>
        <w:pStyle w:val="FootnoteText"/>
        <w:bidi w:val="0"/>
        <w:rPr>
          <w:noProof w:val="0"/>
          <w:lang w:val="en-US"/>
        </w:rPr>
      </w:pPr>
      <w:r w:rsidRPr="282B19C6">
        <w:rPr>
          <w:rStyle w:val="FootnoteReference"/>
        </w:rPr>
        <w:footnoteRef/>
      </w:r>
      <w:r w:rsidR="282B19C6">
        <w:rPr/>
        <w:t xml:space="preserve"> </w:t>
      </w:r>
      <w:r w:rsidR="282B19C6">
        <w:rPr/>
        <w:t xml:space="preserve">Tracey R Rich, </w:t>
      </w:r>
      <w:r w:rsidRPr="282B19C6" w:rsidR="282B19C6">
        <w:rPr>
          <w:i w:val="1"/>
          <w:iCs w:val="1"/>
        </w:rPr>
        <w:t xml:space="preserve">Yom Kippur, </w:t>
      </w:r>
      <w:hyperlink r:id="R8f2e454bf8b34ff8">
        <w:r w:rsidRPr="282B19C6" w:rsidR="282B19C6">
          <w:rPr>
            <w:rStyle w:val="Hyperlink"/>
            <w:noProof w:val="0"/>
            <w:lang w:val="en-US"/>
          </w:rPr>
          <w:t>http://www.jewfaq.org/holiday4.htm</w:t>
        </w:r>
      </w:hyperlink>
      <w:r w:rsidRPr="282B19C6" w:rsidR="282B19C6">
        <w:rPr>
          <w:noProof w:val="0"/>
          <w:lang w:val="en-US"/>
        </w:rPr>
        <w:t>, (accessed 25</w:t>
      </w:r>
      <w:r w:rsidRPr="282B19C6" w:rsidR="282B19C6">
        <w:rPr>
          <w:noProof w:val="0"/>
          <w:vertAlign w:val="superscript"/>
          <w:lang w:val="en-US"/>
        </w:rPr>
        <w:t>th</w:t>
      </w:r>
      <w:r w:rsidRPr="282B19C6" w:rsidR="282B19C6">
        <w:rPr>
          <w:noProof w:val="0"/>
          <w:lang w:val="en-US"/>
        </w:rPr>
        <w:t xml:space="preserve"> October 2017)</w:t>
      </w:r>
    </w:p>
  </w:footnote>
  <w:footnote w:id="14248">
    <w:p w:rsidR="282B19C6" w:rsidP="282B19C6" w:rsidRDefault="282B19C6" w14:noSpellErr="1" w14:paraId="1E787F9D" w14:textId="7FDB5A26">
      <w:pPr>
        <w:pStyle w:val="FootnoteText"/>
        <w:bidi w:val="0"/>
        <w:rPr>
          <w:rFonts w:ascii="Calibri" w:hAnsi="Calibri" w:eastAsia="Calibri" w:cs="Calibri"/>
          <w:noProof w:val="0"/>
          <w:sz w:val="20"/>
          <w:szCs w:val="20"/>
          <w:lang w:val="en-US"/>
        </w:rPr>
      </w:pPr>
      <w:r w:rsidRPr="282B19C6">
        <w:rPr>
          <w:rStyle w:val="FootnoteReference"/>
        </w:rPr>
        <w:footnoteRef/>
      </w:r>
      <w:r w:rsidR="282B19C6">
        <w:rPr/>
        <w:t xml:space="preserve"> </w:t>
      </w:r>
      <w:r w:rsidRPr="282B19C6" w:rsidR="282B19C6">
        <w:rPr>
          <w:rFonts w:ascii="Calibri" w:hAnsi="Calibri" w:eastAsia="Calibri" w:cs="Calibri"/>
          <w:noProof w:val="0"/>
          <w:sz w:val="20"/>
          <w:szCs w:val="20"/>
          <w:lang w:val="en-US"/>
        </w:rPr>
        <w:t xml:space="preserve">Naftali Brawer, </w:t>
      </w:r>
      <w:r w:rsidRPr="282B19C6" w:rsidR="282B19C6">
        <w:rPr>
          <w:rFonts w:ascii="Calibri" w:hAnsi="Calibri" w:eastAsia="Calibri" w:cs="Calibri"/>
          <w:i w:val="1"/>
          <w:iCs w:val="1"/>
          <w:noProof w:val="0"/>
          <w:sz w:val="20"/>
          <w:szCs w:val="20"/>
          <w:lang w:val="en-US"/>
        </w:rPr>
        <w:t xml:space="preserve">Judaism: Theology, History and Practice, </w:t>
      </w:r>
      <w:r w:rsidRPr="282B19C6" w:rsidR="282B19C6">
        <w:rPr>
          <w:rFonts w:ascii="Calibri" w:hAnsi="Calibri" w:eastAsia="Calibri" w:cs="Calibri"/>
          <w:noProof w:val="0"/>
          <w:sz w:val="20"/>
          <w:szCs w:val="20"/>
          <w:lang w:val="en-US"/>
        </w:rPr>
        <w:t>(London, Robinson, 2008), p.199</w:t>
      </w:r>
    </w:p>
  </w:footnote>
  <w:footnote w:id="9973">
    <w:p w:rsidR="282B19C6" w:rsidP="282B19C6" w:rsidRDefault="282B19C6" w14:noSpellErr="1" w14:paraId="1DCBC5C4" w14:textId="722F966A">
      <w:pPr>
        <w:pStyle w:val="FootnoteText"/>
        <w:bidi w:val="0"/>
      </w:pPr>
      <w:r w:rsidRPr="282B19C6">
        <w:rPr>
          <w:rStyle w:val="FootnoteReference"/>
        </w:rPr>
        <w:footnoteRef/>
      </w:r>
      <w:r w:rsidR="282B19C6">
        <w:rPr/>
        <w:t xml:space="preserve"> George Robinson, </w:t>
      </w:r>
      <w:r w:rsidRPr="282B19C6" w:rsidR="282B19C6">
        <w:rPr>
          <w:i w:val="1"/>
          <w:iCs w:val="1"/>
        </w:rPr>
        <w:t xml:space="preserve">Essential Judaism: A complete guide to beliefs, customs and rituals, </w:t>
      </w:r>
      <w:r w:rsidRPr="282B19C6" w:rsidR="282B19C6">
        <w:rPr>
          <w:i w:val="0"/>
          <w:iCs w:val="0"/>
        </w:rPr>
        <w:t>(New York, Pocket Books, 2000), p.97</w:t>
      </w:r>
    </w:p>
  </w:footnote>
  <w:footnote w:id="5422">
    <w:p w:rsidR="282B19C6" w:rsidP="282B19C6" w:rsidRDefault="282B19C6" w14:noSpellErr="1" w14:paraId="2A6E8AE6" w14:textId="65929941">
      <w:pPr>
        <w:pStyle w:val="FootnoteText"/>
        <w:bidi w:val="0"/>
        <w:rPr>
          <w:rFonts w:ascii="Calibri" w:hAnsi="Calibri" w:eastAsia="Calibri" w:cs="Calibri"/>
          <w:noProof w:val="0"/>
          <w:sz w:val="20"/>
          <w:szCs w:val="20"/>
          <w:lang w:val="en-US"/>
        </w:rPr>
      </w:pPr>
      <w:r w:rsidRPr="282B19C6">
        <w:rPr>
          <w:rStyle w:val="FootnoteReference"/>
        </w:rPr>
        <w:footnoteRef/>
      </w:r>
      <w:r w:rsidR="282B19C6">
        <w:rPr/>
        <w:t xml:space="preserve"> </w:t>
      </w:r>
      <w:r w:rsidRPr="282B19C6" w:rsidR="282B19C6">
        <w:rPr>
          <w:rFonts w:ascii="Calibri" w:hAnsi="Calibri" w:eastAsia="Calibri" w:cs="Calibri"/>
          <w:noProof w:val="0"/>
          <w:sz w:val="20"/>
          <w:szCs w:val="20"/>
          <w:lang w:val="en-US"/>
        </w:rPr>
        <w:t xml:space="preserve">Naftali Brawer, </w:t>
      </w:r>
      <w:r w:rsidRPr="282B19C6" w:rsidR="282B19C6">
        <w:rPr>
          <w:rFonts w:ascii="Calibri" w:hAnsi="Calibri" w:eastAsia="Calibri" w:cs="Calibri"/>
          <w:i w:val="1"/>
          <w:iCs w:val="1"/>
          <w:noProof w:val="0"/>
          <w:sz w:val="20"/>
          <w:szCs w:val="20"/>
          <w:lang w:val="en-US"/>
        </w:rPr>
        <w:t xml:space="preserve">Judaism: Theology, History and Practice, </w:t>
      </w:r>
      <w:r w:rsidRPr="282B19C6" w:rsidR="282B19C6">
        <w:rPr>
          <w:rFonts w:ascii="Calibri" w:hAnsi="Calibri" w:eastAsia="Calibri" w:cs="Calibri"/>
          <w:noProof w:val="0"/>
          <w:sz w:val="20"/>
          <w:szCs w:val="20"/>
          <w:lang w:val="en-US"/>
        </w:rPr>
        <w:t>(London, Robinson, 2008), p.199</w:t>
      </w:r>
    </w:p>
  </w:footnote>
  <w:footnote w:id="1201">
    <w:p w:rsidR="282B19C6" w:rsidP="282B19C6" w:rsidRDefault="282B19C6" w14:noSpellErr="1" w14:paraId="17677F10" w14:textId="3AE399E8">
      <w:pPr>
        <w:pStyle w:val="FootnoteText"/>
        <w:bidi w:val="0"/>
      </w:pPr>
      <w:r w:rsidRPr="282B19C6">
        <w:rPr>
          <w:rStyle w:val="FootnoteReference"/>
        </w:rPr>
        <w:footnoteRef/>
      </w:r>
      <w:r w:rsidR="282B19C6">
        <w:rPr/>
        <w:t xml:space="preserve"> </w:t>
      </w:r>
      <w:r w:rsidR="282B19C6">
        <w:rPr/>
        <w:t xml:space="preserve">Eliezer Segal, </w:t>
      </w:r>
      <w:r w:rsidRPr="282B19C6" w:rsidR="282B19C6">
        <w:rPr>
          <w:i w:val="1"/>
          <w:iCs w:val="1"/>
        </w:rPr>
        <w:t xml:space="preserve">Introducing Judaism, </w:t>
      </w:r>
      <w:r w:rsidRPr="282B19C6" w:rsidR="282B19C6">
        <w:rPr>
          <w:i w:val="0"/>
          <w:iCs w:val="0"/>
        </w:rPr>
        <w:t>(Oxon, Routledge, 2009), p</w:t>
      </w:r>
      <w:r w:rsidRPr="282B19C6" w:rsidR="282B19C6">
        <w:rPr>
          <w:i w:val="0"/>
          <w:iCs w:val="0"/>
        </w:rPr>
        <w:t xml:space="preserve">. </w:t>
      </w:r>
      <w:r w:rsidRPr="282B19C6" w:rsidR="282B19C6">
        <w:rPr>
          <w:i w:val="0"/>
          <w:iCs w:val="0"/>
        </w:rPr>
        <w:t>288</w:t>
      </w:r>
    </w:p>
  </w:footnote>
  <w:footnote w:id="32723">
    <w:p w:rsidR="282B19C6" w:rsidP="282B19C6" w:rsidRDefault="282B19C6" w14:noSpellErr="1" w14:paraId="2AE6E898" w14:textId="4B28F0E0">
      <w:pPr>
        <w:pStyle w:val="FootnoteText"/>
        <w:bidi w:val="0"/>
        <w:rPr>
          <w:noProof w:val="0"/>
          <w:lang w:val="en-US"/>
        </w:rPr>
      </w:pPr>
      <w:r w:rsidRPr="282B19C6">
        <w:rPr>
          <w:rStyle w:val="FootnoteReference"/>
        </w:rPr>
        <w:footnoteRef/>
      </w:r>
      <w:r w:rsidR="282B19C6">
        <w:rPr/>
        <w:t xml:space="preserve"> Reform Judaism, </w:t>
      </w:r>
      <w:hyperlink r:id="R58c6ac6e2b264153">
        <w:r w:rsidRPr="282B19C6" w:rsidR="282B19C6">
          <w:rPr>
            <w:rStyle w:val="Hyperlink"/>
            <w:noProof w:val="0"/>
            <w:lang w:val="en-US"/>
          </w:rPr>
          <w:t>https://reformjudaism.org/jewish-holidays/yom-kippur-day-atonement</w:t>
        </w:r>
      </w:hyperlink>
      <w:r w:rsidRPr="282B19C6" w:rsidR="282B19C6">
        <w:rPr>
          <w:noProof w:val="0"/>
          <w:lang w:val="en-US"/>
        </w:rPr>
        <w:t>, (accessed 25</w:t>
      </w:r>
      <w:r w:rsidRPr="282B19C6" w:rsidR="282B19C6">
        <w:rPr>
          <w:noProof w:val="0"/>
          <w:vertAlign w:val="superscript"/>
          <w:lang w:val="en-US"/>
        </w:rPr>
        <w:t>th</w:t>
      </w:r>
      <w:r w:rsidRPr="282B19C6" w:rsidR="282B19C6">
        <w:rPr>
          <w:noProof w:val="0"/>
          <w:lang w:val="en-US"/>
        </w:rPr>
        <w:t xml:space="preserve"> October 2017) </w:t>
      </w:r>
    </w:p>
  </w:footnote>
  <w:footnote w:id="293">
    <w:p w:rsidR="41ADCD61" w:rsidP="41ADCD61" w:rsidRDefault="41ADCD61" w14:noSpellErr="1" w14:paraId="282658A0" w14:textId="3A0457E3">
      <w:pPr>
        <w:pStyle w:val="FootnoteText"/>
        <w:bidi w:val="0"/>
        <w:rPr>
          <w:noProof w:val="0"/>
          <w:lang w:val="en-US"/>
        </w:rPr>
      </w:pPr>
      <w:r w:rsidRPr="41ADCD61">
        <w:rPr>
          <w:rStyle w:val="FootnoteReference"/>
        </w:rPr>
        <w:footnoteRef/>
      </w:r>
      <w:r w:rsidR="41ADCD61">
        <w:rPr/>
        <w:t xml:space="preserve"> Chabad.org, </w:t>
      </w:r>
      <w:hyperlink r:id="Rffed6ea8659e4993">
        <w:r w:rsidRPr="41ADCD61" w:rsidR="41ADCD61">
          <w:rPr>
            <w:rStyle w:val="Hyperlink"/>
            <w:noProof w:val="0"/>
            <w:lang w:val="en-US"/>
          </w:rPr>
          <w:t>http://www.chabad.org/holidays/JewishNewYear/template_cdo/aid/1965282/jewish/What-You-Need-to-Know-About-Yom-Kippur-Synagogue-Services.htm</w:t>
        </w:r>
      </w:hyperlink>
      <w:r w:rsidRPr="41ADCD61" w:rsidR="41ADCD61">
        <w:rPr>
          <w:noProof w:val="0"/>
          <w:lang w:val="en-US"/>
        </w:rPr>
        <w:t>, (accessed 25</w:t>
      </w:r>
      <w:r w:rsidRPr="41ADCD61" w:rsidR="41ADCD61">
        <w:rPr>
          <w:noProof w:val="0"/>
          <w:vertAlign w:val="superscript"/>
          <w:lang w:val="en-US"/>
        </w:rPr>
        <w:t>th</w:t>
      </w:r>
      <w:r w:rsidRPr="41ADCD61" w:rsidR="41ADCD61">
        <w:rPr>
          <w:noProof w:val="0"/>
          <w:lang w:val="en-US"/>
        </w:rPr>
        <w:t xml:space="preserve"> October 2017)</w:t>
      </w:r>
    </w:p>
  </w:footnote>
  <w:footnote w:id="15073">
    <w:p w:rsidR="41ADCD61" w:rsidP="41ADCD61" w:rsidRDefault="41ADCD61" w14:noSpellErr="1" w14:paraId="5743AF39" w14:textId="623832AF">
      <w:pPr>
        <w:pStyle w:val="FootnoteText"/>
        <w:bidi w:val="0"/>
      </w:pPr>
      <w:r w:rsidRPr="41ADCD61">
        <w:rPr>
          <w:rStyle w:val="FootnoteReference"/>
        </w:rPr>
        <w:footnoteRef/>
      </w:r>
      <w:r w:rsidR="41ADCD61">
        <w:rPr/>
        <w:t xml:space="preserve"> E</w:t>
      </w:r>
      <w:r w:rsidR="41ADCD61">
        <w:rPr/>
        <w:t>liezer</w:t>
      </w:r>
      <w:r w:rsidR="41ADCD61">
        <w:rPr/>
        <w:t xml:space="preserve"> Segal, </w:t>
      </w:r>
      <w:r w:rsidRPr="41ADCD61" w:rsidR="41ADCD61">
        <w:rPr>
          <w:i w:val="1"/>
          <w:iCs w:val="1"/>
        </w:rPr>
        <w:t xml:space="preserve">Introducing Judaism, </w:t>
      </w:r>
      <w:r w:rsidRPr="41ADCD61" w:rsidR="41ADCD61">
        <w:rPr>
          <w:i w:val="0"/>
          <w:iCs w:val="0"/>
        </w:rPr>
        <w:t>(Oxon, Routledge, 2009), p</w:t>
      </w:r>
      <w:r w:rsidRPr="41ADCD61" w:rsidR="41ADCD61">
        <w:rPr>
          <w:i w:val="0"/>
          <w:iCs w:val="0"/>
        </w:rPr>
        <w:t xml:space="preserve">. </w:t>
      </w:r>
      <w:r w:rsidRPr="41ADCD61" w:rsidR="41ADCD61">
        <w:rPr>
          <w:i w:val="0"/>
          <w:iCs w:val="0"/>
        </w:rPr>
        <w:t>288</w:t>
      </w:r>
    </w:p>
  </w:footnote>
  <w:footnote w:id="5057">
    <w:p w:rsidR="41ADCD61" w:rsidP="41ADCD61" w:rsidRDefault="41ADCD61" w14:noSpellErr="1" w14:paraId="4311852B" w14:textId="5ACCD0ED">
      <w:pPr>
        <w:pStyle w:val="FootnoteText"/>
        <w:bidi w:val="0"/>
        <w:rPr>
          <w:noProof w:val="0"/>
          <w:lang w:val="en-US"/>
        </w:rPr>
      </w:pPr>
      <w:r w:rsidRPr="41ADCD61">
        <w:rPr>
          <w:rStyle w:val="FootnoteReference"/>
        </w:rPr>
        <w:footnoteRef/>
      </w:r>
      <w:r w:rsidR="41ADCD61">
        <w:rPr/>
        <w:t xml:space="preserve"> </w:t>
      </w:r>
      <w:r w:rsidR="41ADCD61">
        <w:rPr>
          <w:b w:val="0"/>
          <w:bCs w:val="0"/>
        </w:rPr>
        <w:t xml:space="preserve">BBC, </w:t>
      </w:r>
      <w:r w:rsidRPr="41ADCD61" w:rsidR="41ADCD61">
        <w:rPr>
          <w:b w:val="0"/>
          <w:bCs w:val="0"/>
          <w:i w:val="1"/>
          <w:iCs w:val="1"/>
        </w:rPr>
        <w:t xml:space="preserve">Yom Kippur – The day of atonement, </w:t>
      </w:r>
      <w:hyperlink r:id="Rb41aea4b34a44a29">
        <w:r w:rsidRPr="41ADCD61" w:rsidR="41ADCD61">
          <w:rPr>
            <w:rStyle w:val="Hyperlink"/>
            <w:noProof w:val="0"/>
            <w:lang w:val="en-US"/>
          </w:rPr>
          <w:t>http://www.bbc.co.uk/religion/religions/judaism/holydays/yomkippur.shtml</w:t>
        </w:r>
      </w:hyperlink>
      <w:r w:rsidRPr="41ADCD61" w:rsidR="41ADCD61">
        <w:rPr>
          <w:noProof w:val="0"/>
          <w:lang w:val="en-US"/>
        </w:rPr>
        <w:t>, (accessed 25</w:t>
      </w:r>
      <w:r w:rsidRPr="41ADCD61" w:rsidR="41ADCD61">
        <w:rPr>
          <w:noProof w:val="0"/>
          <w:vertAlign w:val="superscript"/>
          <w:lang w:val="en-US"/>
        </w:rPr>
        <w:t>th</w:t>
      </w:r>
      <w:r w:rsidRPr="41ADCD61" w:rsidR="41ADCD61">
        <w:rPr>
          <w:noProof w:val="0"/>
          <w:lang w:val="en-US"/>
        </w:rPr>
        <w:t xml:space="preserve"> October 2017)</w:t>
      </w:r>
    </w:p>
  </w:footnote>
  <w:footnote w:id="20827">
    <w:p w:rsidR="41ADCD61" w:rsidP="41ADCD61" w:rsidRDefault="41ADCD61" w14:noSpellErr="1" w14:paraId="6154E4B3" w14:textId="746728B6">
      <w:pPr>
        <w:pStyle w:val="FootnoteText"/>
        <w:bidi w:val="0"/>
        <w:rPr>
          <w:noProof w:val="0"/>
          <w:lang w:val="en-US"/>
        </w:rPr>
      </w:pPr>
      <w:r w:rsidRPr="41ADCD61">
        <w:rPr>
          <w:rStyle w:val="FootnoteReference"/>
        </w:rPr>
        <w:footnoteRef/>
      </w:r>
      <w:r w:rsidR="41ADCD61">
        <w:rPr/>
        <w:t xml:space="preserve"> Chabad.org, </w:t>
      </w:r>
      <w:hyperlink r:id="R62fd4652635e44db">
        <w:r w:rsidRPr="41ADCD61" w:rsidR="41ADCD61">
          <w:rPr>
            <w:rStyle w:val="Hyperlink"/>
            <w:noProof w:val="0"/>
            <w:lang w:val="en-US"/>
          </w:rPr>
          <w:t>http://www.chabad.org/holidays/JewishNewYear/template_cdo/aid/995094/jewish/A-Step-by-Step-Yom-Kippur-Guide.htm</w:t>
        </w:r>
      </w:hyperlink>
      <w:r w:rsidRPr="41ADCD61" w:rsidR="41ADCD61">
        <w:rPr>
          <w:noProof w:val="0"/>
          <w:lang w:val="en-US"/>
        </w:rPr>
        <w:t>, (accessed 25</w:t>
      </w:r>
      <w:r w:rsidRPr="41ADCD61" w:rsidR="41ADCD61">
        <w:rPr>
          <w:noProof w:val="0"/>
          <w:vertAlign w:val="superscript"/>
          <w:lang w:val="en-US"/>
        </w:rPr>
        <w:t>th</w:t>
      </w:r>
      <w:r w:rsidRPr="41ADCD61" w:rsidR="41ADCD61">
        <w:rPr>
          <w:noProof w:val="0"/>
          <w:lang w:val="en-US"/>
        </w:rPr>
        <w:t xml:space="preserve"> October 2017)</w:t>
      </w:r>
    </w:p>
  </w:footnote>
  <w:footnote w:id="2752">
    <w:p w:rsidR="41ADCD61" w:rsidP="41ADCD61" w:rsidRDefault="41ADCD61" w14:noSpellErr="1" w14:paraId="7176649A" w14:textId="383A2EFB">
      <w:pPr>
        <w:pStyle w:val="FootnoteText"/>
        <w:bidi w:val="0"/>
        <w:rPr>
          <w:noProof w:val="0"/>
          <w:lang w:val="en-US"/>
        </w:rPr>
      </w:pPr>
      <w:r w:rsidRPr="41ADCD61">
        <w:rPr>
          <w:rStyle w:val="FootnoteReference"/>
        </w:rPr>
        <w:footnoteRef/>
      </w:r>
      <w:r w:rsidR="41ADCD61">
        <w:rPr/>
        <w:t xml:space="preserve"> Chabad.org, </w:t>
      </w:r>
      <w:hyperlink r:id="Rc8361aeb5d854d78">
        <w:r w:rsidRPr="41ADCD61" w:rsidR="41ADCD61">
          <w:rPr>
            <w:rStyle w:val="Hyperlink"/>
            <w:noProof w:val="0"/>
            <w:lang w:val="en-US"/>
          </w:rPr>
          <w:t>http://www.chabad.org/holidays/JewishNewYear/template_cdo/aid/1965282/jewish/What-You-Need-to-Know-About-Yom-Kippur-Synagogue-Services.htm</w:t>
        </w:r>
      </w:hyperlink>
      <w:r w:rsidRPr="41ADCD61" w:rsidR="41ADCD61">
        <w:rPr>
          <w:noProof w:val="0"/>
          <w:lang w:val="en-US"/>
        </w:rPr>
        <w:t>, (accessed 25</w:t>
      </w:r>
      <w:r w:rsidRPr="41ADCD61" w:rsidR="41ADCD61">
        <w:rPr>
          <w:noProof w:val="0"/>
          <w:vertAlign w:val="superscript"/>
          <w:lang w:val="en-US"/>
        </w:rPr>
        <w:t>th</w:t>
      </w:r>
      <w:r w:rsidRPr="41ADCD61" w:rsidR="41ADCD61">
        <w:rPr>
          <w:noProof w:val="0"/>
          <w:lang w:val="en-US"/>
        </w:rPr>
        <w:t xml:space="preserve"> October 2017) </w:t>
      </w:r>
    </w:p>
  </w:footnote>
  <w:footnote w:id="32270">
    <w:p w:rsidR="41ADCD61" w:rsidP="41ADCD61" w:rsidRDefault="41ADCD61" w14:noSpellErr="1" w14:paraId="36981FF3" w14:textId="536EFA0A">
      <w:pPr>
        <w:pStyle w:val="FootnoteText"/>
        <w:bidi w:val="0"/>
        <w:rPr>
          <w:noProof w:val="0"/>
          <w:lang w:val="en-US"/>
        </w:rPr>
      </w:pPr>
      <w:r w:rsidRPr="41ADCD61">
        <w:rPr>
          <w:rStyle w:val="FootnoteReference"/>
        </w:rPr>
        <w:footnoteRef/>
      </w:r>
      <w:r w:rsidR="41ADCD61">
        <w:rPr/>
        <w:t xml:space="preserve"> </w:t>
      </w:r>
      <w:r w:rsidR="41ADCD61">
        <w:rPr>
          <w:b w:val="0"/>
          <w:bCs w:val="0"/>
        </w:rPr>
        <w:t xml:space="preserve">BBC, </w:t>
      </w:r>
      <w:r w:rsidRPr="41ADCD61" w:rsidR="41ADCD61">
        <w:rPr>
          <w:b w:val="0"/>
          <w:bCs w:val="0"/>
          <w:i w:val="1"/>
          <w:iCs w:val="1"/>
        </w:rPr>
        <w:t xml:space="preserve">Yom Kippur – The day of atonement, </w:t>
      </w:r>
      <w:hyperlink r:id="Rfb842db8b98d4d85">
        <w:r w:rsidRPr="41ADCD61" w:rsidR="41ADCD61">
          <w:rPr>
            <w:rStyle w:val="Hyperlink"/>
            <w:noProof w:val="0"/>
            <w:lang w:val="en-US"/>
          </w:rPr>
          <w:t>http://www.bbc.co.uk/religion/religions/judaism/holydays/yomkippur.shtml</w:t>
        </w:r>
      </w:hyperlink>
      <w:r w:rsidRPr="41ADCD61" w:rsidR="41ADCD61">
        <w:rPr>
          <w:noProof w:val="0"/>
          <w:lang w:val="en-US"/>
        </w:rPr>
        <w:t>, (accessed 25</w:t>
      </w:r>
      <w:r w:rsidRPr="41ADCD61" w:rsidR="41ADCD61">
        <w:rPr>
          <w:noProof w:val="0"/>
          <w:vertAlign w:val="superscript"/>
          <w:lang w:val="en-US"/>
        </w:rPr>
        <w:t>th</w:t>
      </w:r>
      <w:r w:rsidRPr="41ADCD61" w:rsidR="41ADCD61">
        <w:rPr>
          <w:noProof w:val="0"/>
          <w:lang w:val="en-US"/>
        </w:rPr>
        <w:t xml:space="preserve"> October 2017)</w:t>
      </w:r>
    </w:p>
  </w:footnote>
  <w:footnote w:id="771">
    <w:p w:rsidR="41ADCD61" w:rsidP="41ADCD61" w:rsidRDefault="41ADCD61" w14:noSpellErr="1" w14:paraId="381CA18F" w14:textId="3E9CE634">
      <w:pPr>
        <w:pStyle w:val="FootnoteText"/>
        <w:bidi w:val="0"/>
      </w:pPr>
      <w:r w:rsidRPr="41ADCD61">
        <w:rPr>
          <w:rStyle w:val="FootnoteReference"/>
        </w:rPr>
        <w:footnoteRef/>
      </w:r>
      <w:r w:rsidR="41ADCD61">
        <w:rPr/>
        <w:t xml:space="preserve"> </w:t>
      </w:r>
      <w:r w:rsidR="41ADCD61">
        <w:rPr/>
        <w:t>E</w:t>
      </w:r>
      <w:r w:rsidR="41ADCD61">
        <w:rPr/>
        <w:t>liezer</w:t>
      </w:r>
      <w:r w:rsidR="41ADCD61">
        <w:rPr/>
        <w:t xml:space="preserve"> Segal, </w:t>
      </w:r>
      <w:r w:rsidRPr="41ADCD61" w:rsidR="41ADCD61">
        <w:rPr>
          <w:i w:val="1"/>
          <w:iCs w:val="1"/>
        </w:rPr>
        <w:t xml:space="preserve">Introducing Judaism, </w:t>
      </w:r>
      <w:r w:rsidRPr="41ADCD61" w:rsidR="41ADCD61">
        <w:rPr>
          <w:i w:val="0"/>
          <w:iCs w:val="0"/>
        </w:rPr>
        <w:t>(Oxon, Routledge, 2009), p</w:t>
      </w:r>
      <w:r w:rsidRPr="41ADCD61" w:rsidR="41ADCD61">
        <w:rPr>
          <w:i w:val="0"/>
          <w:iCs w:val="0"/>
        </w:rPr>
        <w:t xml:space="preserve">. </w:t>
      </w:r>
      <w:r w:rsidRPr="41ADCD61" w:rsidR="41ADCD61">
        <w:rPr>
          <w:i w:val="0"/>
          <w:iCs w:val="0"/>
        </w:rPr>
        <w:t>288</w:t>
      </w:r>
    </w:p>
  </w:footnote>
  <w:footnote w:id="544">
    <w:p w:rsidR="41ADCD61" w:rsidP="41ADCD61" w:rsidRDefault="41ADCD61" w14:noSpellErr="1" w14:paraId="42330CF5" w14:textId="719ED550">
      <w:pPr>
        <w:pStyle w:val="FootnoteText"/>
        <w:bidi w:val="0"/>
        <w:rPr>
          <w:rFonts w:ascii="Calibri" w:hAnsi="Calibri" w:eastAsia="Calibri" w:cs="Calibri"/>
          <w:noProof w:val="0"/>
          <w:sz w:val="20"/>
          <w:szCs w:val="20"/>
          <w:lang w:val="en-US"/>
        </w:rPr>
      </w:pPr>
      <w:r w:rsidRPr="41ADCD61">
        <w:rPr>
          <w:rStyle w:val="FootnoteReference"/>
        </w:rPr>
        <w:footnoteRef/>
      </w:r>
      <w:r w:rsidR="41ADCD61">
        <w:rPr/>
        <w:t xml:space="preserve"> </w:t>
      </w:r>
      <w:r w:rsidRPr="41ADCD61" w:rsidR="41ADCD61">
        <w:rPr>
          <w:rFonts w:ascii="Calibri" w:hAnsi="Calibri" w:eastAsia="Calibri" w:cs="Calibri"/>
          <w:noProof w:val="0"/>
          <w:sz w:val="20"/>
          <w:szCs w:val="20"/>
          <w:lang w:val="en-US"/>
        </w:rPr>
        <w:t xml:space="preserve">Naftali Brawer, </w:t>
      </w:r>
      <w:r w:rsidRPr="41ADCD61" w:rsidR="41ADCD61">
        <w:rPr>
          <w:rFonts w:ascii="Calibri" w:hAnsi="Calibri" w:eastAsia="Calibri" w:cs="Calibri"/>
          <w:i w:val="1"/>
          <w:iCs w:val="1"/>
          <w:noProof w:val="0"/>
          <w:sz w:val="20"/>
          <w:szCs w:val="20"/>
          <w:lang w:val="en-US"/>
        </w:rPr>
        <w:t xml:space="preserve">Judaism: Theology, History and Practice, </w:t>
      </w:r>
      <w:r w:rsidRPr="41ADCD61" w:rsidR="41ADCD61">
        <w:rPr>
          <w:rFonts w:ascii="Calibri" w:hAnsi="Calibri" w:eastAsia="Calibri" w:cs="Calibri"/>
          <w:noProof w:val="0"/>
          <w:sz w:val="20"/>
          <w:szCs w:val="20"/>
          <w:lang w:val="en-US"/>
        </w:rPr>
        <w:t>(London, Robinson, 2008), p.199</w:t>
      </w:r>
      <w:r w:rsidRPr="41ADCD61" w:rsidR="41ADCD61">
        <w:rPr>
          <w:rFonts w:ascii="Calibri" w:hAnsi="Calibri" w:eastAsia="Calibri" w:cs="Calibri"/>
          <w:noProof w:val="0"/>
          <w:sz w:val="20"/>
          <w:szCs w:val="20"/>
          <w:lang w:val="en-US"/>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f1537260-d607-411a-845b-b05b781acfc6}"/>
  <w:footnotePr>
    <w:footnote w:id="-1"/>
    <w:footnote w:id="0"/>
  </w:footnotePr>
  <w:rsids>
    <w:rsidRoot w:val="282B19C6"/>
    <w:rsid w:val="282B19C6"/>
    <w:rsid w:val="2D176A4A"/>
    <w:rsid w:val="41ADCD6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c60ad68a1cd54cfa" /><Relationship Type="http://schemas.openxmlformats.org/officeDocument/2006/relationships/hyperlink" Target="http://www.bbc.co.uk/religion/religions/judaism/holydays/yomkippur.shtml" TargetMode="External" Id="Rbc7bedd99c884796" /><Relationship Type="http://schemas.openxmlformats.org/officeDocument/2006/relationships/hyperlink" Target="http://www.chabad.org/holidays/JewishNewYear/template_cdo/aid/1965282/jewish/What-You-Need-to-Know-About-Yom-Kippur-Synagogue-Services.htm" TargetMode="External" Id="R8b28b949657a4b05" /><Relationship Type="http://schemas.openxmlformats.org/officeDocument/2006/relationships/hyperlink" Target="https://reformjudaism.org/jewish-holidays/yom-kippur-day-atonement" TargetMode="External" Id="R9c46f27369de4bed" /><Relationship Type="http://schemas.openxmlformats.org/officeDocument/2006/relationships/hyperlink" Target="http://www.jewfaq.org/holiday4.htm" TargetMode="External" Id="R4c697967a5b64176" /></Relationships>
</file>

<file path=word/_rels/footnotes.xml.rels>&#65279;<?xml version="1.0" encoding="utf-8"?><Relationships xmlns="http://schemas.openxmlformats.org/package/2006/relationships"><Relationship Type="http://schemas.openxmlformats.org/officeDocument/2006/relationships/hyperlink" Target="http://www.jewfaq.org/holiday4.htm" TargetMode="External" Id="R8f2e454bf8b34ff8" /><Relationship Type="http://schemas.openxmlformats.org/officeDocument/2006/relationships/hyperlink" Target="https://reformjudaism.org/jewish-holidays/yom-kippur-day-atonement" TargetMode="External" Id="R58c6ac6e2b264153" /><Relationship Type="http://schemas.openxmlformats.org/officeDocument/2006/relationships/hyperlink" Target="http://www.chabad.org/holidays/JewishNewYear/template_cdo/aid/1965282/jewish/What-You-Need-to-Know-About-Yom-Kippur-Synagogue-Services.htm" TargetMode="External" Id="Rffed6ea8659e4993" /><Relationship Type="http://schemas.openxmlformats.org/officeDocument/2006/relationships/hyperlink" Target="http://www.bbc.co.uk/religion/religions/judaism/holydays/yomkippur.shtml" TargetMode="External" Id="Rb41aea4b34a44a29" /><Relationship Type="http://schemas.openxmlformats.org/officeDocument/2006/relationships/hyperlink" Target="http://www.chabad.org/holidays/JewishNewYear/template_cdo/aid/995094/jewish/A-Step-by-Step-Yom-Kippur-Guide.htm" TargetMode="External" Id="R62fd4652635e44db" /><Relationship Type="http://schemas.openxmlformats.org/officeDocument/2006/relationships/hyperlink" Target="http://www.chabad.org/holidays/JewishNewYear/template_cdo/aid/1965282/jewish/What-You-Need-to-Know-About-Yom-Kippur-Synagogue-Services.htm" TargetMode="External" Id="Rc8361aeb5d854d78" /><Relationship Type="http://schemas.openxmlformats.org/officeDocument/2006/relationships/hyperlink" Target="http://www.bbc.co.uk/religion/religions/judaism/holydays/yomkippur.shtml" TargetMode="External" Id="Rfb842db8b98d4d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2017-10-25T16:12:59.9082318Z</dcterms:created>
  <dcterms:modified xsi:type="dcterms:W3CDTF">2017-10-27T20:30:01.9901424Z</dcterms:modified>
  <dc:creator>Jasmine Dewaine (1600742)</dc:creator>
  <lastModifiedBy>Jasmine Dewaine (1600742)</lastModifiedBy>
</coreProperties>
</file>