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260A9" w:rsidRPr="00A260A9" w:rsidRDefault="00A260A9" w:rsidP="00A260A9">
      <w:pPr>
        <w:spacing w:before="100" w:beforeAutospacing="1" w:after="100" w:afterAutospacing="1" w:line="360" w:lineRule="auto"/>
        <w:rPr>
          <w:rFonts w:ascii="Arial" w:eastAsia="Times New Roman" w:hAnsi="Arial" w:cs="Arial"/>
          <w:kern w:val="0"/>
          <w:sz w:val="30"/>
          <w:szCs w:val="30"/>
          <w:lang w:eastAsia="en-GB"/>
          <w14:ligatures w14:val="none"/>
        </w:rPr>
      </w:pPr>
      <w:r w:rsidRPr="00A260A9">
        <w:rPr>
          <w:rFonts w:ascii="Arial" w:eastAsia="Times New Roman" w:hAnsi="Arial" w:cs="Arial"/>
          <w:bCs/>
          <w:kern w:val="0"/>
          <w:sz w:val="30"/>
          <w:szCs w:val="30"/>
          <w:lang w:eastAsia="en-GB"/>
          <w14:ligatures w14:val="none"/>
        </w:rPr>
        <w:t>Report Title:</w:t>
      </w:r>
    </w:p>
    <w:p w:rsidR="00A260A9" w:rsidRPr="00A260A9" w:rsidRDefault="00A260A9" w:rsidP="00A260A9">
      <w:pPr>
        <w:spacing w:before="100" w:beforeAutospacing="1" w:after="100" w:afterAutospacing="1" w:line="360" w:lineRule="auto"/>
        <w:rPr>
          <w:rFonts w:ascii="Arial" w:eastAsia="Times New Roman" w:hAnsi="Arial" w:cs="Arial"/>
          <w:kern w:val="0"/>
          <w:sz w:val="30"/>
          <w:szCs w:val="30"/>
          <w:lang w:eastAsia="en-GB"/>
          <w14:ligatures w14:val="none"/>
        </w:rPr>
      </w:pPr>
      <w:r w:rsidRPr="00A260A9">
        <w:rPr>
          <w:rFonts w:ascii="Arial" w:eastAsia="Times New Roman" w:hAnsi="Arial" w:cs="Arial"/>
          <w:kern w:val="0"/>
          <w:sz w:val="30"/>
          <w:szCs w:val="30"/>
          <w:lang w:eastAsia="en-GB"/>
          <w14:ligatures w14:val="none"/>
        </w:rPr>
        <w:t xml:space="preserve">Student Name: </w:t>
      </w:r>
    </w:p>
    <w:p w:rsidR="00A260A9" w:rsidRPr="00A260A9" w:rsidRDefault="00A260A9" w:rsidP="00A260A9">
      <w:pPr>
        <w:spacing w:before="100" w:beforeAutospacing="1" w:after="100" w:afterAutospacing="1" w:line="360" w:lineRule="auto"/>
        <w:rPr>
          <w:rFonts w:ascii="Arial" w:eastAsia="Times New Roman" w:hAnsi="Arial" w:cs="Arial"/>
          <w:kern w:val="0"/>
          <w:sz w:val="30"/>
          <w:szCs w:val="30"/>
          <w:lang w:eastAsia="en-GB"/>
          <w14:ligatures w14:val="none"/>
        </w:rPr>
      </w:pPr>
      <w:r w:rsidRPr="00A260A9">
        <w:rPr>
          <w:rFonts w:ascii="Arial" w:eastAsia="Times New Roman" w:hAnsi="Arial" w:cs="Arial"/>
          <w:kern w:val="0"/>
          <w:sz w:val="30"/>
          <w:szCs w:val="30"/>
          <w:lang w:eastAsia="en-GB"/>
          <w14:ligatures w14:val="none"/>
        </w:rPr>
        <w:t xml:space="preserve">Student ID: </w:t>
      </w:r>
    </w:p>
    <w:p w:rsidR="00A260A9" w:rsidRPr="00A260A9" w:rsidRDefault="00A260A9" w:rsidP="00A260A9">
      <w:pPr>
        <w:spacing w:before="100" w:beforeAutospacing="1" w:after="100" w:afterAutospacing="1" w:line="360" w:lineRule="auto"/>
        <w:rPr>
          <w:rFonts w:ascii="Arial" w:eastAsia="Times New Roman" w:hAnsi="Arial" w:cs="Arial"/>
          <w:kern w:val="0"/>
          <w:sz w:val="30"/>
          <w:szCs w:val="30"/>
          <w:lang w:eastAsia="en-GB"/>
          <w14:ligatures w14:val="none"/>
        </w:rPr>
      </w:pPr>
      <w:r w:rsidRPr="00A260A9">
        <w:rPr>
          <w:rFonts w:ascii="Arial" w:eastAsia="Times New Roman" w:hAnsi="Arial" w:cs="Arial"/>
          <w:kern w:val="0"/>
          <w:sz w:val="30"/>
          <w:szCs w:val="30"/>
          <w:lang w:eastAsia="en-GB"/>
          <w14:ligatures w14:val="none"/>
        </w:rPr>
        <w:t xml:space="preserve">Module: </w:t>
      </w:r>
    </w:p>
    <w:p w:rsidR="00A260A9" w:rsidRPr="00A260A9" w:rsidRDefault="00A260A9" w:rsidP="00A260A9">
      <w:pPr>
        <w:spacing w:before="100" w:beforeAutospacing="1" w:after="100" w:afterAutospacing="1" w:line="360" w:lineRule="auto"/>
        <w:rPr>
          <w:rFonts w:ascii="Arial" w:eastAsia="Times New Roman" w:hAnsi="Arial" w:cs="Arial"/>
          <w:kern w:val="0"/>
          <w:sz w:val="40"/>
          <w:szCs w:val="40"/>
          <w:lang w:eastAsia="en-GB"/>
          <w14:ligatures w14:val="none"/>
        </w:rPr>
      </w:pPr>
      <w:r w:rsidRPr="00A260A9">
        <w:rPr>
          <w:rFonts w:ascii="Arial" w:eastAsia="Times New Roman" w:hAnsi="Arial" w:cs="Arial"/>
          <w:kern w:val="0"/>
          <w:sz w:val="30"/>
          <w:szCs w:val="30"/>
          <w:lang w:eastAsia="en-GB"/>
          <w14:ligatures w14:val="none"/>
        </w:rPr>
        <w:t xml:space="preserve">Module Code: </w:t>
      </w:r>
      <w:r w:rsidRPr="00A260A9">
        <w:rPr>
          <w:rFonts w:ascii="Arial" w:eastAsia="Times New Roman" w:hAnsi="Arial" w:cs="Arial"/>
          <w:kern w:val="0"/>
          <w:sz w:val="30"/>
          <w:szCs w:val="30"/>
          <w:lang w:eastAsia="en-GB"/>
          <w14:ligatures w14:val="none"/>
        </w:rPr>
        <w:br/>
      </w:r>
      <w:r w:rsidRPr="006F227E">
        <w:rPr>
          <w:rFonts w:ascii="Arial" w:eastAsia="Times New Roman" w:hAnsi="Arial" w:cs="Arial"/>
          <w:kern w:val="0"/>
          <w:sz w:val="40"/>
          <w:szCs w:val="40"/>
          <w:lang w:eastAsia="en-GB"/>
          <w14:ligatures w14:val="none"/>
        </w:rPr>
        <w:br/>
      </w:r>
    </w:p>
    <w:p w:rsidR="00A260A9" w:rsidRPr="00BB73CB" w:rsidRDefault="00A260A9" w:rsidP="00A260A9">
      <w:pPr>
        <w:spacing w:before="100" w:beforeAutospacing="1" w:after="100" w:afterAutospacing="1" w:line="360" w:lineRule="auto"/>
        <w:outlineLvl w:val="0"/>
        <w:rPr>
          <w:rFonts w:ascii="Arial" w:eastAsia="Times New Roman" w:hAnsi="Arial" w:cs="Arial"/>
          <w:b/>
          <w:bCs/>
          <w:kern w:val="36"/>
          <w:lang w:eastAsia="en-GB"/>
          <w14:ligatures w14:val="none"/>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FF561D">
      <w:pPr>
        <w:pStyle w:val="NormalWeb"/>
        <w:spacing w:line="360" w:lineRule="auto"/>
        <w:rPr>
          <w:rFonts w:ascii="Arial" w:hAnsi="Arial" w:cs="Arial"/>
          <w:b/>
          <w:sz w:val="22"/>
          <w:szCs w:val="22"/>
        </w:rPr>
      </w:pPr>
    </w:p>
    <w:p w:rsidR="00A260A9" w:rsidRDefault="00A260A9" w:rsidP="00A260A9">
      <w:pPr>
        <w:pStyle w:val="NormalWeb"/>
        <w:spacing w:line="360" w:lineRule="auto"/>
        <w:rPr>
          <w:rFonts w:ascii="Arial" w:hAnsi="Arial" w:cs="Arial"/>
          <w:b/>
          <w:sz w:val="22"/>
          <w:szCs w:val="22"/>
        </w:rPr>
      </w:pPr>
    </w:p>
    <w:p w:rsidR="00A260A9" w:rsidRDefault="00A260A9" w:rsidP="00A260A9">
      <w:pPr>
        <w:pStyle w:val="NormalWeb"/>
        <w:spacing w:line="360" w:lineRule="auto"/>
        <w:rPr>
          <w:rFonts w:ascii="Arial" w:hAnsi="Arial" w:cs="Arial"/>
          <w:b/>
          <w:sz w:val="22"/>
          <w:szCs w:val="22"/>
        </w:rPr>
      </w:pPr>
      <w:bookmarkStart w:id="0" w:name="_GoBack"/>
      <w:bookmarkEnd w:id="0"/>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b/>
          <w:sz w:val="22"/>
          <w:szCs w:val="22"/>
        </w:rPr>
        <w:lastRenderedPageBreak/>
        <w:t>Introduction</w:t>
      </w:r>
      <w:r w:rsidRPr="00A260A9">
        <w:rPr>
          <w:rFonts w:ascii="Arial" w:hAnsi="Arial" w:cs="Arial"/>
          <w:sz w:val="22"/>
          <w:szCs w:val="22"/>
        </w:rPr>
        <w:br/>
        <w:t>The transition from hospital care to community-based support is a critical stage in recovery for individuals who require ongoing assistance following serious health conditions such as a stroke. During this phase, patients often rely on a range of health and social care professionals working together to deliver coordinated support that addresses both clinical needs and daily living requirements (</w:t>
      </w:r>
      <w:proofErr w:type="spellStart"/>
      <w:r w:rsidRPr="00A260A9">
        <w:rPr>
          <w:rFonts w:ascii="Arial" w:hAnsi="Arial" w:cs="Arial"/>
          <w:sz w:val="22"/>
          <w:szCs w:val="22"/>
        </w:rPr>
        <w:t>Prvu</w:t>
      </w:r>
      <w:proofErr w:type="spellEnd"/>
      <w:r w:rsidRPr="00A260A9">
        <w:rPr>
          <w:rFonts w:ascii="Arial" w:hAnsi="Arial" w:cs="Arial"/>
          <w:sz w:val="22"/>
          <w:szCs w:val="22"/>
        </w:rPr>
        <w:t xml:space="preserve"> </w:t>
      </w:r>
      <w:proofErr w:type="spellStart"/>
      <w:r w:rsidRPr="00A260A9">
        <w:rPr>
          <w:rFonts w:ascii="Arial" w:hAnsi="Arial" w:cs="Arial"/>
          <w:sz w:val="22"/>
          <w:szCs w:val="22"/>
        </w:rPr>
        <w:t>Bettger</w:t>
      </w:r>
      <w:proofErr w:type="spellEnd"/>
      <w:r w:rsidRPr="00A260A9">
        <w:rPr>
          <w:rFonts w:ascii="Arial" w:hAnsi="Arial" w:cs="Arial"/>
          <w:sz w:val="22"/>
          <w:szCs w:val="22"/>
        </w:rPr>
        <w:t xml:space="preserve"> et al., 2012). For this process to be effective, clear communication, accurate documentation, and strong teamwork are essential. These factors help maintain patient safety, minimise the likelihood of errors, and ensure continuity of care.</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When these systems fail to operate effectively, the consequences can be significant. This is illustrated in Mr Ahmed’s case, where a missed home visit led to a delay in medication. This situation raises concerns regarding communication processes, administrative systems, and the level of coordination between professionals.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Effective communication is also vital in enabling patients to understand their care and actively participate in decision-making (Forster et al., 2012). When communication, record keeping, and collaboration function together successfully, they support safe, consistent, and person-centred care. This report will explore communication barriers, administrative systems and record keeping, and the role of collaborative working in Mr Ahmed’s care.</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b/>
          <w:sz w:val="22"/>
          <w:szCs w:val="22"/>
        </w:rPr>
        <w:t>Communication</w:t>
      </w:r>
      <w:r w:rsidRPr="00A260A9">
        <w:rPr>
          <w:rFonts w:ascii="Arial" w:hAnsi="Arial" w:cs="Arial"/>
          <w:sz w:val="22"/>
          <w:szCs w:val="22"/>
        </w:rPr>
        <w:br/>
        <w:t>Effective communication is a fundamental component of safe and person-centred health and social care. It enables professionals to share information clearly, build trust with service users, and ensure that patients understand their treatment and care requirements (Silverman et al., 2016). When communication is effective, patients are more likely to engage in decisions about their care and adhere to treatment plans.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 xml:space="preserve">In Mr Ahmed’s situation, communication may be challenging due to both language barriers and the impact of his stroke. As Bengali is his first language, understanding complex medical information in English may be difficult. Additionally, stroke can affect speech, comprehension, and cognitive processing, further complicating communication. These barriers may result in misunderstandings about medication or treatment, potentially leading to errors and limiting his ability to provide informed consent (Al </w:t>
      </w:r>
      <w:proofErr w:type="spellStart"/>
      <w:r w:rsidRPr="00A260A9">
        <w:rPr>
          <w:rFonts w:ascii="Arial" w:hAnsi="Arial" w:cs="Arial"/>
          <w:sz w:val="22"/>
          <w:szCs w:val="22"/>
        </w:rPr>
        <w:t>Shamsi</w:t>
      </w:r>
      <w:proofErr w:type="spellEnd"/>
      <w:r w:rsidRPr="00A260A9">
        <w:rPr>
          <w:rFonts w:ascii="Arial" w:hAnsi="Arial" w:cs="Arial"/>
          <w:sz w:val="22"/>
          <w:szCs w:val="22"/>
        </w:rPr>
        <w:t xml:space="preserve"> et al., 2020). This demonstrates how communication issues can directly affect patient safety and outcomes.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 xml:space="preserve">Healthcare professionals must adapt their communication approaches to meet Mr Ahmed’s needs. This may include using clear and simple language, speaking at a slower pace, and </w:t>
      </w:r>
      <w:r w:rsidRPr="00A260A9">
        <w:rPr>
          <w:rFonts w:ascii="Arial" w:hAnsi="Arial" w:cs="Arial"/>
          <w:sz w:val="22"/>
          <w:szCs w:val="22"/>
        </w:rPr>
        <w:lastRenderedPageBreak/>
        <w:t>regularly checking for understanding. For instance, the teach-back method can be used, where Mr Ahmed is asked to repeat information in his own words to confirm comprehension. Visual aids, such as pictorial medication charts, alongside written instructions in simplified English, can further support understanding.</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It is also important to consider communication with family members. Mr Ahmed’s wife plays a significant role in supporting communication; however, professionals must ensure that communication remains directed toward Mr Ahmed himself. Over-reliance on family members may lead to misinterpretation and can reduce patient autonomy. A balanced approach ensures that both Mr Ahmed and his wife are appropriately involved in decision-making while maintaining confidentiality and respect.</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Communication can also be understood through Berlo’s SMCR model, which consists of the source, message, channel, and receiver (Silverman et al., 2016). In this context, the healthcare professional is the source, the care information is the message, and the channel may be verbal, written, or visual. Mr Ahmed is the receiver who interprets the message. Communication breakdown may occur if the message is overly complex or if an inappropriate channel is used. For example, relying solely on verbal communication may be ineffective due to language barriers and stroke-related difficulties.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However, a limitation of this model is its lack of emphasis on feedback. In healthcare settings, feedback is essential to confirm understanding. Without it, professionals may assume comprehension when this is not the case. This highlights the importance of two-way communication.</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The Equality Act 2010 requires healthcare providers to ensure that individuals are not disadvantaged due to disability or language barriers. In Mr Ahmed’s case, reasonable adjustments should include access to interpreter services, provision of accessible information, and allowing additional time for communication. These measures promote equality, dignity, and safe, person-centred care.</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b/>
          <w:sz w:val="22"/>
          <w:szCs w:val="22"/>
        </w:rPr>
        <w:t>Administrative Skills and Record Keeping</w:t>
      </w:r>
      <w:r w:rsidRPr="00A260A9">
        <w:rPr>
          <w:rFonts w:ascii="Arial" w:hAnsi="Arial" w:cs="Arial"/>
          <w:sz w:val="22"/>
          <w:szCs w:val="22"/>
        </w:rPr>
        <w:br/>
        <w:t>Administrative competence and accurate record keeping are essential in health and social care as they ensure that patient information is properly documented, organised, and shared. High-quality record keeping supports continuity of care by enabling professionals to access current information and make informed decisions (</w:t>
      </w:r>
      <w:proofErr w:type="spellStart"/>
      <w:r w:rsidRPr="00A260A9">
        <w:rPr>
          <w:rFonts w:ascii="Arial" w:hAnsi="Arial" w:cs="Arial"/>
          <w:sz w:val="22"/>
          <w:szCs w:val="22"/>
        </w:rPr>
        <w:t>Pöder</w:t>
      </w:r>
      <w:proofErr w:type="spellEnd"/>
      <w:r w:rsidRPr="00A260A9">
        <w:rPr>
          <w:rFonts w:ascii="Arial" w:hAnsi="Arial" w:cs="Arial"/>
          <w:sz w:val="22"/>
          <w:szCs w:val="22"/>
        </w:rPr>
        <w:t xml:space="preserve"> et al., 2015). Inaccurate or incomplete records may result in important details being overlooked, potentially leading to errors or inappropriate care.</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lastRenderedPageBreak/>
        <w:t>Administrative responsibilities also involve effective scheduling, time management, and monitoring of care delivery. Tools such as care schedules and monitoring systems help ensure that visits occur as planned. These systems must be reviewed regularly so that missed or delayed visits can be identified and addressed promptly.</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In Mr Ahmed’s case, accurate documentation is particularly important as multiple professionals are involved in his care, including his GP, district nurse, speech and language therapist, and domiciliary care workers. Each professional must record their input to ensure others are aware of any changes in his condition or treatment. This helps maintain consistency and coordination in care delivery.</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The missed home visit highlights weaknesses in administrative systems and their potential impact on patient safety. If visits are not properly recorded or monitored, essential care such as medication administration may be delayed. This could lead to a decline in Mr Ahmed’s condition and increase the likelihood of hospital readmission. It also raises concerns regarding duty of care and organisational accountability, suggesting that systems may not have been effectively managed.</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 xml:space="preserve">Electronic patient record (EPR) systems can enhance safety by providing quick access to accurate and up-to-date information (Miller et al., 2021). These systems improve communication between services and reduce the risk of errors caused by missing or </w:t>
      </w:r>
      <w:proofErr w:type="spellStart"/>
      <w:r w:rsidRPr="00A260A9">
        <w:rPr>
          <w:rFonts w:ascii="Arial" w:hAnsi="Arial" w:cs="Arial"/>
          <w:sz w:val="22"/>
          <w:szCs w:val="22"/>
        </w:rPr>
        <w:t>outdated</w:t>
      </w:r>
      <w:proofErr w:type="spellEnd"/>
      <w:r w:rsidRPr="00A260A9">
        <w:rPr>
          <w:rFonts w:ascii="Arial" w:hAnsi="Arial" w:cs="Arial"/>
          <w:sz w:val="22"/>
          <w:szCs w:val="22"/>
        </w:rPr>
        <w:t xml:space="preserve"> data.</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Furthermore, organisations must comply with standards set by the Care Quality Commission (CQC), which ensures that care is safe, effective, and well-led. Failures in record keeping or missed visits may indicate non-compliance with these standards and could result in investigation or regulatory action.</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Record keeping must also adhere to the Data Protection Act 2018, which governs the secure handling and appropriate sharing of personal information. Healthcare professionals must ensure that data is accurate, confidential, and up to date. Failure to comply with these requirements may lead to legal consequences and damage trust between patients and providers.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b/>
          <w:sz w:val="22"/>
          <w:szCs w:val="22"/>
        </w:rPr>
        <w:t>Collaborative Working</w:t>
      </w:r>
      <w:r w:rsidRPr="00A260A9">
        <w:rPr>
          <w:rFonts w:ascii="Arial" w:hAnsi="Arial" w:cs="Arial"/>
          <w:sz w:val="22"/>
          <w:szCs w:val="22"/>
        </w:rPr>
        <w:br/>
        <w:t xml:space="preserve">Collaborative working is a key aspect of health and social care, particularly when individuals require input from multiple professionals. Effective teamwork enables the sharing of </w:t>
      </w:r>
      <w:r w:rsidRPr="00A260A9">
        <w:rPr>
          <w:rFonts w:ascii="Arial" w:hAnsi="Arial" w:cs="Arial"/>
          <w:sz w:val="22"/>
          <w:szCs w:val="22"/>
        </w:rPr>
        <w:lastRenderedPageBreak/>
        <w:t>information, coordination of care, and delivery of services tailored to individual needs (WHO, 2010). This approach improves patient outcomes and reduces the likelihood of errors.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In Mr Ahmed’s case, several professionals contribute to his care, including his GP, district nurse, speech and language therapist, and domiciliary care workers. Each has a distinct role in supporting his recovery. Without effective coordination, however, care may become fragmented.</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Collaboration can be strengthened through strategies such as multidisciplinary team (MDT) meetings, shared care plans, and clear communication systems (Rawlinson et al., 2021). MDT meetings allow professionals to review progress, identify missed care, and clarify responsibilities. Shared digital records ensure that all team members have access to consistent information, reducing misunderstandings.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Despite its benefits, collaborative working can present challenges. Differences in professional roles, communication breakdowns, and workload pressures may contribute to gaps in care. In Mr Ahmed’s case, the missed home visit suggests that coordination between services may not have been fully effective, indicating weaknesses in communication or monitoring systems.</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To address these challenges, clear processes and strong leadership are essential. Structured handover procedures ensure accurate information transfer between professionals. Appointing a care coordinator or lead professional can provide oversight of the care plan, ensuring accountability and timely responses to issues. This approach helps prevent errors, such as missed visits, and improves overall coordination.</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These strategies demonstrate that effective collaboration requires active organisation and clear communication. Without such systems, care may become disjointed, increasing the risk of harm.</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b/>
          <w:sz w:val="22"/>
          <w:szCs w:val="22"/>
        </w:rPr>
        <w:t>Conclusion</w:t>
      </w:r>
      <w:r w:rsidRPr="00A260A9">
        <w:rPr>
          <w:rFonts w:ascii="Arial" w:hAnsi="Arial" w:cs="Arial"/>
          <w:sz w:val="22"/>
          <w:szCs w:val="22"/>
        </w:rPr>
        <w:br/>
        <w:t>In summary, effective communication, accurate record keeping, and collaborative working are fundamental to delivering safe and high-quality health and social care. These elements are especially important in complex cases such as Mr Ahmed’s, where multiple professionals are involved.</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 xml:space="preserve">Communication must be adapted to address language barriers and the effects of stroke, ensuring that patients understand their care and can participate in decision-making. Record </w:t>
      </w:r>
      <w:r w:rsidRPr="00A260A9">
        <w:rPr>
          <w:rFonts w:ascii="Arial" w:hAnsi="Arial" w:cs="Arial"/>
          <w:sz w:val="22"/>
          <w:szCs w:val="22"/>
        </w:rPr>
        <w:lastRenderedPageBreak/>
        <w:t>keeping is essential for maintaining safety, as accurate documentation supports continuity and reduces the risk of errors. The missed home visit illustrates how weaknesses in administrative systems can negatively affect patient wellbeing and raise concerns about accountability.</w:t>
      </w:r>
    </w:p>
    <w:p w:rsidR="005C028D" w:rsidRPr="00A260A9" w:rsidRDefault="005C028D" w:rsidP="00A260A9">
      <w:pPr>
        <w:pStyle w:val="NormalWeb"/>
        <w:spacing w:line="360" w:lineRule="auto"/>
        <w:rPr>
          <w:rFonts w:ascii="Arial" w:hAnsi="Arial" w:cs="Arial"/>
          <w:sz w:val="22"/>
          <w:szCs w:val="22"/>
        </w:rPr>
      </w:pPr>
      <w:r w:rsidRPr="00A260A9">
        <w:rPr>
          <w:rFonts w:ascii="Arial" w:hAnsi="Arial" w:cs="Arial"/>
          <w:sz w:val="22"/>
          <w:szCs w:val="22"/>
        </w:rPr>
        <w:t>Collaborative working is equally important in ensuring coordinated and effective care. By strengthening communication processes, improving administrative systems, and promoting teamwork, healthcare professionals can reduce risks and enhance patient outcomes. Overall, robust systems and professional responsibility are essential to ensure safe, person-centred, and well-coordinated care for individuals such as Mr Ahmed.</w:t>
      </w:r>
    </w:p>
    <w:p w:rsidR="00614076" w:rsidRPr="00A260A9" w:rsidRDefault="00614076"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5A41CA" w:rsidRPr="00A260A9" w:rsidRDefault="005A41CA"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line="360" w:lineRule="auto"/>
        <w:rPr>
          <w:rFonts w:ascii="Arial" w:hAnsi="Arial" w:cs="Arial"/>
        </w:rPr>
      </w:pPr>
    </w:p>
    <w:p w:rsidR="00A260A9" w:rsidRPr="00A260A9" w:rsidRDefault="00A260A9" w:rsidP="00A260A9">
      <w:pPr>
        <w:spacing w:before="100" w:beforeAutospacing="1" w:after="100" w:afterAutospacing="1" w:line="360" w:lineRule="auto"/>
        <w:rPr>
          <w:rFonts w:ascii="Arial" w:eastAsia="Times New Roman" w:hAnsi="Arial" w:cs="Arial"/>
          <w:b/>
          <w:kern w:val="0"/>
          <w:lang w:eastAsia="en-GB"/>
          <w14:ligatures w14:val="none"/>
        </w:rPr>
      </w:pPr>
      <w:r w:rsidRPr="00A260A9">
        <w:rPr>
          <w:rFonts w:ascii="Arial" w:eastAsia="Times New Roman" w:hAnsi="Arial" w:cs="Arial"/>
          <w:b/>
          <w:kern w:val="0"/>
          <w:lang w:eastAsia="en-GB"/>
          <w14:ligatures w14:val="none"/>
        </w:rPr>
        <w:lastRenderedPageBreak/>
        <w:t>REFERENCES</w:t>
      </w:r>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gramStart"/>
      <w:r w:rsidRPr="00A260A9">
        <w:rPr>
          <w:rFonts w:ascii="Arial" w:eastAsia="Times New Roman" w:hAnsi="Arial" w:cs="Arial"/>
          <w:kern w:val="0"/>
          <w:lang w:eastAsia="en-GB"/>
          <w14:ligatures w14:val="none"/>
        </w:rPr>
        <w:t xml:space="preserve">Al </w:t>
      </w:r>
      <w:proofErr w:type="spellStart"/>
      <w:r w:rsidRPr="00A260A9">
        <w:rPr>
          <w:rFonts w:ascii="Arial" w:eastAsia="Times New Roman" w:hAnsi="Arial" w:cs="Arial"/>
          <w:kern w:val="0"/>
          <w:lang w:eastAsia="en-GB"/>
          <w14:ligatures w14:val="none"/>
        </w:rPr>
        <w:t>Shamsi</w:t>
      </w:r>
      <w:proofErr w:type="spellEnd"/>
      <w:r w:rsidRPr="00A260A9">
        <w:rPr>
          <w:rFonts w:ascii="Arial" w:eastAsia="Times New Roman" w:hAnsi="Arial" w:cs="Arial"/>
          <w:kern w:val="0"/>
          <w:lang w:eastAsia="en-GB"/>
          <w14:ligatures w14:val="none"/>
        </w:rPr>
        <w:t xml:space="preserve">, H., </w:t>
      </w:r>
      <w:proofErr w:type="spellStart"/>
      <w:r w:rsidRPr="00A260A9">
        <w:rPr>
          <w:rFonts w:ascii="Arial" w:eastAsia="Times New Roman" w:hAnsi="Arial" w:cs="Arial"/>
          <w:kern w:val="0"/>
          <w:lang w:eastAsia="en-GB"/>
          <w14:ligatures w14:val="none"/>
        </w:rPr>
        <w:t>Almutairi</w:t>
      </w:r>
      <w:proofErr w:type="spellEnd"/>
      <w:r w:rsidRPr="00A260A9">
        <w:rPr>
          <w:rFonts w:ascii="Arial" w:eastAsia="Times New Roman" w:hAnsi="Arial" w:cs="Arial"/>
          <w:kern w:val="0"/>
          <w:lang w:eastAsia="en-GB"/>
          <w14:ligatures w14:val="none"/>
        </w:rPr>
        <w:t xml:space="preserve">, A.G., Al </w:t>
      </w:r>
      <w:proofErr w:type="spellStart"/>
      <w:r w:rsidRPr="00A260A9">
        <w:rPr>
          <w:rFonts w:ascii="Arial" w:eastAsia="Times New Roman" w:hAnsi="Arial" w:cs="Arial"/>
          <w:kern w:val="0"/>
          <w:lang w:eastAsia="en-GB"/>
          <w14:ligatures w14:val="none"/>
        </w:rPr>
        <w:t>Mashrafi</w:t>
      </w:r>
      <w:proofErr w:type="spellEnd"/>
      <w:r w:rsidRPr="00A260A9">
        <w:rPr>
          <w:rFonts w:ascii="Arial" w:eastAsia="Times New Roman" w:hAnsi="Arial" w:cs="Arial"/>
          <w:kern w:val="0"/>
          <w:lang w:eastAsia="en-GB"/>
          <w14:ligatures w14:val="none"/>
        </w:rPr>
        <w:t xml:space="preserve">, S. and Al </w:t>
      </w:r>
      <w:proofErr w:type="spellStart"/>
      <w:r w:rsidRPr="00A260A9">
        <w:rPr>
          <w:rFonts w:ascii="Arial" w:eastAsia="Times New Roman" w:hAnsi="Arial" w:cs="Arial"/>
          <w:kern w:val="0"/>
          <w:lang w:eastAsia="en-GB"/>
          <w14:ligatures w14:val="none"/>
        </w:rPr>
        <w:t>Kalbani</w:t>
      </w:r>
      <w:proofErr w:type="spellEnd"/>
      <w:r w:rsidRPr="00A260A9">
        <w:rPr>
          <w:rFonts w:ascii="Arial" w:eastAsia="Times New Roman" w:hAnsi="Arial" w:cs="Arial"/>
          <w:kern w:val="0"/>
          <w:lang w:eastAsia="en-GB"/>
          <w14:ligatures w14:val="none"/>
        </w:rPr>
        <w:t>, T., 2020.</w:t>
      </w:r>
      <w:proofErr w:type="gramEnd"/>
      <w:r w:rsidRPr="00A260A9">
        <w:rPr>
          <w:rFonts w:ascii="Arial" w:eastAsia="Times New Roman" w:hAnsi="Arial" w:cs="Arial"/>
          <w:kern w:val="0"/>
          <w:lang w:eastAsia="en-GB"/>
          <w14:ligatures w14:val="none"/>
        </w:rPr>
        <w:t xml:space="preserve"> Implications of language barriers for healthcare: a systematic review. </w:t>
      </w:r>
      <w:r w:rsidRPr="00A260A9">
        <w:rPr>
          <w:rFonts w:ascii="Arial" w:eastAsia="Times New Roman" w:hAnsi="Arial" w:cs="Arial"/>
          <w:i/>
          <w:iCs/>
          <w:kern w:val="0"/>
          <w:lang w:eastAsia="en-GB"/>
          <w14:ligatures w14:val="none"/>
        </w:rPr>
        <w:t>Oman Medical Journal</w:t>
      </w:r>
      <w:r w:rsidRPr="00A260A9">
        <w:rPr>
          <w:rFonts w:ascii="Arial" w:eastAsia="Times New Roman" w:hAnsi="Arial" w:cs="Arial"/>
          <w:kern w:val="0"/>
          <w:lang w:eastAsia="en-GB"/>
          <w14:ligatures w14:val="none"/>
        </w:rPr>
        <w:t>, 35(2), p.e122.</w:t>
      </w:r>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spellStart"/>
      <w:proofErr w:type="gramStart"/>
      <w:r w:rsidRPr="00A260A9">
        <w:rPr>
          <w:rFonts w:ascii="Arial" w:eastAsia="Times New Roman" w:hAnsi="Arial" w:cs="Arial"/>
          <w:kern w:val="0"/>
          <w:lang w:eastAsia="en-GB"/>
          <w14:ligatures w14:val="none"/>
        </w:rPr>
        <w:t>Bouton</w:t>
      </w:r>
      <w:proofErr w:type="spellEnd"/>
      <w:r w:rsidRPr="00A260A9">
        <w:rPr>
          <w:rFonts w:ascii="Arial" w:eastAsia="Times New Roman" w:hAnsi="Arial" w:cs="Arial"/>
          <w:kern w:val="0"/>
          <w:lang w:eastAsia="en-GB"/>
          <w14:ligatures w14:val="none"/>
        </w:rPr>
        <w:t xml:space="preserve">, C., </w:t>
      </w:r>
      <w:proofErr w:type="spellStart"/>
      <w:r w:rsidRPr="00A260A9">
        <w:rPr>
          <w:rFonts w:ascii="Arial" w:eastAsia="Times New Roman" w:hAnsi="Arial" w:cs="Arial"/>
          <w:kern w:val="0"/>
          <w:lang w:eastAsia="en-GB"/>
          <w14:ligatures w14:val="none"/>
        </w:rPr>
        <w:t>Journeaux</w:t>
      </w:r>
      <w:proofErr w:type="spellEnd"/>
      <w:r w:rsidRPr="00A260A9">
        <w:rPr>
          <w:rFonts w:ascii="Arial" w:eastAsia="Times New Roman" w:hAnsi="Arial" w:cs="Arial"/>
          <w:kern w:val="0"/>
          <w:lang w:eastAsia="en-GB"/>
          <w14:ligatures w14:val="none"/>
        </w:rPr>
        <w:t xml:space="preserve">, M., </w:t>
      </w:r>
      <w:proofErr w:type="spellStart"/>
      <w:r w:rsidRPr="00A260A9">
        <w:rPr>
          <w:rFonts w:ascii="Arial" w:eastAsia="Times New Roman" w:hAnsi="Arial" w:cs="Arial"/>
          <w:kern w:val="0"/>
          <w:lang w:eastAsia="en-GB"/>
          <w14:ligatures w14:val="none"/>
        </w:rPr>
        <w:t>Jourdain</w:t>
      </w:r>
      <w:proofErr w:type="spellEnd"/>
      <w:r w:rsidRPr="00A260A9">
        <w:rPr>
          <w:rFonts w:ascii="Arial" w:eastAsia="Times New Roman" w:hAnsi="Arial" w:cs="Arial"/>
          <w:kern w:val="0"/>
          <w:lang w:eastAsia="en-GB"/>
          <w14:ligatures w14:val="none"/>
        </w:rPr>
        <w:t xml:space="preserve">, M., </w:t>
      </w:r>
      <w:proofErr w:type="spellStart"/>
      <w:r w:rsidRPr="00A260A9">
        <w:rPr>
          <w:rFonts w:ascii="Arial" w:eastAsia="Times New Roman" w:hAnsi="Arial" w:cs="Arial"/>
          <w:kern w:val="0"/>
          <w:lang w:eastAsia="en-GB"/>
          <w14:ligatures w14:val="none"/>
        </w:rPr>
        <w:t>Angibaud</w:t>
      </w:r>
      <w:proofErr w:type="spellEnd"/>
      <w:r w:rsidRPr="00A260A9">
        <w:rPr>
          <w:rFonts w:ascii="Arial" w:eastAsia="Times New Roman" w:hAnsi="Arial" w:cs="Arial"/>
          <w:kern w:val="0"/>
          <w:lang w:eastAsia="en-GB"/>
          <w14:ligatures w14:val="none"/>
        </w:rPr>
        <w:t xml:space="preserve">, M., </w:t>
      </w:r>
      <w:proofErr w:type="spellStart"/>
      <w:r w:rsidRPr="00A260A9">
        <w:rPr>
          <w:rFonts w:ascii="Arial" w:eastAsia="Times New Roman" w:hAnsi="Arial" w:cs="Arial"/>
          <w:kern w:val="0"/>
          <w:lang w:eastAsia="en-GB"/>
          <w14:ligatures w14:val="none"/>
        </w:rPr>
        <w:t>Huon</w:t>
      </w:r>
      <w:proofErr w:type="spellEnd"/>
      <w:r w:rsidRPr="00A260A9">
        <w:rPr>
          <w:rFonts w:ascii="Arial" w:eastAsia="Times New Roman" w:hAnsi="Arial" w:cs="Arial"/>
          <w:kern w:val="0"/>
          <w:lang w:eastAsia="en-GB"/>
          <w14:ligatures w14:val="none"/>
        </w:rPr>
        <w:t>, J.F. and Rat, C., 2023.</w:t>
      </w:r>
      <w:proofErr w:type="gramEnd"/>
      <w:r w:rsidRPr="00A260A9">
        <w:rPr>
          <w:rFonts w:ascii="Arial" w:eastAsia="Times New Roman" w:hAnsi="Arial" w:cs="Arial"/>
          <w:kern w:val="0"/>
          <w:lang w:eastAsia="en-GB"/>
          <w14:ligatures w14:val="none"/>
        </w:rPr>
        <w:t xml:space="preserve"> </w:t>
      </w:r>
      <w:proofErr w:type="spellStart"/>
      <w:r w:rsidRPr="00A260A9">
        <w:rPr>
          <w:rFonts w:ascii="Arial" w:eastAsia="Times New Roman" w:hAnsi="Arial" w:cs="Arial"/>
          <w:kern w:val="0"/>
          <w:lang w:eastAsia="en-GB"/>
          <w14:ligatures w14:val="none"/>
        </w:rPr>
        <w:t>Interprofessional</w:t>
      </w:r>
      <w:proofErr w:type="spellEnd"/>
      <w:r w:rsidRPr="00A260A9">
        <w:rPr>
          <w:rFonts w:ascii="Arial" w:eastAsia="Times New Roman" w:hAnsi="Arial" w:cs="Arial"/>
          <w:kern w:val="0"/>
          <w:lang w:eastAsia="en-GB"/>
          <w14:ligatures w14:val="none"/>
        </w:rPr>
        <w:t xml:space="preserve"> collaboration in primary care: what effect on patient health? </w:t>
      </w:r>
      <w:proofErr w:type="gramStart"/>
      <w:r w:rsidRPr="00A260A9">
        <w:rPr>
          <w:rFonts w:ascii="Arial" w:eastAsia="Times New Roman" w:hAnsi="Arial" w:cs="Arial"/>
          <w:kern w:val="0"/>
          <w:lang w:eastAsia="en-GB"/>
          <w14:ligatures w14:val="none"/>
        </w:rPr>
        <w:t>A systematic literature review.</w:t>
      </w:r>
      <w:proofErr w:type="gramEnd"/>
      <w:r w:rsidRPr="00A260A9">
        <w:rPr>
          <w:rFonts w:ascii="Arial" w:eastAsia="Times New Roman" w:hAnsi="Arial" w:cs="Arial"/>
          <w:kern w:val="0"/>
          <w:lang w:eastAsia="en-GB"/>
          <w14:ligatures w14:val="none"/>
        </w:rPr>
        <w:t xml:space="preserve"> </w:t>
      </w:r>
      <w:r w:rsidRPr="00A260A9">
        <w:rPr>
          <w:rFonts w:ascii="Arial" w:eastAsia="Times New Roman" w:hAnsi="Arial" w:cs="Arial"/>
          <w:i/>
          <w:iCs/>
          <w:kern w:val="0"/>
          <w:lang w:eastAsia="en-GB"/>
          <w14:ligatures w14:val="none"/>
        </w:rPr>
        <w:t>BMC Primary Care</w:t>
      </w:r>
      <w:r w:rsidRPr="00A260A9">
        <w:rPr>
          <w:rFonts w:ascii="Arial" w:eastAsia="Times New Roman" w:hAnsi="Arial" w:cs="Arial"/>
          <w:kern w:val="0"/>
          <w:lang w:eastAsia="en-GB"/>
          <w14:ligatures w14:val="none"/>
        </w:rPr>
        <w:t>, 24(1), p.253.</w:t>
      </w:r>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gramStart"/>
      <w:r w:rsidRPr="00A260A9">
        <w:rPr>
          <w:rFonts w:ascii="Arial" w:eastAsia="Times New Roman" w:hAnsi="Arial" w:cs="Arial"/>
          <w:kern w:val="0"/>
          <w:lang w:eastAsia="en-GB"/>
          <w14:ligatures w14:val="none"/>
        </w:rPr>
        <w:t>Data Protection Act 2018.</w:t>
      </w:r>
      <w:proofErr w:type="gramEnd"/>
      <w:r w:rsidRPr="00A260A9">
        <w:rPr>
          <w:rFonts w:ascii="Arial" w:eastAsia="Times New Roman" w:hAnsi="Arial" w:cs="Arial"/>
          <w:kern w:val="0"/>
          <w:lang w:eastAsia="en-GB"/>
          <w14:ligatures w14:val="none"/>
        </w:rPr>
        <w:t xml:space="preserve"> London: The Stationery Office.</w:t>
      </w:r>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gramStart"/>
      <w:r w:rsidRPr="00A260A9">
        <w:rPr>
          <w:rFonts w:ascii="Arial" w:eastAsia="Times New Roman" w:hAnsi="Arial" w:cs="Arial"/>
          <w:kern w:val="0"/>
          <w:lang w:eastAsia="en-GB"/>
          <w14:ligatures w14:val="none"/>
        </w:rPr>
        <w:t>Equality Act 2010.</w:t>
      </w:r>
      <w:proofErr w:type="gramEnd"/>
      <w:r w:rsidRPr="00A260A9">
        <w:rPr>
          <w:rFonts w:ascii="Arial" w:eastAsia="Times New Roman" w:hAnsi="Arial" w:cs="Arial"/>
          <w:kern w:val="0"/>
          <w:lang w:eastAsia="en-GB"/>
          <w14:ligatures w14:val="none"/>
        </w:rPr>
        <w:t xml:space="preserve"> London: The Stationery Office.</w:t>
      </w:r>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r w:rsidRPr="00A260A9">
        <w:rPr>
          <w:rFonts w:ascii="Arial" w:eastAsia="Times New Roman" w:hAnsi="Arial" w:cs="Arial"/>
          <w:kern w:val="0"/>
          <w:lang w:eastAsia="en-GB"/>
          <w14:ligatures w14:val="none"/>
        </w:rPr>
        <w:t xml:space="preserve">Forster, A., Brown, L., Smith, J., House, A., Knapp, P., Wright, J.J. and Young, J., 2012. </w:t>
      </w:r>
      <w:proofErr w:type="gramStart"/>
      <w:r w:rsidRPr="00A260A9">
        <w:rPr>
          <w:rFonts w:ascii="Arial" w:eastAsia="Times New Roman" w:hAnsi="Arial" w:cs="Arial"/>
          <w:kern w:val="0"/>
          <w:lang w:eastAsia="en-GB"/>
          <w14:ligatures w14:val="none"/>
        </w:rPr>
        <w:t>Information provision for stroke patients and their caregivers.</w:t>
      </w:r>
      <w:proofErr w:type="gramEnd"/>
      <w:r w:rsidRPr="00A260A9">
        <w:rPr>
          <w:rFonts w:ascii="Arial" w:eastAsia="Times New Roman" w:hAnsi="Arial" w:cs="Arial"/>
          <w:kern w:val="0"/>
          <w:lang w:eastAsia="en-GB"/>
          <w14:ligatures w14:val="none"/>
        </w:rPr>
        <w:t xml:space="preserve"> </w:t>
      </w:r>
      <w:proofErr w:type="gramStart"/>
      <w:r w:rsidRPr="00A260A9">
        <w:rPr>
          <w:rFonts w:ascii="Arial" w:eastAsia="Times New Roman" w:hAnsi="Arial" w:cs="Arial"/>
          <w:i/>
          <w:iCs/>
          <w:kern w:val="0"/>
          <w:lang w:eastAsia="en-GB"/>
          <w14:ligatures w14:val="none"/>
        </w:rPr>
        <w:t>Cochrane Database of Systematic Reviews</w:t>
      </w:r>
      <w:r w:rsidRPr="00A260A9">
        <w:rPr>
          <w:rFonts w:ascii="Arial" w:eastAsia="Times New Roman" w:hAnsi="Arial" w:cs="Arial"/>
          <w:kern w:val="0"/>
          <w:lang w:eastAsia="en-GB"/>
          <w14:ligatures w14:val="none"/>
        </w:rPr>
        <w:t>, (11), p.CD001919.</w:t>
      </w:r>
      <w:proofErr w:type="gramEnd"/>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r w:rsidRPr="00A260A9">
        <w:rPr>
          <w:rFonts w:ascii="Arial" w:eastAsia="Times New Roman" w:hAnsi="Arial" w:cs="Arial"/>
          <w:kern w:val="0"/>
          <w:lang w:eastAsia="en-GB"/>
          <w14:ligatures w14:val="none"/>
        </w:rPr>
        <w:t xml:space="preserve">Miller, R., </w:t>
      </w:r>
      <w:proofErr w:type="spellStart"/>
      <w:r w:rsidRPr="00A260A9">
        <w:rPr>
          <w:rFonts w:ascii="Arial" w:eastAsia="Times New Roman" w:hAnsi="Arial" w:cs="Arial"/>
          <w:kern w:val="0"/>
          <w:lang w:eastAsia="en-GB"/>
          <w14:ligatures w14:val="none"/>
        </w:rPr>
        <w:t>Glasby</w:t>
      </w:r>
      <w:proofErr w:type="spellEnd"/>
      <w:r w:rsidRPr="00A260A9">
        <w:rPr>
          <w:rFonts w:ascii="Arial" w:eastAsia="Times New Roman" w:hAnsi="Arial" w:cs="Arial"/>
          <w:kern w:val="0"/>
          <w:lang w:eastAsia="en-GB"/>
          <w14:ligatures w14:val="none"/>
        </w:rPr>
        <w:t xml:space="preserve">, J. and Dickinson, H., 2021. Integrated health and social care in England: ten years on. </w:t>
      </w:r>
      <w:r w:rsidRPr="00A260A9">
        <w:rPr>
          <w:rFonts w:ascii="Arial" w:eastAsia="Times New Roman" w:hAnsi="Arial" w:cs="Arial"/>
          <w:i/>
          <w:iCs/>
          <w:kern w:val="0"/>
          <w:lang w:eastAsia="en-GB"/>
          <w14:ligatures w14:val="none"/>
        </w:rPr>
        <w:t>International Journal of Integrated Care</w:t>
      </w:r>
      <w:r w:rsidRPr="00A260A9">
        <w:rPr>
          <w:rFonts w:ascii="Arial" w:eastAsia="Times New Roman" w:hAnsi="Arial" w:cs="Arial"/>
          <w:kern w:val="0"/>
          <w:lang w:eastAsia="en-GB"/>
          <w14:ligatures w14:val="none"/>
        </w:rPr>
        <w:t>, 21(4), p.6.</w:t>
      </w:r>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spellStart"/>
      <w:r w:rsidRPr="00A260A9">
        <w:rPr>
          <w:rFonts w:ascii="Arial" w:eastAsia="Times New Roman" w:hAnsi="Arial" w:cs="Arial"/>
          <w:kern w:val="0"/>
          <w:lang w:eastAsia="en-GB"/>
          <w14:ligatures w14:val="none"/>
        </w:rPr>
        <w:t>Pöder</w:t>
      </w:r>
      <w:proofErr w:type="spellEnd"/>
      <w:r w:rsidRPr="00A260A9">
        <w:rPr>
          <w:rFonts w:ascii="Arial" w:eastAsia="Times New Roman" w:hAnsi="Arial" w:cs="Arial"/>
          <w:kern w:val="0"/>
          <w:lang w:eastAsia="en-GB"/>
          <w14:ligatures w14:val="none"/>
        </w:rPr>
        <w:t xml:space="preserve">, U., </w:t>
      </w:r>
      <w:proofErr w:type="spellStart"/>
      <w:r w:rsidRPr="00A260A9">
        <w:rPr>
          <w:rFonts w:ascii="Arial" w:eastAsia="Times New Roman" w:hAnsi="Arial" w:cs="Arial"/>
          <w:kern w:val="0"/>
          <w:lang w:eastAsia="en-GB"/>
          <w14:ligatures w14:val="none"/>
        </w:rPr>
        <w:t>Dahm</w:t>
      </w:r>
      <w:proofErr w:type="spellEnd"/>
      <w:r w:rsidRPr="00A260A9">
        <w:rPr>
          <w:rFonts w:ascii="Arial" w:eastAsia="Times New Roman" w:hAnsi="Arial" w:cs="Arial"/>
          <w:kern w:val="0"/>
          <w:lang w:eastAsia="en-GB"/>
          <w14:ligatures w14:val="none"/>
        </w:rPr>
        <w:t xml:space="preserve">, M.F., </w:t>
      </w:r>
      <w:proofErr w:type="spellStart"/>
      <w:r w:rsidRPr="00A260A9">
        <w:rPr>
          <w:rFonts w:ascii="Arial" w:eastAsia="Times New Roman" w:hAnsi="Arial" w:cs="Arial"/>
          <w:kern w:val="0"/>
          <w:lang w:eastAsia="en-GB"/>
          <w14:ligatures w14:val="none"/>
        </w:rPr>
        <w:t>Karlsson</w:t>
      </w:r>
      <w:proofErr w:type="spellEnd"/>
      <w:r w:rsidRPr="00A260A9">
        <w:rPr>
          <w:rFonts w:ascii="Arial" w:eastAsia="Times New Roman" w:hAnsi="Arial" w:cs="Arial"/>
          <w:kern w:val="0"/>
          <w:lang w:eastAsia="en-GB"/>
          <w14:ligatures w14:val="none"/>
        </w:rPr>
        <w:t xml:space="preserve">, N. and </w:t>
      </w:r>
      <w:proofErr w:type="spellStart"/>
      <w:r w:rsidRPr="00A260A9">
        <w:rPr>
          <w:rFonts w:ascii="Arial" w:eastAsia="Times New Roman" w:hAnsi="Arial" w:cs="Arial"/>
          <w:kern w:val="0"/>
          <w:lang w:eastAsia="en-GB"/>
          <w14:ligatures w14:val="none"/>
        </w:rPr>
        <w:t>Wadensten</w:t>
      </w:r>
      <w:proofErr w:type="spellEnd"/>
      <w:r w:rsidRPr="00A260A9">
        <w:rPr>
          <w:rFonts w:ascii="Arial" w:eastAsia="Times New Roman" w:hAnsi="Arial" w:cs="Arial"/>
          <w:kern w:val="0"/>
          <w:lang w:eastAsia="en-GB"/>
          <w14:ligatures w14:val="none"/>
        </w:rPr>
        <w:t xml:space="preserve">, B., 2015. Standardised care plans for in-hospital stroke care improve documentation of health care assessments. </w:t>
      </w:r>
      <w:proofErr w:type="gramStart"/>
      <w:r w:rsidRPr="00A260A9">
        <w:rPr>
          <w:rFonts w:ascii="Arial" w:eastAsia="Times New Roman" w:hAnsi="Arial" w:cs="Arial"/>
          <w:i/>
          <w:iCs/>
          <w:kern w:val="0"/>
          <w:lang w:eastAsia="en-GB"/>
          <w14:ligatures w14:val="none"/>
        </w:rPr>
        <w:t>Journal of Clinical Nursing</w:t>
      </w:r>
      <w:r w:rsidRPr="00A260A9">
        <w:rPr>
          <w:rFonts w:ascii="Arial" w:eastAsia="Times New Roman" w:hAnsi="Arial" w:cs="Arial"/>
          <w:kern w:val="0"/>
          <w:lang w:eastAsia="en-GB"/>
          <w14:ligatures w14:val="none"/>
        </w:rPr>
        <w:t>, 24(19–20), pp.2788–2796.</w:t>
      </w:r>
      <w:proofErr w:type="gramEnd"/>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spellStart"/>
      <w:r w:rsidRPr="00A260A9">
        <w:rPr>
          <w:rFonts w:ascii="Arial" w:eastAsia="Times New Roman" w:hAnsi="Arial" w:cs="Arial"/>
          <w:kern w:val="0"/>
          <w:lang w:eastAsia="en-GB"/>
          <w14:ligatures w14:val="none"/>
        </w:rPr>
        <w:t>Prvu</w:t>
      </w:r>
      <w:proofErr w:type="spellEnd"/>
      <w:r w:rsidRPr="00A260A9">
        <w:rPr>
          <w:rFonts w:ascii="Arial" w:eastAsia="Times New Roman" w:hAnsi="Arial" w:cs="Arial"/>
          <w:kern w:val="0"/>
          <w:lang w:eastAsia="en-GB"/>
          <w14:ligatures w14:val="none"/>
        </w:rPr>
        <w:t xml:space="preserve"> </w:t>
      </w:r>
      <w:proofErr w:type="spellStart"/>
      <w:r w:rsidRPr="00A260A9">
        <w:rPr>
          <w:rFonts w:ascii="Arial" w:eastAsia="Times New Roman" w:hAnsi="Arial" w:cs="Arial"/>
          <w:kern w:val="0"/>
          <w:lang w:eastAsia="en-GB"/>
          <w14:ligatures w14:val="none"/>
        </w:rPr>
        <w:t>Bettger</w:t>
      </w:r>
      <w:proofErr w:type="spellEnd"/>
      <w:r w:rsidRPr="00A260A9">
        <w:rPr>
          <w:rFonts w:ascii="Arial" w:eastAsia="Times New Roman" w:hAnsi="Arial" w:cs="Arial"/>
          <w:kern w:val="0"/>
          <w:lang w:eastAsia="en-GB"/>
          <w14:ligatures w14:val="none"/>
        </w:rPr>
        <w:t xml:space="preserve">, J., Alexander, K.P., </w:t>
      </w:r>
      <w:proofErr w:type="spellStart"/>
      <w:r w:rsidRPr="00A260A9">
        <w:rPr>
          <w:rFonts w:ascii="Arial" w:eastAsia="Times New Roman" w:hAnsi="Arial" w:cs="Arial"/>
          <w:kern w:val="0"/>
          <w:lang w:eastAsia="en-GB"/>
          <w14:ligatures w14:val="none"/>
        </w:rPr>
        <w:t>Dolor</w:t>
      </w:r>
      <w:proofErr w:type="spellEnd"/>
      <w:r w:rsidRPr="00A260A9">
        <w:rPr>
          <w:rFonts w:ascii="Arial" w:eastAsia="Times New Roman" w:hAnsi="Arial" w:cs="Arial"/>
          <w:kern w:val="0"/>
          <w:lang w:eastAsia="en-GB"/>
          <w14:ligatures w14:val="none"/>
        </w:rPr>
        <w:t xml:space="preserve">, R.J., Olson, D.M., Kendrick, A.S., Wing, L., </w:t>
      </w:r>
      <w:proofErr w:type="spellStart"/>
      <w:r w:rsidRPr="00A260A9">
        <w:rPr>
          <w:rFonts w:ascii="Arial" w:eastAsia="Times New Roman" w:hAnsi="Arial" w:cs="Arial"/>
          <w:kern w:val="0"/>
          <w:lang w:eastAsia="en-GB"/>
          <w14:ligatures w14:val="none"/>
        </w:rPr>
        <w:t>Coeytaux</w:t>
      </w:r>
      <w:proofErr w:type="spellEnd"/>
      <w:r w:rsidRPr="00A260A9">
        <w:rPr>
          <w:rFonts w:ascii="Arial" w:eastAsia="Times New Roman" w:hAnsi="Arial" w:cs="Arial"/>
          <w:kern w:val="0"/>
          <w:lang w:eastAsia="en-GB"/>
          <w14:ligatures w14:val="none"/>
        </w:rPr>
        <w:t xml:space="preserve">, R.R., </w:t>
      </w:r>
      <w:proofErr w:type="spellStart"/>
      <w:r w:rsidRPr="00A260A9">
        <w:rPr>
          <w:rFonts w:ascii="Arial" w:eastAsia="Times New Roman" w:hAnsi="Arial" w:cs="Arial"/>
          <w:kern w:val="0"/>
          <w:lang w:eastAsia="en-GB"/>
          <w14:ligatures w14:val="none"/>
        </w:rPr>
        <w:t>Graffagnino</w:t>
      </w:r>
      <w:proofErr w:type="spellEnd"/>
      <w:r w:rsidRPr="00A260A9">
        <w:rPr>
          <w:rFonts w:ascii="Arial" w:eastAsia="Times New Roman" w:hAnsi="Arial" w:cs="Arial"/>
          <w:kern w:val="0"/>
          <w:lang w:eastAsia="en-GB"/>
          <w14:ligatures w14:val="none"/>
        </w:rPr>
        <w:t xml:space="preserve">, C. and Duncan, P.W., 2012. Transitional care after hospitalization for acute stroke or myocardial infarction: a systematic review. </w:t>
      </w:r>
      <w:proofErr w:type="gramStart"/>
      <w:r w:rsidRPr="00A260A9">
        <w:rPr>
          <w:rFonts w:ascii="Arial" w:eastAsia="Times New Roman" w:hAnsi="Arial" w:cs="Arial"/>
          <w:i/>
          <w:iCs/>
          <w:kern w:val="0"/>
          <w:lang w:eastAsia="en-GB"/>
          <w14:ligatures w14:val="none"/>
        </w:rPr>
        <w:t>Annals of Internal Medicine</w:t>
      </w:r>
      <w:r w:rsidRPr="00A260A9">
        <w:rPr>
          <w:rFonts w:ascii="Arial" w:eastAsia="Times New Roman" w:hAnsi="Arial" w:cs="Arial"/>
          <w:kern w:val="0"/>
          <w:lang w:eastAsia="en-GB"/>
          <w14:ligatures w14:val="none"/>
        </w:rPr>
        <w:t>, 157(6), pp.407–416.</w:t>
      </w:r>
      <w:proofErr w:type="gramEnd"/>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gramStart"/>
      <w:r w:rsidRPr="00A260A9">
        <w:rPr>
          <w:rFonts w:ascii="Arial" w:eastAsia="Times New Roman" w:hAnsi="Arial" w:cs="Arial"/>
          <w:kern w:val="0"/>
          <w:lang w:eastAsia="en-GB"/>
          <w14:ligatures w14:val="none"/>
        </w:rPr>
        <w:t xml:space="preserve">Rawlinson, C., Carron, T., </w:t>
      </w:r>
      <w:proofErr w:type="spellStart"/>
      <w:r w:rsidRPr="00A260A9">
        <w:rPr>
          <w:rFonts w:ascii="Arial" w:eastAsia="Times New Roman" w:hAnsi="Arial" w:cs="Arial"/>
          <w:kern w:val="0"/>
          <w:lang w:eastAsia="en-GB"/>
          <w14:ligatures w14:val="none"/>
        </w:rPr>
        <w:t>Cohidon</w:t>
      </w:r>
      <w:proofErr w:type="spellEnd"/>
      <w:r w:rsidRPr="00A260A9">
        <w:rPr>
          <w:rFonts w:ascii="Arial" w:eastAsia="Times New Roman" w:hAnsi="Arial" w:cs="Arial"/>
          <w:kern w:val="0"/>
          <w:lang w:eastAsia="en-GB"/>
          <w14:ligatures w14:val="none"/>
        </w:rPr>
        <w:t xml:space="preserve">, C., </w:t>
      </w:r>
      <w:proofErr w:type="spellStart"/>
      <w:r w:rsidRPr="00A260A9">
        <w:rPr>
          <w:rFonts w:ascii="Arial" w:eastAsia="Times New Roman" w:hAnsi="Arial" w:cs="Arial"/>
          <w:kern w:val="0"/>
          <w:lang w:eastAsia="en-GB"/>
          <w14:ligatures w14:val="none"/>
        </w:rPr>
        <w:t>Arditi</w:t>
      </w:r>
      <w:proofErr w:type="spellEnd"/>
      <w:r w:rsidRPr="00A260A9">
        <w:rPr>
          <w:rFonts w:ascii="Arial" w:eastAsia="Times New Roman" w:hAnsi="Arial" w:cs="Arial"/>
          <w:kern w:val="0"/>
          <w:lang w:eastAsia="en-GB"/>
          <w14:ligatures w14:val="none"/>
        </w:rPr>
        <w:t xml:space="preserve">, C., Hong, Q.N., </w:t>
      </w:r>
      <w:proofErr w:type="spellStart"/>
      <w:r w:rsidRPr="00A260A9">
        <w:rPr>
          <w:rFonts w:ascii="Arial" w:eastAsia="Times New Roman" w:hAnsi="Arial" w:cs="Arial"/>
          <w:kern w:val="0"/>
          <w:lang w:eastAsia="en-GB"/>
          <w14:ligatures w14:val="none"/>
        </w:rPr>
        <w:t>Pluye</w:t>
      </w:r>
      <w:proofErr w:type="spellEnd"/>
      <w:r w:rsidRPr="00A260A9">
        <w:rPr>
          <w:rFonts w:ascii="Arial" w:eastAsia="Times New Roman" w:hAnsi="Arial" w:cs="Arial"/>
          <w:kern w:val="0"/>
          <w:lang w:eastAsia="en-GB"/>
          <w14:ligatures w14:val="none"/>
        </w:rPr>
        <w:t xml:space="preserve">, P., </w:t>
      </w:r>
      <w:proofErr w:type="spellStart"/>
      <w:r w:rsidRPr="00A260A9">
        <w:rPr>
          <w:rFonts w:ascii="Arial" w:eastAsia="Times New Roman" w:hAnsi="Arial" w:cs="Arial"/>
          <w:kern w:val="0"/>
          <w:lang w:eastAsia="en-GB"/>
          <w14:ligatures w14:val="none"/>
        </w:rPr>
        <w:t>Peytremann-Bridevaux</w:t>
      </w:r>
      <w:proofErr w:type="spellEnd"/>
      <w:r w:rsidRPr="00A260A9">
        <w:rPr>
          <w:rFonts w:ascii="Arial" w:eastAsia="Times New Roman" w:hAnsi="Arial" w:cs="Arial"/>
          <w:kern w:val="0"/>
          <w:lang w:eastAsia="en-GB"/>
          <w14:ligatures w14:val="none"/>
        </w:rPr>
        <w:t>, I. and Gilles, I., 2021.</w:t>
      </w:r>
      <w:proofErr w:type="gramEnd"/>
      <w:r w:rsidRPr="00A260A9">
        <w:rPr>
          <w:rFonts w:ascii="Arial" w:eastAsia="Times New Roman" w:hAnsi="Arial" w:cs="Arial"/>
          <w:kern w:val="0"/>
          <w:lang w:eastAsia="en-GB"/>
          <w14:ligatures w14:val="none"/>
        </w:rPr>
        <w:t xml:space="preserve"> An overview of reviews on </w:t>
      </w:r>
      <w:proofErr w:type="spellStart"/>
      <w:r w:rsidRPr="00A260A9">
        <w:rPr>
          <w:rFonts w:ascii="Arial" w:eastAsia="Times New Roman" w:hAnsi="Arial" w:cs="Arial"/>
          <w:kern w:val="0"/>
          <w:lang w:eastAsia="en-GB"/>
          <w14:ligatures w14:val="none"/>
        </w:rPr>
        <w:t>interprofessional</w:t>
      </w:r>
      <w:proofErr w:type="spellEnd"/>
      <w:r w:rsidRPr="00A260A9">
        <w:rPr>
          <w:rFonts w:ascii="Arial" w:eastAsia="Times New Roman" w:hAnsi="Arial" w:cs="Arial"/>
          <w:kern w:val="0"/>
          <w:lang w:eastAsia="en-GB"/>
          <w14:ligatures w14:val="none"/>
        </w:rPr>
        <w:t xml:space="preserve"> collaboration in primary care: barriers and facilitators. </w:t>
      </w:r>
      <w:r w:rsidRPr="00A260A9">
        <w:rPr>
          <w:rFonts w:ascii="Arial" w:eastAsia="Times New Roman" w:hAnsi="Arial" w:cs="Arial"/>
          <w:i/>
          <w:iCs/>
          <w:kern w:val="0"/>
          <w:lang w:eastAsia="en-GB"/>
          <w14:ligatures w14:val="none"/>
        </w:rPr>
        <w:t>International Journal of Integrated Care</w:t>
      </w:r>
      <w:r w:rsidRPr="00A260A9">
        <w:rPr>
          <w:rFonts w:ascii="Arial" w:eastAsia="Times New Roman" w:hAnsi="Arial" w:cs="Arial"/>
          <w:kern w:val="0"/>
          <w:lang w:eastAsia="en-GB"/>
          <w14:ligatures w14:val="none"/>
        </w:rPr>
        <w:t>, 21(2), p.32.</w:t>
      </w:r>
    </w:p>
    <w:p w:rsidR="00A260A9"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r w:rsidRPr="00A260A9">
        <w:rPr>
          <w:rFonts w:ascii="Arial" w:eastAsia="Times New Roman" w:hAnsi="Arial" w:cs="Arial"/>
          <w:kern w:val="0"/>
          <w:lang w:eastAsia="en-GB"/>
          <w14:ligatures w14:val="none"/>
        </w:rPr>
        <w:t xml:space="preserve">Silverman, J., Kurtz, S. and Draper, J., 2016. </w:t>
      </w:r>
      <w:proofErr w:type="gramStart"/>
      <w:r w:rsidRPr="00A260A9">
        <w:rPr>
          <w:rFonts w:ascii="Arial" w:eastAsia="Times New Roman" w:hAnsi="Arial" w:cs="Arial"/>
          <w:i/>
          <w:iCs/>
          <w:kern w:val="0"/>
          <w:lang w:eastAsia="en-GB"/>
          <w14:ligatures w14:val="none"/>
        </w:rPr>
        <w:t>Skills for communicating with patients</w:t>
      </w:r>
      <w:r w:rsidRPr="00A260A9">
        <w:rPr>
          <w:rFonts w:ascii="Arial" w:eastAsia="Times New Roman" w:hAnsi="Arial" w:cs="Arial"/>
          <w:kern w:val="0"/>
          <w:lang w:eastAsia="en-GB"/>
          <w14:ligatures w14:val="none"/>
        </w:rPr>
        <w:t>.</w:t>
      </w:r>
      <w:proofErr w:type="gramEnd"/>
      <w:r w:rsidRPr="00A260A9">
        <w:rPr>
          <w:rFonts w:ascii="Arial" w:eastAsia="Times New Roman" w:hAnsi="Arial" w:cs="Arial"/>
          <w:kern w:val="0"/>
          <w:lang w:eastAsia="en-GB"/>
          <w14:ligatures w14:val="none"/>
        </w:rPr>
        <w:t xml:space="preserve"> 3rd ed. Boca Raton: CRC Press.</w:t>
      </w:r>
    </w:p>
    <w:p w:rsidR="005A41CA" w:rsidRPr="00A260A9" w:rsidRDefault="00A260A9" w:rsidP="00A260A9">
      <w:pPr>
        <w:spacing w:before="100" w:beforeAutospacing="1" w:after="100" w:afterAutospacing="1" w:line="360" w:lineRule="auto"/>
        <w:rPr>
          <w:rFonts w:ascii="Arial" w:eastAsia="Times New Roman" w:hAnsi="Arial" w:cs="Arial"/>
          <w:kern w:val="0"/>
          <w:lang w:eastAsia="en-GB"/>
          <w14:ligatures w14:val="none"/>
        </w:rPr>
      </w:pPr>
      <w:proofErr w:type="gramStart"/>
      <w:r w:rsidRPr="00A260A9">
        <w:rPr>
          <w:rFonts w:ascii="Arial" w:eastAsia="Times New Roman" w:hAnsi="Arial" w:cs="Arial"/>
          <w:kern w:val="0"/>
          <w:lang w:eastAsia="en-GB"/>
          <w14:ligatures w14:val="none"/>
        </w:rPr>
        <w:t>World Health Organization, 2010.</w:t>
      </w:r>
      <w:proofErr w:type="gramEnd"/>
      <w:r w:rsidRPr="00A260A9">
        <w:rPr>
          <w:rFonts w:ascii="Arial" w:eastAsia="Times New Roman" w:hAnsi="Arial" w:cs="Arial"/>
          <w:kern w:val="0"/>
          <w:lang w:eastAsia="en-GB"/>
          <w14:ligatures w14:val="none"/>
        </w:rPr>
        <w:t xml:space="preserve"> </w:t>
      </w:r>
      <w:proofErr w:type="gramStart"/>
      <w:r w:rsidRPr="00A260A9">
        <w:rPr>
          <w:rFonts w:ascii="Arial" w:eastAsia="Times New Roman" w:hAnsi="Arial" w:cs="Arial"/>
          <w:i/>
          <w:iCs/>
          <w:kern w:val="0"/>
          <w:lang w:eastAsia="en-GB"/>
          <w14:ligatures w14:val="none"/>
        </w:rPr>
        <w:t xml:space="preserve">Framework for action on </w:t>
      </w:r>
      <w:proofErr w:type="spellStart"/>
      <w:r w:rsidRPr="00A260A9">
        <w:rPr>
          <w:rFonts w:ascii="Arial" w:eastAsia="Times New Roman" w:hAnsi="Arial" w:cs="Arial"/>
          <w:i/>
          <w:iCs/>
          <w:kern w:val="0"/>
          <w:lang w:eastAsia="en-GB"/>
          <w14:ligatures w14:val="none"/>
        </w:rPr>
        <w:t>interprofessional</w:t>
      </w:r>
      <w:proofErr w:type="spellEnd"/>
      <w:r w:rsidRPr="00A260A9">
        <w:rPr>
          <w:rFonts w:ascii="Arial" w:eastAsia="Times New Roman" w:hAnsi="Arial" w:cs="Arial"/>
          <w:i/>
          <w:iCs/>
          <w:kern w:val="0"/>
          <w:lang w:eastAsia="en-GB"/>
          <w14:ligatures w14:val="none"/>
        </w:rPr>
        <w:t xml:space="preserve"> education and collaborative practice</w:t>
      </w:r>
      <w:r w:rsidRPr="00A260A9">
        <w:rPr>
          <w:rFonts w:ascii="Arial" w:eastAsia="Times New Roman" w:hAnsi="Arial" w:cs="Arial"/>
          <w:kern w:val="0"/>
          <w:lang w:eastAsia="en-GB"/>
          <w14:ligatures w14:val="none"/>
        </w:rPr>
        <w:t>.</w:t>
      </w:r>
      <w:proofErr w:type="gramEnd"/>
      <w:r w:rsidRPr="00A260A9">
        <w:rPr>
          <w:rFonts w:ascii="Arial" w:eastAsia="Times New Roman" w:hAnsi="Arial" w:cs="Arial"/>
          <w:kern w:val="0"/>
          <w:lang w:eastAsia="en-GB"/>
          <w14:ligatures w14:val="none"/>
        </w:rPr>
        <w:t xml:space="preserve"> Geneva: WHO.</w:t>
      </w:r>
    </w:p>
    <w:p w:rsidR="005A41CA" w:rsidRPr="00A260A9" w:rsidRDefault="005A41CA" w:rsidP="00A260A9">
      <w:pPr>
        <w:tabs>
          <w:tab w:val="left" w:pos="2239"/>
        </w:tabs>
        <w:spacing w:line="360" w:lineRule="auto"/>
        <w:rPr>
          <w:rFonts w:ascii="Arial" w:hAnsi="Arial" w:cs="Arial"/>
        </w:rPr>
      </w:pPr>
    </w:p>
    <w:sectPr w:rsidR="005A41CA" w:rsidRPr="00A260A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44B2" w:rsidRDefault="002144B2" w:rsidP="00A260A9">
      <w:pPr>
        <w:spacing w:after="0" w:line="240" w:lineRule="auto"/>
      </w:pPr>
      <w:r>
        <w:separator/>
      </w:r>
    </w:p>
  </w:endnote>
  <w:endnote w:type="continuationSeparator" w:id="0">
    <w:p w:rsidR="002144B2" w:rsidRDefault="002144B2" w:rsidP="00A26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4020683"/>
      <w:docPartObj>
        <w:docPartGallery w:val="Page Numbers (Bottom of Page)"/>
        <w:docPartUnique/>
      </w:docPartObj>
    </w:sdtPr>
    <w:sdtEndPr>
      <w:rPr>
        <w:noProof/>
      </w:rPr>
    </w:sdtEndPr>
    <w:sdtContent>
      <w:p w:rsidR="00A260A9" w:rsidRDefault="00A260A9">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rsidR="00A260A9" w:rsidRDefault="00A260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44B2" w:rsidRDefault="002144B2" w:rsidP="00A260A9">
      <w:pPr>
        <w:spacing w:after="0" w:line="240" w:lineRule="auto"/>
      </w:pPr>
      <w:r>
        <w:separator/>
      </w:r>
    </w:p>
  </w:footnote>
  <w:footnote w:type="continuationSeparator" w:id="0">
    <w:p w:rsidR="002144B2" w:rsidRDefault="002144B2" w:rsidP="00A260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028D"/>
    <w:rsid w:val="00025724"/>
    <w:rsid w:val="002144B2"/>
    <w:rsid w:val="00352A94"/>
    <w:rsid w:val="005A41CA"/>
    <w:rsid w:val="005C028D"/>
    <w:rsid w:val="00614076"/>
    <w:rsid w:val="0065200A"/>
    <w:rsid w:val="00774C65"/>
    <w:rsid w:val="00A260A9"/>
    <w:rsid w:val="00DE3044"/>
    <w:rsid w:val="00FE6A54"/>
    <w:rsid w:val="00FF5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028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A26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0A9"/>
  </w:style>
  <w:style w:type="paragraph" w:styleId="Footer">
    <w:name w:val="footer"/>
    <w:basedOn w:val="Normal"/>
    <w:link w:val="FooterChar"/>
    <w:uiPriority w:val="99"/>
    <w:unhideWhenUsed/>
    <w:rsid w:val="00A26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0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028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A26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0A9"/>
  </w:style>
  <w:style w:type="paragraph" w:styleId="Footer">
    <w:name w:val="footer"/>
    <w:basedOn w:val="Normal"/>
    <w:link w:val="FooterChar"/>
    <w:uiPriority w:val="99"/>
    <w:unhideWhenUsed/>
    <w:rsid w:val="00A26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934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654</TotalTime>
  <Pages>7</Pages>
  <Words>1883</Words>
  <Characters>10736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12594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ADEOLA ADEKANMI</dc:creator>
  <cp:lastModifiedBy>ADEOLA ADEKANMI</cp:lastModifiedBy>
  <cp:revision>3</cp:revision>
  <dcterms:created xsi:type="dcterms:W3CDTF">2026-03-30T13:31:00Z</dcterms:created>
  <dcterms:modified xsi:type="dcterms:W3CDTF">2026-04-02T10:43:00Z</dcterms:modified>
</cp:coreProperties>
</file>