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2D73B" w14:textId="77777777" w:rsidR="00B4364A" w:rsidRDefault="00B4364A" w:rsidP="00B4364A">
      <w:pPr>
        <w:pStyle w:val="Normal1"/>
        <w:jc w:val="center"/>
        <w:rPr>
          <w:b/>
          <w:sz w:val="32"/>
          <w:szCs w:val="32"/>
        </w:rPr>
      </w:pPr>
    </w:p>
    <w:p w14:paraId="51E7AD40" w14:textId="77777777" w:rsidR="00B4364A" w:rsidRDefault="00B4364A" w:rsidP="00B4364A">
      <w:pPr>
        <w:pStyle w:val="Normal1"/>
        <w:jc w:val="center"/>
        <w:rPr>
          <w:b/>
          <w:sz w:val="32"/>
          <w:szCs w:val="32"/>
        </w:rPr>
      </w:pPr>
    </w:p>
    <w:p w14:paraId="3FEE60A5" w14:textId="77777777" w:rsidR="00B4364A" w:rsidRPr="00FB71DB" w:rsidRDefault="00B4364A" w:rsidP="00B4364A">
      <w:pPr>
        <w:pStyle w:val="Normal1"/>
        <w:jc w:val="center"/>
        <w:rPr>
          <w:rFonts w:ascii="Arial" w:hAnsi="Arial" w:cs="Arial"/>
          <w:b/>
          <w:sz w:val="32"/>
          <w:szCs w:val="32"/>
        </w:rPr>
      </w:pPr>
    </w:p>
    <w:p w14:paraId="79DBC1F9" w14:textId="77777777" w:rsidR="006B0B5C" w:rsidRDefault="006B0B5C" w:rsidP="002A52FF">
      <w:pPr>
        <w:pStyle w:val="ListParagraph"/>
        <w:spacing w:line="360" w:lineRule="auto"/>
        <w:ind w:left="1440" w:firstLine="720"/>
        <w:rPr>
          <w:rFonts w:ascii="Arial" w:hAnsi="Arial" w:cs="Arial"/>
          <w:b/>
          <w:bCs/>
          <w:sz w:val="24"/>
          <w:szCs w:val="24"/>
        </w:rPr>
      </w:pPr>
    </w:p>
    <w:p w14:paraId="5C88D2D5" w14:textId="77777777" w:rsidR="006B0B5C" w:rsidRDefault="006B0B5C" w:rsidP="002A52FF">
      <w:pPr>
        <w:pStyle w:val="ListParagraph"/>
        <w:spacing w:line="360" w:lineRule="auto"/>
        <w:ind w:left="1440" w:firstLine="720"/>
        <w:rPr>
          <w:rFonts w:ascii="Arial" w:hAnsi="Arial" w:cs="Arial"/>
          <w:b/>
          <w:bCs/>
          <w:sz w:val="24"/>
          <w:szCs w:val="24"/>
        </w:rPr>
      </w:pPr>
    </w:p>
    <w:p w14:paraId="7A1E9137" w14:textId="77777777" w:rsidR="006B0B5C" w:rsidRDefault="006B0B5C" w:rsidP="002A52FF">
      <w:pPr>
        <w:pStyle w:val="ListParagraph"/>
        <w:spacing w:line="360" w:lineRule="auto"/>
        <w:ind w:left="1440" w:firstLine="720"/>
        <w:rPr>
          <w:rFonts w:ascii="Arial" w:hAnsi="Arial" w:cs="Arial"/>
          <w:b/>
          <w:bCs/>
          <w:sz w:val="24"/>
          <w:szCs w:val="24"/>
        </w:rPr>
      </w:pPr>
    </w:p>
    <w:p w14:paraId="3C53ED14" w14:textId="77777777" w:rsidR="006B0B5C" w:rsidRDefault="006B0B5C" w:rsidP="002A52FF">
      <w:pPr>
        <w:pStyle w:val="ListParagraph"/>
        <w:spacing w:line="360" w:lineRule="auto"/>
        <w:ind w:left="1440" w:firstLine="720"/>
        <w:rPr>
          <w:rFonts w:ascii="Arial" w:hAnsi="Arial" w:cs="Arial"/>
          <w:b/>
          <w:bCs/>
          <w:sz w:val="24"/>
          <w:szCs w:val="24"/>
        </w:rPr>
      </w:pPr>
    </w:p>
    <w:p w14:paraId="70A4E579" w14:textId="01B5F3BB" w:rsidR="002A52FF" w:rsidRPr="00FB71DB" w:rsidRDefault="002A52FF" w:rsidP="002A52FF">
      <w:pPr>
        <w:pStyle w:val="ListParagraph"/>
        <w:spacing w:line="360" w:lineRule="auto"/>
        <w:ind w:left="1440" w:firstLine="720"/>
        <w:rPr>
          <w:rFonts w:ascii="Arial" w:hAnsi="Arial" w:cs="Arial"/>
          <w:b/>
          <w:bCs/>
          <w:sz w:val="24"/>
          <w:szCs w:val="24"/>
        </w:rPr>
      </w:pPr>
      <w:r w:rsidRPr="00FB71DB">
        <w:rPr>
          <w:rFonts w:ascii="Arial" w:hAnsi="Arial" w:cs="Arial"/>
          <w:b/>
          <w:bCs/>
          <w:sz w:val="24"/>
          <w:szCs w:val="24"/>
        </w:rPr>
        <w:t>Legal Issues – Fire Safety in the Hotel Industry</w:t>
      </w:r>
    </w:p>
    <w:p w14:paraId="36FE5F1A" w14:textId="77777777" w:rsidR="00B4364A" w:rsidRPr="00FB71DB" w:rsidRDefault="00B4364A" w:rsidP="00B4364A">
      <w:pPr>
        <w:pStyle w:val="Normal1"/>
        <w:jc w:val="center"/>
        <w:rPr>
          <w:rFonts w:ascii="Arial" w:hAnsi="Arial" w:cs="Arial"/>
          <w:b/>
        </w:rPr>
      </w:pPr>
    </w:p>
    <w:p w14:paraId="57933505" w14:textId="549C6EEC" w:rsidR="00B4364A" w:rsidRPr="00CE2A28" w:rsidRDefault="006466E1" w:rsidP="00B4364A">
      <w:pPr>
        <w:pStyle w:val="Normal1"/>
        <w:jc w:val="center"/>
        <w:rPr>
          <w:rFonts w:ascii="Arial" w:hAnsi="Arial" w:cs="Arial"/>
          <w:b/>
        </w:rPr>
      </w:pPr>
      <w:r w:rsidRPr="00CE2A28">
        <w:rPr>
          <w:rFonts w:ascii="Arial" w:hAnsi="Arial" w:cs="Arial"/>
          <w:b/>
        </w:rPr>
        <w:t>Madalina Mariana Gaina</w:t>
      </w:r>
    </w:p>
    <w:p w14:paraId="21CAD2B9" w14:textId="7DBFF53C" w:rsidR="0069299B" w:rsidRPr="00CE2A28" w:rsidRDefault="0069299B" w:rsidP="00B4364A">
      <w:pPr>
        <w:pStyle w:val="Normal1"/>
        <w:jc w:val="center"/>
        <w:rPr>
          <w:rFonts w:ascii="Arial" w:hAnsi="Arial" w:cs="Arial"/>
          <w:b/>
        </w:rPr>
      </w:pPr>
      <w:r w:rsidRPr="00CE2A28">
        <w:rPr>
          <w:rFonts w:ascii="Arial" w:hAnsi="Arial" w:cs="Arial"/>
          <w:b/>
        </w:rPr>
        <w:t xml:space="preserve">Student ID Number: </w:t>
      </w:r>
      <w:r w:rsidR="00814370" w:rsidRPr="00CE2A28">
        <w:rPr>
          <w:rFonts w:ascii="Arial" w:hAnsi="Arial" w:cs="Arial"/>
          <w:b/>
        </w:rPr>
        <w:t>2234387</w:t>
      </w:r>
    </w:p>
    <w:p w14:paraId="759B460E" w14:textId="26D68F70" w:rsidR="00814370" w:rsidRPr="00FB71DB" w:rsidRDefault="00BD4C2F" w:rsidP="00B4364A">
      <w:pPr>
        <w:pStyle w:val="Normal1"/>
        <w:jc w:val="center"/>
        <w:rPr>
          <w:rFonts w:ascii="Arial" w:hAnsi="Arial" w:cs="Arial"/>
          <w:b/>
          <w:bCs/>
        </w:rPr>
      </w:pPr>
      <w:r w:rsidRPr="00FB71DB">
        <w:rPr>
          <w:rFonts w:ascii="Arial" w:hAnsi="Arial" w:cs="Arial"/>
          <w:b/>
        </w:rPr>
        <w:t xml:space="preserve">Module Title: Business Skills </w:t>
      </w:r>
      <w:r w:rsidR="007A35A4" w:rsidRPr="00FB71DB">
        <w:rPr>
          <w:rFonts w:ascii="Arial" w:hAnsi="Arial" w:cs="Arial"/>
          <w:b/>
          <w:bCs/>
        </w:rPr>
        <w:t>BMIH4001</w:t>
      </w:r>
    </w:p>
    <w:p w14:paraId="785C736B" w14:textId="546402D3" w:rsidR="007A35A4" w:rsidRPr="00FB71DB" w:rsidRDefault="00412D53" w:rsidP="00B4364A">
      <w:pPr>
        <w:pStyle w:val="Normal1"/>
        <w:jc w:val="center"/>
        <w:rPr>
          <w:rFonts w:ascii="Arial" w:hAnsi="Arial" w:cs="Arial"/>
          <w:b/>
        </w:rPr>
      </w:pPr>
      <w:r w:rsidRPr="00FB71DB">
        <w:rPr>
          <w:rFonts w:ascii="Arial" w:hAnsi="Arial" w:cs="Arial"/>
          <w:b/>
        </w:rPr>
        <w:t>Lecturer`s name: Deborah Lloyd</w:t>
      </w:r>
    </w:p>
    <w:p w14:paraId="42884A13" w14:textId="05DB3174" w:rsidR="009D21FE" w:rsidRPr="00FB71DB" w:rsidRDefault="009D21FE" w:rsidP="00B4364A">
      <w:pPr>
        <w:pStyle w:val="Normal1"/>
        <w:jc w:val="center"/>
        <w:rPr>
          <w:rFonts w:ascii="Arial" w:hAnsi="Arial" w:cs="Arial"/>
          <w:b/>
        </w:rPr>
      </w:pPr>
      <w:r w:rsidRPr="00FB71DB">
        <w:rPr>
          <w:rFonts w:ascii="Arial" w:hAnsi="Arial" w:cs="Arial"/>
          <w:b/>
        </w:rPr>
        <w:t>Wordcount: 4</w:t>
      </w:r>
      <w:r w:rsidR="00CE2A28">
        <w:rPr>
          <w:rFonts w:ascii="Arial" w:hAnsi="Arial" w:cs="Arial"/>
          <w:b/>
        </w:rPr>
        <w:t>0</w:t>
      </w:r>
      <w:r w:rsidRPr="00FB71DB">
        <w:rPr>
          <w:rFonts w:ascii="Arial" w:hAnsi="Arial" w:cs="Arial"/>
          <w:b/>
        </w:rPr>
        <w:t>0</w:t>
      </w:r>
    </w:p>
    <w:p w14:paraId="68D2363B" w14:textId="77777777" w:rsidR="009D21FE" w:rsidRPr="00FB71DB" w:rsidRDefault="009D21FE" w:rsidP="00B4364A">
      <w:pPr>
        <w:pStyle w:val="Normal1"/>
        <w:jc w:val="center"/>
        <w:rPr>
          <w:rFonts w:ascii="Arial" w:hAnsi="Arial" w:cs="Arial"/>
          <w:b/>
        </w:rPr>
      </w:pPr>
    </w:p>
    <w:p w14:paraId="4565F315" w14:textId="77777777" w:rsidR="00B4364A" w:rsidRPr="007A35A4" w:rsidRDefault="00B4364A" w:rsidP="00B4364A">
      <w:pPr>
        <w:pStyle w:val="Normal1"/>
        <w:jc w:val="center"/>
        <w:rPr>
          <w:b/>
          <w:sz w:val="32"/>
          <w:szCs w:val="32"/>
        </w:rPr>
      </w:pPr>
    </w:p>
    <w:p w14:paraId="732B468A" w14:textId="77777777" w:rsidR="00B4364A" w:rsidRPr="007A35A4" w:rsidRDefault="00B4364A" w:rsidP="00B4364A">
      <w:pPr>
        <w:pStyle w:val="Normal1"/>
        <w:jc w:val="center"/>
        <w:rPr>
          <w:b/>
          <w:sz w:val="32"/>
          <w:szCs w:val="32"/>
        </w:rPr>
      </w:pPr>
    </w:p>
    <w:p w14:paraId="5E3E1B22" w14:textId="77777777" w:rsidR="00B4364A" w:rsidRPr="007A35A4" w:rsidRDefault="00B4364A" w:rsidP="00B4364A">
      <w:pPr>
        <w:pStyle w:val="Normal1"/>
        <w:jc w:val="center"/>
        <w:rPr>
          <w:b/>
          <w:sz w:val="32"/>
          <w:szCs w:val="32"/>
        </w:rPr>
      </w:pPr>
    </w:p>
    <w:p w14:paraId="0FA3E310" w14:textId="77777777" w:rsidR="00B4364A" w:rsidRPr="007A35A4" w:rsidRDefault="00B4364A" w:rsidP="00B4364A">
      <w:pPr>
        <w:pStyle w:val="Normal1"/>
        <w:jc w:val="center"/>
        <w:rPr>
          <w:b/>
          <w:sz w:val="32"/>
          <w:szCs w:val="32"/>
        </w:rPr>
      </w:pPr>
    </w:p>
    <w:p w14:paraId="1D4A8C05" w14:textId="77777777" w:rsidR="00B4364A" w:rsidRPr="007A35A4" w:rsidRDefault="00B4364A" w:rsidP="00B4364A">
      <w:pPr>
        <w:pStyle w:val="Normal1"/>
        <w:jc w:val="center"/>
        <w:rPr>
          <w:b/>
          <w:sz w:val="32"/>
          <w:szCs w:val="32"/>
        </w:rPr>
      </w:pPr>
    </w:p>
    <w:p w14:paraId="7D10F644" w14:textId="4D0E4DFA" w:rsidR="00B4364A" w:rsidRPr="006B0B5C" w:rsidRDefault="00B4364A" w:rsidP="006B0B5C">
      <w:pPr>
        <w:rPr>
          <w:b/>
          <w:sz w:val="32"/>
          <w:szCs w:val="32"/>
        </w:rPr>
      </w:pPr>
      <w:r>
        <w:br w:type="page"/>
      </w:r>
    </w:p>
    <w:p w14:paraId="2699C15F" w14:textId="08FEC758" w:rsidR="00B4364A" w:rsidRPr="00604B71" w:rsidRDefault="00B4364A" w:rsidP="00604B71">
      <w:pPr>
        <w:pStyle w:val="Normal1"/>
        <w:ind w:firstLine="720"/>
        <w:rPr>
          <w:rFonts w:ascii="Arial" w:hAnsi="Arial" w:cs="Arial"/>
          <w:sz w:val="20"/>
          <w:szCs w:val="20"/>
        </w:rPr>
      </w:pPr>
      <w:bookmarkStart w:id="0" w:name="_7axs4qvq61i" w:colFirst="0" w:colLast="0"/>
      <w:bookmarkEnd w:id="0"/>
      <w:r w:rsidRPr="00604B71">
        <w:rPr>
          <w:rFonts w:ascii="Arial" w:hAnsi="Arial" w:cs="Arial"/>
          <w:sz w:val="20"/>
          <w:szCs w:val="20"/>
        </w:rPr>
        <w:lastRenderedPageBreak/>
        <w:t xml:space="preserve">In the event of a fire, hotel management is responsible for ensuring that all guests may leave the premises without difficulty. As such, it is important to have regularly scheduled emergency response and fire prevention drills, and to clearly label all fire escape routes leading from each guest room. Customers may rest well knowing that fire prevention measures have been taken. </w:t>
      </w:r>
    </w:p>
    <w:p w14:paraId="020AC637" w14:textId="77777777" w:rsidR="00B4364A" w:rsidRPr="00604B71" w:rsidRDefault="00B4364A" w:rsidP="00604B71">
      <w:pPr>
        <w:pStyle w:val="Normal1"/>
        <w:ind w:firstLine="720"/>
        <w:rPr>
          <w:rFonts w:ascii="Arial" w:hAnsi="Arial" w:cs="Arial"/>
          <w:sz w:val="20"/>
          <w:szCs w:val="20"/>
        </w:rPr>
      </w:pPr>
      <w:r w:rsidRPr="00604B71">
        <w:rPr>
          <w:rFonts w:ascii="Arial" w:hAnsi="Arial" w:cs="Arial"/>
          <w:sz w:val="20"/>
          <w:szCs w:val="20"/>
        </w:rPr>
        <w:t xml:space="preserve">Everyone and everything must be protected from harm in the case of a fire. The safety of the hotel's guests and staff members is paramount. Every year, 3,900 hotel and motel fires cause an estimated $100,000,000 in property damage, 100 injuries, and 15 deaths, according to the Federal Emergency Management Agency (Robina </w:t>
      </w:r>
      <w:r w:rsidRPr="00604B71">
        <w:rPr>
          <w:rFonts w:ascii="Arial" w:hAnsi="Arial" w:cs="Arial"/>
          <w:i/>
          <w:sz w:val="20"/>
          <w:szCs w:val="20"/>
        </w:rPr>
        <w:t>et al.</w:t>
      </w:r>
      <w:r w:rsidRPr="00604B71">
        <w:rPr>
          <w:rFonts w:ascii="Arial" w:hAnsi="Arial" w:cs="Arial"/>
          <w:sz w:val="20"/>
          <w:szCs w:val="20"/>
        </w:rPr>
        <w:t xml:space="preserve">, 2021). The hotel staff should be required to test the fire alarms on a regular basis. The bulk of the configuration may be tested with the assistance of the settings menu. By hitting the button twice, one will activate the alarms but will not really summon help in the event of a fire. The alarms may be activated by pushing a button within a locked alarm lever box, which would require the usage of a master key. It is essential to keep track of the activation devices utilized and their responses in order to monitor test results. In case of an alarm system failure, the technician will have access to this information. Every fire drill has to involve a check of the alarms. An emergency action plan including the hotel's evacuation procedures and the locations of all exits should be readily available to all staff members (Sönmez </w:t>
      </w:r>
      <w:r w:rsidRPr="00604B71">
        <w:rPr>
          <w:rFonts w:ascii="Arial" w:hAnsi="Arial" w:cs="Arial"/>
          <w:i/>
          <w:sz w:val="20"/>
          <w:szCs w:val="20"/>
        </w:rPr>
        <w:t>et al.</w:t>
      </w:r>
      <w:r w:rsidRPr="00604B71">
        <w:rPr>
          <w:rFonts w:ascii="Arial" w:hAnsi="Arial" w:cs="Arial"/>
          <w:sz w:val="20"/>
          <w:szCs w:val="20"/>
        </w:rPr>
        <w:t>, 2020).</w:t>
      </w:r>
    </w:p>
    <w:p w14:paraId="7262E1A0" w14:textId="77777777" w:rsidR="00B4364A" w:rsidRPr="00604B71" w:rsidRDefault="00B4364A" w:rsidP="00604B71">
      <w:pPr>
        <w:pStyle w:val="Normal1"/>
        <w:ind w:firstLine="720"/>
        <w:rPr>
          <w:rFonts w:ascii="Arial" w:hAnsi="Arial" w:cs="Arial"/>
          <w:sz w:val="20"/>
          <w:szCs w:val="20"/>
        </w:rPr>
      </w:pPr>
      <w:r w:rsidRPr="00604B71">
        <w:rPr>
          <w:rFonts w:ascii="Arial" w:hAnsi="Arial" w:cs="Arial"/>
          <w:sz w:val="20"/>
          <w:szCs w:val="20"/>
        </w:rPr>
        <w:t xml:space="preserve">In the case of a fire, OSHA mandates that all employees, including management, be familiar with and have received training on the emergency response plan. As part of these precautions, guests and those in need may be steered toward the nearest exits. The hotel's fire prevention and escape procedures should be thoroughly reviewed by all employees. Each and every hotel room door needs a "Escape" sign in case of fire or other emergency. When a fire breaks out, the situation may quickly deteriorate and become dangerous. It is difficult to see well and locate the path due to the haze. To put it simply, if people can see the exit signs, they are more likely to do so safely. The hotel's management is obligated to inform guests and employees alike about the wide variety of wall coverings to be found on the premises (Hu </w:t>
      </w:r>
      <w:r w:rsidRPr="00604B71">
        <w:rPr>
          <w:rFonts w:ascii="Arial" w:hAnsi="Arial" w:cs="Arial"/>
          <w:i/>
          <w:sz w:val="20"/>
          <w:szCs w:val="20"/>
        </w:rPr>
        <w:t>et al.</w:t>
      </w:r>
      <w:r w:rsidRPr="00604B71">
        <w:rPr>
          <w:rFonts w:ascii="Arial" w:hAnsi="Arial" w:cs="Arial"/>
          <w:sz w:val="20"/>
          <w:szCs w:val="20"/>
        </w:rPr>
        <w:t>, 2021).</w:t>
      </w:r>
    </w:p>
    <w:p w14:paraId="5D358F10" w14:textId="77777777" w:rsidR="00B4364A" w:rsidRPr="00604B71" w:rsidRDefault="00B4364A" w:rsidP="00604B71">
      <w:pPr>
        <w:pStyle w:val="Normal1"/>
        <w:ind w:firstLine="720"/>
        <w:rPr>
          <w:rFonts w:ascii="Arial" w:hAnsi="Arial" w:cs="Arial"/>
          <w:sz w:val="20"/>
          <w:szCs w:val="20"/>
        </w:rPr>
      </w:pPr>
      <w:bookmarkStart w:id="1" w:name="_lahnrvvrvxh" w:colFirst="0" w:colLast="0"/>
      <w:bookmarkEnd w:id="1"/>
      <w:r w:rsidRPr="00604B71">
        <w:rPr>
          <w:rFonts w:ascii="Arial" w:hAnsi="Arial" w:cs="Arial"/>
          <w:sz w:val="20"/>
          <w:szCs w:val="20"/>
        </w:rPr>
        <w:t>One should undertake a fire risk assessment to find out how probable it is that a fire may start on the property and spread to the surrounding area, causing damage to the local community.</w:t>
      </w:r>
      <w:r w:rsidRPr="00604B71">
        <w:rPr>
          <w:rFonts w:ascii="Arial" w:hAnsi="Arial" w:cs="Arial"/>
          <w:sz w:val="20"/>
          <w:szCs w:val="20"/>
        </w:rPr>
        <w:br w:type="page"/>
      </w:r>
    </w:p>
    <w:p w14:paraId="6ABE3259" w14:textId="77777777" w:rsidR="00B4364A" w:rsidRPr="00604B71" w:rsidRDefault="00B4364A" w:rsidP="00B4364A">
      <w:pPr>
        <w:pStyle w:val="Heading1"/>
        <w:rPr>
          <w:rFonts w:ascii="Arial" w:hAnsi="Arial" w:cs="Arial"/>
          <w:sz w:val="20"/>
          <w:szCs w:val="20"/>
        </w:rPr>
      </w:pPr>
      <w:bookmarkStart w:id="2" w:name="_cq4rdbmtsnf3" w:colFirst="0" w:colLast="0"/>
      <w:bookmarkStart w:id="3" w:name="_Toc126441486"/>
      <w:bookmarkEnd w:id="2"/>
      <w:r w:rsidRPr="00604B71">
        <w:rPr>
          <w:rFonts w:ascii="Arial" w:hAnsi="Arial" w:cs="Arial"/>
          <w:sz w:val="20"/>
          <w:szCs w:val="20"/>
        </w:rPr>
        <w:lastRenderedPageBreak/>
        <w:t>Reference List</w:t>
      </w:r>
      <w:bookmarkEnd w:id="3"/>
    </w:p>
    <w:p w14:paraId="1D9E82DC" w14:textId="50EABA7D" w:rsidR="00B4364A" w:rsidRPr="00604B71" w:rsidRDefault="00B4364A" w:rsidP="00B4364A">
      <w:pPr>
        <w:pStyle w:val="Normal1"/>
        <w:rPr>
          <w:rFonts w:ascii="Arial" w:hAnsi="Arial" w:cs="Arial"/>
          <w:sz w:val="20"/>
          <w:szCs w:val="20"/>
        </w:rPr>
      </w:pPr>
      <w:r w:rsidRPr="00604B71">
        <w:rPr>
          <w:rFonts w:ascii="Arial" w:hAnsi="Arial" w:cs="Arial"/>
          <w:sz w:val="20"/>
          <w:szCs w:val="20"/>
        </w:rPr>
        <w:t xml:space="preserve">Hu, X., Yan, H., Casey, T. and Wu, C.H. </w:t>
      </w:r>
      <w:r w:rsidR="00E71063">
        <w:rPr>
          <w:rFonts w:ascii="Arial" w:hAnsi="Arial" w:cs="Arial"/>
          <w:sz w:val="20"/>
          <w:szCs w:val="20"/>
        </w:rPr>
        <w:t>(</w:t>
      </w:r>
      <w:r w:rsidRPr="00604B71">
        <w:rPr>
          <w:rFonts w:ascii="Arial" w:hAnsi="Arial" w:cs="Arial"/>
          <w:sz w:val="20"/>
          <w:szCs w:val="20"/>
        </w:rPr>
        <w:t>2021</w:t>
      </w:r>
      <w:r w:rsidR="00E71063">
        <w:rPr>
          <w:rFonts w:ascii="Arial" w:hAnsi="Arial" w:cs="Arial"/>
          <w:sz w:val="20"/>
          <w:szCs w:val="20"/>
        </w:rPr>
        <w:t xml:space="preserve">) </w:t>
      </w:r>
      <w:r w:rsidRPr="00E71063">
        <w:rPr>
          <w:rFonts w:ascii="Arial" w:hAnsi="Arial" w:cs="Arial"/>
          <w:i/>
          <w:iCs/>
          <w:sz w:val="20"/>
          <w:szCs w:val="20"/>
        </w:rPr>
        <w:t>Creating a safe haven during the crisis: How organizations can achieve deep compliance with COVID-19 safety measures in the hospitality industry</w:t>
      </w:r>
      <w:r w:rsidRPr="00604B71">
        <w:rPr>
          <w:rFonts w:ascii="Arial" w:hAnsi="Arial" w:cs="Arial"/>
          <w:sz w:val="20"/>
          <w:szCs w:val="20"/>
        </w:rPr>
        <w:t>. International Journal of Hospitality Management, 92, p.102662.</w:t>
      </w:r>
    </w:p>
    <w:p w14:paraId="650EF56E" w14:textId="3D295408" w:rsidR="00B4364A" w:rsidRPr="00604B71" w:rsidRDefault="00B4364A" w:rsidP="00B4364A">
      <w:pPr>
        <w:pStyle w:val="Normal1"/>
        <w:rPr>
          <w:rFonts w:ascii="Arial" w:hAnsi="Arial" w:cs="Arial"/>
          <w:sz w:val="20"/>
          <w:szCs w:val="20"/>
        </w:rPr>
      </w:pPr>
      <w:r w:rsidRPr="00604B71">
        <w:rPr>
          <w:rFonts w:ascii="Arial" w:hAnsi="Arial" w:cs="Arial"/>
          <w:sz w:val="20"/>
          <w:szCs w:val="20"/>
        </w:rPr>
        <w:t xml:space="preserve">Robina-Ramírez, R., Medina-Merodio, J.A., Moreno-Luna, L., Jiménez-Naranjo, H.V. and Sánchez-Oro, M. </w:t>
      </w:r>
      <w:r w:rsidR="00E71063">
        <w:rPr>
          <w:rFonts w:ascii="Arial" w:hAnsi="Arial" w:cs="Arial"/>
          <w:sz w:val="20"/>
          <w:szCs w:val="20"/>
        </w:rPr>
        <w:t>(</w:t>
      </w:r>
      <w:r w:rsidRPr="00604B71">
        <w:rPr>
          <w:rFonts w:ascii="Arial" w:hAnsi="Arial" w:cs="Arial"/>
          <w:sz w:val="20"/>
          <w:szCs w:val="20"/>
        </w:rPr>
        <w:t>2021</w:t>
      </w:r>
      <w:r w:rsidR="00E71063" w:rsidRPr="00E71063">
        <w:rPr>
          <w:rFonts w:ascii="Arial" w:hAnsi="Arial" w:cs="Arial"/>
          <w:i/>
          <w:iCs/>
          <w:sz w:val="20"/>
          <w:szCs w:val="20"/>
        </w:rPr>
        <w:t>)</w:t>
      </w:r>
      <w:r w:rsidRPr="00E71063">
        <w:rPr>
          <w:rFonts w:ascii="Arial" w:hAnsi="Arial" w:cs="Arial"/>
          <w:i/>
          <w:iCs/>
          <w:sz w:val="20"/>
          <w:szCs w:val="20"/>
        </w:rPr>
        <w:t xml:space="preserve"> Safety and health measures for COVID-19 transition period in the hotel industry in Spain</w:t>
      </w:r>
      <w:r w:rsidRPr="00604B71">
        <w:rPr>
          <w:rFonts w:ascii="Arial" w:hAnsi="Arial" w:cs="Arial"/>
          <w:sz w:val="20"/>
          <w:szCs w:val="20"/>
        </w:rPr>
        <w:t>. International Journal of Environmental Research and Public Health, 18(2), p.718.</w:t>
      </w:r>
    </w:p>
    <w:p w14:paraId="09EA700E" w14:textId="0FBE61D7" w:rsidR="00B4364A" w:rsidRPr="00604B71" w:rsidRDefault="00B4364A" w:rsidP="00B4364A">
      <w:pPr>
        <w:pStyle w:val="Normal1"/>
        <w:rPr>
          <w:rFonts w:ascii="Arial" w:hAnsi="Arial" w:cs="Arial"/>
          <w:sz w:val="20"/>
          <w:szCs w:val="20"/>
        </w:rPr>
      </w:pPr>
      <w:r w:rsidRPr="00604B71">
        <w:rPr>
          <w:rFonts w:ascii="Arial" w:hAnsi="Arial" w:cs="Arial"/>
          <w:sz w:val="20"/>
          <w:szCs w:val="20"/>
        </w:rPr>
        <w:t xml:space="preserve">Sönmez, S., Apostolopoulos, Y., Lemke, M.K. and Hsieh, Y.C.J. </w:t>
      </w:r>
      <w:r w:rsidR="00E71063">
        <w:rPr>
          <w:rFonts w:ascii="Arial" w:hAnsi="Arial" w:cs="Arial"/>
          <w:sz w:val="20"/>
          <w:szCs w:val="20"/>
        </w:rPr>
        <w:t>(</w:t>
      </w:r>
      <w:r w:rsidRPr="00604B71">
        <w:rPr>
          <w:rFonts w:ascii="Arial" w:hAnsi="Arial" w:cs="Arial"/>
          <w:sz w:val="20"/>
          <w:szCs w:val="20"/>
        </w:rPr>
        <w:t>2020</w:t>
      </w:r>
      <w:r w:rsidR="00E71063">
        <w:rPr>
          <w:rFonts w:ascii="Arial" w:hAnsi="Arial" w:cs="Arial"/>
          <w:sz w:val="20"/>
          <w:szCs w:val="20"/>
        </w:rPr>
        <w:t>)</w:t>
      </w:r>
      <w:r w:rsidRPr="00604B71">
        <w:rPr>
          <w:rFonts w:ascii="Arial" w:hAnsi="Arial" w:cs="Arial"/>
          <w:sz w:val="20"/>
          <w:szCs w:val="20"/>
        </w:rPr>
        <w:t xml:space="preserve"> </w:t>
      </w:r>
      <w:r w:rsidRPr="00E71063">
        <w:rPr>
          <w:rFonts w:ascii="Arial" w:hAnsi="Arial" w:cs="Arial"/>
          <w:i/>
          <w:iCs/>
          <w:sz w:val="20"/>
          <w:szCs w:val="20"/>
        </w:rPr>
        <w:t>Understanding the effects of COVID-19 on the health and safety of immigrant hospitality workers in the United States</w:t>
      </w:r>
      <w:r w:rsidRPr="00604B71">
        <w:rPr>
          <w:rFonts w:ascii="Arial" w:hAnsi="Arial" w:cs="Arial"/>
          <w:sz w:val="20"/>
          <w:szCs w:val="20"/>
        </w:rPr>
        <w:t>. Tourism management perspectives, 35, p.100717.</w:t>
      </w:r>
    </w:p>
    <w:p w14:paraId="3FEC6499" w14:textId="77777777" w:rsidR="00F547EE" w:rsidRPr="00604B71" w:rsidRDefault="00F547EE">
      <w:pPr>
        <w:rPr>
          <w:rFonts w:ascii="Arial" w:hAnsi="Arial" w:cs="Arial"/>
          <w:sz w:val="20"/>
          <w:szCs w:val="20"/>
        </w:rPr>
      </w:pPr>
    </w:p>
    <w:sectPr w:rsidR="00F547EE" w:rsidRPr="00604B71" w:rsidSect="00063F28">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E0359" w14:textId="77777777" w:rsidR="004B3C5C" w:rsidRDefault="004B3C5C">
      <w:pPr>
        <w:spacing w:line="240" w:lineRule="auto"/>
      </w:pPr>
      <w:r>
        <w:separator/>
      </w:r>
    </w:p>
  </w:endnote>
  <w:endnote w:type="continuationSeparator" w:id="0">
    <w:p w14:paraId="0C48FBB3" w14:textId="77777777" w:rsidR="004B3C5C" w:rsidRDefault="004B3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016319"/>
      <w:docPartObj>
        <w:docPartGallery w:val="Page Numbers (Bottom of Page)"/>
        <w:docPartUnique/>
      </w:docPartObj>
    </w:sdtPr>
    <w:sdtContent>
      <w:p w14:paraId="01D97C91" w14:textId="77777777" w:rsidR="00063F2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8C71FD" w14:textId="77777777" w:rsidR="00063F28"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58CB7" w14:textId="77777777" w:rsidR="004B3C5C" w:rsidRDefault="004B3C5C">
      <w:pPr>
        <w:spacing w:line="240" w:lineRule="auto"/>
      </w:pPr>
      <w:r>
        <w:separator/>
      </w:r>
    </w:p>
  </w:footnote>
  <w:footnote w:type="continuationSeparator" w:id="0">
    <w:p w14:paraId="092ED7EC" w14:textId="77777777" w:rsidR="004B3C5C" w:rsidRDefault="004B3C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FB3D6F"/>
    <w:multiLevelType w:val="hybridMultilevel"/>
    <w:tmpl w:val="3572AAD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22153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AC6"/>
    <w:rsid w:val="002A52FF"/>
    <w:rsid w:val="00412D53"/>
    <w:rsid w:val="004B3C5C"/>
    <w:rsid w:val="00604B71"/>
    <w:rsid w:val="006466E1"/>
    <w:rsid w:val="0069299B"/>
    <w:rsid w:val="006B0B5C"/>
    <w:rsid w:val="007A35A4"/>
    <w:rsid w:val="007E700E"/>
    <w:rsid w:val="00814370"/>
    <w:rsid w:val="008722DA"/>
    <w:rsid w:val="009D21FE"/>
    <w:rsid w:val="00AA48BA"/>
    <w:rsid w:val="00B4364A"/>
    <w:rsid w:val="00BB10CD"/>
    <w:rsid w:val="00BD4C2F"/>
    <w:rsid w:val="00CE2A28"/>
    <w:rsid w:val="00DB1AC6"/>
    <w:rsid w:val="00E71063"/>
    <w:rsid w:val="00F547EE"/>
    <w:rsid w:val="00FB7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6845A"/>
  <w15:chartTrackingRefBased/>
  <w15:docId w15:val="{21DD7A7D-C621-4F97-BD93-3E3CAD1DB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64A"/>
    <w:pPr>
      <w:spacing w:after="0" w:line="36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1"/>
    <w:next w:val="Normal1"/>
    <w:link w:val="Heading1Char"/>
    <w:rsid w:val="00B4364A"/>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364A"/>
    <w:rPr>
      <w:rFonts w:ascii="Times New Roman" w:eastAsia="Times New Roman" w:hAnsi="Times New Roman" w:cs="Times New Roman"/>
      <w:b/>
      <w:kern w:val="0"/>
      <w:sz w:val="28"/>
      <w:szCs w:val="28"/>
      <w14:ligatures w14:val="none"/>
    </w:rPr>
  </w:style>
  <w:style w:type="paragraph" w:customStyle="1" w:styleId="Normal1">
    <w:name w:val="Normal1"/>
    <w:rsid w:val="00B4364A"/>
    <w:pPr>
      <w:spacing w:after="0" w:line="360" w:lineRule="auto"/>
      <w:jc w:val="both"/>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semiHidden/>
    <w:unhideWhenUsed/>
    <w:qFormat/>
    <w:rsid w:val="00B4364A"/>
    <w:pPr>
      <w:spacing w:before="480" w:line="276" w:lineRule="auto"/>
      <w:jc w:val="left"/>
      <w:outlineLvl w:val="9"/>
    </w:pPr>
    <w:rPr>
      <w:rFonts w:asciiTheme="majorHAnsi" w:eastAsiaTheme="majorEastAsia" w:hAnsiTheme="majorHAnsi" w:cstheme="majorBidi"/>
      <w:bCs/>
      <w:color w:val="2F5496" w:themeColor="accent1" w:themeShade="BF"/>
      <w:lang w:val="en-US"/>
    </w:rPr>
  </w:style>
  <w:style w:type="paragraph" w:styleId="TOC1">
    <w:name w:val="toc 1"/>
    <w:basedOn w:val="Normal"/>
    <w:next w:val="Normal"/>
    <w:autoRedefine/>
    <w:uiPriority w:val="39"/>
    <w:unhideWhenUsed/>
    <w:rsid w:val="00B4364A"/>
    <w:pPr>
      <w:spacing w:after="100"/>
    </w:pPr>
  </w:style>
  <w:style w:type="character" w:styleId="Hyperlink">
    <w:name w:val="Hyperlink"/>
    <w:basedOn w:val="DefaultParagraphFont"/>
    <w:uiPriority w:val="99"/>
    <w:unhideWhenUsed/>
    <w:rsid w:val="00B4364A"/>
    <w:rPr>
      <w:color w:val="0563C1" w:themeColor="hyperlink"/>
      <w:u w:val="single"/>
    </w:rPr>
  </w:style>
  <w:style w:type="paragraph" w:styleId="Footer">
    <w:name w:val="footer"/>
    <w:basedOn w:val="Normal"/>
    <w:link w:val="FooterChar"/>
    <w:uiPriority w:val="99"/>
    <w:unhideWhenUsed/>
    <w:rsid w:val="00B4364A"/>
    <w:pPr>
      <w:tabs>
        <w:tab w:val="center" w:pos="4680"/>
        <w:tab w:val="right" w:pos="9360"/>
      </w:tabs>
      <w:spacing w:line="240" w:lineRule="auto"/>
    </w:pPr>
  </w:style>
  <w:style w:type="character" w:customStyle="1" w:styleId="FooterChar">
    <w:name w:val="Footer Char"/>
    <w:basedOn w:val="DefaultParagraphFont"/>
    <w:link w:val="Footer"/>
    <w:uiPriority w:val="99"/>
    <w:rsid w:val="00B4364A"/>
    <w:rPr>
      <w:rFonts w:ascii="Times New Roman" w:eastAsia="Times New Roman" w:hAnsi="Times New Roman" w:cs="Times New Roman"/>
      <w:kern w:val="0"/>
      <w:sz w:val="24"/>
      <w:szCs w:val="24"/>
      <w14:ligatures w14:val="none"/>
    </w:rPr>
  </w:style>
  <w:style w:type="character" w:customStyle="1" w:styleId="ListParagraphChar">
    <w:name w:val="List Paragraph Char"/>
    <w:link w:val="ListParagraph"/>
    <w:uiPriority w:val="34"/>
    <w:locked/>
    <w:rsid w:val="00BB10CD"/>
    <w:rPr>
      <w:rFonts w:ascii="Calibri" w:eastAsia="Calibri" w:hAnsi="Calibri" w:cs="Calibri"/>
      <w:sz w:val="20"/>
      <w:szCs w:val="20"/>
      <w:lang w:eastAsia="en-GB"/>
    </w:rPr>
  </w:style>
  <w:style w:type="paragraph" w:styleId="ListParagraph">
    <w:name w:val="List Paragraph"/>
    <w:basedOn w:val="Normal"/>
    <w:link w:val="ListParagraphChar"/>
    <w:uiPriority w:val="34"/>
    <w:qFormat/>
    <w:rsid w:val="00BB10CD"/>
    <w:pPr>
      <w:spacing w:line="240" w:lineRule="auto"/>
      <w:ind w:left="720"/>
      <w:jc w:val="left"/>
    </w:pPr>
    <w:rPr>
      <w:rFonts w:ascii="Calibri" w:eastAsia="Calibri" w:hAnsi="Calibri" w:cs="Calibri"/>
      <w:kern w:val="2"/>
      <w:sz w:val="20"/>
      <w:szCs w:val="20"/>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69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Maria</dc:creator>
  <cp:keywords/>
  <dc:description/>
  <cp:lastModifiedBy>Madalina Maria</cp:lastModifiedBy>
  <cp:revision>17</cp:revision>
  <dcterms:created xsi:type="dcterms:W3CDTF">2023-02-22T00:09:00Z</dcterms:created>
  <dcterms:modified xsi:type="dcterms:W3CDTF">2023-02-22T05:41:00Z</dcterms:modified>
</cp:coreProperties>
</file>