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DF1ED" w14:textId="77777777" w:rsidR="00617012" w:rsidRPr="00617012" w:rsidRDefault="00617012" w:rsidP="00617012">
      <w:pPr>
        <w:spacing w:line="360" w:lineRule="auto"/>
        <w:rPr>
          <w:rFonts w:asciiTheme="minorBidi" w:hAnsiTheme="minorBidi"/>
        </w:rPr>
      </w:pPr>
    </w:p>
    <w:p w14:paraId="3116FBA6" w14:textId="77777777" w:rsidR="00617012" w:rsidRPr="00617012" w:rsidRDefault="00617012" w:rsidP="00617012">
      <w:pPr>
        <w:spacing w:line="360" w:lineRule="auto"/>
        <w:rPr>
          <w:rFonts w:asciiTheme="minorBidi" w:hAnsiTheme="minorBidi"/>
          <w:szCs w:val="24"/>
        </w:rPr>
      </w:pPr>
      <w:r w:rsidRPr="00617012">
        <w:rPr>
          <w:rFonts w:asciiTheme="minorBidi" w:hAnsiTheme="minorBidi"/>
          <w:noProof/>
          <w:szCs w:val="24"/>
        </w:rPr>
        <w:drawing>
          <wp:anchor distT="0" distB="0" distL="114300" distR="114300" simplePos="0" relativeHeight="251659264" behindDoc="0" locked="0" layoutInCell="1" allowOverlap="1" wp14:anchorId="3296AE19" wp14:editId="59A1D1B1">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C0CE05" w14:textId="77777777" w:rsidR="00617012" w:rsidRPr="00617012" w:rsidRDefault="00617012" w:rsidP="00617012">
      <w:pPr>
        <w:spacing w:line="360" w:lineRule="auto"/>
        <w:rPr>
          <w:rFonts w:asciiTheme="minorBidi" w:hAnsiTheme="minorBidi"/>
          <w:szCs w:val="24"/>
        </w:rPr>
      </w:pPr>
    </w:p>
    <w:p w14:paraId="54AC70EE" w14:textId="77777777" w:rsidR="00617012" w:rsidRPr="00617012" w:rsidRDefault="00617012" w:rsidP="00617012">
      <w:pPr>
        <w:spacing w:line="360" w:lineRule="auto"/>
        <w:rPr>
          <w:rFonts w:asciiTheme="minorBidi" w:hAnsiTheme="minorBidi"/>
          <w:szCs w:val="24"/>
        </w:rPr>
      </w:pPr>
    </w:p>
    <w:p w14:paraId="76752F80" w14:textId="77777777" w:rsidR="00617012" w:rsidRPr="00617012" w:rsidRDefault="00617012" w:rsidP="00617012">
      <w:pPr>
        <w:spacing w:line="360" w:lineRule="auto"/>
        <w:rPr>
          <w:rFonts w:asciiTheme="minorBidi" w:hAnsiTheme="minorBidi"/>
          <w:szCs w:val="24"/>
        </w:rPr>
      </w:pPr>
    </w:p>
    <w:p w14:paraId="08AC47ED" w14:textId="77777777" w:rsidR="00617012" w:rsidRPr="00617012" w:rsidRDefault="00617012" w:rsidP="00617012">
      <w:pPr>
        <w:tabs>
          <w:tab w:val="left" w:pos="6540"/>
        </w:tabs>
        <w:spacing w:line="360" w:lineRule="auto"/>
        <w:rPr>
          <w:rFonts w:asciiTheme="minorBidi" w:hAnsiTheme="minorBidi"/>
          <w:sz w:val="28"/>
          <w:szCs w:val="28"/>
        </w:rPr>
      </w:pPr>
    </w:p>
    <w:p w14:paraId="544FFD7A" w14:textId="77777777" w:rsidR="00617012" w:rsidRPr="00617012" w:rsidRDefault="00617012" w:rsidP="00617012">
      <w:pPr>
        <w:tabs>
          <w:tab w:val="left" w:pos="6540"/>
        </w:tabs>
        <w:spacing w:line="360" w:lineRule="auto"/>
        <w:rPr>
          <w:rFonts w:asciiTheme="minorBidi" w:hAnsiTheme="minorBidi"/>
          <w:sz w:val="28"/>
          <w:szCs w:val="28"/>
        </w:rPr>
      </w:pPr>
      <w:r w:rsidRPr="00617012">
        <w:rPr>
          <w:rFonts w:asciiTheme="minorBidi" w:hAnsiTheme="minorBidi"/>
          <w:b/>
          <w:bCs/>
          <w:sz w:val="28"/>
          <w:szCs w:val="28"/>
        </w:rPr>
        <w:t>Student name</w:t>
      </w:r>
      <w:r w:rsidRPr="00617012">
        <w:rPr>
          <w:rFonts w:asciiTheme="minorBidi" w:hAnsiTheme="minorBidi"/>
          <w:sz w:val="28"/>
          <w:szCs w:val="28"/>
        </w:rPr>
        <w:t>: Gloria Abimbola Oke</w:t>
      </w:r>
    </w:p>
    <w:p w14:paraId="1BBC1BDF" w14:textId="77777777" w:rsidR="00617012" w:rsidRPr="00617012" w:rsidRDefault="00617012" w:rsidP="00617012">
      <w:pPr>
        <w:tabs>
          <w:tab w:val="left" w:pos="6540"/>
        </w:tabs>
        <w:spacing w:line="360" w:lineRule="auto"/>
        <w:rPr>
          <w:rFonts w:asciiTheme="minorBidi" w:hAnsiTheme="minorBidi"/>
          <w:sz w:val="28"/>
          <w:szCs w:val="28"/>
        </w:rPr>
      </w:pPr>
      <w:r w:rsidRPr="00617012">
        <w:rPr>
          <w:rFonts w:asciiTheme="minorBidi" w:hAnsiTheme="minorBidi"/>
          <w:b/>
          <w:bCs/>
          <w:sz w:val="28"/>
          <w:szCs w:val="28"/>
        </w:rPr>
        <w:t>Student ID</w:t>
      </w:r>
      <w:r w:rsidRPr="00617012">
        <w:rPr>
          <w:rFonts w:asciiTheme="minorBidi" w:hAnsiTheme="minorBidi"/>
          <w:sz w:val="28"/>
          <w:szCs w:val="28"/>
        </w:rPr>
        <w:t>: 2417815</w:t>
      </w:r>
    </w:p>
    <w:p w14:paraId="1A85F8BB" w14:textId="77777777" w:rsidR="00617012" w:rsidRPr="00617012" w:rsidRDefault="00617012" w:rsidP="00617012">
      <w:pPr>
        <w:tabs>
          <w:tab w:val="left" w:pos="6540"/>
        </w:tabs>
        <w:spacing w:line="360" w:lineRule="auto"/>
        <w:rPr>
          <w:rFonts w:asciiTheme="minorBidi" w:hAnsiTheme="minorBidi"/>
          <w:sz w:val="28"/>
          <w:szCs w:val="28"/>
        </w:rPr>
      </w:pPr>
    </w:p>
    <w:p w14:paraId="20A3D2AF" w14:textId="6215C333" w:rsidR="00617012" w:rsidRPr="00617012" w:rsidRDefault="00617012" w:rsidP="00617012">
      <w:pPr>
        <w:tabs>
          <w:tab w:val="left" w:pos="6540"/>
        </w:tabs>
        <w:spacing w:line="360" w:lineRule="auto"/>
        <w:rPr>
          <w:rFonts w:asciiTheme="minorBidi" w:hAnsiTheme="minorBidi"/>
          <w:sz w:val="28"/>
          <w:szCs w:val="28"/>
        </w:rPr>
      </w:pPr>
      <w:r w:rsidRPr="00617012">
        <w:rPr>
          <w:rFonts w:asciiTheme="minorBidi" w:hAnsiTheme="minorBidi"/>
          <w:b/>
          <w:bCs/>
          <w:sz w:val="28"/>
          <w:szCs w:val="28"/>
        </w:rPr>
        <w:t>Module name</w:t>
      </w:r>
      <w:r w:rsidRPr="00617012">
        <w:rPr>
          <w:rFonts w:asciiTheme="minorBidi" w:hAnsiTheme="minorBidi"/>
          <w:sz w:val="28"/>
          <w:szCs w:val="28"/>
        </w:rPr>
        <w:t xml:space="preserve">: </w:t>
      </w:r>
      <w:r w:rsidR="005A54FB">
        <w:rPr>
          <w:rFonts w:asciiTheme="minorBidi" w:hAnsiTheme="minorBidi"/>
          <w:sz w:val="28"/>
          <w:szCs w:val="28"/>
        </w:rPr>
        <w:t>C</w:t>
      </w:r>
      <w:r w:rsidR="005E5983">
        <w:rPr>
          <w:rFonts w:asciiTheme="minorBidi" w:hAnsiTheme="minorBidi"/>
          <w:sz w:val="28"/>
          <w:szCs w:val="28"/>
        </w:rPr>
        <w:t>hangemaker</w:t>
      </w:r>
      <w:r w:rsidR="00A91FD9">
        <w:rPr>
          <w:rFonts w:asciiTheme="minorBidi" w:hAnsiTheme="minorBidi"/>
          <w:sz w:val="28"/>
          <w:szCs w:val="28"/>
        </w:rPr>
        <w:t>: Cr</w:t>
      </w:r>
      <w:r w:rsidR="00FF4E01">
        <w:rPr>
          <w:rFonts w:asciiTheme="minorBidi" w:hAnsiTheme="minorBidi"/>
          <w:sz w:val="28"/>
          <w:szCs w:val="28"/>
        </w:rPr>
        <w:t>e</w:t>
      </w:r>
      <w:r w:rsidR="00852BF7">
        <w:rPr>
          <w:rFonts w:asciiTheme="minorBidi" w:hAnsiTheme="minorBidi"/>
          <w:sz w:val="28"/>
          <w:szCs w:val="28"/>
        </w:rPr>
        <w:t xml:space="preserve">ativity and Value </w:t>
      </w:r>
      <w:r w:rsidR="00C371A4">
        <w:rPr>
          <w:rFonts w:asciiTheme="minorBidi" w:hAnsiTheme="minorBidi"/>
          <w:sz w:val="28"/>
          <w:szCs w:val="28"/>
        </w:rPr>
        <w:t>Creation</w:t>
      </w:r>
    </w:p>
    <w:p w14:paraId="47D6589E" w14:textId="32C4BC9B" w:rsidR="00617012" w:rsidRPr="004126F2" w:rsidRDefault="00617012" w:rsidP="00617012">
      <w:pPr>
        <w:tabs>
          <w:tab w:val="left" w:pos="6540"/>
        </w:tabs>
        <w:spacing w:line="360" w:lineRule="auto"/>
        <w:rPr>
          <w:rFonts w:asciiTheme="minorBidi" w:hAnsiTheme="minorBidi"/>
          <w:sz w:val="28"/>
          <w:szCs w:val="28"/>
          <w:lang w:val="fr-FR"/>
        </w:rPr>
      </w:pPr>
      <w:r w:rsidRPr="004126F2">
        <w:rPr>
          <w:rFonts w:asciiTheme="minorBidi" w:hAnsiTheme="minorBidi"/>
          <w:b/>
          <w:bCs/>
          <w:sz w:val="28"/>
          <w:szCs w:val="28"/>
          <w:lang w:val="fr-FR"/>
        </w:rPr>
        <w:t>Module code</w:t>
      </w:r>
      <w:r w:rsidRPr="004126F2">
        <w:rPr>
          <w:rFonts w:asciiTheme="minorBidi" w:hAnsiTheme="minorBidi"/>
          <w:sz w:val="28"/>
          <w:szCs w:val="28"/>
          <w:lang w:val="fr-FR"/>
        </w:rPr>
        <w:t xml:space="preserve">: </w:t>
      </w:r>
      <w:r w:rsidR="00C371A4" w:rsidRPr="004126F2">
        <w:rPr>
          <w:rFonts w:asciiTheme="minorBidi" w:hAnsiTheme="minorBidi"/>
          <w:sz w:val="28"/>
          <w:szCs w:val="28"/>
          <w:lang w:val="fr-FR"/>
        </w:rPr>
        <w:t>BM</w:t>
      </w:r>
      <w:r w:rsidR="004126F2" w:rsidRPr="004126F2">
        <w:rPr>
          <w:rFonts w:asciiTheme="minorBidi" w:hAnsiTheme="minorBidi"/>
          <w:sz w:val="28"/>
          <w:szCs w:val="28"/>
          <w:lang w:val="fr-FR"/>
        </w:rPr>
        <w:t>HP5014</w:t>
      </w:r>
    </w:p>
    <w:p w14:paraId="05128576" w14:textId="6D45D8EE" w:rsidR="00617012" w:rsidRDefault="00617012" w:rsidP="00617012">
      <w:pPr>
        <w:tabs>
          <w:tab w:val="left" w:pos="6540"/>
        </w:tabs>
        <w:spacing w:line="360" w:lineRule="auto"/>
        <w:rPr>
          <w:rFonts w:asciiTheme="minorBidi" w:hAnsiTheme="minorBidi"/>
          <w:sz w:val="28"/>
          <w:szCs w:val="28"/>
          <w:lang w:val="fr-FR"/>
        </w:rPr>
      </w:pPr>
      <w:proofErr w:type="spellStart"/>
      <w:r w:rsidRPr="004126F2">
        <w:rPr>
          <w:rFonts w:asciiTheme="minorBidi" w:hAnsiTheme="minorBidi"/>
          <w:b/>
          <w:bCs/>
          <w:sz w:val="28"/>
          <w:szCs w:val="28"/>
          <w:lang w:val="fr-FR"/>
        </w:rPr>
        <w:t>Lecturer</w:t>
      </w:r>
      <w:r w:rsidR="00262ED3">
        <w:rPr>
          <w:rFonts w:asciiTheme="minorBidi" w:hAnsiTheme="minorBidi"/>
          <w:b/>
          <w:bCs/>
          <w:sz w:val="28"/>
          <w:szCs w:val="28"/>
          <w:lang w:val="fr-FR"/>
        </w:rPr>
        <w:t>’</w:t>
      </w:r>
      <w:r w:rsidR="00132166">
        <w:rPr>
          <w:rFonts w:asciiTheme="minorBidi" w:hAnsiTheme="minorBidi"/>
          <w:b/>
          <w:bCs/>
          <w:sz w:val="28"/>
          <w:szCs w:val="28"/>
          <w:lang w:val="fr-FR"/>
        </w:rPr>
        <w:t>s</w:t>
      </w:r>
      <w:proofErr w:type="spellEnd"/>
      <w:r w:rsidRPr="004126F2">
        <w:rPr>
          <w:rFonts w:asciiTheme="minorBidi" w:hAnsiTheme="minorBidi"/>
          <w:b/>
          <w:bCs/>
          <w:sz w:val="28"/>
          <w:szCs w:val="28"/>
          <w:lang w:val="fr-FR"/>
        </w:rPr>
        <w:t xml:space="preserve"> </w:t>
      </w:r>
      <w:r w:rsidR="003D59A3" w:rsidRPr="004126F2">
        <w:rPr>
          <w:rFonts w:asciiTheme="minorBidi" w:hAnsiTheme="minorBidi"/>
          <w:b/>
          <w:bCs/>
          <w:sz w:val="28"/>
          <w:szCs w:val="28"/>
          <w:lang w:val="fr-FR"/>
        </w:rPr>
        <w:t>Name</w:t>
      </w:r>
      <w:r w:rsidRPr="004126F2">
        <w:rPr>
          <w:rFonts w:asciiTheme="minorBidi" w:hAnsiTheme="minorBidi"/>
          <w:sz w:val="28"/>
          <w:szCs w:val="28"/>
          <w:lang w:val="fr-FR"/>
        </w:rPr>
        <w:t xml:space="preserve">: </w:t>
      </w:r>
      <w:r w:rsidR="004126F2" w:rsidRPr="004126F2">
        <w:rPr>
          <w:rFonts w:asciiTheme="minorBidi" w:hAnsiTheme="minorBidi"/>
          <w:sz w:val="28"/>
          <w:szCs w:val="28"/>
          <w:lang w:val="fr-FR"/>
        </w:rPr>
        <w:t>Sob</w:t>
      </w:r>
      <w:r w:rsidR="004126F2">
        <w:rPr>
          <w:rFonts w:asciiTheme="minorBidi" w:hAnsiTheme="minorBidi"/>
          <w:sz w:val="28"/>
          <w:szCs w:val="28"/>
          <w:lang w:val="fr-FR"/>
        </w:rPr>
        <w:t>an Sa</w:t>
      </w:r>
      <w:r w:rsidR="003D59A3">
        <w:rPr>
          <w:rFonts w:asciiTheme="minorBidi" w:hAnsiTheme="minorBidi"/>
          <w:sz w:val="28"/>
          <w:szCs w:val="28"/>
          <w:lang w:val="fr-FR"/>
        </w:rPr>
        <w:t>diq</w:t>
      </w:r>
    </w:p>
    <w:p w14:paraId="1FEC455A" w14:textId="4DE2A3C8" w:rsidR="0072328D" w:rsidRPr="00D22255" w:rsidRDefault="0072328D" w:rsidP="00617012">
      <w:pPr>
        <w:tabs>
          <w:tab w:val="left" w:pos="6540"/>
        </w:tabs>
        <w:spacing w:line="360" w:lineRule="auto"/>
        <w:rPr>
          <w:rFonts w:asciiTheme="minorBidi" w:hAnsiTheme="minorBidi"/>
          <w:sz w:val="28"/>
          <w:szCs w:val="28"/>
          <w:lang w:val="fr-FR"/>
        </w:rPr>
      </w:pPr>
      <w:r w:rsidRPr="00D22255">
        <w:rPr>
          <w:rFonts w:asciiTheme="minorBidi" w:hAnsiTheme="minorBidi"/>
          <w:b/>
          <w:bCs/>
          <w:sz w:val="28"/>
          <w:szCs w:val="28"/>
          <w:lang w:val="fr-FR"/>
        </w:rPr>
        <w:t>C</w:t>
      </w:r>
      <w:r w:rsidR="007234A1" w:rsidRPr="00D22255">
        <w:rPr>
          <w:rFonts w:asciiTheme="minorBidi" w:hAnsiTheme="minorBidi"/>
          <w:b/>
          <w:bCs/>
          <w:sz w:val="28"/>
          <w:szCs w:val="28"/>
          <w:lang w:val="fr-FR"/>
        </w:rPr>
        <w:t>omponent</w:t>
      </w:r>
      <w:r w:rsidR="006D0C45">
        <w:rPr>
          <w:rFonts w:asciiTheme="minorBidi" w:hAnsiTheme="minorBidi"/>
          <w:sz w:val="28"/>
          <w:szCs w:val="28"/>
          <w:lang w:val="fr-FR"/>
        </w:rPr>
        <w:t xml:space="preserve"> 2 :</w:t>
      </w:r>
      <w:r w:rsidR="0044710E">
        <w:rPr>
          <w:rFonts w:asciiTheme="minorBidi" w:hAnsiTheme="minorBidi"/>
          <w:sz w:val="28"/>
          <w:szCs w:val="28"/>
          <w:lang w:val="fr-FR"/>
        </w:rPr>
        <w:t xml:space="preserve"> </w:t>
      </w:r>
      <w:r w:rsidR="00055C2C">
        <w:rPr>
          <w:rFonts w:asciiTheme="minorBidi" w:hAnsiTheme="minorBidi"/>
          <w:sz w:val="28"/>
          <w:szCs w:val="28"/>
          <w:lang w:val="fr-FR"/>
        </w:rPr>
        <w:t>Po</w:t>
      </w:r>
      <w:r w:rsidR="002E0290">
        <w:rPr>
          <w:rFonts w:asciiTheme="minorBidi" w:hAnsiTheme="minorBidi"/>
          <w:sz w:val="28"/>
          <w:szCs w:val="28"/>
          <w:lang w:val="fr-FR"/>
        </w:rPr>
        <w:t>ster and Pitch</w:t>
      </w:r>
    </w:p>
    <w:p w14:paraId="597EA305" w14:textId="3E54F8EC" w:rsidR="00617012" w:rsidRPr="004126F2" w:rsidRDefault="00617012">
      <w:pPr>
        <w:spacing w:line="278" w:lineRule="auto"/>
        <w:rPr>
          <w:rFonts w:asciiTheme="minorBidi" w:hAnsiTheme="minorBidi"/>
          <w:lang w:val="fr-FR"/>
        </w:rPr>
      </w:pPr>
      <w:r w:rsidRPr="004126F2">
        <w:rPr>
          <w:rFonts w:asciiTheme="minorBidi" w:hAnsiTheme="minorBidi"/>
          <w:lang w:val="fr-FR"/>
        </w:rPr>
        <w:br w:type="page"/>
      </w:r>
    </w:p>
    <w:p w14:paraId="2EBA6230" w14:textId="77777777" w:rsidR="00617012" w:rsidRPr="00617012" w:rsidRDefault="00617012" w:rsidP="00617012">
      <w:pPr>
        <w:rPr>
          <w:rFonts w:asciiTheme="minorBidi" w:hAnsiTheme="minorBidi"/>
          <w:b/>
        </w:rPr>
      </w:pPr>
      <w:r w:rsidRPr="00617012">
        <w:rPr>
          <w:rFonts w:asciiTheme="minorBidi" w:hAnsiTheme="minorBidi"/>
          <w:b/>
        </w:rPr>
        <w:lastRenderedPageBreak/>
        <w:t>PITCH: AI</w:t>
      </w:r>
      <w:r w:rsidRPr="00617012">
        <w:rPr>
          <w:rFonts w:asciiTheme="minorBidi" w:hAnsiTheme="minorBidi"/>
          <w:b/>
        </w:rPr>
        <w:noBreakHyphen/>
        <w:t>Driven Mobile Health Innovation for Carer Mental Wellbeing</w:t>
      </w:r>
    </w:p>
    <w:p w14:paraId="341C0A4F" w14:textId="77777777" w:rsidR="00617012" w:rsidRDefault="00617012" w:rsidP="00617012">
      <w:pPr>
        <w:rPr>
          <w:rFonts w:asciiTheme="minorBidi" w:hAnsiTheme="minorBidi"/>
          <w:b/>
        </w:rPr>
      </w:pPr>
    </w:p>
    <w:p w14:paraId="3F558775" w14:textId="6F8A9FA9" w:rsidR="00617012" w:rsidRPr="00617012" w:rsidRDefault="00617012" w:rsidP="00617012">
      <w:pPr>
        <w:rPr>
          <w:rFonts w:asciiTheme="minorBidi" w:hAnsiTheme="minorBidi"/>
          <w:b/>
        </w:rPr>
      </w:pPr>
      <w:r w:rsidRPr="00617012">
        <w:rPr>
          <w:rFonts w:asciiTheme="minorBidi" w:hAnsiTheme="minorBidi"/>
          <w:b/>
        </w:rPr>
        <w:t>Introduction</w:t>
      </w:r>
    </w:p>
    <w:p w14:paraId="4F3A59F0" w14:textId="77777777" w:rsidR="00617012" w:rsidRPr="00617012" w:rsidRDefault="00617012" w:rsidP="00617012">
      <w:pPr>
        <w:rPr>
          <w:rFonts w:asciiTheme="minorBidi" w:hAnsiTheme="minorBidi"/>
        </w:rPr>
      </w:pPr>
      <w:r w:rsidRPr="00617012">
        <w:rPr>
          <w:rFonts w:asciiTheme="minorBidi" w:hAnsiTheme="minorBidi"/>
        </w:rPr>
        <w:t>The offered innovation is an AI-powered mobile health app that is aimed at supporting mental health of carers and frontline health employees. It incorporates monitoring of stress and access to counselling and individualised wellbeing plans. The novelty of this solution is that no current NHS digital platform integrates predictive AI and customized carer support to date (Mishra and Jain, 2025; Rake et al., 2025). The app is in line with the NHS Long Term Plan as one of its priorities is the workforce wellbeing, resilience, and burnout minimization. The innovation will help to achieve the common good by enhancing the sustainability of healthcare workforce and systemic inequalities through promoting equitable and confidential access to mental health resources (OHID, 2022).</w:t>
      </w:r>
    </w:p>
    <w:p w14:paraId="2995B698" w14:textId="77777777" w:rsidR="00617012" w:rsidRDefault="00617012" w:rsidP="00617012">
      <w:pPr>
        <w:rPr>
          <w:rFonts w:asciiTheme="minorBidi" w:hAnsiTheme="minorBidi"/>
          <w:b/>
        </w:rPr>
      </w:pPr>
    </w:p>
    <w:p w14:paraId="0C991C24" w14:textId="13652052" w:rsidR="00617012" w:rsidRPr="00617012" w:rsidRDefault="00617012" w:rsidP="00617012">
      <w:pPr>
        <w:rPr>
          <w:rFonts w:asciiTheme="minorBidi" w:hAnsiTheme="minorBidi"/>
          <w:b/>
        </w:rPr>
      </w:pPr>
      <w:r w:rsidRPr="00617012">
        <w:rPr>
          <w:rFonts w:asciiTheme="minorBidi" w:hAnsiTheme="minorBidi"/>
          <w:b/>
        </w:rPr>
        <w:t>Background</w:t>
      </w:r>
    </w:p>
    <w:p w14:paraId="68D93D49" w14:textId="77777777" w:rsidR="00617012" w:rsidRPr="00617012" w:rsidRDefault="00617012" w:rsidP="00617012">
      <w:pPr>
        <w:rPr>
          <w:rFonts w:asciiTheme="minorBidi" w:hAnsiTheme="minorBidi"/>
        </w:rPr>
      </w:pPr>
      <w:r w:rsidRPr="00617012">
        <w:rPr>
          <w:rFonts w:asciiTheme="minorBidi" w:hAnsiTheme="minorBidi"/>
        </w:rPr>
        <w:t xml:space="preserve">Healthcare professionals and unpaid carers in the frontline are affected by the chronic stress, emotional exhaustion, and lack of access to affordable, confidential mental health services (NICE, 2022). Absenteeism, turnover, and compromised patient safety are part of these challenges. The recent statistics in NHS workforce report that more than 30 percent of carers have poor mental health, and this is an urgent organisational and public health issue (OHID, 2022). Carers provide the UK economy with billions of pounds of savings every year, but they experience disproportionate mental health challenges and lack access to support services (Carers UK, 2022). Health disparities remain, with the underprivileged groups disproportionately affected and undermining the equitable provision of care (OHID, 2022). Digital health intervention has shown itself to reduce stress and enhance wellbeing with scalable cost effective solutions (Hu et al., 2026). </w:t>
      </w:r>
    </w:p>
    <w:p w14:paraId="7110F9CD" w14:textId="77777777" w:rsidR="00617012" w:rsidRPr="00617012" w:rsidRDefault="00617012" w:rsidP="00617012">
      <w:pPr>
        <w:rPr>
          <w:rFonts w:asciiTheme="minorBidi" w:hAnsiTheme="minorBidi"/>
        </w:rPr>
      </w:pPr>
      <w:r w:rsidRPr="00617012">
        <w:rPr>
          <w:rFonts w:asciiTheme="minorBidi" w:hAnsiTheme="minorBidi"/>
        </w:rPr>
        <w:t>Nevertheless, current NHS apps do not have predictive artificial intelligence (AI) and individualised assistance to carers. This innovation seals this gap by integrating AI based analytics with human centred design to ensure that carers get evidence based proactive mental health support. Ethics systems prioritize the balancing of creativity and control, and providing equal protections in a wide range of settings (Mkalama, 2026).</w:t>
      </w:r>
    </w:p>
    <w:p w14:paraId="46C87609" w14:textId="77777777" w:rsidR="00617012" w:rsidRDefault="00617012" w:rsidP="00617012">
      <w:pPr>
        <w:rPr>
          <w:rFonts w:asciiTheme="minorBidi" w:hAnsiTheme="minorBidi"/>
          <w:b/>
        </w:rPr>
      </w:pPr>
    </w:p>
    <w:p w14:paraId="334C16F9" w14:textId="2973491C" w:rsidR="00617012" w:rsidRPr="00617012" w:rsidRDefault="00617012" w:rsidP="00617012">
      <w:pPr>
        <w:rPr>
          <w:rFonts w:asciiTheme="minorBidi" w:hAnsiTheme="minorBidi"/>
          <w:b/>
        </w:rPr>
      </w:pPr>
      <w:r w:rsidRPr="00617012">
        <w:rPr>
          <w:rFonts w:asciiTheme="minorBidi" w:hAnsiTheme="minorBidi"/>
          <w:b/>
        </w:rPr>
        <w:t>Innovation Description</w:t>
      </w:r>
    </w:p>
    <w:p w14:paraId="091A1EB5" w14:textId="77777777" w:rsidR="00617012" w:rsidRPr="00617012" w:rsidRDefault="00617012" w:rsidP="00617012">
      <w:pPr>
        <w:rPr>
          <w:rFonts w:asciiTheme="minorBidi" w:hAnsiTheme="minorBidi"/>
        </w:rPr>
      </w:pPr>
      <w:r w:rsidRPr="00617012">
        <w:rPr>
          <w:rFonts w:asciiTheme="minorBidi" w:hAnsiTheme="minorBidi"/>
        </w:rPr>
        <w:t xml:space="preserve">The main innovation of the app is the AI-based stress monitoring service that interprets behavioural and physiological data on wearable devices to identify the symptoms of burnout at an early stage. It combines a safe cloud storage and provides an access to virtual counselling sessions, wellbeing plans, and peer support forums. The design process is based on the human centred principles of innovation and ethical innovations (Rake et al., 2025). It is inclusive, confidential and accessible </w:t>
      </w:r>
      <w:r w:rsidRPr="00617012">
        <w:rPr>
          <w:rFonts w:asciiTheme="minorBidi" w:hAnsiTheme="minorBidi"/>
        </w:rPr>
        <w:lastRenderedPageBreak/>
        <w:t xml:space="preserve">to both professional and unpaid carers. The predictive algorithms used in the app are trained to recognize stress patterns and suggest personalised interventions, which can be mindfulness exercises or counselling sessions. The innovation protects the privacy of users and data integrity by integrating ethical AI governance. It is also in line with GDPR, CQC standards and NICE guidelines, and it will make sure that healthcare regulations in the UK are adhered to (NICE, 2022). </w:t>
      </w:r>
    </w:p>
    <w:p w14:paraId="4A18CDD6" w14:textId="77777777" w:rsidR="00617012" w:rsidRPr="00617012" w:rsidRDefault="00617012" w:rsidP="00617012">
      <w:pPr>
        <w:rPr>
          <w:rFonts w:asciiTheme="minorBidi" w:hAnsiTheme="minorBidi"/>
        </w:rPr>
      </w:pPr>
      <w:r w:rsidRPr="00617012">
        <w:rPr>
          <w:rFonts w:asciiTheme="minorBidi" w:hAnsiTheme="minorBidi"/>
        </w:rPr>
        <w:t>Artificial intelligence can be used to improve the quality of healthcare by increasing efficiency in operations and patient outcomes (Aiwerioghene and Osuchukwu, 2025). The application combines AI-assisted stress monitoring, safe cloud storage, and compatibility with a wearable (Fitbit, Apple Watch). The most recent technologies allow real time monitoring and customised interventions that help to maintain proactive mental health management (Richards et al., 2026). Integration of informatics provides a system of interrelated systems, this reduces waiting time, provides predictive warning to prevent crisis, and enhances continuity of care (Wilson, 2026).</w:t>
      </w:r>
    </w:p>
    <w:p w14:paraId="669CD3B9" w14:textId="77777777" w:rsidR="00617012" w:rsidRDefault="00617012" w:rsidP="00617012">
      <w:pPr>
        <w:rPr>
          <w:rFonts w:asciiTheme="minorBidi" w:hAnsiTheme="minorBidi"/>
          <w:b/>
        </w:rPr>
      </w:pPr>
    </w:p>
    <w:p w14:paraId="349D5A8B" w14:textId="15EE00AE" w:rsidR="00617012" w:rsidRPr="00617012" w:rsidRDefault="00617012" w:rsidP="00617012">
      <w:pPr>
        <w:rPr>
          <w:rFonts w:asciiTheme="minorBidi" w:hAnsiTheme="minorBidi"/>
          <w:b/>
        </w:rPr>
      </w:pPr>
      <w:r w:rsidRPr="00617012">
        <w:rPr>
          <w:rFonts w:asciiTheme="minorBidi" w:hAnsiTheme="minorBidi"/>
          <w:b/>
        </w:rPr>
        <w:t>Impact on Health and Social Care</w:t>
      </w:r>
    </w:p>
    <w:p w14:paraId="13A74B22" w14:textId="77777777" w:rsidR="00617012" w:rsidRPr="00617012" w:rsidRDefault="00617012" w:rsidP="00617012">
      <w:pPr>
        <w:rPr>
          <w:rFonts w:asciiTheme="minorBidi" w:hAnsiTheme="minorBidi"/>
        </w:rPr>
      </w:pPr>
      <w:r w:rsidRPr="00617012">
        <w:rPr>
          <w:rFonts w:asciiTheme="minorBidi" w:hAnsiTheme="minorBidi"/>
        </w:rPr>
        <w:t xml:space="preserve">The main beneficiaries are unpaid carers (25-55 years old), and nurses working in acute psychiatric and medical wards. These groups are under stress and have low access to confidential support. Secondary beneficiaries are older adults with chronic conditions, who gain indirectly by having their carer wellbeing and patient safety improved. It has been proved that digital health interventions can substantially positively affect the wellbeing and decrease stress levels in older adults with chronic conditions (Hu et al., 2026). Policy frameworks emphasise tackling health disparities to achieve the common good, ensuring dignity, equity, and access for vulnerable groups (OHID, 2022). The anticipated results are quantifiable stress score decreases, a better staff retention rate, a higher patient safety, and increased workforce resilience. </w:t>
      </w:r>
    </w:p>
    <w:p w14:paraId="13FA1984" w14:textId="77777777" w:rsidR="00617012" w:rsidRPr="00617012" w:rsidRDefault="00617012" w:rsidP="00617012">
      <w:pPr>
        <w:rPr>
          <w:rFonts w:asciiTheme="minorBidi" w:hAnsiTheme="minorBidi"/>
        </w:rPr>
      </w:pPr>
      <w:r w:rsidRPr="00617012">
        <w:rPr>
          <w:rFonts w:asciiTheme="minorBidi" w:hAnsiTheme="minorBidi"/>
        </w:rPr>
        <w:t>The app allows embedding compliance with the GDPR, NICE, and CQC standards, guaranteeing the legal and professional responsibility (Capulli et al., 2025). Finally, the innovation will make health and social care systems more sustainable by alleviating burnout, improving workforce wellbeing, and improving continuity of care. It reveals how the ethical, evidence based technology can contribute to wellbeing, resilience, and patient safety (Rake et al., 2025).</w:t>
      </w:r>
    </w:p>
    <w:p w14:paraId="5B7440FD" w14:textId="77777777" w:rsidR="00617012" w:rsidRDefault="00617012" w:rsidP="00617012">
      <w:pPr>
        <w:rPr>
          <w:rFonts w:asciiTheme="minorBidi" w:hAnsiTheme="minorBidi"/>
          <w:b/>
        </w:rPr>
      </w:pPr>
    </w:p>
    <w:p w14:paraId="7CB19F56" w14:textId="388B84D9" w:rsidR="00617012" w:rsidRPr="00617012" w:rsidRDefault="00617012" w:rsidP="00617012">
      <w:pPr>
        <w:rPr>
          <w:rFonts w:asciiTheme="minorBidi" w:hAnsiTheme="minorBidi"/>
          <w:b/>
        </w:rPr>
      </w:pPr>
      <w:r w:rsidRPr="00617012">
        <w:rPr>
          <w:rFonts w:asciiTheme="minorBidi" w:hAnsiTheme="minorBidi"/>
          <w:b/>
        </w:rPr>
        <w:t>Public and Stakeholder Involvement</w:t>
      </w:r>
    </w:p>
    <w:p w14:paraId="453AA3E6" w14:textId="77777777" w:rsidR="00617012" w:rsidRDefault="00617012" w:rsidP="00617012">
      <w:pPr>
        <w:rPr>
          <w:rFonts w:asciiTheme="minorBidi" w:hAnsiTheme="minorBidi"/>
        </w:rPr>
      </w:pPr>
      <w:r w:rsidRPr="00617012">
        <w:rPr>
          <w:rFonts w:asciiTheme="minorBidi" w:hAnsiTheme="minorBidi"/>
        </w:rPr>
        <w:t xml:space="preserve">NHS Trusts will be used in conjunction with Carers UK and local voluntary organisations to implement. Fusion with hospital HR systems and community centres will guarantee access on both workplace and community bases. The community workshops, social media campaigns, and collaborating with carers and nurses to produce the app based on real world requirements will be a way of engaging with the people. The advocacy will be carried out in collaboration with the professional </w:t>
      </w:r>
      <w:r w:rsidRPr="00617012">
        <w:rPr>
          <w:rFonts w:asciiTheme="minorBidi" w:hAnsiTheme="minorBidi"/>
        </w:rPr>
        <w:lastRenderedPageBreak/>
        <w:t>organisations like the Royal College of Nursing and voluntary organisations to encourage the adoption. This participatory model will make sure that the stakeholders actively contribute to the development of the innovation, which will strengthen the sense of trust and responsibility (Rake et al., 2025).</w:t>
      </w:r>
    </w:p>
    <w:p w14:paraId="15EDB900" w14:textId="77777777" w:rsidR="00617012" w:rsidRPr="00617012" w:rsidRDefault="00617012" w:rsidP="00617012">
      <w:pPr>
        <w:rPr>
          <w:rFonts w:asciiTheme="minorBidi" w:hAnsiTheme="minorBidi"/>
        </w:rPr>
      </w:pPr>
    </w:p>
    <w:p w14:paraId="75AE798E" w14:textId="77777777" w:rsidR="00617012" w:rsidRPr="00617012" w:rsidRDefault="00617012" w:rsidP="00617012">
      <w:pPr>
        <w:rPr>
          <w:rFonts w:asciiTheme="minorBidi" w:hAnsiTheme="minorBidi"/>
          <w:b/>
        </w:rPr>
      </w:pPr>
      <w:r w:rsidRPr="00617012">
        <w:rPr>
          <w:rFonts w:asciiTheme="minorBidi" w:hAnsiTheme="minorBidi"/>
          <w:b/>
        </w:rPr>
        <w:t>Policies, Services, and Professional Links</w:t>
      </w:r>
    </w:p>
    <w:p w14:paraId="417A35F8" w14:textId="77777777" w:rsidR="00617012" w:rsidRPr="00617012" w:rsidRDefault="00617012" w:rsidP="00617012">
      <w:pPr>
        <w:rPr>
          <w:rFonts w:asciiTheme="minorBidi" w:hAnsiTheme="minorBidi"/>
        </w:rPr>
      </w:pPr>
      <w:r w:rsidRPr="00617012">
        <w:rPr>
          <w:rFonts w:asciiTheme="minorBidi" w:hAnsiTheme="minorBidi"/>
        </w:rPr>
        <w:t>The innovation conforms to major UK laws, such as the Care Act 2014 and the Equality Act 2010, which focus on the equal access to health and social care services. It also can be integrated with the current NHS services, such as GPs, social care teams, and voluntary organisations like Carers UK. The strengthening of professional accountability will be achieved by following the NMC Code (2018) and compliance with NICE recommendations on safe mental health interventions (NICE, 2022). Governance models like CQC standards guarantee quality assurance in the provision of services (Capulli et al., 2025). With these professional and policy connections, the innovation will guarantee legal and alignment of workforce wellbeing and patient safety with NHS priorities.</w:t>
      </w:r>
    </w:p>
    <w:p w14:paraId="14CDDC5C" w14:textId="77777777" w:rsidR="00617012" w:rsidRDefault="00617012" w:rsidP="00617012">
      <w:pPr>
        <w:rPr>
          <w:rFonts w:asciiTheme="minorBidi" w:hAnsiTheme="minorBidi"/>
          <w:b/>
        </w:rPr>
      </w:pPr>
    </w:p>
    <w:p w14:paraId="08754ED4" w14:textId="5BDEFE47" w:rsidR="00617012" w:rsidRPr="00617012" w:rsidRDefault="00617012" w:rsidP="00617012">
      <w:pPr>
        <w:rPr>
          <w:rFonts w:asciiTheme="minorBidi" w:hAnsiTheme="minorBidi"/>
          <w:b/>
        </w:rPr>
      </w:pPr>
      <w:r w:rsidRPr="00617012">
        <w:rPr>
          <w:rFonts w:asciiTheme="minorBidi" w:hAnsiTheme="minorBidi"/>
          <w:b/>
        </w:rPr>
        <w:t>Conclusion</w:t>
      </w:r>
    </w:p>
    <w:p w14:paraId="175DC56E" w14:textId="77777777" w:rsidR="00617012" w:rsidRPr="00617012" w:rsidRDefault="00617012" w:rsidP="00617012">
      <w:pPr>
        <w:rPr>
          <w:rFonts w:asciiTheme="minorBidi" w:hAnsiTheme="minorBidi"/>
        </w:rPr>
      </w:pPr>
      <w:r w:rsidRPr="00617012">
        <w:rPr>
          <w:rFonts w:asciiTheme="minorBidi" w:hAnsiTheme="minorBidi"/>
        </w:rPr>
        <w:t>The use of this innovation directly addresses the gap in mental health support of carers which is acute because it combines AI based stress monitoring with readily available counselling services. It exhibits the ethical and evidence based technology in improving wellbeing, resilience and patient safety. The app is legally and professionally accountable by integrating the compliance with the requirements of GDPR, NICE, and CQC standards. This project will eventually provide a feasible, scaled solution that is in line with NHS priorities and the common good and will enhance equity, dignity, and sustainable workforce wellbeing.</w:t>
      </w:r>
    </w:p>
    <w:p w14:paraId="036BB919" w14:textId="0C8BD340" w:rsidR="00617012" w:rsidRPr="00617012" w:rsidRDefault="00617012" w:rsidP="00617012">
      <w:pPr>
        <w:rPr>
          <w:rFonts w:asciiTheme="minorBidi" w:hAnsiTheme="minorBidi"/>
        </w:rPr>
      </w:pPr>
      <w:r w:rsidRPr="00617012">
        <w:rPr>
          <w:rFonts w:asciiTheme="minorBidi" w:hAnsiTheme="minorBidi"/>
          <w:noProof/>
        </w:rPr>
        <w:lastRenderedPageBreak/>
        <w:drawing>
          <wp:inline distT="0" distB="0" distL="0" distR="0" wp14:anchorId="18E84B95" wp14:editId="6E85B10A">
            <wp:extent cx="6326705" cy="9112250"/>
            <wp:effectExtent l="0" t="0" r="0" b="0"/>
            <wp:docPr id="10832067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30068" cy="9117094"/>
                    </a:xfrm>
                    <a:prstGeom prst="rect">
                      <a:avLst/>
                    </a:prstGeom>
                    <a:noFill/>
                    <a:ln>
                      <a:noFill/>
                    </a:ln>
                  </pic:spPr>
                </pic:pic>
              </a:graphicData>
            </a:graphic>
          </wp:inline>
        </w:drawing>
      </w:r>
    </w:p>
    <w:p w14:paraId="56A8A708" w14:textId="78F1E15E" w:rsidR="00617012" w:rsidRPr="00617012" w:rsidRDefault="00617012" w:rsidP="00617012">
      <w:pPr>
        <w:rPr>
          <w:rFonts w:asciiTheme="minorBidi" w:hAnsiTheme="minorBidi"/>
        </w:rPr>
      </w:pPr>
      <w:r w:rsidRPr="00617012">
        <w:rPr>
          <w:rFonts w:asciiTheme="minorBidi" w:hAnsiTheme="minorBidi"/>
          <w:noProof/>
        </w:rPr>
        <w:lastRenderedPageBreak/>
        <w:drawing>
          <wp:inline distT="0" distB="0" distL="0" distR="0" wp14:anchorId="22A85465" wp14:editId="1228E2A5">
            <wp:extent cx="6154805" cy="4819650"/>
            <wp:effectExtent l="0" t="0" r="0" b="0"/>
            <wp:docPr id="2070564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61274" cy="4824716"/>
                    </a:xfrm>
                    <a:prstGeom prst="rect">
                      <a:avLst/>
                    </a:prstGeom>
                    <a:noFill/>
                    <a:ln>
                      <a:noFill/>
                    </a:ln>
                  </pic:spPr>
                </pic:pic>
              </a:graphicData>
            </a:graphic>
          </wp:inline>
        </w:drawing>
      </w:r>
      <w:r w:rsidRPr="00617012">
        <w:rPr>
          <w:rFonts w:asciiTheme="minorBidi" w:hAnsiTheme="minorBidi"/>
        </w:rPr>
        <w:br w:type="page"/>
      </w:r>
    </w:p>
    <w:p w14:paraId="1F1CCB87" w14:textId="77777777" w:rsidR="00617012" w:rsidRPr="005A54FB" w:rsidRDefault="00617012" w:rsidP="00617012">
      <w:pPr>
        <w:rPr>
          <w:rFonts w:asciiTheme="minorBidi" w:hAnsiTheme="minorBidi"/>
          <w:b/>
          <w:lang w:val="it-IT"/>
        </w:rPr>
      </w:pPr>
      <w:proofErr w:type="spellStart"/>
      <w:r w:rsidRPr="005A54FB">
        <w:rPr>
          <w:rFonts w:asciiTheme="minorBidi" w:hAnsiTheme="minorBidi"/>
          <w:b/>
          <w:lang w:val="it-IT"/>
        </w:rPr>
        <w:lastRenderedPageBreak/>
        <w:t>References</w:t>
      </w:r>
      <w:proofErr w:type="spellEnd"/>
    </w:p>
    <w:p w14:paraId="2EB8C9EB" w14:textId="77777777" w:rsidR="00617012" w:rsidRPr="00617012" w:rsidRDefault="00617012" w:rsidP="00617012">
      <w:pPr>
        <w:rPr>
          <w:rFonts w:asciiTheme="minorBidi" w:hAnsiTheme="minorBidi"/>
        </w:rPr>
      </w:pPr>
      <w:r w:rsidRPr="005A54FB">
        <w:rPr>
          <w:rFonts w:asciiTheme="minorBidi" w:hAnsiTheme="minorBidi"/>
          <w:lang w:val="it-IT"/>
        </w:rPr>
        <w:t xml:space="preserve">Capulli, E., Druda, Y., Palmese, F., Butt, A.H., Domenicali, M., Macchiarelli, A.G., Silvani, A., Bedogni, G. and Ingravallo, F. (2025). </w:t>
      </w:r>
      <w:r w:rsidRPr="00617012">
        <w:rPr>
          <w:rFonts w:asciiTheme="minorBidi" w:hAnsiTheme="minorBidi"/>
        </w:rPr>
        <w:t xml:space="preserve">Ethical and Legal Implications of Health Monitoring Wearable Devices: A Scoping Review. </w:t>
      </w:r>
      <w:r w:rsidRPr="00617012">
        <w:rPr>
          <w:rFonts w:asciiTheme="minorBidi" w:hAnsiTheme="minorBidi"/>
          <w:i/>
          <w:iCs/>
        </w:rPr>
        <w:t>Social Science &amp; Medicine</w:t>
      </w:r>
      <w:r w:rsidRPr="00617012">
        <w:rPr>
          <w:rFonts w:asciiTheme="minorBidi" w:hAnsiTheme="minorBidi"/>
        </w:rPr>
        <w:t xml:space="preserve">, [online] 370, p.117685. Available at: </w:t>
      </w:r>
      <w:hyperlink r:id="rId8" w:history="1">
        <w:r w:rsidRPr="00617012">
          <w:rPr>
            <w:rStyle w:val="Hyperlink"/>
            <w:rFonts w:asciiTheme="minorBidi" w:hAnsiTheme="minorBidi"/>
          </w:rPr>
          <w:t>https://www.sciencedirect.com/science/article/pii/S0277953625000140</w:t>
        </w:r>
      </w:hyperlink>
      <w:r w:rsidRPr="00617012">
        <w:rPr>
          <w:rFonts w:asciiTheme="minorBidi" w:hAnsiTheme="minorBidi"/>
        </w:rPr>
        <w:t xml:space="preserve">. </w:t>
      </w:r>
    </w:p>
    <w:p w14:paraId="022707FA" w14:textId="77777777" w:rsidR="00617012" w:rsidRPr="00617012" w:rsidRDefault="00617012" w:rsidP="00617012">
      <w:pPr>
        <w:rPr>
          <w:rFonts w:asciiTheme="minorBidi" w:hAnsiTheme="minorBidi"/>
        </w:rPr>
      </w:pPr>
      <w:r w:rsidRPr="00617012">
        <w:rPr>
          <w:rFonts w:asciiTheme="minorBidi" w:hAnsiTheme="minorBidi"/>
        </w:rPr>
        <w:t xml:space="preserve">Erhauyi Meshach Aiwerioghene and Osuchukwu, V.C. (2025). The Role of Artificial Intelligence in Healthcare Quality Improvement: A Scoping Review and Critical Appraisal of Operational Efficiency, Patient Outcomes, and Implementation Challenges. </w:t>
      </w:r>
      <w:r w:rsidRPr="00617012">
        <w:rPr>
          <w:rFonts w:asciiTheme="minorBidi" w:hAnsiTheme="minorBidi"/>
          <w:i/>
          <w:iCs/>
        </w:rPr>
        <w:t>Hospitals</w:t>
      </w:r>
      <w:r w:rsidRPr="00617012">
        <w:rPr>
          <w:rFonts w:asciiTheme="minorBidi" w:hAnsiTheme="minorBidi"/>
        </w:rPr>
        <w:t xml:space="preserve">, [online] 2(4), pp.27–27. Available at: </w:t>
      </w:r>
      <w:hyperlink r:id="rId9" w:history="1">
        <w:r w:rsidRPr="00617012">
          <w:rPr>
            <w:rStyle w:val="Hyperlink"/>
            <w:rFonts w:asciiTheme="minorBidi" w:hAnsiTheme="minorBidi"/>
          </w:rPr>
          <w:t>https://www.mdpi.com/2813-4524/2/4/27</w:t>
        </w:r>
      </w:hyperlink>
      <w:r w:rsidRPr="00617012">
        <w:rPr>
          <w:rFonts w:asciiTheme="minorBidi" w:hAnsiTheme="minorBidi"/>
        </w:rPr>
        <w:t xml:space="preserve">. </w:t>
      </w:r>
    </w:p>
    <w:p w14:paraId="2E69BFDD" w14:textId="77777777" w:rsidR="00617012" w:rsidRPr="00617012" w:rsidRDefault="00617012" w:rsidP="00617012">
      <w:pPr>
        <w:rPr>
          <w:rFonts w:asciiTheme="minorBidi" w:hAnsiTheme="minorBidi"/>
        </w:rPr>
      </w:pPr>
      <w:r w:rsidRPr="00617012">
        <w:rPr>
          <w:rFonts w:asciiTheme="minorBidi" w:hAnsiTheme="minorBidi"/>
        </w:rPr>
        <w:t xml:space="preserve">Hu, E., Wang, H., Yao, J., Liao, M. and Chen, W. (2026). Impact of digital health interventions on quality of life and mental health in older adults with chronic diseases: A systematic review and meta-analysis. </w:t>
      </w:r>
      <w:r w:rsidRPr="00617012">
        <w:rPr>
          <w:rFonts w:asciiTheme="minorBidi" w:hAnsiTheme="minorBidi"/>
          <w:i/>
          <w:iCs/>
        </w:rPr>
        <w:t>Frontiers in Aging</w:t>
      </w:r>
      <w:r w:rsidRPr="00617012">
        <w:rPr>
          <w:rFonts w:asciiTheme="minorBidi" w:hAnsiTheme="minorBidi"/>
        </w:rPr>
        <w:t xml:space="preserve">, [online] 6, pp.1737277–1737277. Available at: </w:t>
      </w:r>
      <w:hyperlink r:id="rId10" w:history="1">
        <w:r w:rsidRPr="00617012">
          <w:rPr>
            <w:rStyle w:val="Hyperlink"/>
            <w:rFonts w:asciiTheme="minorBidi" w:hAnsiTheme="minorBidi"/>
          </w:rPr>
          <w:t>https://pmc.ncbi.nlm.nih.gov/articles/PMC12813171/</w:t>
        </w:r>
      </w:hyperlink>
      <w:r w:rsidRPr="00617012">
        <w:rPr>
          <w:rFonts w:asciiTheme="minorBidi" w:hAnsiTheme="minorBidi"/>
        </w:rPr>
        <w:t xml:space="preserve">. </w:t>
      </w:r>
    </w:p>
    <w:p w14:paraId="29F2440D" w14:textId="77777777" w:rsidR="00617012" w:rsidRPr="00617012" w:rsidRDefault="00617012" w:rsidP="00617012">
      <w:pPr>
        <w:rPr>
          <w:rFonts w:asciiTheme="minorBidi" w:hAnsiTheme="minorBidi"/>
        </w:rPr>
      </w:pPr>
      <w:r w:rsidRPr="00617012">
        <w:rPr>
          <w:rFonts w:asciiTheme="minorBidi" w:hAnsiTheme="minorBidi"/>
        </w:rPr>
        <w:t xml:space="preserve">Mishra, S. and Jain, K. (2025). Innovations in Healthcare: A systematic literature review. </w:t>
      </w:r>
      <w:r w:rsidRPr="00617012">
        <w:rPr>
          <w:rFonts w:asciiTheme="minorBidi" w:hAnsiTheme="minorBidi"/>
          <w:i/>
          <w:iCs/>
        </w:rPr>
        <w:t>Journal of Business Research</w:t>
      </w:r>
      <w:r w:rsidRPr="00617012">
        <w:rPr>
          <w:rFonts w:asciiTheme="minorBidi" w:hAnsiTheme="minorBidi"/>
        </w:rPr>
        <w:t xml:space="preserve">, [online] 194, p.115364. Available at: </w:t>
      </w:r>
      <w:hyperlink r:id="rId11" w:history="1">
        <w:r w:rsidRPr="00617012">
          <w:rPr>
            <w:rStyle w:val="Hyperlink"/>
            <w:rFonts w:asciiTheme="minorBidi" w:hAnsiTheme="minorBidi"/>
          </w:rPr>
          <w:t>https://www.sciencedirect.com/science/article/abs/pii/S0148296325001870</w:t>
        </w:r>
      </w:hyperlink>
      <w:r w:rsidRPr="00617012">
        <w:rPr>
          <w:rFonts w:asciiTheme="minorBidi" w:hAnsiTheme="minorBidi"/>
        </w:rPr>
        <w:t xml:space="preserve">. </w:t>
      </w:r>
    </w:p>
    <w:p w14:paraId="4E296B22" w14:textId="77777777" w:rsidR="00617012" w:rsidRPr="00617012" w:rsidRDefault="00617012" w:rsidP="00617012">
      <w:pPr>
        <w:rPr>
          <w:rFonts w:asciiTheme="minorBidi" w:hAnsiTheme="minorBidi"/>
        </w:rPr>
      </w:pPr>
      <w:r w:rsidRPr="00617012">
        <w:rPr>
          <w:rFonts w:asciiTheme="minorBidi" w:hAnsiTheme="minorBidi"/>
        </w:rPr>
        <w:t xml:space="preserve">Mkalama, B. (2026). </w:t>
      </w:r>
      <w:r w:rsidRPr="00617012">
        <w:rPr>
          <w:rFonts w:asciiTheme="minorBidi" w:hAnsiTheme="minorBidi"/>
          <w:i/>
          <w:iCs/>
        </w:rPr>
        <w:t>Ethical frameworks for digital health interventions: Balancing innovation and regulation in sub-Saharan Africa</w:t>
      </w:r>
      <w:r w:rsidRPr="00617012">
        <w:rPr>
          <w:rFonts w:asciiTheme="minorBidi" w:hAnsiTheme="minorBidi"/>
        </w:rPr>
        <w:t xml:space="preserve">. [online] Science and Public Policy. Available at: </w:t>
      </w:r>
      <w:hyperlink r:id="rId12" w:history="1">
        <w:r w:rsidRPr="00617012">
          <w:rPr>
            <w:rStyle w:val="Hyperlink"/>
            <w:rFonts w:asciiTheme="minorBidi" w:hAnsiTheme="minorBidi"/>
          </w:rPr>
          <w:t>https://academic.oup.com/spp/advance-article/doi/10.1093/scipol/scag039/8678001?searchresult=1&amp;__cf_chl_f_tk=jfqv6to6rr4vrghmmbx_fvoemxmo46nnhjbuykeaytw-1783419767-1.0.1.1-hjc0hkiuq_7jjttmmkwvyn1wmu.w.c4dmyobl3apnfu</w:t>
        </w:r>
      </w:hyperlink>
      <w:r w:rsidRPr="00617012">
        <w:rPr>
          <w:rFonts w:asciiTheme="minorBidi" w:hAnsiTheme="minorBidi"/>
        </w:rPr>
        <w:t xml:space="preserve">. </w:t>
      </w:r>
    </w:p>
    <w:p w14:paraId="25FFCAF9" w14:textId="77777777" w:rsidR="00617012" w:rsidRPr="00617012" w:rsidRDefault="00617012" w:rsidP="00617012">
      <w:pPr>
        <w:rPr>
          <w:rFonts w:asciiTheme="minorBidi" w:hAnsiTheme="minorBidi"/>
        </w:rPr>
      </w:pPr>
      <w:r w:rsidRPr="00617012">
        <w:rPr>
          <w:rFonts w:asciiTheme="minorBidi" w:hAnsiTheme="minorBidi"/>
        </w:rPr>
        <w:t xml:space="preserve">National Institute for Health and Care Excellence (NICE) (2022). </w:t>
      </w:r>
      <w:r w:rsidRPr="00617012">
        <w:rPr>
          <w:rFonts w:asciiTheme="minorBidi" w:hAnsiTheme="minorBidi"/>
          <w:i/>
          <w:iCs/>
        </w:rPr>
        <w:t>Depression in adults: Treatment and Management</w:t>
      </w:r>
      <w:r w:rsidRPr="00617012">
        <w:rPr>
          <w:rFonts w:asciiTheme="minorBidi" w:hAnsiTheme="minorBidi"/>
        </w:rPr>
        <w:t xml:space="preserve">. [online] Www.nice.org.uk. Available at: </w:t>
      </w:r>
      <w:hyperlink r:id="rId13" w:history="1">
        <w:r w:rsidRPr="00617012">
          <w:rPr>
            <w:rStyle w:val="Hyperlink"/>
            <w:rFonts w:asciiTheme="minorBidi" w:hAnsiTheme="minorBidi"/>
          </w:rPr>
          <w:t>https://www.nice.org.uk/guidance/ng222</w:t>
        </w:r>
      </w:hyperlink>
      <w:r w:rsidRPr="00617012">
        <w:rPr>
          <w:rFonts w:asciiTheme="minorBidi" w:hAnsiTheme="minorBidi"/>
        </w:rPr>
        <w:t xml:space="preserve">. </w:t>
      </w:r>
    </w:p>
    <w:p w14:paraId="611A8134" w14:textId="77777777" w:rsidR="00617012" w:rsidRPr="00617012" w:rsidRDefault="00617012" w:rsidP="00617012">
      <w:pPr>
        <w:rPr>
          <w:rFonts w:asciiTheme="minorBidi" w:hAnsiTheme="minorBidi"/>
        </w:rPr>
      </w:pPr>
      <w:r w:rsidRPr="00617012">
        <w:rPr>
          <w:rFonts w:asciiTheme="minorBidi" w:hAnsiTheme="minorBidi"/>
        </w:rPr>
        <w:t xml:space="preserve">Office for Health Improvement &amp; Disparities (2022). </w:t>
      </w:r>
      <w:r w:rsidRPr="00617012">
        <w:rPr>
          <w:rFonts w:asciiTheme="minorBidi" w:hAnsiTheme="minorBidi"/>
          <w:i/>
          <w:iCs/>
        </w:rPr>
        <w:t>Health disparities and health inequalities: Applying all our health</w:t>
      </w:r>
      <w:r w:rsidRPr="00617012">
        <w:rPr>
          <w:rFonts w:asciiTheme="minorBidi" w:hAnsiTheme="minorBidi"/>
        </w:rPr>
        <w:t xml:space="preserve">. [online] Gov.uk. Available at: </w:t>
      </w:r>
      <w:hyperlink r:id="rId14" w:history="1">
        <w:r w:rsidRPr="00617012">
          <w:rPr>
            <w:rStyle w:val="Hyperlink"/>
            <w:rFonts w:asciiTheme="minorBidi" w:hAnsiTheme="minorBidi"/>
          </w:rPr>
          <w:t>https://www.gov.uk/government/publications/health-disparities-and-health-inequalities-applying-all-our-health/health-disparities-and-health-inequalities-applying-all-our-health</w:t>
        </w:r>
      </w:hyperlink>
      <w:r w:rsidRPr="00617012">
        <w:rPr>
          <w:rFonts w:asciiTheme="minorBidi" w:hAnsiTheme="minorBidi"/>
        </w:rPr>
        <w:t xml:space="preserve">. </w:t>
      </w:r>
    </w:p>
    <w:p w14:paraId="50DBA46C" w14:textId="77777777" w:rsidR="00617012" w:rsidRPr="00617012" w:rsidRDefault="00617012" w:rsidP="00617012">
      <w:pPr>
        <w:rPr>
          <w:rFonts w:asciiTheme="minorBidi" w:hAnsiTheme="minorBidi"/>
        </w:rPr>
      </w:pPr>
      <w:r w:rsidRPr="00617012">
        <w:rPr>
          <w:rFonts w:asciiTheme="minorBidi" w:hAnsiTheme="minorBidi"/>
        </w:rPr>
        <w:t xml:space="preserve">Rake, B., Gulbrandsen, M., McKelvey, M. and Miller, F.A. (2025). Rethinking medical innovation: Organizing R&amp;amp;D, responding to crisis, delivering health services. </w:t>
      </w:r>
      <w:r w:rsidRPr="00617012">
        <w:rPr>
          <w:rFonts w:asciiTheme="minorBidi" w:hAnsiTheme="minorBidi"/>
          <w:i/>
          <w:iCs/>
        </w:rPr>
        <w:t>Innovation</w:t>
      </w:r>
      <w:r w:rsidRPr="00617012">
        <w:rPr>
          <w:rFonts w:asciiTheme="minorBidi" w:hAnsiTheme="minorBidi"/>
        </w:rPr>
        <w:t xml:space="preserve">, [online] 27(1), pp.1–20. Available at: </w:t>
      </w:r>
      <w:hyperlink r:id="rId15" w:history="1">
        <w:r w:rsidRPr="00617012">
          <w:rPr>
            <w:rStyle w:val="Hyperlink"/>
            <w:rFonts w:asciiTheme="minorBidi" w:hAnsiTheme="minorBidi"/>
          </w:rPr>
          <w:t>https://www.tandfonline.com/doi/full/10.1080/14479338.2024.2446894</w:t>
        </w:r>
      </w:hyperlink>
      <w:r w:rsidRPr="00617012">
        <w:rPr>
          <w:rFonts w:asciiTheme="minorBidi" w:hAnsiTheme="minorBidi"/>
        </w:rPr>
        <w:t xml:space="preserve">. </w:t>
      </w:r>
    </w:p>
    <w:p w14:paraId="153F98BB" w14:textId="77777777" w:rsidR="00617012" w:rsidRPr="00617012" w:rsidRDefault="00617012" w:rsidP="00617012">
      <w:pPr>
        <w:rPr>
          <w:rFonts w:asciiTheme="minorBidi" w:hAnsiTheme="minorBidi"/>
        </w:rPr>
      </w:pPr>
      <w:r w:rsidRPr="00617012">
        <w:rPr>
          <w:rFonts w:asciiTheme="minorBidi" w:hAnsiTheme="minorBidi"/>
        </w:rPr>
        <w:t xml:space="preserve">Richards, T.C., Han, J. and Kristensen , S.A. (2026). </w:t>
      </w:r>
      <w:r w:rsidRPr="00617012">
        <w:rPr>
          <w:rFonts w:asciiTheme="minorBidi" w:hAnsiTheme="minorBidi"/>
          <w:i/>
          <w:iCs/>
        </w:rPr>
        <w:t>State-of-the-art technologies for the digital transformation of healthcare services – a systematic scoping review</w:t>
      </w:r>
      <w:r w:rsidRPr="00617012">
        <w:rPr>
          <w:rFonts w:asciiTheme="minorBidi" w:hAnsiTheme="minorBidi"/>
        </w:rPr>
        <w:t xml:space="preserve">. [online] Available at: </w:t>
      </w:r>
      <w:hyperlink r:id="rId16" w:history="1">
        <w:r w:rsidRPr="00617012">
          <w:rPr>
            <w:rStyle w:val="Hyperlink"/>
            <w:rFonts w:asciiTheme="minorBidi" w:hAnsiTheme="minorBidi"/>
          </w:rPr>
          <w:t>https://link.springer.com/article/10.1186/s12913-026-14714-9</w:t>
        </w:r>
      </w:hyperlink>
      <w:r w:rsidRPr="00617012">
        <w:rPr>
          <w:rFonts w:asciiTheme="minorBidi" w:hAnsiTheme="minorBidi"/>
        </w:rPr>
        <w:t xml:space="preserve">. </w:t>
      </w:r>
    </w:p>
    <w:p w14:paraId="43D2FB13" w14:textId="77777777" w:rsidR="00617012" w:rsidRPr="00617012" w:rsidRDefault="00617012" w:rsidP="00617012">
      <w:pPr>
        <w:rPr>
          <w:rFonts w:asciiTheme="minorBidi" w:hAnsiTheme="minorBidi"/>
        </w:rPr>
      </w:pPr>
      <w:r w:rsidRPr="00617012">
        <w:rPr>
          <w:rFonts w:asciiTheme="minorBidi" w:hAnsiTheme="minorBidi"/>
        </w:rPr>
        <w:lastRenderedPageBreak/>
        <w:t xml:space="preserve">Wilson, G. M. (2026) ‘Informatics for health and social care volume 51, issue 1 (2026)’, Informatics for Health and Social Care, 51(1), p. 1. </w:t>
      </w:r>
      <w:hyperlink r:id="rId17" w:history="1">
        <w:r w:rsidRPr="00617012">
          <w:rPr>
            <w:rStyle w:val="Hyperlink"/>
            <w:rFonts w:asciiTheme="minorBidi" w:hAnsiTheme="minorBidi"/>
          </w:rPr>
          <w:t>https://www.tandfonline.com/doi/full/10.1080/17538157.2025.2602415</w:t>
        </w:r>
      </w:hyperlink>
      <w:r w:rsidRPr="00617012">
        <w:rPr>
          <w:rFonts w:asciiTheme="minorBidi" w:hAnsiTheme="minorBidi"/>
        </w:rPr>
        <w:t xml:space="preserve"> </w:t>
      </w:r>
    </w:p>
    <w:p w14:paraId="5CDE3D5D" w14:textId="77777777" w:rsidR="000F3E71" w:rsidRPr="00617012" w:rsidRDefault="000F3E71">
      <w:pPr>
        <w:rPr>
          <w:rFonts w:asciiTheme="minorBidi" w:hAnsiTheme="minorBidi"/>
        </w:rPr>
      </w:pPr>
    </w:p>
    <w:sectPr w:rsidR="000F3E71" w:rsidRPr="006170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012"/>
    <w:rsid w:val="00055C2C"/>
    <w:rsid w:val="000A5C2B"/>
    <w:rsid w:val="000F3E71"/>
    <w:rsid w:val="00132166"/>
    <w:rsid w:val="00262ED3"/>
    <w:rsid w:val="00263A37"/>
    <w:rsid w:val="002E0290"/>
    <w:rsid w:val="003D59A3"/>
    <w:rsid w:val="004126F2"/>
    <w:rsid w:val="0042120C"/>
    <w:rsid w:val="0044710E"/>
    <w:rsid w:val="004E6BB7"/>
    <w:rsid w:val="005A54FB"/>
    <w:rsid w:val="005E5983"/>
    <w:rsid w:val="00617012"/>
    <w:rsid w:val="006D0C45"/>
    <w:rsid w:val="0072328D"/>
    <w:rsid w:val="007234A1"/>
    <w:rsid w:val="007C7920"/>
    <w:rsid w:val="007F72A8"/>
    <w:rsid w:val="00852BF7"/>
    <w:rsid w:val="009117E3"/>
    <w:rsid w:val="00914622"/>
    <w:rsid w:val="00987AF8"/>
    <w:rsid w:val="00A91FD9"/>
    <w:rsid w:val="00C371A4"/>
    <w:rsid w:val="00CB44A5"/>
    <w:rsid w:val="00D22255"/>
    <w:rsid w:val="00F43F1F"/>
    <w:rsid w:val="00FE5092"/>
    <w:rsid w:val="00FF4E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F435"/>
  <w15:chartTrackingRefBased/>
  <w15:docId w15:val="{D55739E7-CBA9-4DA8-9F3B-4F839810D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012"/>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6170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70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70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70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70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7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7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7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7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0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70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70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70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70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7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012"/>
    <w:rPr>
      <w:rFonts w:eastAsiaTheme="majorEastAsia" w:cstheme="majorBidi"/>
      <w:color w:val="272727" w:themeColor="text1" w:themeTint="D8"/>
    </w:rPr>
  </w:style>
  <w:style w:type="paragraph" w:styleId="Title">
    <w:name w:val="Title"/>
    <w:basedOn w:val="Normal"/>
    <w:next w:val="Normal"/>
    <w:link w:val="TitleChar"/>
    <w:uiPriority w:val="10"/>
    <w:qFormat/>
    <w:rsid w:val="00617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7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012"/>
    <w:pPr>
      <w:spacing w:before="160"/>
      <w:jc w:val="center"/>
    </w:pPr>
    <w:rPr>
      <w:i/>
      <w:iCs/>
      <w:color w:val="404040" w:themeColor="text1" w:themeTint="BF"/>
    </w:rPr>
  </w:style>
  <w:style w:type="character" w:customStyle="1" w:styleId="QuoteChar">
    <w:name w:val="Quote Char"/>
    <w:basedOn w:val="DefaultParagraphFont"/>
    <w:link w:val="Quote"/>
    <w:uiPriority w:val="29"/>
    <w:rsid w:val="00617012"/>
    <w:rPr>
      <w:i/>
      <w:iCs/>
      <w:color w:val="404040" w:themeColor="text1" w:themeTint="BF"/>
    </w:rPr>
  </w:style>
  <w:style w:type="paragraph" w:styleId="ListParagraph">
    <w:name w:val="List Paragraph"/>
    <w:basedOn w:val="Normal"/>
    <w:uiPriority w:val="34"/>
    <w:qFormat/>
    <w:rsid w:val="00617012"/>
    <w:pPr>
      <w:ind w:left="720"/>
      <w:contextualSpacing/>
    </w:pPr>
  </w:style>
  <w:style w:type="character" w:styleId="IntenseEmphasis">
    <w:name w:val="Intense Emphasis"/>
    <w:basedOn w:val="DefaultParagraphFont"/>
    <w:uiPriority w:val="21"/>
    <w:qFormat/>
    <w:rsid w:val="00617012"/>
    <w:rPr>
      <w:i/>
      <w:iCs/>
      <w:color w:val="0F4761" w:themeColor="accent1" w:themeShade="BF"/>
    </w:rPr>
  </w:style>
  <w:style w:type="paragraph" w:styleId="IntenseQuote">
    <w:name w:val="Intense Quote"/>
    <w:basedOn w:val="Normal"/>
    <w:next w:val="Normal"/>
    <w:link w:val="IntenseQuoteChar"/>
    <w:uiPriority w:val="30"/>
    <w:qFormat/>
    <w:rsid w:val="006170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7012"/>
    <w:rPr>
      <w:i/>
      <w:iCs/>
      <w:color w:val="0F4761" w:themeColor="accent1" w:themeShade="BF"/>
    </w:rPr>
  </w:style>
  <w:style w:type="character" w:styleId="IntenseReference">
    <w:name w:val="Intense Reference"/>
    <w:basedOn w:val="DefaultParagraphFont"/>
    <w:uiPriority w:val="32"/>
    <w:qFormat/>
    <w:rsid w:val="00617012"/>
    <w:rPr>
      <w:b/>
      <w:bCs/>
      <w:smallCaps/>
      <w:color w:val="0F4761" w:themeColor="accent1" w:themeShade="BF"/>
      <w:spacing w:val="5"/>
    </w:rPr>
  </w:style>
  <w:style w:type="character" w:styleId="Hyperlink">
    <w:name w:val="Hyperlink"/>
    <w:basedOn w:val="DefaultParagraphFont"/>
    <w:uiPriority w:val="99"/>
    <w:unhideWhenUsed/>
    <w:rsid w:val="00617012"/>
    <w:rPr>
      <w:color w:val="467886" w:themeColor="hyperlink"/>
      <w:u w:val="single"/>
    </w:rPr>
  </w:style>
  <w:style w:type="character" w:styleId="UnresolvedMention">
    <w:name w:val="Unresolved Mention"/>
    <w:basedOn w:val="DefaultParagraphFont"/>
    <w:uiPriority w:val="99"/>
    <w:semiHidden/>
    <w:unhideWhenUsed/>
    <w:rsid w:val="006170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7953625000140" TargetMode="External"/><Relationship Id="rId13" Type="http://schemas.openxmlformats.org/officeDocument/2006/relationships/hyperlink" Target="https://www.nice.org.uk/guidance/ng22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academic.oup.com/spp/advance-article/doi/10.1093/scipol/scag039/8678001?searchresult=1&amp;__cf_chl_f_tk=jfqv6to6rr4vrghmmbx_fvoemxmo46nnhjbuykeaytw-1783419767-1.0.1.1-hjc0hkiuq_7jjttmmkwvyn1wmu.w.c4dmyobl3apnfu" TargetMode="External"/><Relationship Id="rId17" Type="http://schemas.openxmlformats.org/officeDocument/2006/relationships/hyperlink" Target="https://www.tandfonline.com/doi/full/10.1080/17538157.2025.2602415" TargetMode="External"/><Relationship Id="rId2" Type="http://schemas.openxmlformats.org/officeDocument/2006/relationships/settings" Target="settings.xml"/><Relationship Id="rId16" Type="http://schemas.openxmlformats.org/officeDocument/2006/relationships/hyperlink" Target="https://link.springer.com/article/10.1186/s12913-026-14714-9" TargetMode="Externa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hyperlink" Target="https://www.sciencedirect.com/science/article/abs/pii/S0148296325001870" TargetMode="External"/><Relationship Id="rId5" Type="http://schemas.openxmlformats.org/officeDocument/2006/relationships/image" Target="cid:image001.png@01D0EA4A.2BD679A0" TargetMode="External"/><Relationship Id="rId15" Type="http://schemas.openxmlformats.org/officeDocument/2006/relationships/hyperlink" Target="https://www.tandfonline.com/doi/full/10.1080/14479338.2024.2446894" TargetMode="External"/><Relationship Id="rId10" Type="http://schemas.openxmlformats.org/officeDocument/2006/relationships/hyperlink" Target="https://pmc.ncbi.nlm.nih.gov/articles/PMC12813171/"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mdpi.com/2813-4524/2/4/27" TargetMode="External"/><Relationship Id="rId14" Type="http://schemas.openxmlformats.org/officeDocument/2006/relationships/hyperlink" Target="https://www.gov.uk/government/publications/health-disparities-and-health-inequalities-applying-all-our-health/health-disparities-and-health-inequalities-applying-all-our-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1744</Words>
  <Characters>9944</Characters>
  <Application>Microsoft Office Word</Application>
  <DocSecurity>0</DocSecurity>
  <Lines>82</Lines>
  <Paragraphs>23</Paragraphs>
  <ScaleCrop>false</ScaleCrop>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Oke</dc:creator>
  <cp:keywords/>
  <dc:description/>
  <cp:lastModifiedBy>Gloria Oke</cp:lastModifiedBy>
  <cp:revision>20</cp:revision>
  <dcterms:created xsi:type="dcterms:W3CDTF">2026-08-04T20:19:00Z</dcterms:created>
  <dcterms:modified xsi:type="dcterms:W3CDTF">2026-08-04T21:52:00Z</dcterms:modified>
</cp:coreProperties>
</file>