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06E545" w14:textId="18E2E6C1" w:rsidR="00673F58" w:rsidRPr="0020711A" w:rsidRDefault="002C742C">
      <w:r w:rsidRPr="0020711A">
        <w:t xml:space="preserve">In order to call the crusading movement a ‘complete failure’, one would need to analyse the crusades separate to each other as well as overall in order to </w:t>
      </w:r>
      <w:r w:rsidR="00A47857">
        <w:t>decide</w:t>
      </w:r>
      <w:r w:rsidRPr="0020711A">
        <w:t xml:space="preserve"> whether or not the movement could truly be considered a failure. Whilst the success of the First Crusade was encouraging enough to launch several more, it was preceded by an initial failed crusade, the People’s Crusade, which almost prevented any other Crusades ever being launched again. However, the First Crusade persisted so hard that the West and the East became bonded so deeply that people moved back and forth and Knights were established worldwide, as well as land and languages spoken much more surrounding the area – the East became a land of success and brilliance, where riches could be earned faster than in any other setting before. While it can be argued that the First and Albigensian Crusades benefitted so positively that the success of them could almost outweigh the failure of the others, ultimately the crusading movement must be addressed as an abject failure due to its statistical improbability of ever achieving what it set out for.</w:t>
      </w:r>
    </w:p>
    <w:p w14:paraId="7B817A87" w14:textId="2AF7A65B" w:rsidR="002C742C" w:rsidRPr="0020711A" w:rsidRDefault="002C742C">
      <w:r w:rsidRPr="0020711A">
        <w:t xml:space="preserve">The process of the Crusades lasted several hundred years and, considering the proportion of Crusades that succeeded compared to crusades that failed, it ended up being a large waste of time and money, as well as </w:t>
      </w:r>
      <w:r w:rsidR="00545BAD" w:rsidRPr="0020711A">
        <w:t>many unnecessary deaths</w:t>
      </w:r>
      <w:r w:rsidRPr="0020711A">
        <w:t xml:space="preserve">. The difference was that many following leaders and popes attempted to recreate the success of the First Crusade by changing variables such as strategy, who they brought with them, how they paid for the Crusade and when they departed, </w:t>
      </w:r>
      <w:r w:rsidR="00545BAD" w:rsidRPr="0020711A">
        <w:t>with no acknowledgement to the convenient luck the First Crusade had</w:t>
      </w:r>
      <w:r w:rsidRPr="0020711A">
        <w:t xml:space="preserve">. Within Urban II’s initial speech at the Council of Clermont calling the First Crusade, dictated by </w:t>
      </w:r>
      <w:r w:rsidR="00545BAD" w:rsidRPr="0020711A">
        <w:t>Fulcher of Chartres, Urban addresses that the call to the Crusades is dictated by God, as “God has put you as stewards over his family to minister to it.”</w:t>
      </w:r>
      <w:r w:rsidRPr="0020711A">
        <w:rPr>
          <w:rStyle w:val="FootnoteReference"/>
        </w:rPr>
        <w:footnoteReference w:id="1"/>
      </w:r>
      <w:r w:rsidRPr="0020711A">
        <w:t xml:space="preserve"> </w:t>
      </w:r>
      <w:r w:rsidR="00545BAD" w:rsidRPr="0020711A">
        <w:t>As these were classified as Holy Wars largely driven by a religious call to action, Fulcher of Chartres’ dictation of the speech utilises quotes from Urban II that would encourage crusaders to attend even if they met an untimely fate – “All who die by the way, whether by land or by sea, or in battle against the pagans, shall have immediate remission of sins.”</w:t>
      </w:r>
      <w:r w:rsidR="00545BAD" w:rsidRPr="0020711A">
        <w:rPr>
          <w:rStyle w:val="FootnoteReference"/>
        </w:rPr>
        <w:footnoteReference w:id="2"/>
      </w:r>
      <w:r w:rsidRPr="0020711A">
        <w:t xml:space="preserve"> </w:t>
      </w:r>
      <w:r w:rsidR="004561F7" w:rsidRPr="0020711A">
        <w:t>This quote would encourage attendance by all those worthy for the sake of knowing they would essentially instantly make it to Heaven if they died on the journey – which, at the time, would have been a huge incentive to increase the size of an army. There was also the assumption that if they failed in any way</w:t>
      </w:r>
      <w:r w:rsidRPr="0020711A">
        <w:t xml:space="preserve"> they would believe that God was not in their favour due to some</w:t>
      </w:r>
      <w:r w:rsidR="004561F7" w:rsidRPr="0020711A">
        <w:t xml:space="preserve"> sin that they had committed – in some instances, it is written that cowards who turn back from their service ensure that God turns his back on them. The religious incentives carried as far past the First Crusade to the establishment of the Knights of Templar, who encouraged the launch of any crusade so that they could prove themselves worthy in the eyes of God.</w:t>
      </w:r>
      <w:r w:rsidRPr="0020711A">
        <w:t xml:space="preserve"> </w:t>
      </w:r>
      <w:r w:rsidR="009255CD" w:rsidRPr="0020711A">
        <w:t xml:space="preserve">There was also the Cathar Crusade, or </w:t>
      </w:r>
      <w:r w:rsidR="009255CD" w:rsidRPr="0020711A">
        <w:lastRenderedPageBreak/>
        <w:t>Albigensian Crusade, which directly existed to reconvert the Cathars</w:t>
      </w:r>
      <w:r w:rsidR="009255CD" w:rsidRPr="0020711A">
        <w:rPr>
          <w:rStyle w:val="FootnoteReference"/>
        </w:rPr>
        <w:footnoteReference w:id="3"/>
      </w:r>
      <w:r w:rsidR="009255CD" w:rsidRPr="0020711A">
        <w:t xml:space="preserve"> to Christians</w:t>
      </w:r>
      <w:r w:rsidR="00D65232" w:rsidRPr="0020711A">
        <w:t>, in which the description by William of Puylaurens offers that Simon De Montfort was so despondent by the success of his enemies that he “began to pray to God to give him peace by the remedy of death.”</w:t>
      </w:r>
      <w:r w:rsidR="00D65232" w:rsidRPr="0020711A">
        <w:rPr>
          <w:rStyle w:val="FootnoteReference"/>
        </w:rPr>
        <w:footnoteReference w:id="4"/>
      </w:r>
      <w:r w:rsidR="00D65232" w:rsidRPr="0020711A">
        <w:t xml:space="preserve"> This emphasises the idea that the crusaders truly believed God guided them, as even their accounts of the battles would portray their enemies as praying to God to let the right side win. For the crusaders, the support of God was a distinct way that ensured their successes, however God could not prepare them with the material possessions needed to survive a crusade, which reveals exactly why many of the Crusades did not survive very far, as they often ran out of money and people before they were able to entirely capture Jerusalem.</w:t>
      </w:r>
    </w:p>
    <w:p w14:paraId="5C6D6F97" w14:textId="6BA09CE8" w:rsidR="001976EB" w:rsidRPr="0020711A" w:rsidRDefault="00B30952">
      <w:r w:rsidRPr="0020711A">
        <w:t xml:space="preserve">The Fourth Crusade acts as another example of a failed Crusade where the leaders </w:t>
      </w:r>
      <w:r w:rsidR="00D65232" w:rsidRPr="0020711A">
        <w:t>relied far more on the faith of God</w:t>
      </w:r>
      <w:r w:rsidRPr="0020711A">
        <w:t xml:space="preserve"> than their physical capabilities, and ultimately did not succeed in taking back Jerusale</w:t>
      </w:r>
      <w:r w:rsidR="00D65232" w:rsidRPr="0020711A">
        <w:t>m</w:t>
      </w:r>
      <w:r w:rsidRPr="0020711A">
        <w:t xml:space="preserve">. </w:t>
      </w:r>
      <w:r w:rsidR="00F618AC" w:rsidRPr="0020711A">
        <w:t>It came following the ending of the Third Crusade with the signing of the Treaty of Jaffa in correspondence with Saladin, who was later written about as a formidable enemy, both good and bad – it is written in William of Tyre’s account of the Battle of Hattin that Saladin treated his prisoners cruelly, offering them water and saying “Drink, for you will never drink again.”</w:t>
      </w:r>
      <w:r w:rsidR="00F618AC" w:rsidRPr="0020711A">
        <w:rPr>
          <w:rStyle w:val="FootnoteReference"/>
        </w:rPr>
        <w:footnoteReference w:id="5"/>
      </w:r>
      <w:r w:rsidR="005772E3" w:rsidRPr="0020711A">
        <w:t xml:space="preserve"> Alternatively, the encyclopaedia ‘Masalik al-absar fi mamalik’, which was written by Sihab al-Din, offers a Muslim point of view on several of the Crusades, and </w:t>
      </w:r>
      <w:r w:rsidR="00F90813">
        <w:t>writes</w:t>
      </w:r>
      <w:r w:rsidR="005772E3" w:rsidRPr="0020711A">
        <w:t xml:space="preserve"> Saladin in a much more sympathetic perspective, writing that he set out with his army “because he feared that the lord of Kerak should attack pilgrims.”</w:t>
      </w:r>
      <w:r w:rsidR="005772E3" w:rsidRPr="0020711A">
        <w:rPr>
          <w:rStyle w:val="FootnoteReference"/>
        </w:rPr>
        <w:footnoteReference w:id="6"/>
      </w:r>
      <w:r w:rsidR="005772E3" w:rsidRPr="0020711A">
        <w:t xml:space="preserve"> This perspective also describes Saladin’s murder of Prin</w:t>
      </w:r>
      <w:r w:rsidR="007D31E7" w:rsidRPr="0020711A">
        <w:t>c</w:t>
      </w:r>
      <w:r w:rsidR="005772E3" w:rsidRPr="0020711A">
        <w:t>e Reynald, it assures that it was within his best interest as the prince had</w:t>
      </w:r>
      <w:r w:rsidR="007D31E7" w:rsidRPr="0020711A">
        <w:t xml:space="preserve"> </w:t>
      </w:r>
      <w:r w:rsidR="005772E3" w:rsidRPr="0020711A">
        <w:t>breach</w:t>
      </w:r>
      <w:r w:rsidR="007D31E7" w:rsidRPr="0020711A">
        <w:t>ed</w:t>
      </w:r>
      <w:r w:rsidR="005772E3" w:rsidRPr="0020711A">
        <w:t xml:space="preserve"> </w:t>
      </w:r>
      <w:r w:rsidR="007D31E7" w:rsidRPr="0020711A">
        <w:t>his</w:t>
      </w:r>
      <w:r w:rsidR="005772E3" w:rsidRPr="0020711A">
        <w:t xml:space="preserve"> faith. From the Muslim perspective of the Crusades, they succeeded with the assist of Allah on their side. Whilst this parallels Christian faith in their encouragement, it also speaks to strategy and power – Saladin had a powerful army on his hands and owned the territory surrounding the Crusaders, so the battle was won because he had all of the money, people and resources to surround and capture the Franks. It was only at their mercy that they signed a treaty rather than being slain by Saladin, who had every capability to do so.</w:t>
      </w:r>
      <w:r w:rsidR="00D54624" w:rsidRPr="0020711A">
        <w:t xml:space="preserve"> In comparison, the Fourth Crusade failed because of their lack of food, money, horses and people from the beginning, which locked them into a deal </w:t>
      </w:r>
      <w:r w:rsidR="007D31E7" w:rsidRPr="0020711A">
        <w:t xml:space="preserve">with the Doge of Venice who offered “four thousand five hundred horses, and nine thousand squires, and ships for four thousand five hundred </w:t>
      </w:r>
      <w:r w:rsidR="007D31E7" w:rsidRPr="0020711A">
        <w:lastRenderedPageBreak/>
        <w:t>knights”</w:t>
      </w:r>
      <w:r w:rsidR="007D31E7" w:rsidRPr="0020711A">
        <w:rPr>
          <w:rStyle w:val="FootnoteReference"/>
        </w:rPr>
        <w:footnoteReference w:id="7"/>
      </w:r>
      <w:r w:rsidR="007D31E7" w:rsidRPr="0020711A">
        <w:t xml:space="preserve"> in exchange for half of the land and money they were to achieve from their Crusade. This ensured that the Fourth Crusade began with a great debt being owed that was at risk of not being able to be paid back. Once the Crusaders reached Venice, they were already at a debt of 34,000 marks, </w:t>
      </w:r>
      <w:r w:rsidR="00CE5532" w:rsidRPr="0020711A">
        <w:t>and choose to detour for the Doge to be freed of their debts by taking back Zara from the King of Hungary, a Christian state which the Crusaders reluctantly accepted but solidified that the Pope would denounce his support for the Crusade. Additional to this detour, they were also convinced to help Alexios Angelos reclaim the throne of Constantinople, which was rightfully his by way of his father – both of these detours led the Fourth Crusade even further astray as Alexios abandoned Constantinople – “took of his treasure as much as he could carry, and took with him as many of his people as would go, and so fled and abandoned the city.”</w:t>
      </w:r>
      <w:r w:rsidR="00CE5532" w:rsidRPr="0020711A">
        <w:rPr>
          <w:rStyle w:val="FootnoteReference"/>
        </w:rPr>
        <w:footnoteReference w:id="8"/>
      </w:r>
      <w:r w:rsidR="00CE5532" w:rsidRPr="0020711A">
        <w:t xml:space="preserve"> </w:t>
      </w:r>
      <w:r w:rsidR="00952F99" w:rsidRPr="0020711A">
        <w:t xml:space="preserve">The beginning of the crusade locked the leaders into debts that could only be repaid by excommunication from the church and failure to capture Constantinople – </w:t>
      </w:r>
      <w:r w:rsidR="00D64890" w:rsidRPr="0020711A">
        <w:t>it was a crusade that began and ended only with losses.</w:t>
      </w:r>
    </w:p>
    <w:p w14:paraId="6C7320DC" w14:textId="1CAD79A9" w:rsidR="00490CEF" w:rsidRPr="0020711A" w:rsidRDefault="00D64890" w:rsidP="00490CEF">
      <w:r w:rsidRPr="0020711A">
        <w:t>Alternative to the Fourth, the Seventh and Eighth Crusades, led by Saint Louis IX of France, both began with a much higher chance of success as Louis was very determined to succeed in his crusading. He raised the funds himself, offering in his own money as well as convincing his family and the Church to provide</w:t>
      </w:r>
      <w:r w:rsidR="00180AAA" w:rsidRPr="0020711A">
        <w:t xml:space="preserve">. </w:t>
      </w:r>
      <w:r w:rsidR="002C742C" w:rsidRPr="0020711A">
        <w:t xml:space="preserve">The Crusade </w:t>
      </w:r>
      <w:r w:rsidR="00180AAA" w:rsidRPr="0020711A">
        <w:t>began as</w:t>
      </w:r>
      <w:r w:rsidR="002C742C" w:rsidRPr="0020711A">
        <w:t xml:space="preserve"> such a success that they conquered Damietta with complete ease,</w:t>
      </w:r>
      <w:r w:rsidR="00180AAA" w:rsidRPr="0020711A">
        <w:t xml:space="preserve"> as the city had been abandoned due to the fear of its inhabitants – according to the writings of Bar Hebraeus, “they also sent men who went inside the harbour, and they never met a single person. And then they knew of a certainty that [the people] had fled.”</w:t>
      </w:r>
      <w:r w:rsidR="00180AAA" w:rsidRPr="0020711A">
        <w:rPr>
          <w:rStyle w:val="FootnoteReference"/>
        </w:rPr>
        <w:footnoteReference w:id="9"/>
      </w:r>
      <w:r w:rsidR="00180AAA" w:rsidRPr="0020711A">
        <w:t xml:space="preserve"> This dictation also follows that Louis felt himself overly prepared, and still chose to remain in Damietta for a while to ensure his following Crusaders had caught up – then, he led them down a road where there was no water, allowing the Arab troops to create a barrier between themselves and the water, and killing them whilst they were dying of hunger and thirst, then taking the King prisoner and putting him up for ransom. Although the initial planning of Louis seemed to lead his Crusaders down the right path, </w:t>
      </w:r>
      <w:r w:rsidR="0028194B" w:rsidRPr="0020711A">
        <w:t>he insufficiently planned for enough resources for his horses and men, and was cornered by people who knew the surroundings much better than he did. He was also evidently very ashamed of his own loss, as when he returned from his ransom he believed religion was the answer, and according to Joinville’s memoirs, “he behaved himself so devoutly, that thenceforth he never wore neither beaver, nor squirrel’s fur, nor scarlet, not gilded stirrups and spurs”</w:t>
      </w:r>
      <w:r w:rsidR="0028194B" w:rsidRPr="0020711A">
        <w:rPr>
          <w:rStyle w:val="FootnoteReference"/>
        </w:rPr>
        <w:footnoteReference w:id="10"/>
      </w:r>
      <w:r w:rsidR="00490CEF" w:rsidRPr="0020711A">
        <w:t xml:space="preserve"> The emphasis on Louis’ religious behaviours by the memoirs of </w:t>
      </w:r>
      <w:r w:rsidR="00490CEF" w:rsidRPr="0020711A">
        <w:lastRenderedPageBreak/>
        <w:t xml:space="preserve">Joinville did eventually give Louis the role of a saint, the first Crusader leader to achieve such, and as he was the final leader of the Crusades it can be said as a fitting title. Nonetheless, </w:t>
      </w:r>
      <w:r w:rsidR="002C742C" w:rsidRPr="0020711A">
        <w:t>Louis IX also fell tragically ill and passed away before he could witness the complete completion of his crusade,</w:t>
      </w:r>
      <w:r w:rsidR="00490CEF" w:rsidRPr="0020711A">
        <w:t xml:space="preserve"> written by Joinville as a very honourable loss and a holy death – “looking up to heaven, yielded up his spirit to our Creator, in the very same hour when the Son of God died upon the Cross.”</w:t>
      </w:r>
      <w:r w:rsidR="00490CEF" w:rsidRPr="0020711A">
        <w:rPr>
          <w:rStyle w:val="FootnoteReference"/>
        </w:rPr>
        <w:footnoteReference w:id="11"/>
      </w:r>
      <w:r w:rsidR="002C742C" w:rsidRPr="0020711A">
        <w:t xml:space="preserve"> It was with that that the crusading movement came to an end, with yet another </w:t>
      </w:r>
      <w:r w:rsidR="00490CEF" w:rsidRPr="0020711A">
        <w:t>failure – this time, not due to failure of planning, but because of an unfortunate death that prevented the full completion of the crusade. Joinville elaborates his perspective; “To my mind they committed a deadly sin who encouraged his going […] seeing how weak he was in health at the time; for he could endure neither to drive nor ride. And yet, weak as he was, if he had stayed in France, he might still have lived a good while and done a great deal of good.”</w:t>
      </w:r>
      <w:r w:rsidR="00490CEF" w:rsidRPr="0020711A">
        <w:rPr>
          <w:rStyle w:val="FootnoteReference"/>
        </w:rPr>
        <w:footnoteReference w:id="12"/>
      </w:r>
      <w:r w:rsidR="00490CEF" w:rsidRPr="0020711A">
        <w:t xml:space="preserve"> It is through these means that we can assume that to have allowed King Louis to take up the cross a second time might have very well cemented the fate of the </w:t>
      </w:r>
      <w:r w:rsidR="0021272D" w:rsidRPr="0020711A">
        <w:t>crusading movement as a whole</w:t>
      </w:r>
      <w:r w:rsidR="0020711A" w:rsidRPr="0020711A">
        <w:t xml:space="preserve"> – although, it can still be described as a failure as a movement, that is because of the proportional number of Crusades that failed, rather than the fault of one, and ultimately, the Byzantines suffered the most, as they never truly received the help they desired from the Franks.</w:t>
      </w:r>
    </w:p>
    <w:p w14:paraId="5D859D1C" w14:textId="69E92B1D" w:rsidR="001F4739" w:rsidRDefault="0020711A">
      <w:r w:rsidRPr="0020711A">
        <w:t xml:space="preserve">Ultimately, </w:t>
      </w:r>
      <w:r w:rsidR="001976EB" w:rsidRPr="0020711A">
        <w:t xml:space="preserve">passion and enthusiasm </w:t>
      </w:r>
      <w:r w:rsidRPr="0020711A">
        <w:t>faded across the later Crusades</w:t>
      </w:r>
      <w:r w:rsidR="001976EB" w:rsidRPr="0020711A">
        <w:t xml:space="preserve">, leading </w:t>
      </w:r>
      <w:r w:rsidRPr="0020711A">
        <w:t>to less funds, less people, and more failed expeditions</w:t>
      </w:r>
      <w:r w:rsidR="001976EB" w:rsidRPr="0020711A">
        <w:t>. The endless success they had received</w:t>
      </w:r>
      <w:r w:rsidRPr="0020711A">
        <w:t xml:space="preserve"> in the first instance </w:t>
      </w:r>
      <w:r w:rsidR="001976EB" w:rsidRPr="0020711A">
        <w:t xml:space="preserve">and their faith in the Lord spurred them on so violently </w:t>
      </w:r>
      <w:r w:rsidRPr="0020711A">
        <w:t>that they frequently failed to plan for enough food or water</w:t>
      </w:r>
      <w:r w:rsidR="001976EB" w:rsidRPr="0020711A">
        <w:t>, often having to eat their horses or turn back and face shame once they went home. Those who retreated from the Crusades rather than dying like a martyr in battle were greeted with much distaste and it was seen</w:t>
      </w:r>
      <w:r w:rsidRPr="0020711A">
        <w:t xml:space="preserve"> </w:t>
      </w:r>
      <w:r w:rsidR="001976EB" w:rsidRPr="0020711A">
        <w:t>as shameful</w:t>
      </w:r>
      <w:r w:rsidRPr="0020711A">
        <w:t>, because death at least offered relief and acted as a reward in most crusades</w:t>
      </w:r>
      <w:r w:rsidR="001976EB" w:rsidRPr="0020711A">
        <w:t xml:space="preserve">. Those who did die were seen as a noble, </w:t>
      </w:r>
      <w:r w:rsidRPr="0020711A">
        <w:t>although it was</w:t>
      </w:r>
      <w:r w:rsidR="001976EB" w:rsidRPr="0020711A">
        <w:t xml:space="preserve"> to a vain cause, as their death still had no impact on a successful crusade. </w:t>
      </w:r>
      <w:r w:rsidRPr="0020711A">
        <w:t>T</w:t>
      </w:r>
      <w:r w:rsidR="001976EB" w:rsidRPr="0020711A">
        <w:t xml:space="preserve">he intention of the crusade, and the only task that was required, resulted in what seemed to be a failed Crusade by the views of historians since. Nonetheless, </w:t>
      </w:r>
      <w:r w:rsidRPr="0020711A">
        <w:t>there were leaders who succeeded in attaining certain territories, and there were at least two crusades who succeeded in what they set out to do, so a complete failure is still an unnuanced description of the crusades that overshadows some of the successes that were gained, although an accurate enough description for the waste of time, money and lives that the crusading movement ended up being.</w:t>
      </w:r>
    </w:p>
    <w:p w14:paraId="61BA48F9" w14:textId="77777777" w:rsidR="001F4739" w:rsidRDefault="001F4739"/>
    <w:p w14:paraId="6C4AD900" w14:textId="77777777" w:rsidR="001F4739" w:rsidRDefault="001F4739"/>
    <w:p w14:paraId="5E210DD8" w14:textId="45820BD2" w:rsidR="001B013C" w:rsidRDefault="001B013C">
      <w:pPr>
        <w:rPr>
          <w:u w:val="single"/>
        </w:rPr>
      </w:pPr>
      <w:r>
        <w:rPr>
          <w:u w:val="single"/>
        </w:rPr>
        <w:lastRenderedPageBreak/>
        <w:t>Bibliography</w:t>
      </w:r>
    </w:p>
    <w:p w14:paraId="18ACA29F" w14:textId="156D5737" w:rsidR="00DC4D86" w:rsidRDefault="001F4739">
      <w:pPr>
        <w:rPr>
          <w:u w:val="single"/>
        </w:rPr>
      </w:pPr>
      <w:r>
        <w:rPr>
          <w:u w:val="single"/>
        </w:rPr>
        <w:t>All Sources accessed online through the Medieval Sourcebook.</w:t>
      </w:r>
    </w:p>
    <w:p w14:paraId="0584B431" w14:textId="22FB2AFB" w:rsidR="00DC4D86" w:rsidRDefault="00DC4D86">
      <w:r w:rsidRPr="00CC7A89">
        <w:t xml:space="preserve">Internet History Sourcebooks: Medieval Sourcebook. n.d. Fordham.edu </w:t>
      </w:r>
      <w:hyperlink r:id="rId7" w:history="1">
        <w:r w:rsidRPr="0016668D">
          <w:rPr>
            <w:rStyle w:val="Hyperlink"/>
          </w:rPr>
          <w:t>https://sourcebooks.fordham.edu/sbook.asp</w:t>
        </w:r>
      </w:hyperlink>
      <w:r>
        <w:t xml:space="preserve"> </w:t>
      </w:r>
      <w:r w:rsidRPr="00CC7A89">
        <w:t>[</w:t>
      </w:r>
      <w:r>
        <w:t xml:space="preserve">last </w:t>
      </w:r>
      <w:r w:rsidRPr="00CC7A89">
        <w:t xml:space="preserve">accessed </w:t>
      </w:r>
      <w:r>
        <w:t>17/5/26</w:t>
      </w:r>
      <w:r w:rsidRPr="00CC7A89">
        <w:t>]</w:t>
      </w:r>
    </w:p>
    <w:p w14:paraId="69D44706" w14:textId="358FB283" w:rsidR="00DC4D86" w:rsidRPr="00DC4D86" w:rsidRDefault="00DC4D86">
      <w:pPr>
        <w:rPr>
          <w:u w:val="single"/>
        </w:rPr>
      </w:pPr>
      <w:r w:rsidRPr="00DC4D86">
        <w:rPr>
          <w:u w:val="single"/>
        </w:rPr>
        <w:t>Primary Sources</w:t>
      </w:r>
    </w:p>
    <w:p w14:paraId="57AB3B01" w14:textId="783C527B" w:rsidR="001B013C" w:rsidRPr="002D0A5E" w:rsidRDefault="001B013C">
      <w:r w:rsidRPr="00CC7A89">
        <w:rPr>
          <w:lang w:val="it-IT"/>
        </w:rPr>
        <w:t xml:space="preserve">Bongars, </w:t>
      </w:r>
      <w:r w:rsidRPr="00CC7A89">
        <w:rPr>
          <w:i/>
          <w:iCs/>
          <w:lang w:val="it-IT"/>
        </w:rPr>
        <w:t>Gesta Dei per Francos</w:t>
      </w:r>
      <w:r w:rsidRPr="00CC7A89">
        <w:rPr>
          <w:lang w:val="it-IT"/>
        </w:rPr>
        <w:t xml:space="preserve">, </w:t>
      </w:r>
      <w:r w:rsidR="00CC7A89" w:rsidRPr="00CC7A89">
        <w:rPr>
          <w:lang w:val="it-IT"/>
        </w:rPr>
        <w:t xml:space="preserve">trans. </w:t>
      </w:r>
      <w:r w:rsidR="00CC7A89" w:rsidRPr="002D0A5E">
        <w:t>Oliver J. Thatcher, and Edgar Holmes McNeal, eds</w:t>
      </w:r>
      <w:r w:rsidR="00CC7A89">
        <w:t xml:space="preserve">., </w:t>
      </w:r>
      <w:r w:rsidRPr="00CC7A89">
        <w:t>pp. 382 f.</w:t>
      </w:r>
      <w:r w:rsidRPr="002D0A5E">
        <w:t xml:space="preserve">, A Source Book for Medieval History, (New York: Scribners, 1905), </w:t>
      </w:r>
      <w:hyperlink r:id="rId8" w:history="1">
        <w:r w:rsidR="00CC7A89" w:rsidRPr="0016668D">
          <w:rPr>
            <w:rStyle w:val="Hyperlink"/>
          </w:rPr>
          <w:t>https://sourcebooks.fordham.edu/source/urban2-fulcher.asp</w:t>
        </w:r>
      </w:hyperlink>
      <w:r w:rsidR="00CC7A89">
        <w:t xml:space="preserve"> [last accessed 17/5/26]</w:t>
      </w:r>
    </w:p>
    <w:p w14:paraId="29619B79" w14:textId="77777777" w:rsidR="00FB5C0C" w:rsidRPr="002D0A5E" w:rsidRDefault="00FB5C0C" w:rsidP="00FB5C0C">
      <w:r w:rsidRPr="00DC4D86">
        <w:rPr>
          <w:i/>
          <w:iCs/>
        </w:rPr>
        <w:t>Geoffrey de Villehardoui</w:t>
      </w:r>
      <w:r>
        <w:rPr>
          <w:i/>
          <w:iCs/>
        </w:rPr>
        <w:t>n</w:t>
      </w:r>
      <w:r w:rsidRPr="00DC4D86">
        <w:rPr>
          <w:i/>
          <w:iCs/>
        </w:rPr>
        <w:t>: Memoirs or Chronicle of The Fourth Crusade and The Conquest of Constantinople</w:t>
      </w:r>
      <w:r w:rsidRPr="002D0A5E">
        <w:t>, trans. Frank T. Marzials, (London: J.M. Dent, 1908)</w:t>
      </w:r>
    </w:p>
    <w:p w14:paraId="58D3151E" w14:textId="77777777" w:rsidR="00FB5C0C" w:rsidRDefault="00FB5C0C" w:rsidP="00FB5C0C">
      <w:r w:rsidRPr="002D0A5E">
        <w:t>Krey,</w:t>
      </w:r>
      <w:r>
        <w:t xml:space="preserve"> A.C.,</w:t>
      </w:r>
      <w:r w:rsidRPr="002D0A5E">
        <w:t xml:space="preserve"> </w:t>
      </w:r>
      <w:r w:rsidRPr="00DC4D86">
        <w:rPr>
          <w:i/>
          <w:iCs/>
        </w:rPr>
        <w:t>The First Crusade: The Accounts of Eyewitnesses and Participants</w:t>
      </w:r>
      <w:r w:rsidRPr="002D0A5E">
        <w:t>, (Princeton: 1921), 280-81</w:t>
      </w:r>
    </w:p>
    <w:p w14:paraId="5F58F898" w14:textId="77777777" w:rsidR="00FB5C0C" w:rsidRDefault="00FB5C0C" w:rsidP="00FB5C0C">
      <w:r w:rsidRPr="007C4076">
        <w:rPr>
          <w:i/>
          <w:iCs/>
        </w:rPr>
        <w:t>Saladin and the Crusaders: Selected annals from Masalik al-absar fi mamalik al-amsar,</w:t>
      </w:r>
      <w:r>
        <w:t xml:space="preserve"> trans. ed. Eva R. Lundquist,</w:t>
      </w:r>
      <w:r w:rsidRPr="007C4076">
        <w:rPr>
          <w:i/>
          <w:iCs/>
        </w:rPr>
        <w:t> </w:t>
      </w:r>
      <w:r w:rsidRPr="007C4076">
        <w:t>(Lund: Studia Orientalia Lundensia v.5, 1992). </w:t>
      </w:r>
    </w:p>
    <w:p w14:paraId="6FD85495" w14:textId="34C75E03" w:rsidR="001B013C" w:rsidRPr="002D0A5E" w:rsidRDefault="001B013C">
      <w:r w:rsidRPr="00CC7A89">
        <w:rPr>
          <w:i/>
          <w:iCs/>
        </w:rPr>
        <w:t>The Chronicle of William of Puylaurens: The Albigensian Crusade and its Aftermath</w:t>
      </w:r>
      <w:r w:rsidRPr="002D0A5E">
        <w:t>,</w:t>
      </w:r>
      <w:r w:rsidR="00CC7A89">
        <w:t xml:space="preserve"> trans.</w:t>
      </w:r>
      <w:r w:rsidRPr="002D0A5E">
        <w:t xml:space="preserve"> </w:t>
      </w:r>
      <w:r w:rsidR="00CC7A89" w:rsidRPr="002D0A5E">
        <w:t>W.A. Sibly and</w:t>
      </w:r>
      <w:r w:rsidR="00CC7A89">
        <w:t xml:space="preserve"> </w:t>
      </w:r>
      <w:r w:rsidR="00CC7A89" w:rsidRPr="002D0A5E">
        <w:t>M.D. Sibly</w:t>
      </w:r>
      <w:r w:rsidR="00CC7A89">
        <w:t>.</w:t>
      </w:r>
      <w:r w:rsidR="00CC7A89" w:rsidRPr="002D0A5E">
        <w:t xml:space="preserve"> </w:t>
      </w:r>
      <w:r w:rsidRPr="002D0A5E">
        <w:t>(Boydell, 2003).</w:t>
      </w:r>
    </w:p>
    <w:p w14:paraId="7BF623CD" w14:textId="214B87C5" w:rsidR="00FB5C0C" w:rsidRPr="00FB5C0C" w:rsidRDefault="00FB5C0C">
      <w:r w:rsidRPr="00DC4D86">
        <w:rPr>
          <w:i/>
          <w:iCs/>
        </w:rPr>
        <w:t>The Chronography of Gregory Abu’l Faraj…Bar Hebraeus</w:t>
      </w:r>
      <w:r w:rsidRPr="002D0A5E">
        <w:t>, trans. Ernest A. Wallis Budge (London, 1932).</w:t>
      </w:r>
    </w:p>
    <w:p w14:paraId="5E81186C" w14:textId="3013CFE9" w:rsidR="00FB5C0C" w:rsidRPr="00FB5C0C" w:rsidRDefault="00FB5C0C">
      <w:r w:rsidRPr="00DC4D86">
        <w:rPr>
          <w:i/>
          <w:iCs/>
        </w:rPr>
        <w:t>The Memoirs of the Lord of Joinville</w:t>
      </w:r>
      <w:r w:rsidRPr="002D0A5E">
        <w:t>, trans</w:t>
      </w:r>
      <w:r>
        <w:t>.</w:t>
      </w:r>
      <w:r w:rsidRPr="002D0A5E">
        <w:t xml:space="preserve"> Ethel Wedgwood (London: John Murray, 1906)</w:t>
      </w:r>
    </w:p>
    <w:p w14:paraId="5BB2C740" w14:textId="031BDDCA" w:rsidR="00CC7A89" w:rsidRPr="002D0A5E" w:rsidRDefault="005E6F22">
      <w:r>
        <w:rPr>
          <w:i/>
          <w:iCs/>
        </w:rPr>
        <w:t>The Old French Continuation of William of Tyre,</w:t>
      </w:r>
      <w:r w:rsidR="00DC4D86">
        <w:t xml:space="preserve"> </w:t>
      </w:r>
      <w:r w:rsidR="00DC4D86">
        <w:rPr>
          <w:i/>
          <w:iCs/>
        </w:rPr>
        <w:t>T</w:t>
      </w:r>
      <w:r>
        <w:rPr>
          <w:i/>
          <w:iCs/>
        </w:rPr>
        <w:t>he Conquest of Jerusalem and the Third Crusade: Sources in Translation,</w:t>
      </w:r>
      <w:r>
        <w:rPr>
          <w:i/>
          <w:iCs/>
        </w:rPr>
        <w:t xml:space="preserve"> </w:t>
      </w:r>
      <w:r>
        <w:t>trans. ed. Peter W. Edbury</w:t>
      </w:r>
      <w:r w:rsidR="00DC4D86">
        <w:t>. (Ashgate, 1998)</w:t>
      </w:r>
    </w:p>
    <w:sectPr w:rsidR="00CC7A89" w:rsidRPr="002D0A5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9A15A" w14:textId="77777777" w:rsidR="00F03402" w:rsidRDefault="00F03402" w:rsidP="002C742C">
      <w:pPr>
        <w:spacing w:after="0" w:line="240" w:lineRule="auto"/>
      </w:pPr>
      <w:r>
        <w:separator/>
      </w:r>
    </w:p>
  </w:endnote>
  <w:endnote w:type="continuationSeparator" w:id="0">
    <w:p w14:paraId="3B8D4B1A" w14:textId="77777777" w:rsidR="00F03402" w:rsidRDefault="00F03402" w:rsidP="002C7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E0B99" w14:textId="77777777" w:rsidR="00F03402" w:rsidRDefault="00F03402" w:rsidP="002C742C">
      <w:pPr>
        <w:spacing w:after="0" w:line="240" w:lineRule="auto"/>
      </w:pPr>
      <w:r>
        <w:separator/>
      </w:r>
    </w:p>
  </w:footnote>
  <w:footnote w:type="continuationSeparator" w:id="0">
    <w:p w14:paraId="3A9BF976" w14:textId="77777777" w:rsidR="00F03402" w:rsidRDefault="00F03402" w:rsidP="002C742C">
      <w:pPr>
        <w:spacing w:after="0" w:line="240" w:lineRule="auto"/>
      </w:pPr>
      <w:r>
        <w:continuationSeparator/>
      </w:r>
    </w:p>
  </w:footnote>
  <w:footnote w:id="1">
    <w:p w14:paraId="6383EF29" w14:textId="47675C94" w:rsidR="002C742C" w:rsidRPr="00DC4D86" w:rsidRDefault="002C742C">
      <w:pPr>
        <w:pStyle w:val="FootnoteText"/>
        <w:rPr>
          <w:u w:val="single"/>
        </w:rPr>
      </w:pPr>
      <w:r>
        <w:rPr>
          <w:rStyle w:val="FootnoteReference"/>
        </w:rPr>
        <w:footnoteRef/>
      </w:r>
      <w:r>
        <w:t xml:space="preserve"> </w:t>
      </w:r>
      <w:r w:rsidR="00DC4D86">
        <w:t xml:space="preserve">Fulcher of Chartres, </w:t>
      </w:r>
      <w:r w:rsidR="00DC4D86" w:rsidRPr="00DC4D86">
        <w:t xml:space="preserve">Bongars, </w:t>
      </w:r>
      <w:r w:rsidR="00DC4D86" w:rsidRPr="00DC4D86">
        <w:rPr>
          <w:i/>
          <w:iCs/>
        </w:rPr>
        <w:t>Gesta Dei per Francos</w:t>
      </w:r>
      <w:r w:rsidR="00DC4D86" w:rsidRPr="00DC4D86">
        <w:t xml:space="preserve">, trans. </w:t>
      </w:r>
      <w:r w:rsidR="00DC4D86" w:rsidRPr="002D0A5E">
        <w:t>Oliver J. Thatcher, and Edgar Holmes McNeal, eds</w:t>
      </w:r>
      <w:r w:rsidR="00DC4D86">
        <w:t xml:space="preserve">., </w:t>
      </w:r>
      <w:r w:rsidR="00DC4D86" w:rsidRPr="00CC7A89">
        <w:t>pp. 382 f.</w:t>
      </w:r>
      <w:r w:rsidR="00DC4D86" w:rsidRPr="002D0A5E">
        <w:t>, A Source Book for Medieval History, (New York: Scribners, 1905)</w:t>
      </w:r>
    </w:p>
  </w:footnote>
  <w:footnote w:id="2">
    <w:p w14:paraId="265740DD" w14:textId="6E31F864" w:rsidR="00545BAD" w:rsidRDefault="00545BAD">
      <w:pPr>
        <w:pStyle w:val="FootnoteText"/>
      </w:pPr>
      <w:r>
        <w:rPr>
          <w:rStyle w:val="FootnoteReference"/>
        </w:rPr>
        <w:footnoteRef/>
      </w:r>
      <w:r>
        <w:t xml:space="preserve"> </w:t>
      </w:r>
      <w:r w:rsidR="00DC4D86">
        <w:t>I</w:t>
      </w:r>
      <w:r>
        <w:t>bid</w:t>
      </w:r>
      <w:r w:rsidR="00DC4D86">
        <w:t>.</w:t>
      </w:r>
    </w:p>
  </w:footnote>
  <w:footnote w:id="3">
    <w:p w14:paraId="03CBC545" w14:textId="58F5A71A" w:rsidR="009255CD" w:rsidRPr="001F4739" w:rsidRDefault="009255CD" w:rsidP="001F4739">
      <w:pPr>
        <w:pStyle w:val="FootnoteText"/>
      </w:pPr>
      <w:r w:rsidRPr="001F4739">
        <w:rPr>
          <w:rStyle w:val="FootnoteReference"/>
        </w:rPr>
        <w:footnoteRef/>
      </w:r>
      <w:r w:rsidRPr="001F4739">
        <w:t xml:space="preserve"> Cathar</w:t>
      </w:r>
      <w:r w:rsidR="00DC4D86" w:rsidRPr="001F4739">
        <w:t xml:space="preserve">: A sect of Christian belief, labelled as heretical, which believes in </w:t>
      </w:r>
      <w:r w:rsidR="001F4739" w:rsidRPr="001F4739">
        <w:t>religious dualism.</w:t>
      </w:r>
    </w:p>
  </w:footnote>
  <w:footnote w:id="4">
    <w:p w14:paraId="471CC998" w14:textId="7A50AEB8" w:rsidR="00D65232" w:rsidRPr="001F4739" w:rsidRDefault="00D65232" w:rsidP="001F4739">
      <w:pPr>
        <w:spacing w:line="240" w:lineRule="auto"/>
        <w:rPr>
          <w:sz w:val="20"/>
          <w:szCs w:val="20"/>
        </w:rPr>
      </w:pPr>
      <w:r w:rsidRPr="001F4739">
        <w:rPr>
          <w:rStyle w:val="FootnoteReference"/>
          <w:sz w:val="20"/>
          <w:szCs w:val="20"/>
        </w:rPr>
        <w:footnoteRef/>
      </w:r>
      <w:r w:rsidRPr="001F4739">
        <w:rPr>
          <w:sz w:val="20"/>
          <w:szCs w:val="20"/>
        </w:rPr>
        <w:t xml:space="preserve"> William of </w:t>
      </w:r>
      <w:r w:rsidR="001F4739" w:rsidRPr="001F4739">
        <w:rPr>
          <w:sz w:val="20"/>
          <w:szCs w:val="20"/>
        </w:rPr>
        <w:t xml:space="preserve">Puylaurens, </w:t>
      </w:r>
      <w:r w:rsidR="001F4739" w:rsidRPr="001F4739">
        <w:rPr>
          <w:i/>
          <w:iCs/>
          <w:sz w:val="20"/>
          <w:szCs w:val="20"/>
        </w:rPr>
        <w:t xml:space="preserve">The Siege of Toulouse: </w:t>
      </w:r>
      <w:r w:rsidR="001F4739" w:rsidRPr="001F4739">
        <w:rPr>
          <w:i/>
          <w:iCs/>
          <w:sz w:val="20"/>
          <w:szCs w:val="20"/>
        </w:rPr>
        <w:t>The Chronicle of William of Puylaurens: The Albigensian Crusade and its Aftermath</w:t>
      </w:r>
      <w:r w:rsidR="001F4739" w:rsidRPr="001F4739">
        <w:rPr>
          <w:sz w:val="20"/>
          <w:szCs w:val="20"/>
        </w:rPr>
        <w:t>, trans. W.A. Sibly and M.D. Sibly. (Boydell, 2003).</w:t>
      </w:r>
    </w:p>
  </w:footnote>
  <w:footnote w:id="5">
    <w:p w14:paraId="71CA4A3B" w14:textId="547BAD52" w:rsidR="00F618AC" w:rsidRPr="001F4739" w:rsidRDefault="00F618AC" w:rsidP="001F4739">
      <w:pPr>
        <w:spacing w:line="240" w:lineRule="auto"/>
        <w:rPr>
          <w:sz w:val="20"/>
          <w:szCs w:val="20"/>
        </w:rPr>
      </w:pPr>
      <w:r w:rsidRPr="001F4739">
        <w:rPr>
          <w:rStyle w:val="FootnoteReference"/>
          <w:sz w:val="20"/>
          <w:szCs w:val="20"/>
        </w:rPr>
        <w:footnoteRef/>
      </w:r>
      <w:r w:rsidRPr="001F4739">
        <w:rPr>
          <w:sz w:val="20"/>
          <w:szCs w:val="20"/>
        </w:rPr>
        <w:t xml:space="preserve"> </w:t>
      </w:r>
      <w:r w:rsidR="001F4739" w:rsidRPr="001F4739">
        <w:rPr>
          <w:sz w:val="20"/>
          <w:szCs w:val="20"/>
        </w:rPr>
        <w:t xml:space="preserve">William of Tyre, The Battle of Hattin, </w:t>
      </w:r>
      <w:r w:rsidR="001F4739" w:rsidRPr="001F4739">
        <w:rPr>
          <w:i/>
          <w:iCs/>
          <w:sz w:val="20"/>
          <w:szCs w:val="20"/>
        </w:rPr>
        <w:t>The Old French Continuation of William of Tyre,</w:t>
      </w:r>
      <w:r w:rsidR="001F4739" w:rsidRPr="001F4739">
        <w:rPr>
          <w:sz w:val="20"/>
          <w:szCs w:val="20"/>
        </w:rPr>
        <w:t xml:space="preserve"> </w:t>
      </w:r>
      <w:r w:rsidR="001F4739" w:rsidRPr="001F4739">
        <w:rPr>
          <w:i/>
          <w:iCs/>
          <w:sz w:val="20"/>
          <w:szCs w:val="20"/>
        </w:rPr>
        <w:t xml:space="preserve">The Conquest of Jerusalem and the Third Crusade: Sources in Translation, </w:t>
      </w:r>
      <w:r w:rsidR="001F4739" w:rsidRPr="001F4739">
        <w:rPr>
          <w:sz w:val="20"/>
          <w:szCs w:val="20"/>
        </w:rPr>
        <w:t>trans. ed. Peter W. Edbury. (Ashgate, 1998)</w:t>
      </w:r>
    </w:p>
  </w:footnote>
  <w:footnote w:id="6">
    <w:p w14:paraId="1E86A68C" w14:textId="52855715" w:rsidR="005772E3" w:rsidRPr="001F4739" w:rsidRDefault="005772E3" w:rsidP="001F4739">
      <w:pPr>
        <w:spacing w:line="240" w:lineRule="auto"/>
        <w:rPr>
          <w:sz w:val="20"/>
          <w:szCs w:val="20"/>
          <w:lang w:val="it-IT"/>
        </w:rPr>
      </w:pPr>
      <w:r w:rsidRPr="001F4739">
        <w:rPr>
          <w:rStyle w:val="FootnoteReference"/>
          <w:sz w:val="20"/>
          <w:szCs w:val="20"/>
        </w:rPr>
        <w:footnoteRef/>
      </w:r>
      <w:r w:rsidRPr="001F4739">
        <w:rPr>
          <w:sz w:val="20"/>
          <w:szCs w:val="20"/>
        </w:rPr>
        <w:t xml:space="preserve"> </w:t>
      </w:r>
      <w:r w:rsidR="001F4739" w:rsidRPr="001F4739">
        <w:rPr>
          <w:i/>
          <w:iCs/>
          <w:sz w:val="20"/>
          <w:szCs w:val="20"/>
        </w:rPr>
        <w:t>Saladin and the Crusaders: Selected annals from Masalik al-absar fi mamalik al-amsar,</w:t>
      </w:r>
      <w:r w:rsidR="001F4739" w:rsidRPr="001F4739">
        <w:rPr>
          <w:sz w:val="20"/>
          <w:szCs w:val="20"/>
        </w:rPr>
        <w:t xml:space="preserve"> trans. ed. </w:t>
      </w:r>
      <w:r w:rsidR="001F4739" w:rsidRPr="001F4739">
        <w:rPr>
          <w:sz w:val="20"/>
          <w:szCs w:val="20"/>
          <w:lang w:val="it-IT"/>
        </w:rPr>
        <w:t>Eva R. Lundquist,</w:t>
      </w:r>
      <w:r w:rsidR="001F4739" w:rsidRPr="001F4739">
        <w:rPr>
          <w:i/>
          <w:iCs/>
          <w:sz w:val="20"/>
          <w:szCs w:val="20"/>
          <w:lang w:val="it-IT"/>
        </w:rPr>
        <w:t> </w:t>
      </w:r>
      <w:r w:rsidR="001F4739" w:rsidRPr="001F4739">
        <w:rPr>
          <w:sz w:val="20"/>
          <w:szCs w:val="20"/>
          <w:lang w:val="it-IT"/>
        </w:rPr>
        <w:t>(Lund: Studia Orientalia Lundensia v.5, 1992). </w:t>
      </w:r>
    </w:p>
  </w:footnote>
  <w:footnote w:id="7">
    <w:p w14:paraId="30D4834A" w14:textId="73CAC978" w:rsidR="007D31E7" w:rsidRPr="001F4739" w:rsidRDefault="007D31E7" w:rsidP="001F4739">
      <w:pPr>
        <w:rPr>
          <w:sz w:val="20"/>
          <w:szCs w:val="20"/>
        </w:rPr>
      </w:pPr>
      <w:r w:rsidRPr="001F4739">
        <w:rPr>
          <w:rStyle w:val="FootnoteReference"/>
          <w:sz w:val="20"/>
          <w:szCs w:val="20"/>
        </w:rPr>
        <w:footnoteRef/>
      </w:r>
      <w:r w:rsidRPr="001F4739">
        <w:rPr>
          <w:sz w:val="20"/>
          <w:szCs w:val="20"/>
        </w:rPr>
        <w:t xml:space="preserve"> </w:t>
      </w:r>
      <w:r w:rsidR="001F4739" w:rsidRPr="001F4739">
        <w:rPr>
          <w:i/>
          <w:iCs/>
          <w:sz w:val="20"/>
          <w:szCs w:val="20"/>
        </w:rPr>
        <w:t>Geoffrey de Villehardouin: Memoirs or Chronicle of The Fourth Crusade and The Conquest of Constantinople</w:t>
      </w:r>
      <w:r w:rsidR="001F4739" w:rsidRPr="001F4739">
        <w:rPr>
          <w:sz w:val="20"/>
          <w:szCs w:val="20"/>
        </w:rPr>
        <w:t>, trans. Frank T. Marzials, (London: J.M. Dent, 1908)</w:t>
      </w:r>
    </w:p>
  </w:footnote>
  <w:footnote w:id="8">
    <w:p w14:paraId="66826EAE" w14:textId="27E6FE19" w:rsidR="00CE5532" w:rsidRPr="001F4739" w:rsidRDefault="00CE5532">
      <w:pPr>
        <w:pStyle w:val="FootnoteText"/>
      </w:pPr>
      <w:r w:rsidRPr="001F4739">
        <w:rPr>
          <w:rStyle w:val="FootnoteReference"/>
        </w:rPr>
        <w:footnoteRef/>
      </w:r>
      <w:r w:rsidRPr="001F4739">
        <w:t xml:space="preserve"> Villehardo</w:t>
      </w:r>
      <w:r w:rsidR="001F4739" w:rsidRPr="001F4739">
        <w:t>u</w:t>
      </w:r>
      <w:r w:rsidRPr="001F4739">
        <w:t>i</w:t>
      </w:r>
      <w:r w:rsidR="001F4739" w:rsidRPr="001F4739">
        <w:t xml:space="preserve">n, </w:t>
      </w:r>
      <w:r w:rsidR="001F4739" w:rsidRPr="001F4739">
        <w:rPr>
          <w:i/>
          <w:iCs/>
        </w:rPr>
        <w:t>Memoirs</w:t>
      </w:r>
      <w:r w:rsidR="001F4739" w:rsidRPr="001F4739">
        <w:t>, p.</w:t>
      </w:r>
      <w:r w:rsidR="00952F99" w:rsidRPr="001F4739">
        <w:t>45</w:t>
      </w:r>
    </w:p>
  </w:footnote>
  <w:footnote w:id="9">
    <w:p w14:paraId="180C6C09" w14:textId="2F8FD5C9" w:rsidR="00180AAA" w:rsidRPr="001F4739" w:rsidRDefault="00180AAA" w:rsidP="001F4739">
      <w:pPr>
        <w:rPr>
          <w:sz w:val="20"/>
          <w:szCs w:val="20"/>
        </w:rPr>
      </w:pPr>
      <w:r w:rsidRPr="001F4739">
        <w:rPr>
          <w:rStyle w:val="FootnoteReference"/>
          <w:sz w:val="20"/>
          <w:szCs w:val="20"/>
        </w:rPr>
        <w:footnoteRef/>
      </w:r>
      <w:r w:rsidRPr="001F4739">
        <w:rPr>
          <w:sz w:val="20"/>
          <w:szCs w:val="20"/>
        </w:rPr>
        <w:t xml:space="preserve"> </w:t>
      </w:r>
      <w:r w:rsidR="001F4739" w:rsidRPr="001F4739">
        <w:rPr>
          <w:i/>
          <w:iCs/>
          <w:sz w:val="20"/>
          <w:szCs w:val="20"/>
        </w:rPr>
        <w:t>The Chronography of Gregory Abu’l Faraj…Bar Hebraeus</w:t>
      </w:r>
      <w:r w:rsidR="001F4739" w:rsidRPr="001F4739">
        <w:rPr>
          <w:sz w:val="20"/>
          <w:szCs w:val="20"/>
        </w:rPr>
        <w:t>, trans. Ernest A. Wallis Budge (London, 1932).</w:t>
      </w:r>
    </w:p>
  </w:footnote>
  <w:footnote w:id="10">
    <w:p w14:paraId="104972DD" w14:textId="784C7E15" w:rsidR="0028194B" w:rsidRPr="001F4739" w:rsidRDefault="0028194B" w:rsidP="001F4739">
      <w:pPr>
        <w:rPr>
          <w:sz w:val="20"/>
          <w:szCs w:val="20"/>
        </w:rPr>
      </w:pPr>
      <w:r w:rsidRPr="001F4739">
        <w:rPr>
          <w:rStyle w:val="FootnoteReference"/>
          <w:sz w:val="20"/>
          <w:szCs w:val="20"/>
        </w:rPr>
        <w:footnoteRef/>
      </w:r>
      <w:r w:rsidRPr="001F4739">
        <w:rPr>
          <w:sz w:val="20"/>
          <w:szCs w:val="20"/>
        </w:rPr>
        <w:t xml:space="preserve"> </w:t>
      </w:r>
      <w:r w:rsidR="001F4739" w:rsidRPr="001F4739">
        <w:rPr>
          <w:i/>
          <w:iCs/>
          <w:sz w:val="20"/>
          <w:szCs w:val="20"/>
        </w:rPr>
        <w:t>The Memoirs of the Lord of Joinville</w:t>
      </w:r>
      <w:r w:rsidR="001F4739" w:rsidRPr="001F4739">
        <w:rPr>
          <w:sz w:val="20"/>
          <w:szCs w:val="20"/>
        </w:rPr>
        <w:t>, trans. Ethel Wedgwood (London: John Murray, 1906)</w:t>
      </w:r>
      <w:r w:rsidR="001F4739" w:rsidRPr="001F4739">
        <w:rPr>
          <w:sz w:val="20"/>
          <w:szCs w:val="20"/>
        </w:rPr>
        <w:t>,</w:t>
      </w:r>
      <w:r w:rsidRPr="001F4739">
        <w:rPr>
          <w:sz w:val="20"/>
          <w:szCs w:val="20"/>
        </w:rPr>
        <w:t xml:space="preserve"> IV, </w:t>
      </w:r>
      <w:r w:rsidR="001F4739">
        <w:rPr>
          <w:sz w:val="20"/>
          <w:szCs w:val="20"/>
        </w:rPr>
        <w:t xml:space="preserve">Chapter </w:t>
      </w:r>
      <w:r w:rsidRPr="001F4739">
        <w:rPr>
          <w:sz w:val="20"/>
          <w:szCs w:val="20"/>
        </w:rPr>
        <w:t>1</w:t>
      </w:r>
      <w:r w:rsidR="001F4739">
        <w:rPr>
          <w:sz w:val="20"/>
          <w:szCs w:val="20"/>
        </w:rPr>
        <w:t>.</w:t>
      </w:r>
    </w:p>
  </w:footnote>
  <w:footnote w:id="11">
    <w:p w14:paraId="3196359F" w14:textId="694631C4" w:rsidR="00490CEF" w:rsidRPr="001F4739" w:rsidRDefault="00490CEF">
      <w:pPr>
        <w:pStyle w:val="FootnoteText"/>
        <w:rPr>
          <w:lang w:val="fr-FR"/>
        </w:rPr>
      </w:pPr>
      <w:r>
        <w:rPr>
          <w:rStyle w:val="FootnoteReference"/>
        </w:rPr>
        <w:footnoteRef/>
      </w:r>
      <w:r w:rsidRPr="001F4739">
        <w:rPr>
          <w:lang w:val="fr-FR"/>
        </w:rPr>
        <w:t xml:space="preserve"> </w:t>
      </w:r>
      <w:r w:rsidR="001F4739">
        <w:rPr>
          <w:lang w:val="fr-FR"/>
        </w:rPr>
        <w:t>Ibid.</w:t>
      </w:r>
    </w:p>
  </w:footnote>
  <w:footnote w:id="12">
    <w:p w14:paraId="7849BB66" w14:textId="6D2576AF" w:rsidR="00490CEF" w:rsidRPr="001F4739" w:rsidRDefault="00490CEF">
      <w:pPr>
        <w:pStyle w:val="FootnoteText"/>
        <w:rPr>
          <w:lang w:val="fr-FR"/>
        </w:rPr>
      </w:pPr>
      <w:r>
        <w:rPr>
          <w:rStyle w:val="FootnoteReference"/>
        </w:rPr>
        <w:footnoteRef/>
      </w:r>
      <w:r w:rsidRPr="001F4739">
        <w:rPr>
          <w:lang w:val="fr-FR"/>
        </w:rPr>
        <w:t xml:space="preserve"> </w:t>
      </w:r>
      <w:r w:rsidR="001F4739">
        <w:rPr>
          <w:lang w:val="fr-FR"/>
        </w:rPr>
        <w:t>Ibid.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2E27AA" w14:textId="4DCCC7E6" w:rsidR="00FB5C0C" w:rsidRDefault="00FB5C0C">
    <w:pPr>
      <w:pStyle w:val="Header"/>
    </w:pPr>
    <w:r>
      <w:t>Flynn Theisler</w:t>
    </w:r>
  </w:p>
  <w:p w14:paraId="410DE8F5" w14:textId="146AD15B" w:rsidR="00FB5C0C" w:rsidRDefault="00FB5C0C">
    <w:pPr>
      <w:pStyle w:val="Header"/>
    </w:pPr>
    <w:r>
      <w:t>2503772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42C"/>
    <w:rsid w:val="000C7B66"/>
    <w:rsid w:val="00180AAA"/>
    <w:rsid w:val="001976EB"/>
    <w:rsid w:val="001B013C"/>
    <w:rsid w:val="001F4739"/>
    <w:rsid w:val="0020711A"/>
    <w:rsid w:val="0021272D"/>
    <w:rsid w:val="0028194B"/>
    <w:rsid w:val="00292EB5"/>
    <w:rsid w:val="002C742C"/>
    <w:rsid w:val="002D0A5E"/>
    <w:rsid w:val="0041382A"/>
    <w:rsid w:val="004558E7"/>
    <w:rsid w:val="004561F7"/>
    <w:rsid w:val="00490CEF"/>
    <w:rsid w:val="00545BAD"/>
    <w:rsid w:val="005772E3"/>
    <w:rsid w:val="005E6F22"/>
    <w:rsid w:val="00673F58"/>
    <w:rsid w:val="006D72B2"/>
    <w:rsid w:val="007D31E7"/>
    <w:rsid w:val="009255CD"/>
    <w:rsid w:val="00952F99"/>
    <w:rsid w:val="00A47857"/>
    <w:rsid w:val="00B30952"/>
    <w:rsid w:val="00CC7A89"/>
    <w:rsid w:val="00CE5532"/>
    <w:rsid w:val="00D54624"/>
    <w:rsid w:val="00D64890"/>
    <w:rsid w:val="00D65232"/>
    <w:rsid w:val="00DC4D86"/>
    <w:rsid w:val="00DD7D06"/>
    <w:rsid w:val="00E03AFF"/>
    <w:rsid w:val="00F03402"/>
    <w:rsid w:val="00F618AC"/>
    <w:rsid w:val="00F90813"/>
    <w:rsid w:val="00FB5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15F3A8"/>
  <w15:chartTrackingRefBased/>
  <w15:docId w15:val="{556208BB-64CC-46D0-BC83-D1E3FA317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42C"/>
  </w:style>
  <w:style w:type="paragraph" w:styleId="Heading1">
    <w:name w:val="heading 1"/>
    <w:basedOn w:val="Normal"/>
    <w:next w:val="Normal"/>
    <w:link w:val="Heading1Char"/>
    <w:uiPriority w:val="9"/>
    <w:qFormat/>
    <w:rsid w:val="002C74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74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C74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74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74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74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74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74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74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4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74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C74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74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74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74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74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74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742C"/>
    <w:rPr>
      <w:rFonts w:eastAsiaTheme="majorEastAsia" w:cstheme="majorBidi"/>
      <w:color w:val="272727" w:themeColor="text1" w:themeTint="D8"/>
    </w:rPr>
  </w:style>
  <w:style w:type="paragraph" w:styleId="Title">
    <w:name w:val="Title"/>
    <w:basedOn w:val="Normal"/>
    <w:next w:val="Normal"/>
    <w:link w:val="TitleChar"/>
    <w:uiPriority w:val="10"/>
    <w:qFormat/>
    <w:rsid w:val="002C74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74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74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74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742C"/>
    <w:pPr>
      <w:spacing w:before="160"/>
      <w:jc w:val="center"/>
    </w:pPr>
    <w:rPr>
      <w:i/>
      <w:iCs/>
      <w:color w:val="404040" w:themeColor="text1" w:themeTint="BF"/>
    </w:rPr>
  </w:style>
  <w:style w:type="character" w:customStyle="1" w:styleId="QuoteChar">
    <w:name w:val="Quote Char"/>
    <w:basedOn w:val="DefaultParagraphFont"/>
    <w:link w:val="Quote"/>
    <w:uiPriority w:val="29"/>
    <w:rsid w:val="002C742C"/>
    <w:rPr>
      <w:i/>
      <w:iCs/>
      <w:color w:val="404040" w:themeColor="text1" w:themeTint="BF"/>
    </w:rPr>
  </w:style>
  <w:style w:type="paragraph" w:styleId="ListParagraph">
    <w:name w:val="List Paragraph"/>
    <w:basedOn w:val="Normal"/>
    <w:uiPriority w:val="34"/>
    <w:qFormat/>
    <w:rsid w:val="002C742C"/>
    <w:pPr>
      <w:ind w:left="720"/>
      <w:contextualSpacing/>
    </w:pPr>
  </w:style>
  <w:style w:type="character" w:styleId="IntenseEmphasis">
    <w:name w:val="Intense Emphasis"/>
    <w:basedOn w:val="DefaultParagraphFont"/>
    <w:uiPriority w:val="21"/>
    <w:qFormat/>
    <w:rsid w:val="002C742C"/>
    <w:rPr>
      <w:i/>
      <w:iCs/>
      <w:color w:val="0F4761" w:themeColor="accent1" w:themeShade="BF"/>
    </w:rPr>
  </w:style>
  <w:style w:type="paragraph" w:styleId="IntenseQuote">
    <w:name w:val="Intense Quote"/>
    <w:basedOn w:val="Normal"/>
    <w:next w:val="Normal"/>
    <w:link w:val="IntenseQuoteChar"/>
    <w:uiPriority w:val="30"/>
    <w:qFormat/>
    <w:rsid w:val="002C74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742C"/>
    <w:rPr>
      <w:i/>
      <w:iCs/>
      <w:color w:val="0F4761" w:themeColor="accent1" w:themeShade="BF"/>
    </w:rPr>
  </w:style>
  <w:style w:type="character" w:styleId="IntenseReference">
    <w:name w:val="Intense Reference"/>
    <w:basedOn w:val="DefaultParagraphFont"/>
    <w:uiPriority w:val="32"/>
    <w:qFormat/>
    <w:rsid w:val="002C742C"/>
    <w:rPr>
      <w:b/>
      <w:bCs/>
      <w:smallCaps/>
      <w:color w:val="0F4761" w:themeColor="accent1" w:themeShade="BF"/>
      <w:spacing w:val="5"/>
    </w:rPr>
  </w:style>
  <w:style w:type="paragraph" w:styleId="FootnoteText">
    <w:name w:val="footnote text"/>
    <w:basedOn w:val="Normal"/>
    <w:link w:val="FootnoteTextChar"/>
    <w:uiPriority w:val="99"/>
    <w:semiHidden/>
    <w:unhideWhenUsed/>
    <w:rsid w:val="002C74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742C"/>
    <w:rPr>
      <w:sz w:val="20"/>
      <w:szCs w:val="20"/>
    </w:rPr>
  </w:style>
  <w:style w:type="character" w:styleId="FootnoteReference">
    <w:name w:val="footnote reference"/>
    <w:basedOn w:val="DefaultParagraphFont"/>
    <w:uiPriority w:val="99"/>
    <w:semiHidden/>
    <w:unhideWhenUsed/>
    <w:rsid w:val="002C742C"/>
    <w:rPr>
      <w:vertAlign w:val="superscript"/>
    </w:rPr>
  </w:style>
  <w:style w:type="character" w:styleId="Hyperlink">
    <w:name w:val="Hyperlink"/>
    <w:basedOn w:val="DefaultParagraphFont"/>
    <w:uiPriority w:val="99"/>
    <w:unhideWhenUsed/>
    <w:rsid w:val="002D0A5E"/>
    <w:rPr>
      <w:color w:val="467886" w:themeColor="hyperlink"/>
      <w:u w:val="single"/>
    </w:rPr>
  </w:style>
  <w:style w:type="character" w:styleId="UnresolvedMention">
    <w:name w:val="Unresolved Mention"/>
    <w:basedOn w:val="DefaultParagraphFont"/>
    <w:uiPriority w:val="99"/>
    <w:semiHidden/>
    <w:unhideWhenUsed/>
    <w:rsid w:val="00CC7A89"/>
    <w:rPr>
      <w:color w:val="605E5C"/>
      <w:shd w:val="clear" w:color="auto" w:fill="E1DFDD"/>
    </w:rPr>
  </w:style>
  <w:style w:type="paragraph" w:styleId="Header">
    <w:name w:val="header"/>
    <w:basedOn w:val="Normal"/>
    <w:link w:val="HeaderChar"/>
    <w:uiPriority w:val="99"/>
    <w:unhideWhenUsed/>
    <w:rsid w:val="001F47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739"/>
  </w:style>
  <w:style w:type="paragraph" w:styleId="Footer">
    <w:name w:val="footer"/>
    <w:basedOn w:val="Normal"/>
    <w:link w:val="FooterChar"/>
    <w:uiPriority w:val="99"/>
    <w:unhideWhenUsed/>
    <w:rsid w:val="001F47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7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source/urban2-fulcher.asp" TargetMode="External"/><Relationship Id="rId3" Type="http://schemas.openxmlformats.org/officeDocument/2006/relationships/settings" Target="settings.xml"/><Relationship Id="rId7" Type="http://schemas.openxmlformats.org/officeDocument/2006/relationships/hyperlink" Target="https://sourcebooks.fordham.edu/sbook.asp"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1AB4DB-EA79-4ABA-AA63-810ACA40D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1931</Words>
  <Characters>11011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Flynn Theisler (2503772)</dc:creator>
  <cp:keywords/>
  <dc:description/>
  <cp:lastModifiedBy>Flynn Theisler (2503772)</cp:lastModifiedBy>
  <cp:revision>14</cp:revision>
  <dcterms:created xsi:type="dcterms:W3CDTF">2026-05-16T15:43:00Z</dcterms:created>
  <dcterms:modified xsi:type="dcterms:W3CDTF">2026-05-17T20:16:00Z</dcterms:modified>
</cp:coreProperties>
</file>