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before="240" w:after="240"/>
        <w:jc w:val="center"/>
        <w:rPr>
          <w:b/>
          <w:sz w:val="36"/>
        </w:rPr>
      </w:pPr>
    </w:p>
    <w:p>
      <w:pPr>
        <w:pStyle w:val="style0"/>
        <w:spacing w:before="240" w:after="240"/>
        <w:jc w:val="center"/>
        <w:rPr>
          <w:b/>
          <w:sz w:val="36"/>
        </w:rPr>
      </w:pPr>
    </w:p>
    <w:p>
      <w:pPr>
        <w:pStyle w:val="style0"/>
        <w:spacing w:before="240" w:after="240"/>
        <w:jc w:val="center"/>
        <w:rPr>
          <w:b/>
          <w:sz w:val="36"/>
        </w:rPr>
      </w:pPr>
    </w:p>
    <w:p>
      <w:pPr>
        <w:pStyle w:val="style0"/>
        <w:spacing w:before="240" w:after="240"/>
        <w:jc w:val="center"/>
        <w:rPr>
          <w:b/>
          <w:sz w:val="36"/>
        </w:rPr>
      </w:pPr>
    </w:p>
    <w:p>
      <w:pPr>
        <w:pStyle w:val="style0"/>
        <w:spacing w:before="240" w:after="240"/>
        <w:jc w:val="center"/>
        <w:rPr>
          <w:b/>
          <w:sz w:val="36"/>
        </w:rPr>
      </w:pPr>
    </w:p>
    <w:p>
      <w:pPr>
        <w:pStyle w:val="style0"/>
        <w:spacing w:before="240" w:after="240"/>
        <w:jc w:val="center"/>
        <w:rPr>
          <w:b/>
          <w:sz w:val="36"/>
        </w:rPr>
      </w:pPr>
    </w:p>
    <w:p>
      <w:pPr>
        <w:pStyle w:val="style0"/>
        <w:spacing w:before="240" w:after="240"/>
        <w:jc w:val="center"/>
        <w:rPr>
          <w:b/>
          <w:sz w:val="36"/>
          <w:lang w:val="en-US"/>
        </w:rPr>
      </w:pPr>
      <w:r>
        <w:rPr>
          <w:b/>
          <w:sz w:val="36"/>
          <w:lang w:val="en-US"/>
        </w:rPr>
        <w:t>Name- Jaskaran singh</w:t>
      </w:r>
    </w:p>
    <w:p>
      <w:pPr>
        <w:pStyle w:val="style0"/>
        <w:spacing w:before="240" w:after="240"/>
        <w:jc w:val="center"/>
        <w:rPr>
          <w:b/>
          <w:sz w:val="36"/>
        </w:rPr>
      </w:pPr>
      <w:r>
        <w:rPr>
          <w:b/>
          <w:sz w:val="36"/>
          <w:lang w:val="en-US"/>
        </w:rPr>
        <w:t>Student id- 2221903</w:t>
      </w:r>
    </w:p>
    <w:p>
      <w:pPr>
        <w:pStyle w:val="style0"/>
        <w:spacing w:before="240" w:after="240"/>
        <w:jc w:val="left"/>
        <w:rPr>
          <w:b/>
          <w:sz w:val="28"/>
          <w:szCs w:val="28"/>
        </w:rPr>
      </w:pPr>
      <w:r>
        <w:rPr>
          <w:b/>
          <w:sz w:val="36"/>
          <w:lang w:val="en-US"/>
        </w:rPr>
        <w:t xml:space="preserve">                     Module name- </w:t>
      </w:r>
      <w:r>
        <w:rPr>
          <w:b/>
          <w:sz w:val="36"/>
        </w:rPr>
        <w:t>Community Engagement</w:t>
      </w:r>
    </w:p>
    <w:p>
      <w:pPr>
        <w:pStyle w:val="style0"/>
        <w:spacing w:before="240" w:after="240"/>
        <w:jc w:val="left"/>
        <w:rPr>
          <w:b/>
          <w:sz w:val="28"/>
          <w:szCs w:val="28"/>
        </w:rPr>
      </w:pPr>
      <w:r>
        <w:rPr>
          <w:b/>
          <w:sz w:val="36"/>
          <w:szCs w:val="28"/>
          <w:lang w:val="en-US"/>
        </w:rPr>
        <w:t xml:space="preserve">                           Module code- LCBB4002</w:t>
      </w:r>
    </w:p>
    <w:p>
      <w:pPr>
        <w:pStyle w:val="style0"/>
        <w:spacing w:before="240" w:after="240"/>
        <w:jc w:val="left"/>
        <w:rPr>
          <w:b/>
          <w:sz w:val="28"/>
          <w:szCs w:val="28"/>
        </w:rPr>
      </w:pPr>
    </w:p>
    <w:p>
      <w:pPr>
        <w:pStyle w:val="style0"/>
        <w:spacing w:before="240" w:after="240"/>
        <w:jc w:val="left"/>
        <w:rPr>
          <w:b/>
          <w:sz w:val="28"/>
          <w:szCs w:val="28"/>
        </w:rPr>
      </w:pPr>
    </w:p>
    <w:p>
      <w:pPr>
        <w:pStyle w:val="style0"/>
        <w:spacing w:before="240" w:after="240"/>
        <w:jc w:val="left"/>
        <w:rPr>
          <w:b/>
          <w:sz w:val="28"/>
          <w:szCs w:val="28"/>
        </w:rPr>
      </w:pPr>
    </w:p>
    <w:p>
      <w:pPr>
        <w:pStyle w:val="style0"/>
        <w:spacing w:before="240" w:after="240"/>
        <w:jc w:val="left"/>
        <w:rPr>
          <w:b/>
          <w:sz w:val="28"/>
          <w:szCs w:val="28"/>
        </w:rPr>
      </w:pPr>
    </w:p>
    <w:p>
      <w:pPr>
        <w:pStyle w:val="style0"/>
        <w:spacing w:before="240" w:after="240"/>
        <w:jc w:val="left"/>
        <w:rPr>
          <w:b/>
          <w:sz w:val="28"/>
          <w:szCs w:val="28"/>
        </w:rPr>
      </w:pPr>
    </w:p>
    <w:p>
      <w:pPr>
        <w:pStyle w:val="style0"/>
        <w:spacing w:before="240" w:after="240"/>
        <w:jc w:val="left"/>
        <w:rPr>
          <w:b/>
          <w:sz w:val="28"/>
          <w:szCs w:val="28"/>
        </w:rPr>
      </w:pPr>
    </w:p>
    <w:p>
      <w:pPr>
        <w:pStyle w:val="style0"/>
        <w:spacing w:before="240" w:after="240"/>
        <w:jc w:val="left"/>
        <w:rPr>
          <w:b/>
          <w:sz w:val="28"/>
          <w:szCs w:val="28"/>
        </w:rPr>
      </w:pPr>
    </w:p>
    <w:p>
      <w:pPr>
        <w:pStyle w:val="style266"/>
        <w:spacing w:before="240" w:after="240"/>
        <w:jc w:val="center"/>
        <w:rPr>
          <w:rFonts w:ascii="Times New Roman" w:cs="Times New Roman" w:hAnsi="Times New Roman"/>
          <w:color w:val="auto"/>
        </w:rPr>
      </w:pPr>
      <w:r>
        <w:rPr>
          <w:rFonts w:ascii="Times New Roman" w:cs="Times New Roman" w:hAnsi="Times New Roman"/>
          <w:color w:val="auto"/>
        </w:rPr>
        <w:t>Table of Contents</w:t>
      </w:r>
    </w:p>
    <w:p>
      <w:pPr>
        <w:pStyle w:val="style19"/>
        <w:tabs>
          <w:tab w:val="right" w:leader="dot" w:pos="9019"/>
        </w:tabs>
        <w:spacing w:before="240" w:after="240"/>
        <w:rPr>
          <w:noProof/>
        </w:rPr>
      </w:pPr>
      <w:r>
        <w:rPr/>
        <w:fldChar w:fldCharType="begin"/>
      </w:r>
      <w:r>
        <w:instrText xml:space="preserve"> TOC \o "1-3" \h \z \u </w:instrText>
      </w:r>
      <w:r>
        <w:rPr/>
        <w:fldChar w:fldCharType="separate"/>
      </w:r>
      <w:r>
        <w:rPr/>
        <w:fldChar w:fldCharType="begin"/>
      </w:r>
      <w:r>
        <w:instrText xml:space="preserve"> HYPERLINK \l "_Toc144133002" </w:instrText>
      </w:r>
      <w:r>
        <w:rPr/>
        <w:fldChar w:fldCharType="separate"/>
      </w:r>
      <w:r>
        <w:rPr>
          <w:rStyle w:val="style85"/>
          <w:noProof/>
        </w:rPr>
        <w:t>Introduction</w:t>
      </w:r>
      <w:r>
        <w:rPr>
          <w:noProof/>
          <w:webHidden/>
        </w:rPr>
        <w:tab/>
      </w:r>
      <w:r>
        <w:rPr>
          <w:noProof/>
          <w:webHidden/>
        </w:rPr>
        <w:fldChar w:fldCharType="begin"/>
      </w:r>
      <w:r>
        <w:rPr>
          <w:noProof/>
          <w:webHidden/>
        </w:rPr>
        <w:instrText xml:space="preserve"> PAGEREF _Toc144133002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019"/>
        </w:tabs>
        <w:spacing w:before="240" w:after="240"/>
        <w:rPr>
          <w:noProof/>
        </w:rPr>
      </w:pPr>
      <w:r>
        <w:rPr/>
        <w:fldChar w:fldCharType="begin"/>
      </w:r>
      <w:r>
        <w:instrText xml:space="preserve"> HYPERLINK \l "_Toc144133003" </w:instrText>
      </w:r>
      <w:r>
        <w:rPr/>
        <w:fldChar w:fldCharType="separate"/>
      </w:r>
      <w:r>
        <w:rPr>
          <w:rStyle w:val="style85"/>
          <w:noProof/>
        </w:rPr>
        <w:t>Discussion: Gibbs Reflection Model</w:t>
      </w:r>
      <w:r>
        <w:rPr>
          <w:noProof/>
          <w:webHidden/>
        </w:rPr>
        <w:tab/>
      </w:r>
      <w:r>
        <w:rPr>
          <w:noProof/>
          <w:webHidden/>
        </w:rPr>
        <w:fldChar w:fldCharType="begin"/>
      </w:r>
      <w:r>
        <w:rPr>
          <w:noProof/>
          <w:webHidden/>
        </w:rPr>
        <w:instrText xml:space="preserve"> PAGEREF _Toc144133003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019"/>
        </w:tabs>
        <w:spacing w:before="240" w:after="240"/>
        <w:rPr>
          <w:noProof/>
        </w:rPr>
      </w:pPr>
      <w:r>
        <w:rPr/>
        <w:fldChar w:fldCharType="begin"/>
      </w:r>
      <w:r>
        <w:instrText xml:space="preserve"> HYPERLINK \l "_Toc144133004" </w:instrText>
      </w:r>
      <w:r>
        <w:rPr/>
        <w:fldChar w:fldCharType="separate"/>
      </w:r>
      <w:r>
        <w:rPr>
          <w:rStyle w:val="style85"/>
          <w:noProof/>
        </w:rPr>
        <w:t>Description</w:t>
      </w:r>
      <w:r>
        <w:rPr>
          <w:noProof/>
          <w:webHidden/>
        </w:rPr>
        <w:tab/>
      </w:r>
      <w:r>
        <w:rPr>
          <w:noProof/>
          <w:webHidden/>
        </w:rPr>
        <w:fldChar w:fldCharType="begin"/>
      </w:r>
      <w:r>
        <w:rPr>
          <w:noProof/>
          <w:webHidden/>
        </w:rPr>
        <w:instrText xml:space="preserve"> PAGEREF _Toc144133004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019"/>
        </w:tabs>
        <w:spacing w:before="240" w:after="240"/>
        <w:rPr>
          <w:noProof/>
        </w:rPr>
      </w:pPr>
      <w:r>
        <w:rPr/>
        <w:fldChar w:fldCharType="begin"/>
      </w:r>
      <w:r>
        <w:instrText xml:space="preserve"> HYPERLINK \l "_Toc144133005" </w:instrText>
      </w:r>
      <w:r>
        <w:rPr/>
        <w:fldChar w:fldCharType="separate"/>
      </w:r>
      <w:r>
        <w:rPr>
          <w:rStyle w:val="style85"/>
          <w:noProof/>
        </w:rPr>
        <w:t>Feelings</w:t>
      </w:r>
      <w:r>
        <w:rPr>
          <w:noProof/>
          <w:webHidden/>
        </w:rPr>
        <w:tab/>
      </w:r>
      <w:r>
        <w:rPr>
          <w:noProof/>
          <w:webHidden/>
        </w:rPr>
        <w:fldChar w:fldCharType="begin"/>
      </w:r>
      <w:r>
        <w:rPr>
          <w:noProof/>
          <w:webHidden/>
        </w:rPr>
        <w:instrText xml:space="preserve"> PAGEREF _Toc144133005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019"/>
        </w:tabs>
        <w:spacing w:before="240" w:after="240"/>
        <w:rPr>
          <w:noProof/>
        </w:rPr>
      </w:pPr>
      <w:r>
        <w:rPr/>
        <w:fldChar w:fldCharType="begin"/>
      </w:r>
      <w:r>
        <w:instrText xml:space="preserve"> HYPERLINK \l "_Toc144133006" </w:instrText>
      </w:r>
      <w:r>
        <w:rPr/>
        <w:fldChar w:fldCharType="separate"/>
      </w:r>
      <w:r>
        <w:rPr>
          <w:rStyle w:val="style85"/>
          <w:noProof/>
        </w:rPr>
        <w:t>Evaluation</w:t>
      </w:r>
      <w:r>
        <w:rPr>
          <w:noProof/>
          <w:webHidden/>
        </w:rPr>
        <w:tab/>
      </w:r>
      <w:r>
        <w:rPr>
          <w:noProof/>
          <w:webHidden/>
        </w:rPr>
        <w:fldChar w:fldCharType="begin"/>
      </w:r>
      <w:r>
        <w:rPr>
          <w:noProof/>
          <w:webHidden/>
        </w:rPr>
        <w:instrText xml:space="preserve"> PAGEREF _Toc144133006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019"/>
        </w:tabs>
        <w:spacing w:before="240" w:after="240"/>
        <w:rPr>
          <w:noProof/>
        </w:rPr>
      </w:pPr>
      <w:r>
        <w:rPr/>
        <w:fldChar w:fldCharType="begin"/>
      </w:r>
      <w:r>
        <w:instrText xml:space="preserve"> HYPERLINK \l "_Toc144133007" </w:instrText>
      </w:r>
      <w:r>
        <w:rPr/>
        <w:fldChar w:fldCharType="separate"/>
      </w:r>
      <w:r>
        <w:rPr>
          <w:rStyle w:val="style85"/>
          <w:noProof/>
        </w:rPr>
        <w:t>Analysis</w:t>
      </w:r>
      <w:r>
        <w:rPr>
          <w:noProof/>
          <w:webHidden/>
        </w:rPr>
        <w:tab/>
      </w:r>
      <w:r>
        <w:rPr>
          <w:noProof/>
          <w:webHidden/>
        </w:rPr>
        <w:fldChar w:fldCharType="begin"/>
      </w:r>
      <w:r>
        <w:rPr>
          <w:noProof/>
          <w:webHidden/>
        </w:rPr>
        <w:instrText xml:space="preserve"> PAGEREF _Toc144133007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019"/>
        </w:tabs>
        <w:spacing w:before="240" w:after="240"/>
        <w:rPr>
          <w:noProof/>
        </w:rPr>
      </w:pPr>
      <w:r>
        <w:rPr/>
        <w:fldChar w:fldCharType="begin"/>
      </w:r>
      <w:r>
        <w:instrText xml:space="preserve"> HYPERLINK \l "_Toc144133008" </w:instrText>
      </w:r>
      <w:r>
        <w:rPr/>
        <w:fldChar w:fldCharType="separate"/>
      </w:r>
      <w:r>
        <w:rPr>
          <w:rStyle w:val="style85"/>
          <w:noProof/>
        </w:rPr>
        <w:t>Conclusion</w:t>
      </w:r>
      <w:r>
        <w:rPr>
          <w:noProof/>
          <w:webHidden/>
        </w:rPr>
        <w:tab/>
      </w:r>
      <w:r>
        <w:rPr>
          <w:noProof/>
          <w:webHidden/>
        </w:rPr>
        <w:fldChar w:fldCharType="begin"/>
      </w:r>
      <w:r>
        <w:rPr>
          <w:noProof/>
          <w:webHidden/>
        </w:rPr>
        <w:instrText xml:space="preserve"> PAGEREF _Toc144133008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019"/>
        </w:tabs>
        <w:spacing w:before="240" w:after="240"/>
        <w:rPr>
          <w:noProof/>
        </w:rPr>
      </w:pPr>
      <w:r>
        <w:rPr/>
        <w:fldChar w:fldCharType="begin"/>
      </w:r>
      <w:r>
        <w:instrText xml:space="preserve"> HYPERLINK \l "_Toc144133009" </w:instrText>
      </w:r>
      <w:r>
        <w:rPr/>
        <w:fldChar w:fldCharType="separate"/>
      </w:r>
      <w:r>
        <w:rPr>
          <w:rStyle w:val="style85"/>
          <w:noProof/>
        </w:rPr>
        <w:t>Action plan</w:t>
      </w:r>
      <w:r>
        <w:rPr>
          <w:noProof/>
          <w:webHidden/>
        </w:rPr>
        <w:tab/>
      </w:r>
      <w:r>
        <w:rPr>
          <w:noProof/>
          <w:webHidden/>
        </w:rPr>
        <w:fldChar w:fldCharType="begin"/>
      </w:r>
      <w:r>
        <w:rPr>
          <w:noProof/>
          <w:webHidden/>
        </w:rPr>
        <w:instrText xml:space="preserve"> PAGEREF _Toc144133009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dot" w:pos="9019"/>
        </w:tabs>
        <w:spacing w:before="240" w:after="240"/>
        <w:rPr>
          <w:noProof/>
        </w:rPr>
      </w:pPr>
      <w:r>
        <w:rPr/>
        <w:fldChar w:fldCharType="begin"/>
      </w:r>
      <w:r>
        <w:instrText xml:space="preserve"> HYPERLINK \l "_Toc144133010" </w:instrText>
      </w:r>
      <w:r>
        <w:rPr/>
        <w:fldChar w:fldCharType="separate"/>
      </w:r>
      <w:r>
        <w:rPr>
          <w:rStyle w:val="style85"/>
          <w:noProof/>
        </w:rPr>
        <w:t>Conclusion</w:t>
      </w:r>
      <w:r>
        <w:rPr>
          <w:noProof/>
          <w:webHidden/>
        </w:rPr>
        <w:tab/>
      </w:r>
      <w:r>
        <w:rPr>
          <w:noProof/>
          <w:webHidden/>
        </w:rPr>
        <w:fldChar w:fldCharType="begin"/>
      </w:r>
      <w:r>
        <w:rPr>
          <w:noProof/>
          <w:webHidden/>
        </w:rPr>
        <w:instrText xml:space="preserve"> PAGEREF _Toc144133010 \h </w:instrText>
      </w:r>
      <w:r>
        <w:rPr>
          <w:noProof/>
          <w:webHidden/>
        </w:rPr>
        <w:fldChar w:fldCharType="separate"/>
      </w:r>
      <w:r>
        <w:rPr>
          <w:noProof/>
          <w:webHidden/>
        </w:rPr>
        <w:t>7</w:t>
      </w:r>
      <w:r>
        <w:rPr>
          <w:noProof/>
          <w:webHidden/>
        </w:rPr>
        <w:fldChar w:fldCharType="end"/>
      </w:r>
      <w:r>
        <w:rPr/>
        <w:fldChar w:fldCharType="end"/>
      </w:r>
    </w:p>
    <w:p>
      <w:pPr>
        <w:pStyle w:val="style19"/>
        <w:tabs>
          <w:tab w:val="right" w:leader="dot" w:pos="9019"/>
        </w:tabs>
        <w:spacing w:before="240" w:after="240"/>
        <w:rPr>
          <w:noProof/>
        </w:rPr>
      </w:pPr>
      <w:r>
        <w:rPr/>
        <w:fldChar w:fldCharType="begin"/>
      </w:r>
      <w:r>
        <w:instrText xml:space="preserve"> HYPERLINK \l "_Toc144133011" </w:instrText>
      </w:r>
      <w:r>
        <w:rPr/>
        <w:fldChar w:fldCharType="separate"/>
      </w:r>
      <w:r>
        <w:rPr>
          <w:rStyle w:val="style85"/>
          <w:noProof/>
        </w:rPr>
        <w:t>Reference List</w:t>
      </w:r>
      <w:r>
        <w:rPr>
          <w:noProof/>
          <w:webHidden/>
        </w:rPr>
        <w:tab/>
      </w:r>
      <w:r>
        <w:rPr>
          <w:noProof/>
          <w:webHidden/>
        </w:rPr>
        <w:fldChar w:fldCharType="begin"/>
      </w:r>
      <w:r>
        <w:rPr>
          <w:noProof/>
          <w:webHidden/>
        </w:rPr>
        <w:instrText xml:space="preserve"> PAGEREF _Toc144133011 \h </w:instrText>
      </w:r>
      <w:r>
        <w:rPr>
          <w:noProof/>
          <w:webHidden/>
        </w:rPr>
        <w:fldChar w:fldCharType="separate"/>
      </w:r>
      <w:r>
        <w:rPr>
          <w:noProof/>
          <w:webHidden/>
        </w:rPr>
        <w:t>8</w:t>
      </w:r>
      <w:r>
        <w:rPr>
          <w:noProof/>
          <w:webHidden/>
        </w:rPr>
        <w:fldChar w:fldCharType="end"/>
      </w:r>
      <w:r>
        <w:rPr/>
        <w:fldChar w:fldCharType="end"/>
      </w:r>
    </w:p>
    <w:p>
      <w:pPr>
        <w:pStyle w:val="style0"/>
        <w:spacing w:before="240" w:after="240"/>
        <w:rPr/>
      </w:pPr>
      <w:r>
        <w:rPr>
          <w:b/>
          <w:bCs/>
          <w:noProof/>
        </w:rPr>
        <w:fldChar w:fldCharType="end"/>
      </w:r>
    </w:p>
    <w:p>
      <w:pPr>
        <w:pStyle w:val="style0"/>
        <w:spacing w:before="240" w:after="240"/>
        <w:rPr>
          <w:b/>
          <w:sz w:val="28"/>
          <w:szCs w:val="28"/>
        </w:rPr>
      </w:pPr>
      <w:r>
        <w:br w:type="page"/>
      </w:r>
    </w:p>
    <w:bookmarkStart w:id="0" w:name="_Toc144133002"/>
    <w:p>
      <w:pPr>
        <w:pStyle w:val="style1"/>
        <w:spacing w:before="240" w:after="240"/>
        <w:rPr/>
      </w:pPr>
      <w:r>
        <w:t>Introduction</w:t>
      </w:r>
      <w:bookmarkEnd w:id="0"/>
      <w:r>
        <w:t xml:space="preserve"> </w:t>
      </w:r>
    </w:p>
    <w:p>
      <w:pPr>
        <w:pStyle w:val="style0"/>
        <w:spacing w:before="240" w:after="240"/>
        <w:rPr/>
      </w:pPr>
      <w:r>
        <w:t xml:space="preserve">The report is developing on the experiences and knowledge of the project's development in St John Wood Square, London's financial heart. The primary objectives of the report are to resolve the housing issues in London and </w:t>
      </w:r>
      <w:r>
        <w:t>enhance the area’s functional qualities</w:t>
      </w:r>
      <w:r>
        <w:t xml:space="preserve">. With the help of this development project, various issues regarding the sustainability and communities of the area have been resolved. The targeted stakeholders of the development project are the residents, buyers and renters of the house, the local communities, etc. I will discuss my experiences and learnings through this project and describe how my skills will be improved to resolve various challenges in future in multiple projects. The reflection of my learnings will be described through the help of the </w:t>
      </w:r>
      <w:r>
        <w:rPr>
          <w:b/>
          <w:i/>
        </w:rPr>
        <w:t xml:space="preserve">“Gibbs reflective Cycle” </w:t>
      </w:r>
      <w:r>
        <w:t xml:space="preserve">model. The model is very suitable for describing my feelings and knowledge in this report, and I would also be grateful for complementing the project. The development project is really good for my learning, and the knowledge will help in my future work. </w:t>
      </w:r>
    </w:p>
    <w:bookmarkStart w:id="1" w:name="_vk41tfvn0di4" w:colFirst="0" w:colLast="0"/>
    <w:bookmarkStart w:id="2" w:name="_Toc144133003"/>
    <w:bookmarkEnd w:id="1"/>
    <w:p>
      <w:pPr>
        <w:pStyle w:val="style1"/>
        <w:spacing w:before="240" w:after="240"/>
        <w:rPr/>
      </w:pPr>
      <w:r>
        <w:t>Discussion: Gibbs Reflection Model</w:t>
      </w:r>
      <w:bookmarkEnd w:id="2"/>
    </w:p>
    <w:p>
      <w:pPr>
        <w:pStyle w:val="style0"/>
        <w:spacing w:before="240" w:after="240"/>
        <w:rPr>
          <w:b/>
          <w:i/>
        </w:rPr>
      </w:pPr>
      <w:r>
        <w:t xml:space="preserve">I am selecting the </w:t>
      </w:r>
      <w:r>
        <w:rPr>
          <w:b/>
          <w:i/>
        </w:rPr>
        <w:t xml:space="preserve">“Gibbs reflective Cycle” </w:t>
      </w:r>
      <w:r>
        <w:t xml:space="preserve">model to describe my feelings, which I gathered by completing the report. I think the </w:t>
      </w:r>
      <w:r>
        <w:rPr>
          <w:b/>
          <w:i/>
        </w:rPr>
        <w:t xml:space="preserve">“Gibbs reflective Cycle” </w:t>
      </w:r>
      <w:r>
        <w:t xml:space="preserve">will be the best fit for expressing my feelings and perceptions in this study. </w:t>
      </w:r>
      <w:r>
        <w:rPr>
          <w:b/>
          <w:i/>
        </w:rPr>
        <w:t xml:space="preserve">“Rolfe's reflective model and Kolb’s reflective model” </w:t>
      </w:r>
      <w:r>
        <w:t xml:space="preserve">are top-rated. Still, I think the </w:t>
      </w:r>
      <w:r>
        <w:rPr>
          <w:b/>
          <w:i/>
        </w:rPr>
        <w:t xml:space="preserve">“Gibbs reflective Cycle” </w:t>
      </w:r>
      <w:r>
        <w:t>will be more suitable for effectively completing the overall report for narrating the experience and knowledge I have collected from completing the information (</w:t>
      </w:r>
      <w:r>
        <w:rPr>
          <w:rFonts w:ascii="Arial" w:cs="Arial" w:eastAsia="Arial" w:hAnsi="Arial"/>
          <w:color w:val="222222"/>
          <w:sz w:val="20"/>
          <w:szCs w:val="20"/>
          <w:highlight w:val="white"/>
        </w:rPr>
        <w:t>Adeani</w:t>
      </w:r>
      <w:r>
        <w:rPr>
          <w:rFonts w:ascii="Arial" w:cs="Arial" w:eastAsia="Arial" w:hAnsi="Arial"/>
          <w:color w:val="222222"/>
          <w:sz w:val="20"/>
          <w:szCs w:val="20"/>
          <w:highlight w:val="white"/>
        </w:rPr>
        <w:t xml:space="preserve">, </w:t>
      </w:r>
      <w:r>
        <w:rPr>
          <w:rFonts w:ascii="Arial" w:cs="Arial" w:eastAsia="Arial" w:hAnsi="Arial"/>
          <w:color w:val="222222"/>
          <w:sz w:val="20"/>
          <w:szCs w:val="20"/>
          <w:highlight w:val="white"/>
        </w:rPr>
        <w:t>Febriani</w:t>
      </w:r>
      <w:r>
        <w:rPr>
          <w:rFonts w:ascii="Arial" w:cs="Arial" w:eastAsia="Arial" w:hAnsi="Arial"/>
          <w:color w:val="222222"/>
          <w:sz w:val="20"/>
          <w:szCs w:val="20"/>
          <w:highlight w:val="white"/>
        </w:rPr>
        <w:t xml:space="preserve">, and </w:t>
      </w:r>
      <w:r>
        <w:rPr>
          <w:rFonts w:ascii="Arial" w:cs="Arial" w:eastAsia="Arial" w:hAnsi="Arial"/>
          <w:color w:val="222222"/>
          <w:sz w:val="20"/>
          <w:szCs w:val="20"/>
          <w:highlight w:val="white"/>
        </w:rPr>
        <w:t>Syafryadin</w:t>
      </w:r>
      <w:r>
        <w:rPr>
          <w:rFonts w:ascii="Arial" w:cs="Arial" w:eastAsia="Arial" w:hAnsi="Arial"/>
          <w:color w:val="222222"/>
          <w:sz w:val="20"/>
          <w:szCs w:val="20"/>
          <w:highlight w:val="white"/>
        </w:rPr>
        <w:t>, 2020)</w:t>
      </w:r>
      <w:r>
        <w:t xml:space="preserve">. This model has been developed in six stages- </w:t>
      </w:r>
      <w:r>
        <w:rPr>
          <w:b/>
          <w:i/>
        </w:rPr>
        <w:t xml:space="preserve">“Description, Feelings, Evolution, Analysis, Conclusion and Action plan”. </w:t>
      </w:r>
    </w:p>
    <w:bookmarkStart w:id="3" w:name="_bay0j3ocarp8" w:colFirst="0" w:colLast="0"/>
    <w:bookmarkStart w:id="4" w:name="_Toc144133004"/>
    <w:bookmarkEnd w:id="3"/>
    <w:p>
      <w:pPr>
        <w:pStyle w:val="style2"/>
        <w:spacing w:before="240" w:after="240"/>
        <w:rPr/>
      </w:pPr>
      <w:r>
        <w:t>Description</w:t>
      </w:r>
      <w:bookmarkEnd w:id="4"/>
      <w:r>
        <w:t xml:space="preserve"> </w:t>
      </w:r>
    </w:p>
    <w:p>
      <w:pPr>
        <w:pStyle w:val="style0"/>
        <w:spacing w:before="240" w:after="240"/>
        <w:rPr/>
      </w:pPr>
      <w:r>
        <w:t>The report aims to develop community management by building new architecture and design in St John Wood Square, the heart of London in the United Kingdom. St John Wood Square is the financial centre of London, and the primary focus of the developers, investors and architects is to offer luxurious apartments to the public through ideal synthesis and state-of-the-art amenities (</w:t>
      </w:r>
      <w:r>
        <w:rPr>
          <w:color w:val="222222"/>
          <w:highlight w:val="white"/>
        </w:rPr>
        <w:t>Sekarwinahyu</w:t>
      </w:r>
      <w:r>
        <w:rPr>
          <w:color w:val="222222"/>
          <w:highlight w:val="white"/>
        </w:rPr>
        <w:t xml:space="preserve"> et al., 2019)</w:t>
      </w:r>
      <w:r>
        <w:t xml:space="preserve">. This project aims to increase the housing supply to the residents or the people who came to work in the City. The people of London are facing a severe issue of shortage of affordable residence in the city's primary location. The project aims to </w:t>
      </w:r>
      <w:r>
        <w:t>redesign St John Wood Square by developing a dynamic and fresh residential space. The project also focuses on developing parks and free green space for the well-being of the St John Wood Square community (</w:t>
      </w:r>
      <w:r>
        <w:rPr>
          <w:color w:val="222222"/>
          <w:highlight w:val="white"/>
        </w:rPr>
        <w:t>Markkanen et al., 2020)</w:t>
      </w:r>
      <w:r>
        <w:t>. The main objectives of this project are to set up quality residential units, resolve the housing crisis in London, and develop the energy and sustainable, efficient measure construction and design for the development of St John Wood Square. For creating the project, the agencies have used the free spaces of St John Wood Square. The main stakeholders of this project are the local enterprises, the renters or buyers of the house, residents and agencies, etc. The project will aid in increasing the housing supply to the local dwellers and boost the local economy by providing jobs or rentals with the housing complex, improving the facilities of the local communities and the sustainability of the environment (</w:t>
      </w:r>
      <w:r>
        <w:rPr>
          <w:color w:val="222222"/>
          <w:highlight w:val="white"/>
        </w:rPr>
        <w:t>Tawanwongsri</w:t>
      </w:r>
      <w:r>
        <w:rPr>
          <w:color w:val="222222"/>
          <w:highlight w:val="white"/>
        </w:rPr>
        <w:t xml:space="preserve">, and </w:t>
      </w:r>
      <w:r>
        <w:rPr>
          <w:color w:val="222222"/>
          <w:highlight w:val="white"/>
        </w:rPr>
        <w:t>Phenwan</w:t>
      </w:r>
      <w:r>
        <w:rPr>
          <w:color w:val="222222"/>
          <w:highlight w:val="white"/>
        </w:rPr>
        <w:t>, 2019)</w:t>
      </w:r>
      <w:r>
        <w:t>. The development project plan for St John Wood Square in London has long-term visibility. The management of this project is to focus on maintaining the quality and sustainability of the creating facilities and regularly monitoring the overall project. The project also focuses on the retail and commercial species of the local dwellers. Also, it takes care of the public facilities to maintain the quality of life and increase the well-being of the local people (</w:t>
      </w:r>
      <w:r>
        <w:rPr>
          <w:color w:val="222222"/>
          <w:highlight w:val="white"/>
        </w:rPr>
        <w:t>Ahmed, 2020)</w:t>
      </w:r>
      <w:r>
        <w:t xml:space="preserve">. For developing the project, the architecture uses various techniques that can improve the consultation of the community, creating a proper design for maintaining the sustainability and the well-being of the residents, improving the infrastructure and transportation of St John Wood Square and also maintaining the honest and open communication to all the stakeholders of this project. </w:t>
      </w:r>
      <w:r>
        <w:t>In order t</w:t>
      </w:r>
      <w:r>
        <w:t>o</w:t>
      </w:r>
      <w:r>
        <w:t xml:space="preserve"> develop the project plan, the management must consult with the organised public consultation and generate a community advisory panel by including the people of different communities.  </w:t>
      </w:r>
    </w:p>
    <w:bookmarkStart w:id="5" w:name="_3i4fmfol8pke" w:colFirst="0" w:colLast="0"/>
    <w:bookmarkStart w:id="6" w:name="_Toc144133005"/>
    <w:bookmarkEnd w:id="5"/>
    <w:p>
      <w:pPr>
        <w:pStyle w:val="style2"/>
        <w:spacing w:before="240" w:after="240"/>
        <w:rPr/>
      </w:pPr>
      <w:r>
        <w:t>Feelings</w:t>
      </w:r>
      <w:bookmarkEnd w:id="6"/>
      <w:r>
        <w:t xml:space="preserve"> </w:t>
      </w:r>
    </w:p>
    <w:p>
      <w:pPr>
        <w:pStyle w:val="style0"/>
        <w:spacing w:before="240" w:after="240"/>
        <w:rPr/>
      </w:pPr>
      <w:r>
        <w:t>The overall report on community engagement in the St John Wood Square project in London has been developed. Various objectives, benefits and techniques have been used for producing this report. While growing the information, I experienced different challenges and gained multiple pieces of knowledge while developing the work (</w:t>
      </w:r>
      <w:r>
        <w:rPr>
          <w:color w:val="222222"/>
          <w:highlight w:val="white"/>
        </w:rPr>
        <w:t>Pieper et al., 2021)</w:t>
      </w:r>
      <w:r>
        <w:t xml:space="preserve">. I have gathered in-depth knowledge about managing all the stakeholders and maintaining the project's quality. I have felt grateful for completing the task most effectively, and I have also been very thankful for completing the project in my </w:t>
      </w:r>
      <w:r>
        <w:t xml:space="preserve">own </w:t>
      </w:r>
      <w:r>
        <w:t>way. The report is developing the St John Wood Square area in London, and the project will take care of the residents of that area and the well-being of the dwellers of that area (</w:t>
      </w:r>
      <w:r>
        <w:rPr>
          <w:color w:val="222222"/>
          <w:highlight w:val="white"/>
        </w:rPr>
        <w:t>Yaacob et al., 2021)</w:t>
      </w:r>
      <w:r>
        <w:t xml:space="preserve">. So, at the beginning of the project, my feelings </w:t>
      </w:r>
      <w:r>
        <w:t>were mixed. But slowly, when I engaged with the topic, I was grateful for completing the project. I put all my efforts into correctly developing the project and also understand various circumstances about the effectiveness of the project. When creating the discussion and objectives, my feelings could have been better than when I finished the project and gained the overall knowledge. I felt thankful after completing the task more effectively and developing a consumption of the project (</w:t>
      </w:r>
      <w:r>
        <w:rPr>
          <w:color w:val="222222"/>
          <w:highlight w:val="white"/>
        </w:rPr>
        <w:t>CARTER et al., 2021)</w:t>
      </w:r>
      <w:r>
        <w:t xml:space="preserve">. </w:t>
      </w:r>
    </w:p>
    <w:bookmarkStart w:id="7" w:name="_t1unlp18z4vl" w:colFirst="0" w:colLast="0"/>
    <w:bookmarkStart w:id="8" w:name="_Toc144133006"/>
    <w:bookmarkEnd w:id="7"/>
    <w:p>
      <w:pPr>
        <w:pStyle w:val="style2"/>
        <w:spacing w:before="240" w:after="240"/>
        <w:rPr/>
      </w:pPr>
      <w:r>
        <w:t>Evaluation</w:t>
      </w:r>
      <w:bookmarkEnd w:id="8"/>
      <w:r>
        <w:t xml:space="preserve"> </w:t>
      </w:r>
    </w:p>
    <w:p>
      <w:pPr>
        <w:pStyle w:val="style0"/>
        <w:spacing w:before="240" w:after="240"/>
        <w:rPr/>
      </w:pPr>
      <w:r>
        <w:t>I have already mentioned my feelings in the feelings section of this reflective report. I am grateful for completing the study most effectively and gathering vast knowledge by developing the study. I must pick knowledge on community engagement in the St John Wood Square project in London (</w:t>
      </w:r>
      <w:r>
        <w:rPr>
          <w:color w:val="222222"/>
          <w:highlight w:val="white"/>
        </w:rPr>
        <w:t>Ahmed, 2019)</w:t>
      </w:r>
      <w:r>
        <w:t>. I have accumulated knowledge on managing all the stakeholders most effectively and maintaining the sustainability and qualities of the St John Wood Square project in London. I failed to find any negative aspects of this project in the environment, and I will also discuss the positive elements correctly. The positive aspects of the report are that the project management is developing a great design and maintaining the quality of the buildings (</w:t>
      </w:r>
      <w:r>
        <w:rPr>
          <w:color w:val="222222"/>
          <w:highlight w:val="white"/>
        </w:rPr>
        <w:t>Laranjeira, Afonso, and Querido, 2021)</w:t>
      </w:r>
      <w:r>
        <w:t>. The administration also collects feedback from the building dwellers, improves the techniques, and keeps the resident's well-being. The development project of the St John Wood Square project in London provides retail and commercial spaces to the residents. Also, it boosts the local economy by offering rooms for offices and providing multiple jobs. While planning the project, the planners arranged a workshop where all the residents came and actively engaged with the visioning activities and the design characteristics of the project (</w:t>
      </w:r>
      <w:r>
        <w:rPr>
          <w:color w:val="222222"/>
          <w:highlight w:val="white"/>
        </w:rPr>
        <w:t>Sambell et al., 2020)</w:t>
      </w:r>
      <w:r>
        <w:t xml:space="preserve">. The project management has been developed as an advisory panel by engaging all the stakeholders, providing all the information, and developing effective communication. </w:t>
      </w:r>
    </w:p>
    <w:bookmarkStart w:id="9" w:name="_yaud9hbxhd5m" w:colFirst="0" w:colLast="0"/>
    <w:bookmarkStart w:id="10" w:name="_Toc144133007"/>
    <w:bookmarkEnd w:id="9"/>
    <w:p>
      <w:pPr>
        <w:pStyle w:val="style2"/>
        <w:spacing w:before="240" w:after="240"/>
        <w:rPr/>
      </w:pPr>
      <w:r>
        <w:t>Analysis</w:t>
      </w:r>
      <w:bookmarkEnd w:id="10"/>
      <w:r>
        <w:t xml:space="preserve"> </w:t>
      </w:r>
    </w:p>
    <w:p>
      <w:pPr>
        <w:pStyle w:val="style0"/>
        <w:spacing w:before="240" w:after="240"/>
        <w:rPr/>
      </w:pPr>
      <w:r>
        <w:t>The St John Wood Square development project in London is one of the essential projects for reducing London's housing problems and improving the urban areas. With the help of this project, the management can regenerate the urban areas and transform the urban areas into dynamic and fresh residential spaces (</w:t>
      </w:r>
      <w:r>
        <w:rPr>
          <w:color w:val="222222"/>
          <w:highlight w:val="white"/>
        </w:rPr>
        <w:t>Morrison, 2019)</w:t>
      </w:r>
      <w:r>
        <w:t xml:space="preserve">. The development's construction and design support environmental sustainability and use green energy for developing the project. The targeted stakeholders of the project are the residents, potential renters and buyers of the </w:t>
      </w:r>
      <w:r>
        <w:t>house, local agencies and enterprises. The development project can improve the community facilities of the local people and also the revitalisation of the urban areas. The development project also promotes the eco-friendly lifestyle in St John Wood Square (</w:t>
      </w:r>
      <w:r>
        <w:rPr>
          <w:color w:val="222222"/>
          <w:highlight w:val="white"/>
        </w:rPr>
        <w:t xml:space="preserve">Naeem and </w:t>
      </w:r>
      <w:r>
        <w:rPr>
          <w:color w:val="222222"/>
          <w:highlight w:val="white"/>
        </w:rPr>
        <w:t>Ozuem</w:t>
      </w:r>
      <w:r>
        <w:rPr>
          <w:color w:val="222222"/>
          <w:highlight w:val="white"/>
        </w:rPr>
        <w:t>, 2021)</w:t>
      </w:r>
      <w:r>
        <w:t>. The management of the project is applying multiple techniques for improving the project's effectiveness and the transparency of community engagement. The development project is going well, and the stakeholders are pleased with the methods and objectives of the project. I have increased my knowledge by gaining information about the development project from different sources and using the ability to develop the report. My problem-solving skills are helping me reach a potential conclusion about this project, understand how effectively the project can meet the residents' requirements, and know the well-being and perspective of the dwellers (</w:t>
      </w:r>
      <w:r>
        <w:rPr>
          <w:color w:val="222222"/>
          <w:highlight w:val="white"/>
        </w:rPr>
        <w:t>Hill and Fitzgerald, 2020)</w:t>
      </w:r>
      <w:r>
        <w:t xml:space="preserve">. </w:t>
      </w:r>
    </w:p>
    <w:bookmarkStart w:id="11" w:name="_t9enlxlv7cs1" w:colFirst="0" w:colLast="0"/>
    <w:bookmarkStart w:id="12" w:name="_Toc144133008"/>
    <w:bookmarkEnd w:id="11"/>
    <w:p>
      <w:pPr>
        <w:pStyle w:val="style2"/>
        <w:spacing w:before="240" w:after="240"/>
        <w:rPr/>
      </w:pPr>
      <w:r>
        <w:t>Conclusion</w:t>
      </w:r>
      <w:bookmarkEnd w:id="12"/>
      <w:r>
        <w:t xml:space="preserve"> </w:t>
      </w:r>
    </w:p>
    <w:p>
      <w:pPr>
        <w:pStyle w:val="style0"/>
        <w:spacing w:before="240" w:after="240"/>
        <w:rPr/>
      </w:pPr>
      <w:r>
        <w:t xml:space="preserve">The overall discussion of this model is developing community engagement experiences in the St John Wood Square development project in London. The </w:t>
      </w:r>
      <w:r>
        <w:rPr>
          <w:b/>
          <w:i/>
        </w:rPr>
        <w:t xml:space="preserve">“Gibbs reflective Cycle” </w:t>
      </w:r>
      <w:r>
        <w:t>model has been used to elaborate my whole project experience and describe my perspective differently (</w:t>
      </w:r>
      <w:r>
        <w:rPr>
          <w:color w:val="222222"/>
          <w:highlight w:val="white"/>
        </w:rPr>
        <w:t>Azimi and Tamminen, K2022)</w:t>
      </w:r>
      <w:r>
        <w:t>. I am already really grateful for completing this project. I am also delighted by gaining multiple knowledge and experiences about the community's environment through the help of the St John Wood Square development project in London. I was amazed by completing the report and also very thankful for being allowed to complete the project. I have gathered knowledge on managing all the stakeholders and resolving multiple problems and issues with the help of project development (</w:t>
      </w:r>
      <w:r>
        <w:rPr>
          <w:color w:val="222222"/>
          <w:highlight w:val="white"/>
        </w:rPr>
        <w:t>Ntho</w:t>
      </w:r>
      <w:r>
        <w:rPr>
          <w:color w:val="222222"/>
          <w:highlight w:val="white"/>
        </w:rPr>
        <w:t xml:space="preserve">, Pienaar, and </w:t>
      </w:r>
      <w:r>
        <w:rPr>
          <w:color w:val="222222"/>
          <w:highlight w:val="white"/>
        </w:rPr>
        <w:t>Sehularo</w:t>
      </w:r>
      <w:r>
        <w:rPr>
          <w:color w:val="222222"/>
          <w:highlight w:val="white"/>
        </w:rPr>
        <w:t>, 2020)</w:t>
      </w:r>
      <w:r>
        <w:t>. The project has also provided an in-depth understanding of how effectively the development project can maintain all the objectives and ensure the well-being of the residents. I have also found various positive aspects of the report and gained knowledge from those aspects, including that to mitigate future hurdles in any real-life project (</w:t>
      </w:r>
      <w:r>
        <w:rPr>
          <w:color w:val="222222"/>
          <w:highlight w:val="white"/>
        </w:rPr>
        <w:t xml:space="preserve">Ibrahima, </w:t>
      </w:r>
      <w:r>
        <w:rPr>
          <w:color w:val="222222"/>
          <w:highlight w:val="white"/>
        </w:rPr>
        <w:t>Khalfb</w:t>
      </w:r>
      <w:r>
        <w:rPr>
          <w:color w:val="222222"/>
          <w:highlight w:val="white"/>
        </w:rPr>
        <w:t xml:space="preserve">, and </w:t>
      </w:r>
      <w:r>
        <w:rPr>
          <w:color w:val="222222"/>
          <w:highlight w:val="white"/>
        </w:rPr>
        <w:t>Khalilc</w:t>
      </w:r>
      <w:r>
        <w:rPr>
          <w:color w:val="222222"/>
          <w:highlight w:val="white"/>
        </w:rPr>
        <w:t>, 2020)</w:t>
      </w:r>
      <w:r>
        <w:t xml:space="preserve">. The development project also understands the issues regarding the effects of the environment and safeguards the areas of St John Wood Square and the involvement of the local communities. </w:t>
      </w:r>
    </w:p>
    <w:bookmarkStart w:id="13" w:name="_2xpt0vpmxdng" w:colFirst="0" w:colLast="0"/>
    <w:bookmarkStart w:id="14" w:name="_Toc144133009"/>
    <w:bookmarkEnd w:id="13"/>
    <w:p>
      <w:pPr>
        <w:pStyle w:val="style2"/>
        <w:spacing w:before="240" w:after="240"/>
        <w:rPr/>
      </w:pPr>
      <w:r>
        <w:t>Action plan</w:t>
      </w:r>
      <w:bookmarkEnd w:id="14"/>
      <w:r>
        <w:t xml:space="preserve"> </w:t>
      </w:r>
    </w:p>
    <w:p>
      <w:pPr>
        <w:pStyle w:val="style0"/>
        <w:spacing w:before="240" w:after="240"/>
        <w:rPr/>
      </w:pPr>
      <w:r>
        <w:t xml:space="preserve">After gathering knowledge and experience in managing the communities through the project development in St John Wood Square in the United Kingdom, I have faced multiple hurdles </w:t>
      </w:r>
      <w:r>
        <w:t>and challenges regarding these consequences. I have decided to learn how to manage all the communities effectively and also learn new skills and techniques to manage that effectively. I have also gained experience from various real-life cases and through the help of multiple journals and activities (</w:t>
      </w:r>
      <w:r>
        <w:rPr>
          <w:color w:val="222222"/>
          <w:highlight w:val="white"/>
        </w:rPr>
        <w:t xml:space="preserve">Mello and </w:t>
      </w:r>
      <w:r>
        <w:rPr>
          <w:color w:val="222222"/>
          <w:highlight w:val="white"/>
        </w:rPr>
        <w:t>Wattret</w:t>
      </w:r>
      <w:r>
        <w:rPr>
          <w:color w:val="222222"/>
          <w:highlight w:val="white"/>
        </w:rPr>
        <w:t>, 2021)</w:t>
      </w:r>
      <w:r>
        <w:t>. I will develop my management and planning skills by developing this report. With the help of those skills, I can smoothly manage the shareholders and create the project's sustainability. By improving my communication skills, I can develop a better relationship with the shareholders of the St John Wood Square development project, understand the stakeholders' feelings, and try to resolve the issues. The project's planning is essential (</w:t>
      </w:r>
      <w:r>
        <w:rPr>
          <w:color w:val="222222"/>
          <w:highlight w:val="white"/>
        </w:rPr>
        <w:t>Laranjeira, Afonso, and Querido, 2021)</w:t>
      </w:r>
      <w:r>
        <w:t xml:space="preserve">. So, to develop an excellent design for the project, I have to learn the techniques and also understand the tools to build the plan for the project. </w:t>
      </w:r>
    </w:p>
    <w:bookmarkStart w:id="15" w:name="_lwx8hqf2yvmy" w:colFirst="0" w:colLast="0"/>
    <w:bookmarkStart w:id="16" w:name="_Toc144133010"/>
    <w:bookmarkEnd w:id="15"/>
    <w:p>
      <w:pPr>
        <w:pStyle w:val="style1"/>
        <w:spacing w:before="240" w:after="240"/>
        <w:rPr/>
      </w:pPr>
      <w:r>
        <w:t>Conclusion</w:t>
      </w:r>
      <w:bookmarkEnd w:id="16"/>
      <w:r>
        <w:t xml:space="preserve"> </w:t>
      </w:r>
    </w:p>
    <w:p>
      <w:pPr>
        <w:pStyle w:val="style0"/>
        <w:spacing w:before="240" w:after="240"/>
        <w:rPr/>
      </w:pPr>
      <w:r>
        <w:t xml:space="preserve">The concussion is the summary of the overall report. In conclusion, it can be said that the development project of St John Wood Square in the United Kingdom is very impactful on the local residents </w:t>
      </w:r>
      <w:r>
        <w:t>and</w:t>
      </w:r>
      <w:r>
        <w:t xml:space="preserve"> areas. Through the help of the </w:t>
      </w:r>
      <w:r>
        <w:rPr>
          <w:b/>
          <w:i/>
        </w:rPr>
        <w:t xml:space="preserve">“Gibbs reflective Cycle” </w:t>
      </w:r>
      <w:r>
        <w:t xml:space="preserve">model, the overall experiences and knowledge that I have gathered by developing the report have been evaluated. The project also focuses on developing parks and free green space for the well-being of the St John Wood Square community. The project has reduced </w:t>
      </w:r>
      <w:r>
        <w:t>London’s housing issues and</w:t>
      </w:r>
      <w:r>
        <w:t xml:space="preserve"> boosted the local economy. I have gained various information and knowledge by completing this report and developing a focus on the sustainability of the environment. I have gathered in-depth knowledge about managing all the stakeholders and maintaining the project's quality. I have decided to learn how to manage all the communities effectively and also learn new skills and techniques to manage that effectively. Through the analysis of the model, the overall scenario of the development project can be evaluated and develop the communication strategy through which the relationship with the stakeholders can be built. With the help of this reflective report, I can analyse how effectively I can develop social engagement with the local communities and the importance of social engagement.</w:t>
      </w:r>
      <w:r>
        <w:br w:type="page"/>
      </w:r>
    </w:p>
    <w:bookmarkStart w:id="17" w:name="_4k1lzsupi1gl" w:colFirst="0" w:colLast="0"/>
    <w:bookmarkStart w:id="18" w:name="_Toc144133011"/>
    <w:bookmarkEnd w:id="17"/>
    <w:p>
      <w:pPr>
        <w:pStyle w:val="style1"/>
        <w:spacing w:before="240" w:after="240"/>
        <w:rPr/>
      </w:pPr>
      <w:r>
        <w:t>Reference List</w:t>
      </w:r>
      <w:bookmarkEnd w:id="18"/>
    </w:p>
    <w:p>
      <w:pPr>
        <w:pStyle w:val="style0"/>
        <w:spacing w:before="240" w:after="240"/>
        <w:rPr>
          <w:color w:val="222222"/>
          <w:highlight w:val="white"/>
        </w:rPr>
      </w:pPr>
      <w:r>
        <w:rPr>
          <w:color w:val="222222"/>
          <w:highlight w:val="white"/>
        </w:rPr>
        <w:t>Adeani</w:t>
      </w:r>
      <w:r>
        <w:rPr>
          <w:color w:val="222222"/>
          <w:highlight w:val="white"/>
        </w:rPr>
        <w:t xml:space="preserve">, I. S., </w:t>
      </w:r>
      <w:r>
        <w:rPr>
          <w:color w:val="222222"/>
          <w:highlight w:val="white"/>
        </w:rPr>
        <w:t>Febriani</w:t>
      </w:r>
      <w:r>
        <w:rPr>
          <w:color w:val="222222"/>
          <w:highlight w:val="white"/>
        </w:rPr>
        <w:t xml:space="preserve">, R. B., and </w:t>
      </w:r>
      <w:r>
        <w:rPr>
          <w:color w:val="222222"/>
          <w:highlight w:val="white"/>
        </w:rPr>
        <w:t>Syafryadin</w:t>
      </w:r>
      <w:r>
        <w:rPr>
          <w:color w:val="222222"/>
          <w:highlight w:val="white"/>
        </w:rPr>
        <w:t xml:space="preserve">, S. (2020). Using </w:t>
      </w:r>
      <w:r>
        <w:rPr>
          <w:color w:val="222222"/>
          <w:highlight w:val="white"/>
        </w:rPr>
        <w:t>GIBBS’reflective</w:t>
      </w:r>
      <w:r>
        <w:rPr>
          <w:color w:val="222222"/>
          <w:highlight w:val="white"/>
        </w:rPr>
        <w:t xml:space="preserve"> cycle </w:t>
      </w:r>
      <w:r>
        <w:rPr>
          <w:color w:val="222222"/>
          <w:highlight w:val="white"/>
        </w:rPr>
        <w:t>to reflect</w:t>
      </w:r>
      <w:r>
        <w:rPr>
          <w:color w:val="222222"/>
          <w:highlight w:val="white"/>
        </w:rPr>
        <w:t xml:space="preserve"> literary analysis. </w:t>
      </w:r>
      <w:r>
        <w:rPr>
          <w:i/>
          <w:color w:val="222222"/>
          <w:highlight w:val="white"/>
        </w:rPr>
        <w:t>Indonesian EFL Journal</w:t>
      </w:r>
      <w:r>
        <w:rPr>
          <w:color w:val="222222"/>
          <w:highlight w:val="white"/>
        </w:rPr>
        <w:t xml:space="preserve">, </w:t>
      </w:r>
      <w:r>
        <w:rPr>
          <w:i/>
          <w:color w:val="222222"/>
          <w:highlight w:val="white"/>
        </w:rPr>
        <w:t>6</w:t>
      </w:r>
      <w:r>
        <w:rPr>
          <w:color w:val="222222"/>
          <w:highlight w:val="white"/>
        </w:rPr>
        <w:t xml:space="preserve">(2), 139-148. </w:t>
      </w:r>
      <w:r>
        <w:rPr/>
        <w:fldChar w:fldCharType="begin"/>
      </w:r>
      <w:r>
        <w:instrText xml:space="preserve"> HYPERLINK "http://journal.uniku.ac.id/index.php/IEFLJ/article/download/3382/2034" </w:instrText>
      </w:r>
      <w:r>
        <w:rPr/>
        <w:fldChar w:fldCharType="separate"/>
      </w:r>
      <w:r>
        <w:rPr>
          <w:color w:val="1155cc"/>
          <w:highlight w:val="white"/>
          <w:u w:val="single"/>
        </w:rPr>
        <w:t>http://journal.uniku.ac.id/index.php/IEFLJ/article/download/3382/2034</w:t>
      </w:r>
      <w:r>
        <w:rPr/>
        <w:fldChar w:fldCharType="end"/>
      </w:r>
    </w:p>
    <w:p>
      <w:pPr>
        <w:pStyle w:val="style0"/>
        <w:spacing w:before="240" w:after="240"/>
        <w:rPr>
          <w:color w:val="222222"/>
          <w:highlight w:val="white"/>
        </w:rPr>
      </w:pPr>
      <w:r>
        <w:rPr>
          <w:color w:val="222222"/>
          <w:highlight w:val="white"/>
        </w:rPr>
        <w:t xml:space="preserve">Ahmed, A. M. (2020). From reluctance to addiction: The impact of reflective journals on Qatari undergraduate students’ learning. </w:t>
      </w:r>
      <w:r>
        <w:rPr>
          <w:i/>
          <w:color w:val="222222"/>
          <w:highlight w:val="white"/>
        </w:rPr>
        <w:t>Reflective Practice</w:t>
      </w:r>
      <w:r>
        <w:rPr>
          <w:color w:val="222222"/>
          <w:highlight w:val="white"/>
        </w:rPr>
        <w:t xml:space="preserve">, </w:t>
      </w:r>
      <w:r>
        <w:rPr>
          <w:i/>
          <w:color w:val="222222"/>
          <w:highlight w:val="white"/>
        </w:rPr>
        <w:t>21</w:t>
      </w:r>
      <w:r>
        <w:rPr>
          <w:color w:val="222222"/>
          <w:highlight w:val="white"/>
        </w:rPr>
        <w:t>(2), 251-270.</w:t>
      </w:r>
      <w:r>
        <w:rPr/>
        <w:fldChar w:fldCharType="begin"/>
      </w:r>
      <w:r>
        <w:instrText xml:space="preserve"> HYPERLINK "https://www.tandfonline.com/doi/pdf/10.1080/14623943.2020.1735328" </w:instrText>
      </w:r>
      <w:r>
        <w:rPr/>
        <w:fldChar w:fldCharType="separate"/>
      </w:r>
      <w:r>
        <w:rPr>
          <w:color w:val="1155cc"/>
          <w:highlight w:val="white"/>
          <w:u w:val="single"/>
        </w:rPr>
        <w:t>https://www.tandfonline.com/doi/pdf/10.1080/14623943.2020.1735328</w:t>
      </w:r>
      <w:r>
        <w:rPr/>
        <w:fldChar w:fldCharType="end"/>
      </w:r>
    </w:p>
    <w:p>
      <w:pPr>
        <w:pStyle w:val="style0"/>
        <w:spacing w:before="240" w:after="240"/>
        <w:rPr>
          <w:color w:val="222222"/>
          <w:highlight w:val="white"/>
        </w:rPr>
      </w:pPr>
      <w:r>
        <w:rPr>
          <w:color w:val="222222"/>
          <w:highlight w:val="white"/>
        </w:rPr>
        <w:t xml:space="preserve">Azimi, S., and Tamminen, K. A. (2022). Parental communication and reflective practice among youth </w:t>
      </w:r>
      <w:r>
        <w:rPr>
          <w:color w:val="222222"/>
          <w:highlight w:val="white"/>
        </w:rPr>
        <w:t>sports</w:t>
      </w:r>
      <w:r>
        <w:rPr>
          <w:color w:val="222222"/>
          <w:highlight w:val="white"/>
        </w:rPr>
        <w:t xml:space="preserve"> parents. </w:t>
      </w:r>
      <w:r>
        <w:rPr>
          <w:i/>
          <w:color w:val="222222"/>
          <w:highlight w:val="white"/>
        </w:rPr>
        <w:t>Journal of Applied Sport Psychology</w:t>
      </w:r>
      <w:r>
        <w:rPr>
          <w:color w:val="222222"/>
          <w:highlight w:val="white"/>
        </w:rPr>
        <w:t xml:space="preserve">, </w:t>
      </w:r>
      <w:r>
        <w:rPr>
          <w:i/>
          <w:color w:val="222222"/>
          <w:highlight w:val="white"/>
        </w:rPr>
        <w:t>34</w:t>
      </w:r>
      <w:r>
        <w:rPr>
          <w:color w:val="222222"/>
          <w:highlight w:val="white"/>
        </w:rPr>
        <w:t>(1), 109-132.</w:t>
      </w:r>
      <w:r>
        <w:rPr/>
        <w:fldChar w:fldCharType="begin"/>
      </w:r>
      <w:r>
        <w:instrText xml:space="preserve"> HYPERLINK "https://osf.io/7ek69/download" </w:instrText>
      </w:r>
      <w:r>
        <w:rPr/>
        <w:fldChar w:fldCharType="separate"/>
      </w:r>
      <w:r>
        <w:rPr>
          <w:color w:val="1155cc"/>
          <w:highlight w:val="white"/>
          <w:u w:val="single"/>
        </w:rPr>
        <w:t>https://osf.io/7ek69/download</w:t>
      </w:r>
      <w:r>
        <w:rPr/>
        <w:fldChar w:fldCharType="end"/>
      </w:r>
    </w:p>
    <w:p>
      <w:pPr>
        <w:pStyle w:val="style0"/>
        <w:spacing w:before="240" w:after="240"/>
        <w:rPr>
          <w:color w:val="222222"/>
          <w:highlight w:val="white"/>
        </w:rPr>
      </w:pPr>
      <w:r>
        <w:rPr>
          <w:color w:val="222222"/>
          <w:highlight w:val="white"/>
        </w:rPr>
        <w:t xml:space="preserve">CARTER, B., Foster, M., Al-Motlaq, M., Neill, S., </w:t>
      </w:r>
      <w:r>
        <w:rPr>
          <w:color w:val="222222"/>
          <w:highlight w:val="white"/>
        </w:rPr>
        <w:t>O'sullivan</w:t>
      </w:r>
      <w:r>
        <w:rPr>
          <w:color w:val="222222"/>
          <w:highlight w:val="white"/>
        </w:rPr>
        <w:t xml:space="preserve">, T., </w:t>
      </w:r>
      <w:r>
        <w:rPr>
          <w:color w:val="222222"/>
          <w:highlight w:val="white"/>
        </w:rPr>
        <w:t>Majamanda</w:t>
      </w:r>
      <w:r>
        <w:rPr>
          <w:color w:val="222222"/>
          <w:highlight w:val="white"/>
        </w:rPr>
        <w:t xml:space="preserve">, M., ... and </w:t>
      </w:r>
      <w:r>
        <w:rPr>
          <w:color w:val="222222"/>
          <w:highlight w:val="white"/>
        </w:rPr>
        <w:t>Morelius</w:t>
      </w:r>
      <w:r>
        <w:rPr>
          <w:color w:val="222222"/>
          <w:highlight w:val="white"/>
        </w:rPr>
        <w:t xml:space="preserve">, E. (2021). Seeing lockdown through the eyes of children </w:t>
      </w:r>
      <w:r>
        <w:rPr>
          <w:color w:val="222222"/>
          <w:highlight w:val="white"/>
        </w:rPr>
        <w:t>worldwide</w:t>
      </w:r>
      <w:r>
        <w:rPr>
          <w:color w:val="222222"/>
          <w:highlight w:val="white"/>
        </w:rPr>
        <w:t xml:space="preserve">: Reflecting on a children's artwork project. </w:t>
      </w:r>
      <w:r>
        <w:rPr>
          <w:i/>
          <w:color w:val="222222"/>
          <w:highlight w:val="white"/>
        </w:rPr>
        <w:t>Nursing Praxis in Aotearoa New Zealand</w:t>
      </w:r>
      <w:r>
        <w:rPr>
          <w:color w:val="222222"/>
          <w:highlight w:val="white"/>
        </w:rPr>
        <w:t xml:space="preserve">, </w:t>
      </w:r>
      <w:r>
        <w:rPr>
          <w:i/>
          <w:color w:val="222222"/>
          <w:highlight w:val="white"/>
        </w:rPr>
        <w:t>37</w:t>
      </w:r>
      <w:r>
        <w:rPr>
          <w:color w:val="222222"/>
          <w:highlight w:val="white"/>
        </w:rPr>
        <w:t>(3), 104-115.</w:t>
      </w:r>
      <w:r>
        <w:rPr/>
        <w:fldChar w:fldCharType="begin"/>
      </w:r>
      <w:r>
        <w:instrText xml:space="preserve"> HYPERLINK "https://research.edgehill.ac.uk/files/46871381/Foster_et_al_Seeing_lockdown_artwork_paper.pdf" </w:instrText>
      </w:r>
      <w:r>
        <w:rPr/>
        <w:fldChar w:fldCharType="separate"/>
      </w:r>
      <w:r>
        <w:rPr>
          <w:color w:val="1155cc"/>
          <w:highlight w:val="white"/>
          <w:u w:val="single"/>
        </w:rPr>
        <w:t>https://research.edgehill.ac.uk/files/46871381/Foster_et_al_Seeing_lockdown_artwork_paper.pdf</w:t>
      </w:r>
      <w:r>
        <w:rPr/>
        <w:fldChar w:fldCharType="end"/>
      </w:r>
    </w:p>
    <w:p>
      <w:pPr>
        <w:pStyle w:val="style0"/>
        <w:spacing w:before="240" w:after="240"/>
        <w:rPr>
          <w:color w:val="222222"/>
          <w:highlight w:val="white"/>
        </w:rPr>
      </w:pPr>
      <w:r>
        <w:rPr>
          <w:color w:val="222222"/>
          <w:highlight w:val="white"/>
        </w:rPr>
        <w:t xml:space="preserve">Hill, K., and Fitzgerald, R. (2020). Student perspectives of the impact of COVID-19 on learning. </w:t>
      </w:r>
      <w:r>
        <w:rPr>
          <w:i/>
          <w:color w:val="222222"/>
          <w:highlight w:val="white"/>
        </w:rPr>
        <w:t>All Ireland Journal of Higher Education</w:t>
      </w:r>
      <w:r>
        <w:rPr>
          <w:color w:val="222222"/>
          <w:highlight w:val="white"/>
        </w:rPr>
        <w:t xml:space="preserve">, </w:t>
      </w:r>
      <w:r>
        <w:rPr>
          <w:i/>
          <w:color w:val="222222"/>
          <w:highlight w:val="white"/>
        </w:rPr>
        <w:t>12</w:t>
      </w:r>
      <w:r>
        <w:rPr>
          <w:color w:val="222222"/>
          <w:highlight w:val="white"/>
        </w:rPr>
        <w:t>(2).</w:t>
      </w:r>
      <w:r>
        <w:rPr/>
        <w:fldChar w:fldCharType="begin"/>
      </w:r>
      <w:r>
        <w:instrText xml:space="preserve"> HYPERLINK "http://ojs.aishe.org/index.php/aishe-j/article/download/459/801" </w:instrText>
      </w:r>
      <w:r>
        <w:rPr/>
        <w:fldChar w:fldCharType="separate"/>
      </w:r>
      <w:r>
        <w:rPr>
          <w:color w:val="1155cc"/>
          <w:highlight w:val="white"/>
          <w:u w:val="single"/>
        </w:rPr>
        <w:t>http://ojs.aishe.org/index.php/aishe-j/article/download/459/801</w:t>
      </w:r>
      <w:r>
        <w:rPr/>
        <w:fldChar w:fldCharType="end"/>
      </w:r>
    </w:p>
    <w:p>
      <w:pPr>
        <w:pStyle w:val="style0"/>
        <w:spacing w:before="240" w:after="240"/>
        <w:rPr>
          <w:color w:val="222222"/>
          <w:highlight w:val="white"/>
        </w:rPr>
      </w:pPr>
      <w:r>
        <w:rPr>
          <w:color w:val="222222"/>
          <w:highlight w:val="white"/>
        </w:rPr>
        <w:t xml:space="preserve">Ibrahima, M. K., </w:t>
      </w:r>
      <w:r>
        <w:rPr>
          <w:color w:val="222222"/>
          <w:highlight w:val="white"/>
        </w:rPr>
        <w:t>Khalfb</w:t>
      </w:r>
      <w:r>
        <w:rPr>
          <w:color w:val="222222"/>
          <w:highlight w:val="white"/>
        </w:rPr>
        <w:t xml:space="preserve">, A. A., and </w:t>
      </w:r>
      <w:r>
        <w:rPr>
          <w:color w:val="222222"/>
          <w:highlight w:val="white"/>
        </w:rPr>
        <w:t>Khalilc</w:t>
      </w:r>
      <w:r>
        <w:rPr>
          <w:color w:val="222222"/>
          <w:highlight w:val="white"/>
        </w:rPr>
        <w:t xml:space="preserve">, Z. M. (2020). The Effectiveness of the Gibbs Meditative Model in Academic Achievement and the Development of Visual Thinking in Fourth Students in Biology. </w:t>
      </w:r>
      <w:r>
        <w:rPr>
          <w:i/>
          <w:color w:val="222222"/>
          <w:highlight w:val="white"/>
        </w:rPr>
        <w:t>International Journal of Innovation, Creativity and Change</w:t>
      </w:r>
      <w:r>
        <w:rPr>
          <w:color w:val="222222"/>
          <w:highlight w:val="white"/>
        </w:rPr>
        <w:t xml:space="preserve">, </w:t>
      </w:r>
      <w:r>
        <w:rPr>
          <w:i/>
          <w:color w:val="222222"/>
          <w:highlight w:val="white"/>
        </w:rPr>
        <w:t>13</w:t>
      </w:r>
      <w:r>
        <w:rPr>
          <w:color w:val="222222"/>
          <w:highlight w:val="white"/>
        </w:rPr>
        <w:t>(5), 1464-1480.</w:t>
      </w:r>
      <w:r>
        <w:rPr/>
        <w:fldChar w:fldCharType="begin"/>
      </w:r>
      <w:r>
        <w:instrText xml:space="preserve"> HYPERLINK "https://www.ijicc.net/images/vol_13/Iss_5/135104_Ibrahim_2020_E_R.pdf" </w:instrText>
      </w:r>
      <w:r>
        <w:rPr/>
        <w:fldChar w:fldCharType="separate"/>
      </w:r>
      <w:r>
        <w:rPr>
          <w:color w:val="1155cc"/>
          <w:highlight w:val="white"/>
          <w:u w:val="single"/>
        </w:rPr>
        <w:t>https://www.ijicc.net/images/vol_13/Iss_5/135104_Ibrahim_2020_E_R.pdf</w:t>
      </w:r>
      <w:r>
        <w:rPr/>
        <w:fldChar w:fldCharType="end"/>
      </w:r>
    </w:p>
    <w:p>
      <w:pPr>
        <w:pStyle w:val="style0"/>
        <w:spacing w:before="240" w:after="240"/>
        <w:rPr>
          <w:color w:val="222222"/>
          <w:highlight w:val="white"/>
        </w:rPr>
      </w:pPr>
      <w:r>
        <w:rPr>
          <w:color w:val="222222"/>
          <w:highlight w:val="white"/>
        </w:rPr>
        <w:t xml:space="preserve">Laranjeira, C., Afonso, C., and Querido, A. I. (2021). Communicating bad news: Using role-play to teach nursing students. </w:t>
      </w:r>
      <w:r>
        <w:rPr>
          <w:i/>
          <w:color w:val="222222"/>
          <w:highlight w:val="white"/>
        </w:rPr>
        <w:t>SAGE Open Nursing</w:t>
      </w:r>
      <w:r>
        <w:rPr>
          <w:color w:val="222222"/>
          <w:highlight w:val="white"/>
        </w:rPr>
        <w:t xml:space="preserve">, </w:t>
      </w:r>
      <w:r>
        <w:rPr>
          <w:i/>
          <w:color w:val="222222"/>
          <w:highlight w:val="white"/>
        </w:rPr>
        <w:t>7</w:t>
      </w:r>
      <w:r>
        <w:rPr>
          <w:color w:val="222222"/>
          <w:highlight w:val="white"/>
        </w:rPr>
        <w:t>, 23779608211044589.</w:t>
      </w:r>
      <w:r>
        <w:rPr/>
        <w:fldChar w:fldCharType="begin"/>
      </w:r>
      <w:r>
        <w:instrText xml:space="preserve"> HYPERLINK "https://journals.sagepub.com/doi/full/10.1177/23779608211044589" </w:instrText>
      </w:r>
      <w:r>
        <w:rPr/>
        <w:fldChar w:fldCharType="separate"/>
      </w:r>
      <w:r>
        <w:rPr>
          <w:color w:val="1155cc"/>
          <w:highlight w:val="white"/>
          <w:u w:val="single"/>
        </w:rPr>
        <w:t>https://journals.sagepub.com/doi/full/10.1177/23779608211044589</w:t>
      </w:r>
      <w:r>
        <w:rPr/>
        <w:fldChar w:fldCharType="end"/>
      </w:r>
    </w:p>
    <w:p>
      <w:pPr>
        <w:pStyle w:val="style0"/>
        <w:spacing w:before="240" w:after="240"/>
        <w:rPr>
          <w:color w:val="222222"/>
          <w:highlight w:val="white"/>
        </w:rPr>
      </w:pPr>
      <w:r>
        <w:rPr>
          <w:color w:val="222222"/>
          <w:highlight w:val="white"/>
        </w:rPr>
        <w:t xml:space="preserve">Markkanen, P., Välimäki, M., Anttila, M., and </w:t>
      </w:r>
      <w:r>
        <w:rPr>
          <w:color w:val="222222"/>
          <w:highlight w:val="white"/>
        </w:rPr>
        <w:t>Kuuskorpi</w:t>
      </w:r>
      <w:r>
        <w:rPr>
          <w:color w:val="222222"/>
          <w:highlight w:val="white"/>
        </w:rPr>
        <w:t xml:space="preserve">, M. (2020). A reflective cycle: Understanding challenging situations in a school setting. </w:t>
      </w:r>
      <w:r>
        <w:rPr>
          <w:i/>
          <w:color w:val="222222"/>
          <w:highlight w:val="white"/>
        </w:rPr>
        <w:t>Educational Research</w:t>
      </w:r>
      <w:r>
        <w:rPr>
          <w:color w:val="222222"/>
          <w:highlight w:val="white"/>
        </w:rPr>
        <w:t xml:space="preserve">, </w:t>
      </w:r>
      <w:r>
        <w:rPr>
          <w:i/>
          <w:color w:val="222222"/>
          <w:highlight w:val="white"/>
        </w:rPr>
        <w:t>62</w:t>
      </w:r>
      <w:r>
        <w:rPr>
          <w:color w:val="222222"/>
          <w:highlight w:val="white"/>
        </w:rPr>
        <w:t>(1), 46-62.</w:t>
      </w:r>
      <w:r>
        <w:rPr/>
        <w:fldChar w:fldCharType="begin"/>
      </w:r>
      <w:r>
        <w:instrText xml:space="preserve"> HYPERLINK "https://www.utupub.fi/bitstream/handle/10024/166237/Final_version_Markkanen%2001012020%20(2).pdf?sequence=1" </w:instrText>
      </w:r>
      <w:r>
        <w:rPr/>
        <w:fldChar w:fldCharType="separate"/>
      </w:r>
      <w:r>
        <w:rPr>
          <w:color w:val="1155cc"/>
          <w:highlight w:val="white"/>
          <w:u w:val="single"/>
        </w:rPr>
        <w:t>https://www.utupub.fi/bitstream/handle/10024/166237/Final_version_Markkanen%2001012020%20(2).pdf?sequence=1</w:t>
      </w:r>
      <w:r>
        <w:rPr/>
        <w:fldChar w:fldCharType="end"/>
      </w:r>
    </w:p>
    <w:p>
      <w:pPr>
        <w:pStyle w:val="style0"/>
        <w:spacing w:before="240" w:after="240"/>
        <w:rPr>
          <w:color w:val="222222"/>
          <w:highlight w:val="white"/>
        </w:rPr>
      </w:pPr>
      <w:r>
        <w:rPr>
          <w:color w:val="222222"/>
          <w:highlight w:val="white"/>
        </w:rPr>
        <w:t xml:space="preserve">Mello, L. V., and </w:t>
      </w:r>
      <w:r>
        <w:rPr>
          <w:color w:val="222222"/>
          <w:highlight w:val="white"/>
        </w:rPr>
        <w:t>Wattret</w:t>
      </w:r>
      <w:r>
        <w:rPr>
          <w:color w:val="222222"/>
          <w:highlight w:val="white"/>
        </w:rPr>
        <w:t xml:space="preserve">, G. (2021). Developing transferable skills through embedding reflection in the science curriculum. </w:t>
      </w:r>
      <w:r>
        <w:rPr>
          <w:i/>
          <w:color w:val="222222"/>
          <w:highlight w:val="white"/>
        </w:rPr>
        <w:t>Biophysical reviews</w:t>
      </w:r>
      <w:r>
        <w:rPr>
          <w:color w:val="222222"/>
          <w:highlight w:val="white"/>
        </w:rPr>
        <w:t xml:space="preserve">, </w:t>
      </w:r>
      <w:r>
        <w:rPr>
          <w:i/>
          <w:color w:val="222222"/>
          <w:highlight w:val="white"/>
        </w:rPr>
        <w:t>13</w:t>
      </w:r>
      <w:r>
        <w:rPr>
          <w:color w:val="222222"/>
          <w:highlight w:val="white"/>
        </w:rPr>
        <w:t>(6), 897-903.</w:t>
      </w:r>
      <w:r>
        <w:rPr/>
        <w:fldChar w:fldCharType="begin"/>
      </w:r>
      <w:r>
        <w:instrText xml:space="preserve"> HYPERLINK "https://www.ncbi.nlm.nih.gov/pmc/articles/PMC8724324/" </w:instrText>
      </w:r>
      <w:r>
        <w:rPr/>
        <w:fldChar w:fldCharType="separate"/>
      </w:r>
      <w:r>
        <w:rPr>
          <w:color w:val="1155cc"/>
          <w:highlight w:val="white"/>
          <w:u w:val="single"/>
        </w:rPr>
        <w:t>https://www.ncbi.nlm.nih.gov/pmc/articles/PMC8724324/</w:t>
      </w:r>
      <w:r>
        <w:rPr/>
        <w:fldChar w:fldCharType="end"/>
      </w:r>
    </w:p>
    <w:p>
      <w:pPr>
        <w:pStyle w:val="style0"/>
        <w:spacing w:before="240" w:after="240"/>
        <w:rPr>
          <w:color w:val="222222"/>
          <w:highlight w:val="white"/>
        </w:rPr>
      </w:pPr>
      <w:r>
        <w:rPr>
          <w:color w:val="222222"/>
          <w:highlight w:val="white"/>
        </w:rPr>
        <w:t xml:space="preserve">Morrison, K. (2019). Reflective Practice at the Scottish Prison Service. </w:t>
      </w:r>
      <w:r>
        <w:rPr>
          <w:i/>
          <w:color w:val="222222"/>
          <w:highlight w:val="white"/>
        </w:rPr>
        <w:t>Work Based Learning e-Journal International</w:t>
      </w:r>
      <w:r>
        <w:rPr>
          <w:color w:val="222222"/>
          <w:highlight w:val="white"/>
        </w:rPr>
        <w:t xml:space="preserve">, </w:t>
      </w:r>
      <w:r>
        <w:rPr>
          <w:i/>
          <w:color w:val="222222"/>
          <w:highlight w:val="white"/>
        </w:rPr>
        <w:t>8</w:t>
      </w:r>
      <w:r>
        <w:rPr>
          <w:color w:val="222222"/>
          <w:highlight w:val="white"/>
        </w:rPr>
        <w:t>(1), 122-128.</w:t>
      </w:r>
      <w:r>
        <w:rPr/>
        <w:fldChar w:fldCharType="begin"/>
      </w:r>
      <w:r>
        <w:instrText xml:space="preserve"> HYPERLINK "https://files.eric.ed.gov/fulltext/EJ1269680.pdf" </w:instrText>
      </w:r>
      <w:r>
        <w:rPr/>
        <w:fldChar w:fldCharType="separate"/>
      </w:r>
      <w:r>
        <w:rPr>
          <w:color w:val="1155cc"/>
          <w:highlight w:val="white"/>
          <w:u w:val="single"/>
        </w:rPr>
        <w:t>https://files.eric.ed.gov/fulltext/EJ1269680.pdf</w:t>
      </w:r>
      <w:r>
        <w:rPr/>
        <w:fldChar w:fldCharType="end"/>
      </w:r>
    </w:p>
    <w:p>
      <w:pPr>
        <w:pStyle w:val="style0"/>
        <w:spacing w:before="240" w:after="240"/>
        <w:rPr>
          <w:color w:val="222222"/>
          <w:highlight w:val="white"/>
        </w:rPr>
      </w:pPr>
      <w:r>
        <w:rPr>
          <w:color w:val="222222"/>
          <w:highlight w:val="white"/>
        </w:rPr>
        <w:t xml:space="preserve">Naeem, M., and </w:t>
      </w:r>
      <w:r>
        <w:rPr>
          <w:color w:val="222222"/>
          <w:highlight w:val="white"/>
        </w:rPr>
        <w:t>Ozuem</w:t>
      </w:r>
      <w:r>
        <w:rPr>
          <w:color w:val="222222"/>
          <w:highlight w:val="white"/>
        </w:rPr>
        <w:t xml:space="preserve">, W. (2021). The role of social media in internet banking transition during COVID-19 pandemic: Using multiple methods and sources in qualitative research. </w:t>
      </w:r>
      <w:r>
        <w:rPr>
          <w:i/>
          <w:color w:val="222222"/>
          <w:highlight w:val="white"/>
        </w:rPr>
        <w:t>Journal of Retailing and Consumer Services</w:t>
      </w:r>
      <w:r>
        <w:rPr>
          <w:color w:val="222222"/>
          <w:highlight w:val="white"/>
        </w:rPr>
        <w:t xml:space="preserve">, </w:t>
      </w:r>
      <w:r>
        <w:rPr>
          <w:i/>
          <w:color w:val="222222"/>
          <w:highlight w:val="white"/>
        </w:rPr>
        <w:t>60</w:t>
      </w:r>
      <w:r>
        <w:rPr>
          <w:color w:val="222222"/>
          <w:highlight w:val="white"/>
        </w:rPr>
        <w:t>, 102483.</w:t>
      </w:r>
      <w:r>
        <w:rPr/>
        <w:fldChar w:fldCharType="begin"/>
      </w:r>
      <w:r>
        <w:instrText xml:space="preserve"> HYPERLINK "https://www.ncbi.nlm.nih.gov/pmc/articles/PMC9759410/" </w:instrText>
      </w:r>
      <w:r>
        <w:rPr/>
        <w:fldChar w:fldCharType="separate"/>
      </w:r>
      <w:r>
        <w:rPr>
          <w:color w:val="1155cc"/>
          <w:highlight w:val="white"/>
          <w:u w:val="single"/>
        </w:rPr>
        <w:t>https://www.ncbi.nlm.nih.gov/pmc/articles/PMC9759410/</w:t>
      </w:r>
      <w:r>
        <w:rPr/>
        <w:fldChar w:fldCharType="end"/>
      </w:r>
    </w:p>
    <w:p>
      <w:pPr>
        <w:pStyle w:val="style0"/>
        <w:spacing w:before="240" w:after="240"/>
        <w:rPr>
          <w:color w:val="222222"/>
          <w:highlight w:val="white"/>
        </w:rPr>
      </w:pPr>
      <w:r>
        <w:rPr>
          <w:color w:val="222222"/>
          <w:highlight w:val="white"/>
        </w:rPr>
        <w:t>Ntho</w:t>
      </w:r>
      <w:r>
        <w:rPr>
          <w:color w:val="222222"/>
          <w:highlight w:val="white"/>
        </w:rPr>
        <w:t xml:space="preserve">, T. A., Pienaar, A. J., and </w:t>
      </w:r>
      <w:r>
        <w:rPr>
          <w:color w:val="222222"/>
          <w:highlight w:val="white"/>
        </w:rPr>
        <w:t>Sehularo</w:t>
      </w:r>
      <w:r>
        <w:rPr>
          <w:color w:val="222222"/>
          <w:highlight w:val="white"/>
        </w:rPr>
        <w:t xml:space="preserve">, L. A. (2020). Peer-mentees’ challenges in an undergraduate peer-group clinical mentoring programme in a nursing education institution. </w:t>
      </w:r>
      <w:r>
        <w:rPr>
          <w:i/>
          <w:color w:val="222222"/>
          <w:highlight w:val="white"/>
        </w:rPr>
        <w:t xml:space="preserve">Health SA </w:t>
      </w:r>
      <w:r>
        <w:rPr>
          <w:i/>
          <w:color w:val="222222"/>
          <w:highlight w:val="white"/>
        </w:rPr>
        <w:t>Gesondheid</w:t>
      </w:r>
      <w:r>
        <w:rPr>
          <w:color w:val="222222"/>
          <w:highlight w:val="white"/>
        </w:rPr>
        <w:t xml:space="preserve">, </w:t>
      </w:r>
      <w:r>
        <w:rPr>
          <w:i/>
          <w:color w:val="222222"/>
          <w:highlight w:val="white"/>
        </w:rPr>
        <w:t>25</w:t>
      </w:r>
      <w:r>
        <w:rPr>
          <w:color w:val="222222"/>
          <w:highlight w:val="white"/>
        </w:rPr>
        <w:t>.</w:t>
      </w:r>
      <w:r>
        <w:rPr/>
        <w:fldChar w:fldCharType="begin"/>
      </w:r>
      <w:r>
        <w:instrText xml:space="preserve"> HYPERLINK "https://www.ajol.info/index.php/hsa/article/download/214763/202548" </w:instrText>
      </w:r>
      <w:r>
        <w:rPr/>
        <w:fldChar w:fldCharType="separate"/>
      </w:r>
      <w:r>
        <w:rPr>
          <w:color w:val="1155cc"/>
          <w:highlight w:val="white"/>
          <w:u w:val="single"/>
        </w:rPr>
        <w:t>https://www.ajol.info/index.php/hsa/article/download/214763/202548</w:t>
      </w:r>
      <w:r>
        <w:rPr/>
        <w:fldChar w:fldCharType="end"/>
      </w:r>
    </w:p>
    <w:p>
      <w:pPr>
        <w:pStyle w:val="style0"/>
        <w:spacing w:before="240" w:after="240"/>
        <w:rPr>
          <w:color w:val="222222"/>
          <w:highlight w:val="white"/>
        </w:rPr>
      </w:pPr>
      <w:r>
        <w:rPr>
          <w:color w:val="222222"/>
          <w:highlight w:val="white"/>
        </w:rPr>
        <w:t xml:space="preserve">Pieper, M., Roelle, J., </w:t>
      </w:r>
      <w:r>
        <w:rPr>
          <w:color w:val="222222"/>
          <w:highlight w:val="white"/>
        </w:rPr>
        <w:t>vom</w:t>
      </w:r>
      <w:r>
        <w:rPr>
          <w:color w:val="222222"/>
          <w:highlight w:val="white"/>
        </w:rPr>
        <w:t xml:space="preserve"> Hofe, R., Salle, A., and Berthold, K. (2021). Feedback in reflective journals fosters reflection skills of student teachers. </w:t>
      </w:r>
      <w:r>
        <w:rPr>
          <w:i/>
          <w:color w:val="222222"/>
          <w:highlight w:val="white"/>
        </w:rPr>
        <w:t>Psychology Learning and Teaching</w:t>
      </w:r>
      <w:r>
        <w:rPr>
          <w:color w:val="222222"/>
          <w:highlight w:val="white"/>
        </w:rPr>
        <w:t xml:space="preserve">, </w:t>
      </w:r>
      <w:r>
        <w:rPr>
          <w:i/>
          <w:color w:val="222222"/>
          <w:highlight w:val="white"/>
        </w:rPr>
        <w:t>20</w:t>
      </w:r>
      <w:r>
        <w:rPr>
          <w:color w:val="222222"/>
          <w:highlight w:val="white"/>
        </w:rPr>
        <w:t>(1), 107-127.</w:t>
      </w:r>
      <w:r>
        <w:rPr/>
        <w:fldChar w:fldCharType="begin"/>
      </w:r>
      <w:r>
        <w:instrText xml:space="preserve"> HYPERLINK "https://journals.sagepub.com/doi/pdf/10.1177/1475725720966190" </w:instrText>
      </w:r>
      <w:r>
        <w:rPr/>
        <w:fldChar w:fldCharType="separate"/>
      </w:r>
      <w:r>
        <w:rPr>
          <w:color w:val="1155cc"/>
          <w:highlight w:val="white"/>
          <w:u w:val="single"/>
        </w:rPr>
        <w:t>https://journals.sagepub.com/doi/pdf/10.1177/1475725720966190</w:t>
      </w:r>
      <w:r>
        <w:rPr/>
        <w:fldChar w:fldCharType="end"/>
      </w:r>
    </w:p>
    <w:p>
      <w:pPr>
        <w:pStyle w:val="style0"/>
        <w:spacing w:before="240" w:after="240"/>
        <w:rPr>
          <w:color w:val="222222"/>
          <w:highlight w:val="white"/>
        </w:rPr>
      </w:pPr>
      <w:r>
        <w:rPr>
          <w:color w:val="222222"/>
          <w:highlight w:val="white"/>
        </w:rPr>
        <w:t>Sambell, R., Devine, A., Lo, J., and Lawlis, T. (2020). Work-Integrated Learning Builds Student Identification of Employability Skills: Utili</w:t>
      </w:r>
      <w:r>
        <w:rPr>
          <w:color w:val="222222"/>
          <w:highlight w:val="white"/>
        </w:rPr>
        <w:t>s</w:t>
      </w:r>
      <w:r>
        <w:rPr>
          <w:color w:val="222222"/>
          <w:highlight w:val="white"/>
        </w:rPr>
        <w:t xml:space="preserve">ing a Food Literacy Education Strategy. </w:t>
      </w:r>
      <w:r>
        <w:rPr>
          <w:i/>
          <w:color w:val="222222"/>
          <w:highlight w:val="white"/>
        </w:rPr>
        <w:t>International Journal of Work-Integrated Learning</w:t>
      </w:r>
      <w:r>
        <w:rPr>
          <w:color w:val="222222"/>
          <w:highlight w:val="white"/>
        </w:rPr>
        <w:t xml:space="preserve">, </w:t>
      </w:r>
      <w:r>
        <w:rPr>
          <w:i/>
          <w:color w:val="222222"/>
          <w:highlight w:val="white"/>
        </w:rPr>
        <w:t>21</w:t>
      </w:r>
      <w:r>
        <w:rPr>
          <w:color w:val="222222"/>
          <w:highlight w:val="white"/>
        </w:rPr>
        <w:t>(1), 63-87.</w:t>
      </w:r>
      <w:r>
        <w:rPr/>
        <w:fldChar w:fldCharType="begin"/>
      </w:r>
      <w:r>
        <w:instrText xml:space="preserve"> HYPERLINK "https://files.eric.ed.gov/fulltext/EJ1241255.pdf" </w:instrText>
      </w:r>
      <w:r>
        <w:rPr/>
        <w:fldChar w:fldCharType="separate"/>
      </w:r>
      <w:r>
        <w:rPr>
          <w:color w:val="1155cc"/>
          <w:highlight w:val="white"/>
          <w:u w:val="single"/>
        </w:rPr>
        <w:t>https://files.eric.ed.gov/fulltext/EJ1241255.pdf</w:t>
      </w:r>
      <w:r>
        <w:rPr/>
        <w:fldChar w:fldCharType="end"/>
      </w:r>
    </w:p>
    <w:p>
      <w:pPr>
        <w:pStyle w:val="style0"/>
        <w:spacing w:before="240" w:after="240"/>
        <w:rPr>
          <w:color w:val="222222"/>
          <w:highlight w:val="white"/>
        </w:rPr>
      </w:pPr>
      <w:r>
        <w:rPr>
          <w:color w:val="222222"/>
          <w:highlight w:val="white"/>
        </w:rPr>
        <w:t>Sekarwinahyu</w:t>
      </w:r>
      <w:r>
        <w:rPr>
          <w:color w:val="222222"/>
          <w:highlight w:val="white"/>
        </w:rPr>
        <w:t xml:space="preserve">, M., </w:t>
      </w:r>
      <w:r>
        <w:rPr>
          <w:color w:val="222222"/>
          <w:highlight w:val="white"/>
        </w:rPr>
        <w:t>Rustaman</w:t>
      </w:r>
      <w:r>
        <w:rPr>
          <w:color w:val="222222"/>
          <w:highlight w:val="white"/>
        </w:rPr>
        <w:t xml:space="preserve">, N. Y., Widodo, A., and </w:t>
      </w:r>
      <w:r>
        <w:rPr>
          <w:color w:val="222222"/>
          <w:highlight w:val="white"/>
        </w:rPr>
        <w:t>Riandi</w:t>
      </w:r>
      <w:r>
        <w:rPr>
          <w:color w:val="222222"/>
          <w:highlight w:val="white"/>
        </w:rPr>
        <w:t xml:space="preserve">, R. (2019, February). Development of problem based learning for online tutorial program in plant development using Gibbs’ reflective cycle and e-portfolio to enhance reflective thinking skills. In </w:t>
      </w:r>
      <w:r>
        <w:rPr>
          <w:i/>
          <w:color w:val="222222"/>
          <w:highlight w:val="white"/>
        </w:rPr>
        <w:t>Journal of Physics: Conference Series</w:t>
      </w:r>
      <w:r>
        <w:rPr>
          <w:color w:val="222222"/>
          <w:highlight w:val="white"/>
        </w:rPr>
        <w:t xml:space="preserve"> (Vol. 1157, No. 2, p. 022099). IOP Publishing.</w:t>
      </w:r>
      <w:r>
        <w:rPr/>
        <w:fldChar w:fldCharType="begin"/>
      </w:r>
      <w:r>
        <w:instrText xml:space="preserve"> HYPERLINK "https://iopscience.iop.org/article/10.1088/1742-6596/1157/2/022099/pdf" </w:instrText>
      </w:r>
      <w:r>
        <w:rPr/>
        <w:fldChar w:fldCharType="separate"/>
      </w:r>
      <w:r>
        <w:rPr>
          <w:color w:val="1155cc"/>
          <w:highlight w:val="white"/>
          <w:u w:val="single"/>
        </w:rPr>
        <w:t>https://iopscience.iop.org/article/10.1088/1742-6596/1157/2/022099/pdf</w:t>
      </w:r>
      <w:r>
        <w:rPr/>
        <w:fldChar w:fldCharType="end"/>
      </w:r>
    </w:p>
    <w:p>
      <w:pPr>
        <w:pStyle w:val="style0"/>
        <w:spacing w:before="240" w:after="240"/>
        <w:rPr>
          <w:color w:val="222222"/>
          <w:highlight w:val="white"/>
        </w:rPr>
      </w:pPr>
      <w:r>
        <w:rPr>
          <w:color w:val="222222"/>
          <w:highlight w:val="white"/>
        </w:rPr>
        <w:t>Tawanwongsri</w:t>
      </w:r>
      <w:r>
        <w:rPr>
          <w:color w:val="222222"/>
          <w:highlight w:val="white"/>
        </w:rPr>
        <w:t xml:space="preserve">, W., and </w:t>
      </w:r>
      <w:r>
        <w:rPr>
          <w:color w:val="222222"/>
          <w:highlight w:val="white"/>
        </w:rPr>
        <w:t>Phenwan</w:t>
      </w:r>
      <w:r>
        <w:rPr>
          <w:color w:val="222222"/>
          <w:highlight w:val="white"/>
        </w:rPr>
        <w:t xml:space="preserve">, T. (2019). Reflective and feedback performances on Thai medical students’ patient history-taking skills. </w:t>
      </w:r>
      <w:r>
        <w:rPr>
          <w:i/>
          <w:color w:val="222222"/>
          <w:highlight w:val="white"/>
        </w:rPr>
        <w:t>BMC medical education</w:t>
      </w:r>
      <w:r>
        <w:rPr>
          <w:color w:val="222222"/>
          <w:highlight w:val="white"/>
        </w:rPr>
        <w:t xml:space="preserve">, </w:t>
      </w:r>
      <w:r>
        <w:rPr>
          <w:i/>
          <w:color w:val="222222"/>
          <w:highlight w:val="white"/>
        </w:rPr>
        <w:t>19</w:t>
      </w:r>
      <w:r>
        <w:rPr>
          <w:color w:val="222222"/>
          <w:highlight w:val="white"/>
        </w:rPr>
        <w:t>, 1-8.</w:t>
      </w:r>
      <w:r>
        <w:rPr/>
        <w:fldChar w:fldCharType="begin"/>
      </w:r>
      <w:r>
        <w:instrText xml:space="preserve"> HYPERLINK "https://link.springer.com/article/10.1186/s12909-019-1585-z" </w:instrText>
      </w:r>
      <w:r>
        <w:rPr/>
        <w:fldChar w:fldCharType="separate"/>
      </w:r>
      <w:r>
        <w:rPr>
          <w:color w:val="1155cc"/>
          <w:highlight w:val="white"/>
          <w:u w:val="single"/>
        </w:rPr>
        <w:t>https://link.springer.com/article/10.1186/s12909-019-1585-z</w:t>
      </w:r>
      <w:r>
        <w:rPr/>
        <w:fldChar w:fldCharType="end"/>
      </w:r>
    </w:p>
    <w:p>
      <w:pPr>
        <w:pStyle w:val="style0"/>
        <w:spacing w:before="240" w:after="240"/>
        <w:rPr>
          <w:color w:val="222222"/>
          <w:highlight w:val="white"/>
        </w:rPr>
      </w:pPr>
      <w:r>
        <w:rPr>
          <w:color w:val="222222"/>
          <w:highlight w:val="white"/>
        </w:rPr>
        <w:t xml:space="preserve">Yaacob, A., Mohd Asraf, R., Hussain, R. M. R., and Ismail, S. N. (2021). Empowering Learners' Reflective Thinking through Collaborative Reflective Learning. </w:t>
      </w:r>
      <w:r>
        <w:rPr>
          <w:i/>
          <w:color w:val="222222"/>
          <w:highlight w:val="white"/>
        </w:rPr>
        <w:t>International Journal of Instruction</w:t>
      </w:r>
      <w:r>
        <w:rPr>
          <w:color w:val="222222"/>
          <w:highlight w:val="white"/>
        </w:rPr>
        <w:t xml:space="preserve">, </w:t>
      </w:r>
      <w:r>
        <w:rPr>
          <w:i/>
          <w:color w:val="222222"/>
          <w:highlight w:val="white"/>
        </w:rPr>
        <w:t>14</w:t>
      </w:r>
      <w:r>
        <w:rPr>
          <w:color w:val="222222"/>
          <w:highlight w:val="white"/>
        </w:rPr>
        <w:t>(1), 709-726.</w:t>
      </w:r>
      <w:r>
        <w:rPr/>
        <w:fldChar w:fldCharType="begin"/>
      </w:r>
      <w:r>
        <w:instrText xml:space="preserve"> HYPERLINK "https://files.eric.ed.gov/fulltext/EJ1282379.pdf" </w:instrText>
      </w:r>
      <w:r>
        <w:rPr/>
        <w:fldChar w:fldCharType="separate"/>
      </w:r>
      <w:r>
        <w:rPr>
          <w:color w:val="1155cc"/>
          <w:highlight w:val="white"/>
          <w:u w:val="single"/>
        </w:rPr>
        <w:t>https://files.eric.ed.gov/fulltext/EJ1282379.pdf</w:t>
      </w:r>
      <w:r>
        <w:rPr/>
        <w:fldChar w:fldCharType="end"/>
      </w:r>
    </w:p>
    <w:p>
      <w:pPr>
        <w:pStyle w:val="style0"/>
        <w:spacing w:before="240" w:after="240"/>
        <w:rPr>
          <w:color w:val="222222"/>
          <w:highlight w:val="white"/>
        </w:rPr>
      </w:pPr>
    </w:p>
    <w:p>
      <w:pPr>
        <w:pStyle w:val="style0"/>
        <w:spacing w:before="240" w:after="240"/>
        <w:rPr/>
      </w:pPr>
      <w:r>
        <w:t xml:space="preserve"> </w:t>
      </w:r>
    </w:p>
    <w:sectPr>
      <w:footerReference w:type="default" r:id="rId2"/>
      <w:pgSz w:w="11909" w:h="16834"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w:altName w:val="Calibri"/>
    <w:panose1 w:val="020f0502020002030204"/>
    <w:charset w:val="00"/>
    <w:family w:val="swiss"/>
    <w:pitch w:val="variable"/>
    <w:sig w:usb0="E4002EFF" w:usb1="C000247B" w:usb2="00000009" w:usb3="00000000" w:csb0="000001FF" w:csb1="00000000"/>
  </w:font>
  <w:font w:name="Tahoma">
    <w:altName w:val="Tahoma"/>
    <w:panose1 w:val="020b0604030005040204"/>
    <w:charset w:val="00"/>
    <w:family w:val="swiss"/>
    <w:pitch w:val="variable"/>
    <w:sig w:usb0="E1002EFF" w:usb1="C000605B" w:usb2="00000029" w:usb3="00000000" w:csb0="000101FF"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9</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88"/>
  <w:hideSpellingErrors/>
  <w:hideGrammaticalErrors/>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Times New Roman" w:hAnsi="Times New Roman"/>
        <w:sz w:val="24"/>
        <w:szCs w:val="24"/>
        <w:lang w:val="en-IN" w:bidi="ar-SA" w:eastAsia="en-IN"/>
      </w:rPr>
    </w:rPrDefault>
    <w:pPrDefault>
      <w:pPr>
        <w:spacing w:lineRule="auto" w:line="360"/>
        <w:jc w:val="both"/>
      </w:pPr>
    </w:pPrDefault>
  </w:docDefaults>
  <w:style w:type="paragraph" w:default="1" w:styleId="style0">
    <w:name w:val="Normal"/>
    <w:next w:val="style0"/>
    <w:pPr/>
  </w:style>
  <w:style w:type="paragraph" w:styleId="style1">
    <w:name w:val="heading 1"/>
    <w:basedOn w:val="style0"/>
    <w:next w:val="style0"/>
    <w:pPr>
      <w:keepNext/>
      <w:keepLines/>
      <w:outlineLvl w:val="0"/>
    </w:pPr>
    <w:rPr>
      <w:b/>
      <w:sz w:val="28"/>
      <w:szCs w:val="28"/>
    </w:rPr>
  </w:style>
  <w:style w:type="paragraph" w:styleId="style2">
    <w:name w:val="heading 2"/>
    <w:basedOn w:val="style0"/>
    <w:next w:val="style0"/>
    <w:pPr>
      <w:keepNext/>
      <w:keepLines/>
      <w:outlineLvl w:val="1"/>
    </w:pPr>
    <w:rPr>
      <w:b/>
      <w:sz w:val="26"/>
      <w:szCs w:val="26"/>
    </w:rPr>
  </w:style>
  <w:style w:type="paragraph" w:styleId="style3">
    <w:name w:val="heading 3"/>
    <w:basedOn w:val="style0"/>
    <w:next w:val="style0"/>
    <w:pPr>
      <w:keepNext/>
      <w:keepLines/>
      <w:spacing w:before="320" w:after="80"/>
      <w:outlineLvl w:val="2"/>
    </w:pPr>
    <w:rPr>
      <w:color w:val="434343"/>
      <w:sz w:val="28"/>
      <w:szCs w:val="28"/>
    </w:rPr>
  </w:style>
  <w:style w:type="paragraph" w:styleId="style4">
    <w:name w:val="heading 4"/>
    <w:basedOn w:val="style0"/>
    <w:next w:val="style0"/>
    <w:pPr>
      <w:keepNext/>
      <w:keepLines/>
      <w:spacing w:before="280" w:after="80"/>
      <w:outlineLvl w:val="3"/>
    </w:pPr>
    <w:rPr>
      <w:color w:val="666666"/>
    </w:rPr>
  </w:style>
  <w:style w:type="paragraph" w:styleId="style5">
    <w:name w:val="heading 5"/>
    <w:basedOn w:val="style0"/>
    <w:next w:val="style0"/>
    <w:pPr>
      <w:keepNext/>
      <w:keepLines/>
      <w:spacing w:before="240" w:after="80"/>
      <w:outlineLvl w:val="4"/>
    </w:pPr>
    <w:rPr>
      <w:color w:val="666666"/>
      <w:sz w:val="22"/>
      <w:szCs w:val="22"/>
    </w:rPr>
  </w:style>
  <w:style w:type="paragraph" w:styleId="style6">
    <w:name w:val="heading 6"/>
    <w:basedOn w:val="style0"/>
    <w:next w:val="style0"/>
    <w:pPr>
      <w:keepNext/>
      <w:keepLines/>
      <w:spacing w:before="240" w:after="80"/>
      <w:outlineLvl w:val="5"/>
    </w:pPr>
    <w:rPr>
      <w:i/>
      <w:color w:val="666666"/>
      <w:sz w:val="22"/>
      <w:szCs w:val="22"/>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pPr>
      <w:keepNext/>
      <w:keepLines/>
      <w:spacing w:after="60"/>
    </w:pPr>
    <w:rPr>
      <w:sz w:val="52"/>
      <w:szCs w:val="52"/>
    </w:rPr>
  </w:style>
  <w:style w:type="paragraph" w:styleId="style74">
    <w:name w:val="Subtitle"/>
    <w:basedOn w:val="style0"/>
    <w:next w:val="style0"/>
    <w:pPr>
      <w:keepNext/>
      <w:keepLines/>
      <w:spacing w:after="320"/>
    </w:pPr>
    <w:rPr>
      <w:rFonts w:ascii="Arial" w:cs="Arial" w:eastAsia="Arial" w:hAnsi="Arial"/>
      <w:color w:val="666666"/>
      <w:sz w:val="30"/>
      <w:szCs w:val="30"/>
    </w:rPr>
  </w:style>
  <w:style w:type="paragraph" w:styleId="style31">
    <w:name w:val="header"/>
    <w:basedOn w:val="style0"/>
    <w:next w:val="style31"/>
    <w:link w:val="style4097"/>
    <w:uiPriority w:val="99"/>
    <w:pPr>
      <w:tabs>
        <w:tab w:val="center" w:leader="none" w:pos="4513"/>
        <w:tab w:val="right" w:leader="none" w:pos="9026"/>
      </w:tabs>
      <w:spacing w:lineRule="auto" w:line="240"/>
    </w:pPr>
    <w:rPr/>
  </w:style>
  <w:style w:type="character" w:customStyle="1" w:styleId="style4097">
    <w:name w:val="Header Char_f72e615f-b459-4de0-82e2-5fc076721a1a"/>
    <w:basedOn w:val="style65"/>
    <w:next w:val="style4097"/>
    <w:link w:val="style31"/>
    <w:uiPriority w:val="99"/>
  </w:style>
  <w:style w:type="paragraph" w:styleId="style32">
    <w:name w:val="footer"/>
    <w:basedOn w:val="style0"/>
    <w:next w:val="style32"/>
    <w:link w:val="style4098"/>
    <w:uiPriority w:val="99"/>
    <w:pPr>
      <w:tabs>
        <w:tab w:val="center" w:leader="none" w:pos="4513"/>
        <w:tab w:val="right" w:leader="none" w:pos="9026"/>
      </w:tabs>
      <w:spacing w:lineRule="auto" w:line="240"/>
    </w:pPr>
    <w:rPr/>
  </w:style>
  <w:style w:type="character" w:customStyle="1" w:styleId="style4098">
    <w:name w:val="Footer Char_e6adaea8-787c-4a4f-935b-f1a50eea271b"/>
    <w:basedOn w:val="style65"/>
    <w:next w:val="style4098"/>
    <w:link w:val="style32"/>
    <w:uiPriority w:val="99"/>
  </w:style>
  <w:style w:type="paragraph" w:styleId="style266">
    <w:name w:val="TOC Heading"/>
    <w:basedOn w:val="style1"/>
    <w:next w:val="style0"/>
    <w:qFormat/>
    <w:uiPriority w:val="39"/>
    <w:pPr>
      <w:spacing w:before="480" w:lineRule="auto" w:line="276"/>
      <w:jc w:val="left"/>
      <w:outlineLvl w:val="9"/>
    </w:pPr>
    <w:rPr>
      <w:rFonts w:ascii="Calibri" w:cs="宋体" w:eastAsia="宋体" w:hAnsi="Calibri"/>
      <w:bCs/>
      <w:color w:val="365f91"/>
      <w:lang w:val="en-US" w:eastAsia="ja-JP"/>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character" w:styleId="style85">
    <w:name w:val="Hyperlink"/>
    <w:basedOn w:val="style65"/>
    <w:next w:val="style85"/>
    <w:uiPriority w:val="99"/>
    <w:rPr>
      <w:color w:val="0000ff"/>
      <w:u w:val="single"/>
    </w:rPr>
  </w:style>
  <w:style w:type="paragraph" w:styleId="style153">
    <w:name w:val="Balloon Text"/>
    <w:basedOn w:val="style0"/>
    <w:next w:val="style153"/>
    <w:link w:val="style4099"/>
    <w:uiPriority w:val="99"/>
    <w:pPr>
      <w:spacing w:lineRule="auto" w:line="240"/>
    </w:pPr>
    <w:rPr>
      <w:rFonts w:ascii="Tahoma" w:cs="Tahoma" w:hAnsi="Tahoma"/>
      <w:sz w:val="16"/>
      <w:szCs w:val="16"/>
    </w:rPr>
  </w:style>
  <w:style w:type="character" w:customStyle="1" w:styleId="style4099">
    <w:name w:val="Balloon Text Char"/>
    <w:basedOn w:val="style65"/>
    <w:next w:val="style4099"/>
    <w:link w:val="style153"/>
    <w:uiPriority w:val="99"/>
    <w:rPr>
      <w:rFonts w:ascii="Tahoma" w:cs="Tahoma" w:hAnsi="Tahoma"/>
      <w:sz w:val="16"/>
      <w:szCs w:val="16"/>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F69DCB-8F22-4B28-B42A-D2DEA095E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Words>2496</Words>
  <Pages>10</Pages>
  <Characters>15039</Characters>
  <Application>WPS Office</Application>
  <DocSecurity>0</DocSecurity>
  <Paragraphs>71</Paragraphs>
  <ScaleCrop>false</ScaleCrop>
  <LinksUpToDate>false</LinksUpToDate>
  <CharactersWithSpaces>17549</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2023-08-28T11:14:00Z</dcterms:created>
  <dc:creator>Admin</dc:creator>
  <lastModifiedBy>CPH2015</lastModifiedBy>
  <dcterms:modified xsi:type="dcterms:W3CDTF">2023-08-31T06:35:50Z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2f15d705a2e426eb2dca6a59b1122e8cfad3edc8d148b34acb05543b6bee324e</vt:lpwstr>
  </property>
  <property fmtid="{D5CDD505-2E9C-101B-9397-08002B2CF9AE}" pid="3" name="ICV">
    <vt:lpwstr>ebbc754aa72e4dc7bd0bb4d155a45eca</vt:lpwstr>
  </property>
</Properties>
</file>