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B1C8F" w14:textId="41E3DC3C" w:rsidR="003129FE" w:rsidRDefault="008F1C37" w:rsidP="00BA49E6">
      <w:pPr>
        <w:spacing w:line="360" w:lineRule="auto"/>
        <w:jc w:val="center"/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>
        <w:rPr>
          <w:rFonts w:ascii="Arial" w:hAnsi="Arial" w:cs="Arial"/>
          <w:b/>
          <w:bCs/>
          <w:i/>
          <w:iCs/>
          <w:sz w:val="28"/>
          <w:szCs w:val="28"/>
          <w:u w:val="single"/>
        </w:rPr>
        <w:t xml:space="preserve"> </w:t>
      </w:r>
      <w:r w:rsidR="00BA49E6" w:rsidRPr="00BA49E6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Play Paraphrasing Task</w:t>
      </w:r>
    </w:p>
    <w:p w14:paraId="59C13EAB" w14:textId="42B8FEB4" w:rsidR="00BA49E6" w:rsidRDefault="00BA49E6" w:rsidP="00BA49E6">
      <w:pPr>
        <w:spacing w:line="360" w:lineRule="auto"/>
        <w:rPr>
          <w:rFonts w:ascii="Arial" w:hAnsi="Arial" w:cs="Arial"/>
          <w:sz w:val="24"/>
          <w:szCs w:val="24"/>
        </w:rPr>
      </w:pPr>
    </w:p>
    <w:p w14:paraId="4E10061F" w14:textId="79DFA041" w:rsidR="005D064B" w:rsidRDefault="000149BC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Play is a crucial part of a child’s development. When the opportunity for play is presented to a child in the correct manner, it is very beneficial to their learning. Brock</w:t>
      </w:r>
      <w:r w:rsidR="00032931">
        <w:rPr>
          <w:rFonts w:ascii="Arial" w:hAnsi="Arial" w:cs="Arial"/>
          <w:sz w:val="24"/>
          <w:szCs w:val="24"/>
        </w:rPr>
        <w:t xml:space="preserve"> </w:t>
      </w:r>
      <w:r w:rsidRPr="00032931">
        <w:rPr>
          <w:rFonts w:ascii="Arial" w:hAnsi="Arial" w:cs="Arial"/>
          <w:i/>
          <w:iCs/>
          <w:sz w:val="24"/>
          <w:szCs w:val="24"/>
        </w:rPr>
        <w:t>et al</w:t>
      </w:r>
      <w:r w:rsidR="0003293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E6A8A">
        <w:rPr>
          <w:rFonts w:ascii="Arial" w:hAnsi="Arial" w:cs="Arial"/>
          <w:sz w:val="24"/>
          <w:szCs w:val="24"/>
        </w:rPr>
        <w:t>(</w:t>
      </w:r>
      <w:r w:rsidR="00032931">
        <w:rPr>
          <w:rFonts w:ascii="Arial" w:hAnsi="Arial" w:cs="Arial"/>
          <w:sz w:val="24"/>
          <w:szCs w:val="24"/>
        </w:rPr>
        <w:t>2013)</w:t>
      </w:r>
      <w:r w:rsidR="007A5A3A">
        <w:rPr>
          <w:rFonts w:ascii="Arial" w:hAnsi="Arial" w:cs="Arial"/>
          <w:sz w:val="24"/>
          <w:szCs w:val="24"/>
        </w:rPr>
        <w:t xml:space="preserve"> </w:t>
      </w:r>
      <w:r w:rsidR="00F9183C">
        <w:rPr>
          <w:rFonts w:ascii="Arial" w:hAnsi="Arial" w:cs="Arial"/>
          <w:sz w:val="24"/>
          <w:szCs w:val="24"/>
        </w:rPr>
        <w:t xml:space="preserve">displays that </w:t>
      </w:r>
      <w:r w:rsidR="00EA07BC">
        <w:rPr>
          <w:rFonts w:ascii="Arial" w:hAnsi="Arial" w:cs="Arial"/>
          <w:sz w:val="24"/>
          <w:szCs w:val="24"/>
        </w:rPr>
        <w:t xml:space="preserve">children </w:t>
      </w:r>
      <w:r w:rsidR="000E21F7">
        <w:rPr>
          <w:rFonts w:ascii="Arial" w:hAnsi="Arial" w:cs="Arial"/>
          <w:sz w:val="24"/>
          <w:szCs w:val="24"/>
        </w:rPr>
        <w:t xml:space="preserve">are </w:t>
      </w:r>
      <w:r w:rsidR="00D62BFE">
        <w:rPr>
          <w:rFonts w:ascii="Arial" w:hAnsi="Arial" w:cs="Arial"/>
          <w:sz w:val="24"/>
          <w:szCs w:val="24"/>
        </w:rPr>
        <w:t>interested in play from a young age and that the children should be encouraged to</w:t>
      </w:r>
      <w:r w:rsidR="00EB0045">
        <w:rPr>
          <w:rFonts w:ascii="Arial" w:hAnsi="Arial" w:cs="Arial"/>
          <w:sz w:val="24"/>
          <w:szCs w:val="24"/>
        </w:rPr>
        <w:t xml:space="preserve"> be involved in</w:t>
      </w:r>
      <w:r w:rsidR="00D62BFE">
        <w:rPr>
          <w:rFonts w:ascii="Arial" w:hAnsi="Arial" w:cs="Arial"/>
          <w:sz w:val="24"/>
          <w:szCs w:val="24"/>
        </w:rPr>
        <w:t xml:space="preserve"> play that is suited to help them develop and learn. </w:t>
      </w:r>
      <w:r w:rsidR="00047967">
        <w:rPr>
          <w:rFonts w:ascii="Arial" w:hAnsi="Arial" w:cs="Arial"/>
          <w:sz w:val="24"/>
          <w:szCs w:val="24"/>
        </w:rPr>
        <w:t xml:space="preserve"> </w:t>
      </w:r>
      <w:r w:rsidR="003A1916">
        <w:rPr>
          <w:rFonts w:ascii="Arial" w:hAnsi="Arial" w:cs="Arial"/>
          <w:sz w:val="24"/>
          <w:szCs w:val="24"/>
        </w:rPr>
        <w:t xml:space="preserve">Moyles (2010) </w:t>
      </w:r>
      <w:r w:rsidR="0020599F">
        <w:rPr>
          <w:rFonts w:ascii="Arial" w:hAnsi="Arial" w:cs="Arial"/>
          <w:sz w:val="24"/>
          <w:szCs w:val="24"/>
        </w:rPr>
        <w:t xml:space="preserve">illustrates </w:t>
      </w:r>
      <w:r w:rsidR="00475318">
        <w:rPr>
          <w:rFonts w:ascii="Arial" w:hAnsi="Arial" w:cs="Arial"/>
          <w:sz w:val="24"/>
          <w:szCs w:val="24"/>
        </w:rPr>
        <w:t xml:space="preserve">how </w:t>
      </w:r>
      <w:r w:rsidR="00950261">
        <w:rPr>
          <w:rFonts w:ascii="Arial" w:hAnsi="Arial" w:cs="Arial"/>
          <w:sz w:val="24"/>
          <w:szCs w:val="24"/>
        </w:rPr>
        <w:t xml:space="preserve">learning and play </w:t>
      </w:r>
      <w:r w:rsidR="000B5A0A">
        <w:rPr>
          <w:rFonts w:ascii="Arial" w:hAnsi="Arial" w:cs="Arial"/>
          <w:sz w:val="24"/>
          <w:szCs w:val="24"/>
        </w:rPr>
        <w:t xml:space="preserve">are </w:t>
      </w:r>
      <w:r w:rsidR="005F24C5">
        <w:rPr>
          <w:rFonts w:ascii="Arial" w:hAnsi="Arial" w:cs="Arial"/>
          <w:sz w:val="24"/>
          <w:szCs w:val="24"/>
        </w:rPr>
        <w:t>undeniably connected</w:t>
      </w:r>
      <w:r w:rsidR="003177CD">
        <w:rPr>
          <w:rFonts w:ascii="Arial" w:hAnsi="Arial" w:cs="Arial"/>
          <w:sz w:val="24"/>
          <w:szCs w:val="24"/>
        </w:rPr>
        <w:t xml:space="preserve">. </w:t>
      </w:r>
      <w:r w:rsidR="00662B97">
        <w:rPr>
          <w:rFonts w:ascii="Arial" w:hAnsi="Arial" w:cs="Arial"/>
          <w:sz w:val="24"/>
          <w:szCs w:val="24"/>
        </w:rPr>
        <w:t xml:space="preserve">This is backed up by </w:t>
      </w:r>
      <w:r w:rsidR="003F6837">
        <w:rPr>
          <w:rFonts w:ascii="Arial" w:hAnsi="Arial" w:cs="Arial"/>
          <w:sz w:val="24"/>
          <w:szCs w:val="24"/>
        </w:rPr>
        <w:t xml:space="preserve">the fact “play is learning” </w:t>
      </w:r>
      <w:r w:rsidR="008C5752">
        <w:rPr>
          <w:rFonts w:ascii="Arial" w:hAnsi="Arial" w:cs="Arial"/>
          <w:sz w:val="24"/>
          <w:szCs w:val="24"/>
        </w:rPr>
        <w:t xml:space="preserve">Early </w:t>
      </w:r>
      <w:r w:rsidR="008E065D">
        <w:rPr>
          <w:rFonts w:ascii="Arial" w:hAnsi="Arial" w:cs="Arial"/>
          <w:sz w:val="24"/>
          <w:szCs w:val="24"/>
        </w:rPr>
        <w:t xml:space="preserve">Years Matters (2018). </w:t>
      </w:r>
      <w:r w:rsidR="00CC5DED">
        <w:rPr>
          <w:rFonts w:ascii="Arial" w:hAnsi="Arial" w:cs="Arial"/>
          <w:sz w:val="24"/>
          <w:szCs w:val="24"/>
        </w:rPr>
        <w:t xml:space="preserve">Whitehead </w:t>
      </w:r>
      <w:r w:rsidR="00CC5DED">
        <w:rPr>
          <w:rFonts w:ascii="Arial" w:hAnsi="Arial" w:cs="Arial"/>
          <w:i/>
          <w:iCs/>
          <w:sz w:val="24"/>
          <w:szCs w:val="24"/>
        </w:rPr>
        <w:t>et al.</w:t>
      </w:r>
      <w:r w:rsidR="00CC5DED">
        <w:rPr>
          <w:rFonts w:ascii="Arial" w:hAnsi="Arial" w:cs="Arial"/>
          <w:sz w:val="24"/>
          <w:szCs w:val="24"/>
        </w:rPr>
        <w:t xml:space="preserve"> (</w:t>
      </w:r>
      <w:r w:rsidR="002F2D4F">
        <w:rPr>
          <w:rFonts w:ascii="Arial" w:hAnsi="Arial" w:cs="Arial"/>
          <w:sz w:val="24"/>
          <w:szCs w:val="24"/>
        </w:rPr>
        <w:t>2012) demonstrates a</w:t>
      </w:r>
      <w:r w:rsidR="002F04EA">
        <w:rPr>
          <w:rFonts w:ascii="Arial" w:hAnsi="Arial" w:cs="Arial"/>
          <w:sz w:val="24"/>
          <w:szCs w:val="24"/>
        </w:rPr>
        <w:t xml:space="preserve">nother perspective of play </w:t>
      </w:r>
      <w:r w:rsidR="00F5543D">
        <w:rPr>
          <w:rFonts w:ascii="Arial" w:hAnsi="Arial" w:cs="Arial"/>
          <w:sz w:val="24"/>
          <w:szCs w:val="24"/>
        </w:rPr>
        <w:t xml:space="preserve">showing that some people believe that play is </w:t>
      </w:r>
      <w:r w:rsidR="001319B7">
        <w:rPr>
          <w:rFonts w:ascii="Arial" w:hAnsi="Arial" w:cs="Arial"/>
          <w:sz w:val="24"/>
          <w:szCs w:val="24"/>
        </w:rPr>
        <w:t xml:space="preserve">not critical to children’s </w:t>
      </w:r>
      <w:r w:rsidR="001C2AA3">
        <w:rPr>
          <w:rFonts w:ascii="Arial" w:hAnsi="Arial" w:cs="Arial"/>
          <w:sz w:val="24"/>
          <w:szCs w:val="24"/>
        </w:rPr>
        <w:t xml:space="preserve">development </w:t>
      </w:r>
      <w:r w:rsidR="003F6516">
        <w:rPr>
          <w:rFonts w:ascii="Arial" w:hAnsi="Arial" w:cs="Arial"/>
          <w:sz w:val="24"/>
          <w:szCs w:val="24"/>
        </w:rPr>
        <w:t>and is not supportive of their education</w:t>
      </w:r>
      <w:r w:rsidR="003A127D">
        <w:rPr>
          <w:rFonts w:ascii="Arial" w:hAnsi="Arial" w:cs="Arial"/>
          <w:sz w:val="24"/>
          <w:szCs w:val="24"/>
        </w:rPr>
        <w:t>. However</w:t>
      </w:r>
      <w:r w:rsidR="00A95ECA">
        <w:rPr>
          <w:rFonts w:ascii="Arial" w:hAnsi="Arial" w:cs="Arial"/>
          <w:sz w:val="24"/>
          <w:szCs w:val="24"/>
        </w:rPr>
        <w:t xml:space="preserve"> </w:t>
      </w:r>
      <w:r w:rsidR="00E31FD7">
        <w:rPr>
          <w:rFonts w:ascii="Arial" w:hAnsi="Arial" w:cs="Arial"/>
          <w:sz w:val="24"/>
          <w:szCs w:val="24"/>
        </w:rPr>
        <w:t>Herrington and Brussoni (2015)</w:t>
      </w:r>
      <w:r w:rsidR="00675D67">
        <w:rPr>
          <w:rFonts w:ascii="Arial" w:hAnsi="Arial" w:cs="Arial"/>
          <w:sz w:val="24"/>
          <w:szCs w:val="24"/>
        </w:rPr>
        <w:t xml:space="preserve"> </w:t>
      </w:r>
      <w:r w:rsidR="00D13649">
        <w:rPr>
          <w:rFonts w:ascii="Arial" w:hAnsi="Arial" w:cs="Arial"/>
          <w:sz w:val="24"/>
          <w:szCs w:val="24"/>
        </w:rPr>
        <w:t xml:space="preserve">defends the importance of play </w:t>
      </w:r>
      <w:r w:rsidR="0095138F">
        <w:rPr>
          <w:rFonts w:ascii="Arial" w:hAnsi="Arial" w:cs="Arial"/>
          <w:sz w:val="24"/>
          <w:szCs w:val="24"/>
        </w:rPr>
        <w:t xml:space="preserve">by </w:t>
      </w:r>
      <w:r w:rsidR="004753B5">
        <w:rPr>
          <w:rFonts w:ascii="Arial" w:hAnsi="Arial" w:cs="Arial"/>
          <w:sz w:val="24"/>
          <w:szCs w:val="24"/>
        </w:rPr>
        <w:t xml:space="preserve">explain that a child is now </w:t>
      </w:r>
      <w:r w:rsidR="005D064B">
        <w:rPr>
          <w:rFonts w:ascii="Arial" w:hAnsi="Arial" w:cs="Arial"/>
          <w:sz w:val="24"/>
          <w:szCs w:val="24"/>
        </w:rPr>
        <w:t>entitled to the right to play.</w:t>
      </w:r>
    </w:p>
    <w:p w14:paraId="1313CA1D" w14:textId="77777777" w:rsidR="005D064B" w:rsidRDefault="005D06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2D253A5" w14:textId="4E72064E" w:rsidR="00BA49E6" w:rsidRDefault="005D064B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list:</w:t>
      </w:r>
    </w:p>
    <w:p w14:paraId="0768B5B5" w14:textId="46AFDF01" w:rsidR="005D064B" w:rsidRDefault="006D2249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Brock</w:t>
      </w:r>
      <w:r w:rsidR="00FD0008">
        <w:rPr>
          <w:rFonts w:ascii="Arial" w:hAnsi="Arial" w:cs="Arial"/>
          <w:sz w:val="24"/>
          <w:szCs w:val="24"/>
        </w:rPr>
        <w:t>, A., Dodds, S., Jarvis, P</w:t>
      </w:r>
      <w:r w:rsidR="00EB41C7">
        <w:rPr>
          <w:rFonts w:ascii="Arial" w:hAnsi="Arial" w:cs="Arial"/>
          <w:sz w:val="24"/>
          <w:szCs w:val="24"/>
        </w:rPr>
        <w:t>. and Olunga, Y</w:t>
      </w:r>
      <w:r w:rsidR="00ED6F3C">
        <w:rPr>
          <w:rFonts w:ascii="Arial" w:hAnsi="Arial" w:cs="Arial"/>
          <w:sz w:val="24"/>
          <w:szCs w:val="24"/>
        </w:rPr>
        <w:t>.</w:t>
      </w:r>
      <w:r w:rsidR="00EB41C7">
        <w:rPr>
          <w:rFonts w:ascii="Arial" w:hAnsi="Arial" w:cs="Arial"/>
          <w:sz w:val="24"/>
          <w:szCs w:val="24"/>
        </w:rPr>
        <w:t xml:space="preserve"> </w:t>
      </w:r>
      <w:r w:rsidR="002A2FCB">
        <w:rPr>
          <w:rFonts w:ascii="Arial" w:hAnsi="Arial" w:cs="Arial"/>
          <w:sz w:val="24"/>
          <w:szCs w:val="24"/>
        </w:rPr>
        <w:t>(2013)</w:t>
      </w:r>
      <w:r w:rsidR="000E1634">
        <w:rPr>
          <w:rFonts w:ascii="Arial" w:hAnsi="Arial" w:cs="Arial"/>
          <w:sz w:val="24"/>
          <w:szCs w:val="24"/>
        </w:rPr>
        <w:t xml:space="preserve"> </w:t>
      </w:r>
      <w:r w:rsidR="000E1634">
        <w:rPr>
          <w:rFonts w:ascii="Arial" w:hAnsi="Arial" w:cs="Arial"/>
          <w:i/>
          <w:iCs/>
          <w:sz w:val="24"/>
          <w:szCs w:val="24"/>
        </w:rPr>
        <w:t xml:space="preserve">Perspectives on Play: Learning for </w:t>
      </w:r>
      <w:r w:rsidR="00102B73">
        <w:rPr>
          <w:rFonts w:ascii="Arial" w:hAnsi="Arial" w:cs="Arial"/>
          <w:i/>
          <w:iCs/>
          <w:sz w:val="24"/>
          <w:szCs w:val="24"/>
        </w:rPr>
        <w:t xml:space="preserve">life. </w:t>
      </w:r>
      <w:r w:rsidR="00102B73">
        <w:rPr>
          <w:rFonts w:ascii="Arial" w:hAnsi="Arial" w:cs="Arial"/>
          <w:sz w:val="24"/>
          <w:szCs w:val="24"/>
        </w:rPr>
        <w:t>Oxon:</w:t>
      </w:r>
      <w:r w:rsidR="00C4629C">
        <w:rPr>
          <w:rFonts w:ascii="Arial" w:hAnsi="Arial" w:cs="Arial"/>
          <w:sz w:val="24"/>
          <w:szCs w:val="24"/>
        </w:rPr>
        <w:t xml:space="preserve"> Routledge</w:t>
      </w:r>
    </w:p>
    <w:p w14:paraId="640AF736" w14:textId="18C21702" w:rsidR="00C4629C" w:rsidRDefault="00C23EA3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Matters (2018) </w:t>
      </w:r>
      <w:r>
        <w:rPr>
          <w:rFonts w:ascii="Arial" w:hAnsi="Arial" w:cs="Arial"/>
          <w:i/>
          <w:iCs/>
          <w:sz w:val="24"/>
          <w:szCs w:val="24"/>
        </w:rPr>
        <w:t>The importance of play</w:t>
      </w:r>
      <w:r w:rsidR="006205F5">
        <w:rPr>
          <w:rFonts w:ascii="Arial" w:hAnsi="Arial" w:cs="Arial"/>
          <w:i/>
          <w:iCs/>
          <w:sz w:val="24"/>
          <w:szCs w:val="24"/>
        </w:rPr>
        <w:t>.</w:t>
      </w:r>
      <w:r w:rsidR="00B51EF4">
        <w:rPr>
          <w:rFonts w:ascii="Arial" w:hAnsi="Arial" w:cs="Arial"/>
          <w:i/>
          <w:iCs/>
          <w:sz w:val="24"/>
          <w:szCs w:val="24"/>
        </w:rPr>
        <w:t xml:space="preserve"> </w:t>
      </w:r>
      <w:r w:rsidR="00B51EF4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8A6F1D" w:rsidRPr="001567EC">
          <w:rPr>
            <w:rStyle w:val="Hyperlink"/>
            <w:rFonts w:ascii="Arial" w:hAnsi="Arial" w:cs="Arial"/>
            <w:sz w:val="24"/>
            <w:szCs w:val="24"/>
          </w:rPr>
          <w:t>https://www.earlyyearsmatters.co.uk/eyfs/a-unique-child/play-learning/</w:t>
        </w:r>
      </w:hyperlink>
      <w:r w:rsidR="008A6F1D">
        <w:rPr>
          <w:rFonts w:ascii="Arial" w:hAnsi="Arial" w:cs="Arial"/>
          <w:sz w:val="24"/>
          <w:szCs w:val="24"/>
        </w:rPr>
        <w:t xml:space="preserve"> (Accessed: </w:t>
      </w:r>
      <w:r w:rsidR="00CB33A0">
        <w:rPr>
          <w:rFonts w:ascii="Arial" w:hAnsi="Arial" w:cs="Arial"/>
          <w:sz w:val="24"/>
          <w:szCs w:val="24"/>
        </w:rPr>
        <w:t>14 October 2022)</w:t>
      </w:r>
    </w:p>
    <w:p w14:paraId="68F96D42" w14:textId="46E05673" w:rsidR="006205F5" w:rsidRDefault="00CA44E0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Herrington</w:t>
      </w:r>
      <w:r w:rsidR="003F2A4D">
        <w:rPr>
          <w:rFonts w:ascii="Arial" w:hAnsi="Arial" w:cs="Arial"/>
          <w:sz w:val="24"/>
          <w:szCs w:val="24"/>
        </w:rPr>
        <w:t xml:space="preserve">, S. and Brussoni, M. </w:t>
      </w:r>
      <w:r w:rsidR="00EB5FCD">
        <w:rPr>
          <w:rFonts w:ascii="Arial" w:hAnsi="Arial" w:cs="Arial"/>
          <w:sz w:val="24"/>
          <w:szCs w:val="24"/>
        </w:rPr>
        <w:t xml:space="preserve">(2015) </w:t>
      </w:r>
      <w:r w:rsidR="0088067B">
        <w:rPr>
          <w:rFonts w:ascii="Arial" w:hAnsi="Arial" w:cs="Arial"/>
          <w:sz w:val="24"/>
          <w:szCs w:val="24"/>
        </w:rPr>
        <w:t>‘</w:t>
      </w:r>
      <w:r w:rsidR="00CE090B">
        <w:rPr>
          <w:rFonts w:ascii="Arial" w:hAnsi="Arial" w:cs="Arial"/>
          <w:sz w:val="24"/>
          <w:szCs w:val="24"/>
        </w:rPr>
        <w:t xml:space="preserve">Beyond </w:t>
      </w:r>
      <w:r w:rsidR="00F9431E">
        <w:rPr>
          <w:rFonts w:ascii="Arial" w:hAnsi="Arial" w:cs="Arial"/>
          <w:sz w:val="24"/>
          <w:szCs w:val="24"/>
        </w:rPr>
        <w:t xml:space="preserve">Physical </w:t>
      </w:r>
      <w:r w:rsidR="00F7506B">
        <w:rPr>
          <w:rFonts w:ascii="Arial" w:hAnsi="Arial" w:cs="Arial"/>
          <w:sz w:val="24"/>
          <w:szCs w:val="24"/>
        </w:rPr>
        <w:t xml:space="preserve">Activity: The Importance of </w:t>
      </w:r>
      <w:r w:rsidR="002D257C">
        <w:rPr>
          <w:rFonts w:ascii="Arial" w:hAnsi="Arial" w:cs="Arial"/>
          <w:sz w:val="24"/>
          <w:szCs w:val="24"/>
        </w:rPr>
        <w:t>Play and Nature</w:t>
      </w:r>
      <w:r w:rsidR="00034BEE">
        <w:rPr>
          <w:rFonts w:ascii="Arial" w:hAnsi="Arial" w:cs="Arial"/>
          <w:sz w:val="24"/>
          <w:szCs w:val="24"/>
        </w:rPr>
        <w:t xml:space="preserve">-Based Play </w:t>
      </w:r>
      <w:r w:rsidR="009C534A">
        <w:rPr>
          <w:rFonts w:ascii="Arial" w:hAnsi="Arial" w:cs="Arial"/>
          <w:sz w:val="24"/>
          <w:szCs w:val="24"/>
        </w:rPr>
        <w:t xml:space="preserve">Spaces for Children’s Health </w:t>
      </w:r>
      <w:r w:rsidR="00F74A2A">
        <w:rPr>
          <w:rFonts w:ascii="Arial" w:hAnsi="Arial" w:cs="Arial"/>
          <w:sz w:val="24"/>
          <w:szCs w:val="24"/>
        </w:rPr>
        <w:t>and Deve</w:t>
      </w:r>
      <w:r w:rsidR="003C3A8F">
        <w:rPr>
          <w:rFonts w:ascii="Arial" w:hAnsi="Arial" w:cs="Arial"/>
          <w:sz w:val="24"/>
          <w:szCs w:val="24"/>
        </w:rPr>
        <w:t>lopment’</w:t>
      </w:r>
      <w:r w:rsidR="003309AF">
        <w:rPr>
          <w:rFonts w:ascii="Arial" w:hAnsi="Arial" w:cs="Arial"/>
          <w:sz w:val="24"/>
          <w:szCs w:val="24"/>
        </w:rPr>
        <w:t xml:space="preserve">, </w:t>
      </w:r>
      <w:r w:rsidR="00F37C5C">
        <w:rPr>
          <w:rFonts w:ascii="Arial" w:hAnsi="Arial" w:cs="Arial"/>
          <w:i/>
          <w:iCs/>
          <w:sz w:val="24"/>
          <w:szCs w:val="24"/>
        </w:rPr>
        <w:t>Current Obesity Reports</w:t>
      </w:r>
      <w:r w:rsidR="006176F1">
        <w:rPr>
          <w:rFonts w:ascii="Arial" w:hAnsi="Arial" w:cs="Arial"/>
          <w:i/>
          <w:iCs/>
          <w:sz w:val="24"/>
          <w:szCs w:val="24"/>
        </w:rPr>
        <w:t xml:space="preserve">, </w:t>
      </w:r>
      <w:r w:rsidR="000D00B3">
        <w:rPr>
          <w:rFonts w:ascii="Arial" w:hAnsi="Arial" w:cs="Arial"/>
          <w:sz w:val="24"/>
          <w:szCs w:val="24"/>
        </w:rPr>
        <w:t>4(4)</w:t>
      </w:r>
      <w:r w:rsidR="00173295">
        <w:rPr>
          <w:rFonts w:ascii="Arial" w:hAnsi="Arial" w:cs="Arial"/>
          <w:sz w:val="24"/>
          <w:szCs w:val="24"/>
        </w:rPr>
        <w:t>, pp. 477-483.</w:t>
      </w:r>
    </w:p>
    <w:p w14:paraId="15C1CCF3" w14:textId="257F6B1A" w:rsidR="00173295" w:rsidRDefault="003176C9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Moyles, J. </w:t>
      </w:r>
      <w:r w:rsidR="0092304F">
        <w:rPr>
          <w:rFonts w:ascii="Arial" w:hAnsi="Arial" w:cs="Arial"/>
          <w:sz w:val="24"/>
          <w:szCs w:val="24"/>
        </w:rPr>
        <w:t>(</w:t>
      </w:r>
      <w:r w:rsidR="009211D1">
        <w:rPr>
          <w:rFonts w:ascii="Arial" w:hAnsi="Arial" w:cs="Arial"/>
          <w:sz w:val="24"/>
          <w:szCs w:val="24"/>
        </w:rPr>
        <w:t xml:space="preserve">2010) </w:t>
      </w:r>
      <w:r w:rsidR="0018327B">
        <w:rPr>
          <w:rFonts w:ascii="Arial" w:hAnsi="Arial" w:cs="Arial"/>
          <w:i/>
          <w:iCs/>
          <w:sz w:val="24"/>
          <w:szCs w:val="24"/>
        </w:rPr>
        <w:t xml:space="preserve">The </w:t>
      </w:r>
      <w:r w:rsidR="004357C4">
        <w:rPr>
          <w:rFonts w:ascii="Arial" w:hAnsi="Arial" w:cs="Arial"/>
          <w:i/>
          <w:iCs/>
          <w:sz w:val="24"/>
          <w:szCs w:val="24"/>
        </w:rPr>
        <w:t>Excellent of Play</w:t>
      </w:r>
      <w:r w:rsidR="000545A9">
        <w:rPr>
          <w:rFonts w:ascii="Arial" w:hAnsi="Arial" w:cs="Arial"/>
          <w:i/>
          <w:iCs/>
          <w:sz w:val="24"/>
          <w:szCs w:val="24"/>
        </w:rPr>
        <w:t xml:space="preserve">. </w:t>
      </w:r>
      <w:r w:rsidR="000545A9">
        <w:rPr>
          <w:rFonts w:ascii="Arial" w:hAnsi="Arial" w:cs="Arial"/>
          <w:sz w:val="24"/>
          <w:szCs w:val="24"/>
        </w:rPr>
        <w:t>2</w:t>
      </w:r>
      <w:r w:rsidR="000545A9" w:rsidRPr="000545A9">
        <w:rPr>
          <w:rFonts w:ascii="Arial" w:hAnsi="Arial" w:cs="Arial"/>
          <w:sz w:val="24"/>
          <w:szCs w:val="24"/>
          <w:vertAlign w:val="superscript"/>
        </w:rPr>
        <w:t>nd</w:t>
      </w:r>
      <w:r w:rsidR="000545A9">
        <w:rPr>
          <w:rFonts w:ascii="Arial" w:hAnsi="Arial" w:cs="Arial"/>
          <w:sz w:val="24"/>
          <w:szCs w:val="24"/>
        </w:rPr>
        <w:t xml:space="preserve"> edn. </w:t>
      </w:r>
      <w:r w:rsidR="00BE31E5">
        <w:rPr>
          <w:rFonts w:ascii="Arial" w:hAnsi="Arial" w:cs="Arial"/>
          <w:sz w:val="24"/>
          <w:szCs w:val="24"/>
        </w:rPr>
        <w:t>Berkshire: Open University Press</w:t>
      </w:r>
    </w:p>
    <w:p w14:paraId="7946C087" w14:textId="6F907002" w:rsidR="00373B55" w:rsidRPr="00160DB7" w:rsidRDefault="00D05CC9" w:rsidP="00BA49E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Whitehead</w:t>
      </w:r>
      <w:r w:rsidR="00784CA5">
        <w:rPr>
          <w:rFonts w:ascii="Arial" w:hAnsi="Arial" w:cs="Arial"/>
          <w:sz w:val="24"/>
          <w:szCs w:val="24"/>
        </w:rPr>
        <w:t>, D., Basilio, M., Kuv</w:t>
      </w:r>
      <w:r w:rsidR="0063339C">
        <w:rPr>
          <w:rFonts w:ascii="Arial" w:hAnsi="Arial" w:cs="Arial"/>
          <w:sz w:val="24"/>
          <w:szCs w:val="24"/>
        </w:rPr>
        <w:t>alja, M. and Verma, M. (2012)</w:t>
      </w:r>
      <w:r w:rsidR="000448F0">
        <w:rPr>
          <w:rFonts w:ascii="Arial" w:hAnsi="Arial" w:cs="Arial"/>
          <w:sz w:val="24"/>
          <w:szCs w:val="24"/>
        </w:rPr>
        <w:t xml:space="preserve"> </w:t>
      </w:r>
      <w:r w:rsidR="00086623">
        <w:rPr>
          <w:rFonts w:ascii="Arial" w:hAnsi="Arial" w:cs="Arial"/>
          <w:i/>
          <w:iCs/>
          <w:sz w:val="24"/>
          <w:szCs w:val="24"/>
        </w:rPr>
        <w:t xml:space="preserve">The </w:t>
      </w:r>
      <w:r w:rsidR="00B62EF2">
        <w:rPr>
          <w:rFonts w:ascii="Arial" w:hAnsi="Arial" w:cs="Arial"/>
          <w:i/>
          <w:iCs/>
          <w:sz w:val="24"/>
          <w:szCs w:val="24"/>
        </w:rPr>
        <w:t>importance of play</w:t>
      </w:r>
      <w:r w:rsidR="00160DB7">
        <w:rPr>
          <w:rFonts w:ascii="Arial" w:hAnsi="Arial" w:cs="Arial"/>
          <w:i/>
          <w:iCs/>
          <w:sz w:val="24"/>
          <w:szCs w:val="24"/>
        </w:rPr>
        <w:t xml:space="preserve">. </w:t>
      </w:r>
      <w:r w:rsidR="00160DB7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35062C" w:rsidRPr="001567EC">
          <w:rPr>
            <w:rStyle w:val="Hyperlink"/>
            <w:rFonts w:ascii="Arial" w:hAnsi="Arial" w:cs="Arial"/>
            <w:sz w:val="24"/>
            <w:szCs w:val="24"/>
          </w:rPr>
          <w:t>https://www.importanceofplay.eu/IMG/pdf/dr_david_whitebread_-_the_importance_of_play.pdf</w:t>
        </w:r>
      </w:hyperlink>
      <w:r w:rsidR="0035062C">
        <w:rPr>
          <w:rFonts w:ascii="Arial" w:hAnsi="Arial" w:cs="Arial"/>
          <w:sz w:val="24"/>
          <w:szCs w:val="24"/>
        </w:rPr>
        <w:t xml:space="preserve"> </w:t>
      </w:r>
      <w:r w:rsidR="00D02464">
        <w:rPr>
          <w:rFonts w:ascii="Arial" w:hAnsi="Arial" w:cs="Arial"/>
          <w:sz w:val="24"/>
          <w:szCs w:val="24"/>
        </w:rPr>
        <w:t>(A</w:t>
      </w:r>
      <w:r w:rsidR="00AE68E6">
        <w:rPr>
          <w:rFonts w:ascii="Arial" w:hAnsi="Arial" w:cs="Arial"/>
          <w:sz w:val="24"/>
          <w:szCs w:val="24"/>
        </w:rPr>
        <w:t>ccessed: 14 October 2022)</w:t>
      </w:r>
    </w:p>
    <w:sectPr w:rsidR="00373B55" w:rsidRPr="00160DB7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F715AD" w14:textId="77777777" w:rsidR="00121B89" w:rsidRDefault="00121B89" w:rsidP="00883D8E">
      <w:pPr>
        <w:spacing w:after="0" w:line="240" w:lineRule="auto"/>
      </w:pPr>
      <w:r>
        <w:separator/>
      </w:r>
    </w:p>
  </w:endnote>
  <w:endnote w:type="continuationSeparator" w:id="0">
    <w:p w14:paraId="08507418" w14:textId="77777777" w:rsidR="00121B89" w:rsidRDefault="00121B89" w:rsidP="00883D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3ED57D" w14:textId="77777777" w:rsidR="00121B89" w:rsidRDefault="00121B89" w:rsidP="00883D8E">
      <w:pPr>
        <w:spacing w:after="0" w:line="240" w:lineRule="auto"/>
      </w:pPr>
      <w:r>
        <w:separator/>
      </w:r>
    </w:p>
  </w:footnote>
  <w:footnote w:type="continuationSeparator" w:id="0">
    <w:p w14:paraId="778A4B68" w14:textId="77777777" w:rsidR="00121B89" w:rsidRDefault="00121B89" w:rsidP="00883D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539E47" w14:textId="27EAF93D" w:rsidR="00883D8E" w:rsidRDefault="00883D8E">
    <w:pPr>
      <w:pStyle w:val="Header"/>
    </w:pPr>
    <w:r>
      <w:t>13/10/2022                                                                                                                                     Natasha Young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D8E"/>
    <w:rsid w:val="000149BC"/>
    <w:rsid w:val="00032931"/>
    <w:rsid w:val="00034BEE"/>
    <w:rsid w:val="00043327"/>
    <w:rsid w:val="000448F0"/>
    <w:rsid w:val="00047967"/>
    <w:rsid w:val="000545A9"/>
    <w:rsid w:val="00086623"/>
    <w:rsid w:val="000B5A0A"/>
    <w:rsid w:val="000D00B3"/>
    <w:rsid w:val="000E1634"/>
    <w:rsid w:val="000E21F7"/>
    <w:rsid w:val="00102B73"/>
    <w:rsid w:val="00121B89"/>
    <w:rsid w:val="001319B7"/>
    <w:rsid w:val="00160DB7"/>
    <w:rsid w:val="00173295"/>
    <w:rsid w:val="0018327B"/>
    <w:rsid w:val="001C2AA3"/>
    <w:rsid w:val="0020599F"/>
    <w:rsid w:val="002A2FCB"/>
    <w:rsid w:val="002B7271"/>
    <w:rsid w:val="002D257C"/>
    <w:rsid w:val="002E68E9"/>
    <w:rsid w:val="002F04EA"/>
    <w:rsid w:val="002F2D4F"/>
    <w:rsid w:val="003176C9"/>
    <w:rsid w:val="003177CD"/>
    <w:rsid w:val="00322A89"/>
    <w:rsid w:val="003309AF"/>
    <w:rsid w:val="0035062C"/>
    <w:rsid w:val="00360D24"/>
    <w:rsid w:val="00373B55"/>
    <w:rsid w:val="003A127D"/>
    <w:rsid w:val="003A1916"/>
    <w:rsid w:val="003C3A8F"/>
    <w:rsid w:val="003F2A4D"/>
    <w:rsid w:val="003F6516"/>
    <w:rsid w:val="003F6837"/>
    <w:rsid w:val="00402C0B"/>
    <w:rsid w:val="004357C4"/>
    <w:rsid w:val="0044093E"/>
    <w:rsid w:val="00475318"/>
    <w:rsid w:val="004753B5"/>
    <w:rsid w:val="004E6FEA"/>
    <w:rsid w:val="0051332E"/>
    <w:rsid w:val="00551B73"/>
    <w:rsid w:val="005C21BD"/>
    <w:rsid w:val="005D064B"/>
    <w:rsid w:val="005F24C5"/>
    <w:rsid w:val="006176F1"/>
    <w:rsid w:val="006205F5"/>
    <w:rsid w:val="0063339C"/>
    <w:rsid w:val="006513C8"/>
    <w:rsid w:val="00662B97"/>
    <w:rsid w:val="00675D67"/>
    <w:rsid w:val="006D2249"/>
    <w:rsid w:val="006E2D51"/>
    <w:rsid w:val="00760EA7"/>
    <w:rsid w:val="00784CA5"/>
    <w:rsid w:val="007A5A3A"/>
    <w:rsid w:val="008064D2"/>
    <w:rsid w:val="00872B79"/>
    <w:rsid w:val="0088067B"/>
    <w:rsid w:val="00883D8E"/>
    <w:rsid w:val="008A6F1D"/>
    <w:rsid w:val="008C5752"/>
    <w:rsid w:val="008E065D"/>
    <w:rsid w:val="008F1C37"/>
    <w:rsid w:val="00906C65"/>
    <w:rsid w:val="009211D1"/>
    <w:rsid w:val="0092304F"/>
    <w:rsid w:val="009241C5"/>
    <w:rsid w:val="00950261"/>
    <w:rsid w:val="0095138F"/>
    <w:rsid w:val="009C534A"/>
    <w:rsid w:val="009E6A8A"/>
    <w:rsid w:val="00A85797"/>
    <w:rsid w:val="00A95ECA"/>
    <w:rsid w:val="00AE0B17"/>
    <w:rsid w:val="00AE68E6"/>
    <w:rsid w:val="00B51EF4"/>
    <w:rsid w:val="00B62EF2"/>
    <w:rsid w:val="00BA49E6"/>
    <w:rsid w:val="00BE0A10"/>
    <w:rsid w:val="00BE31E5"/>
    <w:rsid w:val="00C23EA3"/>
    <w:rsid w:val="00C4629C"/>
    <w:rsid w:val="00C46D91"/>
    <w:rsid w:val="00C502BB"/>
    <w:rsid w:val="00C762B9"/>
    <w:rsid w:val="00CA44E0"/>
    <w:rsid w:val="00CA4CC9"/>
    <w:rsid w:val="00CB33A0"/>
    <w:rsid w:val="00CC5DED"/>
    <w:rsid w:val="00CE090B"/>
    <w:rsid w:val="00CF0EB1"/>
    <w:rsid w:val="00CF1F5F"/>
    <w:rsid w:val="00D02464"/>
    <w:rsid w:val="00D05CC9"/>
    <w:rsid w:val="00D13649"/>
    <w:rsid w:val="00D17205"/>
    <w:rsid w:val="00D62BFE"/>
    <w:rsid w:val="00DA5C89"/>
    <w:rsid w:val="00E214F9"/>
    <w:rsid w:val="00E31FD7"/>
    <w:rsid w:val="00E974F6"/>
    <w:rsid w:val="00EA07BC"/>
    <w:rsid w:val="00EB0045"/>
    <w:rsid w:val="00EB41C7"/>
    <w:rsid w:val="00EB5FCD"/>
    <w:rsid w:val="00ED6F3C"/>
    <w:rsid w:val="00F37C5C"/>
    <w:rsid w:val="00F5543D"/>
    <w:rsid w:val="00F570ED"/>
    <w:rsid w:val="00F629B5"/>
    <w:rsid w:val="00F74A2A"/>
    <w:rsid w:val="00F7506B"/>
    <w:rsid w:val="00F9183C"/>
    <w:rsid w:val="00F9431E"/>
    <w:rsid w:val="00FD0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D82C8"/>
  <w15:chartTrackingRefBased/>
  <w15:docId w15:val="{96BCC238-CB76-4349-81FC-3CAD9E55B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3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3D8E"/>
  </w:style>
  <w:style w:type="paragraph" w:styleId="Footer">
    <w:name w:val="footer"/>
    <w:basedOn w:val="Normal"/>
    <w:link w:val="FooterChar"/>
    <w:uiPriority w:val="99"/>
    <w:unhideWhenUsed/>
    <w:rsid w:val="00883D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3D8E"/>
  </w:style>
  <w:style w:type="character" w:styleId="Hyperlink">
    <w:name w:val="Hyperlink"/>
    <w:basedOn w:val="DefaultParagraphFont"/>
    <w:uiPriority w:val="99"/>
    <w:unhideWhenUsed/>
    <w:rsid w:val="00CF1F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1F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www.importanceofplay.eu/IMG/pdf/dr_david_whitebread_-_the_importance_of_play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arlyyearsmatters.co.uk/eyfs/a-unique-child/play-lear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F4BC448-5785-4C92-A3B8-63241CFE8F0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F9BE288-43D1-4265-8AD3-43514D2FD9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093877-3890-4360-8670-BA4EC4044E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1296</TotalTime>
  <Pages>2</Pages>
  <Words>276</Words>
  <Characters>1575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Lily-Mai Dyer (2207003)</dc:creator>
  <cp:keywords/>
  <dc:description/>
  <cp:lastModifiedBy>Lily-Mai Dyer (2207003)</cp:lastModifiedBy>
  <cp:revision>109</cp:revision>
  <dcterms:created xsi:type="dcterms:W3CDTF">2022-10-13T10:23:00Z</dcterms:created>
  <dcterms:modified xsi:type="dcterms:W3CDTF">2022-10-15T10:50:00Z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