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4A132" w14:textId="489C94B6" w:rsidR="00654B18" w:rsidRPr="00F56155" w:rsidRDefault="00F56155">
      <w:pPr>
        <w:rPr>
          <w:sz w:val="24"/>
          <w:szCs w:val="24"/>
          <w:u w:val="single"/>
        </w:rPr>
      </w:pPr>
      <w:r w:rsidRPr="00F56155">
        <w:rPr>
          <w:sz w:val="24"/>
          <w:szCs w:val="24"/>
          <w:u w:val="single"/>
        </w:rPr>
        <w:t>Classical Mythology in Roman and Medieval Times:</w:t>
      </w:r>
    </w:p>
    <w:p w14:paraId="3A01E0A9" w14:textId="37E5405A" w:rsidR="00F56155" w:rsidRPr="00F56155" w:rsidRDefault="00F56155">
      <w:pPr>
        <w:rPr>
          <w:u w:val="single"/>
        </w:rPr>
      </w:pPr>
      <w:r w:rsidRPr="00F56155">
        <w:rPr>
          <w:u w:val="single"/>
        </w:rPr>
        <w:t>Assignment 2: Write a critical commentary on Lucan 10.15-52.</w:t>
      </w:r>
    </w:p>
    <w:p w14:paraId="7F3FBC69" w14:textId="652C381C" w:rsidR="00332AA5" w:rsidRDefault="00332AA5" w:rsidP="00A152DB">
      <w:r>
        <w:t xml:space="preserve">When writing the ability to compare and contrast the past and present proved an invaluable tool for many in the ancient world. </w:t>
      </w:r>
      <w:r w:rsidR="00A152DB">
        <w:t>As a means of exploring current circumstances in ancient Rome, poets often utilised the mythical and historical past.</w:t>
      </w:r>
      <w:r w:rsidR="00817972">
        <w:t xml:space="preserve"> A vast pool of knowledge about what and who came before the Romans allowed poets to pick and choose from real and fictitious people, places and events for their own poetic material. The general assumption made was that the </w:t>
      </w:r>
      <w:r>
        <w:t xml:space="preserve">elite </w:t>
      </w:r>
      <w:r w:rsidR="00817972">
        <w:t xml:space="preserve">Roman reader, for whom the works were produced, would not only recognise references made to </w:t>
      </w:r>
      <w:r w:rsidR="00326C30">
        <w:t xml:space="preserve">prior works but also understand them in </w:t>
      </w:r>
      <w:r>
        <w:t>their</w:t>
      </w:r>
      <w:r w:rsidR="00326C30">
        <w:t xml:space="preserve"> new context. For this reason, it is not uncommon to see Roman poets make use of famous figures, from generations past, as a way to comment </w:t>
      </w:r>
      <w:r>
        <w:t>on contemporary</w:t>
      </w:r>
      <w:r w:rsidR="00326C30">
        <w:t xml:space="preserve"> Roman figure</w:t>
      </w:r>
      <w:r>
        <w:t>s</w:t>
      </w:r>
      <w:r w:rsidR="00326C30">
        <w:t xml:space="preserve">. One example of this so-called characterisation mapping can be found in various layers of complexity throughout Lucan’s, </w:t>
      </w:r>
      <w:r w:rsidR="00326C30">
        <w:rPr>
          <w:i/>
          <w:iCs/>
        </w:rPr>
        <w:t xml:space="preserve">De Bello </w:t>
      </w:r>
      <w:proofErr w:type="spellStart"/>
      <w:r w:rsidR="00326C30">
        <w:rPr>
          <w:i/>
          <w:iCs/>
        </w:rPr>
        <w:t>Civili</w:t>
      </w:r>
      <w:proofErr w:type="spellEnd"/>
      <w:r w:rsidR="00326C30">
        <w:rPr>
          <w:i/>
          <w:iCs/>
        </w:rPr>
        <w:t xml:space="preserve"> </w:t>
      </w:r>
      <w:r w:rsidR="00326C30">
        <w:rPr>
          <w:i/>
          <w:iCs/>
          <w:sz w:val="20"/>
          <w:szCs w:val="20"/>
        </w:rPr>
        <w:t>[The Civil War]</w:t>
      </w:r>
      <w:r w:rsidR="00326C30">
        <w:t>.</w:t>
      </w:r>
      <w:r>
        <w:t xml:space="preserve"> By critically assessing a passage from Lucan’s work we can investigate not only character mapping but also the use of history overall. </w:t>
      </w:r>
    </w:p>
    <w:p w14:paraId="0CAD0DE3" w14:textId="3DA9D40C" w:rsidR="000D2AF4" w:rsidRPr="00D3272A" w:rsidRDefault="00F2721F">
      <w:r>
        <w:t>A number of things must first be clarified before any textual analysis may take place, who Lucan was and when he was writing. Both these factors may have considerably impacted the original work whilst it was being written</w:t>
      </w:r>
      <w:r w:rsidR="00AD10F6">
        <w:t>,</w:t>
      </w:r>
      <w:r>
        <w:t xml:space="preserve"> as well as our current perception of the text.</w:t>
      </w:r>
      <w:r w:rsidR="00AD10F6">
        <w:t xml:space="preserve"> Lucan lived from AD 39 – 65. He was born into a well-established</w:t>
      </w:r>
      <w:r w:rsidR="00D61C47">
        <w:t xml:space="preserve"> </w:t>
      </w:r>
      <w:r w:rsidR="00AD10F6">
        <w:t xml:space="preserve">family who were of the equestrian class. He had a typically elite upbringing and </w:t>
      </w:r>
      <w:r w:rsidR="0077060F">
        <w:t>education,</w:t>
      </w:r>
      <w:r w:rsidR="00AD10F6">
        <w:t xml:space="preserve"> but he is reported as having excelled </w:t>
      </w:r>
      <w:r w:rsidR="0077060F">
        <w:t>in</w:t>
      </w:r>
      <w:r w:rsidR="00AD10F6">
        <w:t xml:space="preserve"> rhetoric, making him particularly erudite.</w:t>
      </w:r>
      <w:r w:rsidR="0077060F">
        <w:rPr>
          <w:rStyle w:val="FootnoteReference"/>
        </w:rPr>
        <w:footnoteReference w:id="1"/>
      </w:r>
      <w:r w:rsidR="0077060F">
        <w:t xml:space="preserve"> Whilst continuing his study in Athens, Lucan was recalled to Rome by Nero during his </w:t>
      </w:r>
      <w:r w:rsidR="008D77A1">
        <w:t xml:space="preserve">early </w:t>
      </w:r>
      <w:r w:rsidR="0077060F">
        <w:t xml:space="preserve">reign as Emperor. Nero was particularly fond of artistic pursuits and celebrated individuals </w:t>
      </w:r>
      <w:r w:rsidR="006A20CE">
        <w:t>whose</w:t>
      </w:r>
      <w:r w:rsidR="0077060F">
        <w:t xml:space="preserve"> work he enjoyed by admitting them to his </w:t>
      </w:r>
      <w:r w:rsidR="006A20CE">
        <w:t xml:space="preserve">inner circle. As a member of </w:t>
      </w:r>
      <w:r w:rsidR="006102BE">
        <w:t>this</w:t>
      </w:r>
      <w:r w:rsidR="006A20CE">
        <w:t xml:space="preserve"> inner circle Lucan greatly benefited, having his political position advanced for example, but befriending any Emperor comes at a cost. Whilst initially Lucan was able to flatter Nero, with his </w:t>
      </w:r>
      <w:proofErr w:type="spellStart"/>
      <w:r w:rsidR="006A20CE">
        <w:rPr>
          <w:i/>
          <w:iCs/>
        </w:rPr>
        <w:t>Laudes</w:t>
      </w:r>
      <w:proofErr w:type="spellEnd"/>
      <w:r w:rsidR="006A20CE">
        <w:rPr>
          <w:i/>
          <w:iCs/>
        </w:rPr>
        <w:t xml:space="preserve"> </w:t>
      </w:r>
      <w:proofErr w:type="spellStart"/>
      <w:r w:rsidR="006A20CE">
        <w:rPr>
          <w:i/>
          <w:iCs/>
        </w:rPr>
        <w:t>Neronis</w:t>
      </w:r>
      <w:proofErr w:type="spellEnd"/>
      <w:r w:rsidR="006A20CE">
        <w:rPr>
          <w:i/>
          <w:iCs/>
        </w:rPr>
        <w:t xml:space="preserve"> </w:t>
      </w:r>
      <w:r w:rsidR="006A20CE">
        <w:t>[</w:t>
      </w:r>
      <w:r w:rsidR="006A20CE">
        <w:rPr>
          <w:i/>
          <w:iCs/>
        </w:rPr>
        <w:t>Praise of Nero</w:t>
      </w:r>
      <w:r w:rsidR="006A20CE">
        <w:rPr>
          <w:sz w:val="24"/>
          <w:szCs w:val="24"/>
        </w:rPr>
        <w:t xml:space="preserve">] in AD 60, he quickly fell from favour. </w:t>
      </w:r>
      <w:r w:rsidR="00D61C47">
        <w:rPr>
          <w:sz w:val="24"/>
          <w:szCs w:val="24"/>
        </w:rPr>
        <w:t xml:space="preserve">The first three books of </w:t>
      </w:r>
      <w:r w:rsidR="00D61C47">
        <w:rPr>
          <w:i/>
          <w:iCs/>
        </w:rPr>
        <w:t xml:space="preserve">De Bello </w:t>
      </w:r>
      <w:proofErr w:type="spellStart"/>
      <w:r w:rsidR="00D61C47">
        <w:rPr>
          <w:i/>
          <w:iCs/>
        </w:rPr>
        <w:t>Civili</w:t>
      </w:r>
      <w:proofErr w:type="spellEnd"/>
      <w:r w:rsidR="00D61C47">
        <w:rPr>
          <w:i/>
          <w:iCs/>
        </w:rPr>
        <w:t xml:space="preserve"> </w:t>
      </w:r>
      <w:r w:rsidR="00D61C47">
        <w:t xml:space="preserve">were published during his time in Nero’s inner circle but henceforth the following seven books were written and published after his fall from grace. During the first book appraisal of the Emperor can be found (lines 1.33-40), the sincerity of which has been questioned, </w:t>
      </w:r>
      <w:r w:rsidR="00C44B32">
        <w:t xml:space="preserve">whilst </w:t>
      </w:r>
      <w:r w:rsidR="00D61C47">
        <w:t>elsewhere not so much</w:t>
      </w:r>
      <w:r w:rsidR="00C44B32">
        <w:t xml:space="preserve"> as a positive attribute can be associated</w:t>
      </w:r>
      <w:r w:rsidR="00D61C47">
        <w:t>.</w:t>
      </w:r>
      <w:r w:rsidR="00D61C47">
        <w:rPr>
          <w:rStyle w:val="FootnoteReference"/>
        </w:rPr>
        <w:footnoteReference w:id="2"/>
      </w:r>
      <w:r w:rsidR="00D61C47">
        <w:t xml:space="preserve"> </w:t>
      </w:r>
      <w:r w:rsidR="00D3272A">
        <w:t>In analysing the passage, it is important to consider why Lucan may include illusions to Nero.</w:t>
      </w:r>
    </w:p>
    <w:p w14:paraId="6A95017C" w14:textId="13D2D5FB" w:rsidR="00D61C47" w:rsidRPr="00C44B32" w:rsidRDefault="00D3272A">
      <w:r>
        <w:t xml:space="preserve">The </w:t>
      </w:r>
      <w:r w:rsidR="00952E80">
        <w:t xml:space="preserve">subject matter </w:t>
      </w:r>
      <w:r>
        <w:t xml:space="preserve">of the work is also extremely relevant to key themes within the passage and therefore must be considered. </w:t>
      </w:r>
      <w:r w:rsidR="000D2AF4">
        <w:rPr>
          <w:i/>
          <w:iCs/>
        </w:rPr>
        <w:t xml:space="preserve">De Bello </w:t>
      </w:r>
      <w:proofErr w:type="spellStart"/>
      <w:r w:rsidR="000D2AF4">
        <w:rPr>
          <w:i/>
          <w:iCs/>
        </w:rPr>
        <w:t>Civili</w:t>
      </w:r>
      <w:proofErr w:type="spellEnd"/>
      <w:r w:rsidR="000D2AF4">
        <w:t xml:space="preserve"> records in detail the civil war</w:t>
      </w:r>
      <w:r w:rsidR="006E39A3">
        <w:t xml:space="preserve"> between</w:t>
      </w:r>
      <w:r w:rsidR="000D2AF4">
        <w:t xml:space="preserve"> </w:t>
      </w:r>
      <w:r>
        <w:t xml:space="preserve">Julius </w:t>
      </w:r>
      <w:r w:rsidR="000D2AF4">
        <w:t>Caesar</w:t>
      </w:r>
      <w:r w:rsidR="00D61C47">
        <w:t xml:space="preserve"> </w:t>
      </w:r>
      <w:r w:rsidR="006E39A3">
        <w:t xml:space="preserve">and Pompey. </w:t>
      </w:r>
      <w:r w:rsidR="003E01F7">
        <w:t>For the Romans war was expected but war amongst their own people was a recurring issue that plagued progress. War amongst family in particular was something to be condemned making this conflict doubly damming and twice as troublesome. It was also a</w:t>
      </w:r>
      <w:r w:rsidR="006E39A3">
        <w:t xml:space="preserve"> civil war that ran much deeper than military matters in that it marked the collapse of the Roman Republic and birth of the Empire. It was a war not fought for land, money or notoriety but for the very foundation on which Rome was built.</w:t>
      </w:r>
      <w:r w:rsidR="00D61C47">
        <w:t xml:space="preserve"> From the death of Caesar onwards the power structures in Roman society were never the same. </w:t>
      </w:r>
      <w:r>
        <w:t xml:space="preserve">Literary works produced during and after this structural upheaval were fraught with apparent perplexity as elites struggled with notions for and against the concept of a Roman Empire. </w:t>
      </w:r>
      <w:r w:rsidR="00952E80">
        <w:t xml:space="preserve">Were Emperors to be seen as tyrants or saviours? </w:t>
      </w:r>
      <w:r>
        <w:t xml:space="preserve">Generally, throughout the work Lucan </w:t>
      </w:r>
      <w:r w:rsidR="00952E80">
        <w:t>favours</w:t>
      </w:r>
      <w:r>
        <w:t xml:space="preserve"> anti-imperialism</w:t>
      </w:r>
      <w:r w:rsidR="00952E80">
        <w:t xml:space="preserve"> leading some to suggest he, “became hostile to the whole institution of imperial government”.</w:t>
      </w:r>
      <w:r w:rsidR="00952E80">
        <w:rPr>
          <w:rStyle w:val="FootnoteReference"/>
        </w:rPr>
        <w:footnoteReference w:id="3"/>
      </w:r>
      <w:r w:rsidR="00E65886">
        <w:t xml:space="preserve"> Consideration given to this change in Lucan’s personal political beliefs</w:t>
      </w:r>
      <w:r w:rsidR="00C44B32">
        <w:t xml:space="preserve"> shows in</w:t>
      </w:r>
      <w:r w:rsidR="00E65886">
        <w:t xml:space="preserve"> the </w:t>
      </w:r>
      <w:r w:rsidR="00E65886">
        <w:lastRenderedPageBreak/>
        <w:t xml:space="preserve">tone and intention of </w:t>
      </w:r>
      <w:r w:rsidR="00E65886">
        <w:rPr>
          <w:i/>
          <w:iCs/>
        </w:rPr>
        <w:t xml:space="preserve">De Bello </w:t>
      </w:r>
      <w:proofErr w:type="spellStart"/>
      <w:r w:rsidR="00E65886">
        <w:rPr>
          <w:i/>
          <w:iCs/>
        </w:rPr>
        <w:t>Civili</w:t>
      </w:r>
      <w:proofErr w:type="spellEnd"/>
      <w:r w:rsidR="00C44B32">
        <w:rPr>
          <w:i/>
          <w:iCs/>
        </w:rPr>
        <w:t xml:space="preserve">, </w:t>
      </w:r>
      <w:r w:rsidR="00C44B32">
        <w:t xml:space="preserve">in turn making clearer the underlining critique of individuals included in the text as well as those out of it. </w:t>
      </w:r>
    </w:p>
    <w:p w14:paraId="20D1C451" w14:textId="77777777" w:rsidR="00A71011" w:rsidRDefault="00A33407">
      <w:r>
        <w:t xml:space="preserve">Establishing these two key contextual factors, as well as the influence either may have had on Lucan and his work, will help to understand the passage which will be analysed. </w:t>
      </w:r>
      <w:r w:rsidR="00F862CE">
        <w:t>The passage comes from the very beginning of the last book of the poem, book 10. For immediate context it is worth knowing that Caesar has just arrived in Egypt to discover the death of Pompey, a man who he has been fighting and following for the entirety of the poem thus far. With the sudden and unexpected end to his endeavour Caesar now finds himself on Egyptian soil without</w:t>
      </w:r>
      <w:r w:rsidR="005E0A42">
        <w:t xml:space="preserve"> a strict purpose o</w:t>
      </w:r>
      <w:r w:rsidR="00C44B32">
        <w:t>r</w:t>
      </w:r>
      <w:r w:rsidR="005E0A42">
        <w:t xml:space="preserve"> goal in mind.</w:t>
      </w:r>
      <w:r w:rsidR="003232C7">
        <w:t xml:space="preserve"> </w:t>
      </w:r>
    </w:p>
    <w:p w14:paraId="7C4C065F" w14:textId="37389E5D" w:rsidR="005E0A42" w:rsidRDefault="003232C7">
      <w:r>
        <w:t xml:space="preserve">The specific description given to Caesar’s arrival in Alexandria, the “Egyptian capital” [10.15-16], is similar to </w:t>
      </w:r>
      <w:r w:rsidR="00393CC0">
        <w:t xml:space="preserve">that of </w:t>
      </w:r>
      <w:r>
        <w:t>another episod</w:t>
      </w:r>
      <w:r w:rsidR="00393CC0">
        <w:t>e</w:t>
      </w:r>
      <w:r>
        <w:t xml:space="preserve">, being his visit to the ruins of Troy. </w:t>
      </w:r>
      <w:r w:rsidR="00393CC0">
        <w:t xml:space="preserve">In both instances he is said to be without worry, “free from </w:t>
      </w:r>
      <w:r w:rsidR="00393CC0" w:rsidRPr="00A71011">
        <w:rPr>
          <w:i/>
          <w:iCs/>
        </w:rPr>
        <w:t>care</w:t>
      </w:r>
      <w:r w:rsidR="00393CC0">
        <w:t xml:space="preserve">” [10.15], “cast off the burden of all other </w:t>
      </w:r>
      <w:r w:rsidR="00393CC0" w:rsidRPr="00A71011">
        <w:rPr>
          <w:i/>
          <w:iCs/>
        </w:rPr>
        <w:t>cares</w:t>
      </w:r>
      <w:r w:rsidR="00393CC0">
        <w:t xml:space="preserve">” [9.950-951]. </w:t>
      </w:r>
      <w:r w:rsidR="00A71011">
        <w:t xml:space="preserve">By utilising the same word within the opening lines Lucan links the episodes together. Immediate similarity with Caesar’s </w:t>
      </w:r>
      <w:r w:rsidR="00A862A3">
        <w:t xml:space="preserve">fictional </w:t>
      </w:r>
      <w:r w:rsidR="00A71011">
        <w:t xml:space="preserve">visit to Troy, which took place only recently in the text, leads the reader to seek out further connections and makes any difference all the more obvious. In the Troy episode Caesar is </w:t>
      </w:r>
      <w:r w:rsidR="00E62F16">
        <w:t>able to</w:t>
      </w:r>
      <w:r w:rsidR="00A71011">
        <w:t xml:space="preserve"> take a detour through the ruins</w:t>
      </w:r>
      <w:r w:rsidR="00E62F16">
        <w:t xml:space="preserve"> without much consequence</w:t>
      </w:r>
      <w:r w:rsidR="00A71011">
        <w:t xml:space="preserve">, to his mind he has plenty of time to chase down his son-in-law. His visit to Alexandria </w:t>
      </w:r>
      <w:r w:rsidR="00E62F16">
        <w:t>is not going to be quite so unperturbed. It becomes clear that his presence in the capital is not a welcome one. The people, “bore it ill that Roman rods should invade” [10.8-9] which led to a “rage of the populace” [10.8] leaving them feeling “divided” [10.12]. The unrest caused simply by the presence of Caesar in their home</w:t>
      </w:r>
      <w:r w:rsidR="00A862A3">
        <w:t xml:space="preserve">land echoes the general air of destruction and disaster associated with his character from the offset of the work [lines 1.143-50]. It is possible to make a connection </w:t>
      </w:r>
      <w:r w:rsidR="003A3998">
        <w:t>between the</w:t>
      </w:r>
      <w:r w:rsidR="00A862A3">
        <w:t xml:space="preserve"> Egyptians resentment of Caesar with that of Roman resentment towards Emperors more broadly given that here Caesar represents the exchanging of one master for another.</w:t>
      </w:r>
      <w:r w:rsidR="00140FD6">
        <w:rPr>
          <w:rStyle w:val="FootnoteReference"/>
        </w:rPr>
        <w:footnoteReference w:id="4"/>
      </w:r>
      <w:r w:rsidR="00A862A3">
        <w:t xml:space="preserve"> What the people want is freedom from singular rule by overly ambitious tyrants</w:t>
      </w:r>
      <w:r w:rsidR="006102BE">
        <w:t>,</w:t>
      </w:r>
      <w:r w:rsidR="00A862A3">
        <w:t xml:space="preserve"> indeed they even express a desire to, “rid the world of the victors head as well as of the losers” [10.5-6].</w:t>
      </w:r>
      <w:r w:rsidR="003E01F7">
        <w:t xml:space="preserve"> Alexandria may be foreshadowing Imperial Rome to Caesar within the text </w:t>
      </w:r>
      <w:r w:rsidR="003A3998">
        <w:t xml:space="preserve">itself </w:t>
      </w:r>
      <w:r w:rsidR="003E01F7">
        <w:t>whilst at the same time exposing the problematic model of the current Rome to Lucan’s contemporaries.</w:t>
      </w:r>
      <w:r w:rsidR="003E01F7">
        <w:rPr>
          <w:rStyle w:val="FootnoteReference"/>
        </w:rPr>
        <w:footnoteReference w:id="5"/>
      </w:r>
    </w:p>
    <w:p w14:paraId="3531C7A8" w14:textId="0CC8BB50" w:rsidR="00380CE9" w:rsidRDefault="00FA7BDD">
      <w:r>
        <w:t>During Caesars visit to Alexandria, “neither the gold (…) nor the city walls” [10.18-20] held his attention as he sought to find the tomb of Alexander the Great in, “eager haste” [10.20].</w:t>
      </w:r>
      <w:r w:rsidR="00380CE9">
        <w:t xml:space="preserve"> Caesars </w:t>
      </w:r>
      <w:r w:rsidR="0092737F">
        <w:t>descent</w:t>
      </w:r>
      <w:r w:rsidR="00380CE9">
        <w:t xml:space="preserve"> into the tomb evokes the notion of a katabasis, “</w:t>
      </w:r>
      <w:r w:rsidR="00380CE9" w:rsidRPr="0092737F">
        <w:rPr>
          <w:i/>
          <w:iCs/>
        </w:rPr>
        <w:t>he went down</w:t>
      </w:r>
      <w:r w:rsidR="00380CE9">
        <w:t xml:space="preserve"> into the vault hewn out for a tomb” [10.20-21]. Typically, this type of journey is to the literal underworld in epic tradition, both the stories of Odysseus and Aeneas include this theme. Lucan sets the tone of an epic </w:t>
      </w:r>
      <w:r w:rsidR="0092737F">
        <w:t>descent</w:t>
      </w:r>
      <w:r w:rsidR="00380CE9">
        <w:t xml:space="preserve"> without ever delivering, perhaps showing that whilst Caesar emulates heroes of </w:t>
      </w:r>
      <w:r w:rsidR="00903056">
        <w:t>old,</w:t>
      </w:r>
      <w:r w:rsidR="00380CE9">
        <w:t xml:space="preserve"> he </w:t>
      </w:r>
      <w:r w:rsidR="00903056">
        <w:t xml:space="preserve">himself </w:t>
      </w:r>
      <w:r w:rsidR="00380CE9">
        <w:t xml:space="preserve">will never truly be one. </w:t>
      </w:r>
      <w:r w:rsidR="00A35991">
        <w:t>The fact that he actively and single-mindedly cho</w:t>
      </w:r>
      <w:r w:rsidR="007547DD">
        <w:t>oses</w:t>
      </w:r>
      <w:r w:rsidR="00A35991">
        <w:t xml:space="preserve"> to seek out </w:t>
      </w:r>
      <w:r w:rsidR="00903056">
        <w:t>Alexanders</w:t>
      </w:r>
      <w:r w:rsidR="00A35991">
        <w:t xml:space="preserve"> tomb, whilst in Troy he stumbled upon Hectors, is an interesting narrative choice by Lucan that requires deeper examination. Caesar may be expressing his </w:t>
      </w:r>
      <w:r w:rsidR="00F20D94">
        <w:t>understanding of what makes a good ruler and therefore his chosen exemplary model.</w:t>
      </w:r>
      <w:r w:rsidR="00F20D94">
        <w:rPr>
          <w:rStyle w:val="FootnoteReference"/>
        </w:rPr>
        <w:footnoteReference w:id="6"/>
      </w:r>
      <w:r w:rsidR="007547DD">
        <w:t xml:space="preserve"> In the very least it, “points to an alignment of the character under the exemplum of Alexander”.</w:t>
      </w:r>
      <w:r w:rsidR="007547DD">
        <w:rPr>
          <w:rStyle w:val="FootnoteReference"/>
        </w:rPr>
        <w:footnoteReference w:id="7"/>
      </w:r>
      <w:r w:rsidR="007547DD">
        <w:t xml:space="preserve"> Lucan makes the character mapping clearer in that he refers to Alexander as, “a thunderbolt that struck all peoples alike” [10.34-36] a comparison he previously made to Caesar [10.136-43]. Establishing the parallel between Caesar and Alexander makes Lucan’s treatment of Alexander </w:t>
      </w:r>
      <w:r w:rsidR="00380CE9">
        <w:t>during this passage all the more interesting.</w:t>
      </w:r>
    </w:p>
    <w:p w14:paraId="4A98B1BB" w14:textId="72C2A39C" w:rsidR="00F862CE" w:rsidRDefault="005D5CF0">
      <w:r>
        <w:lastRenderedPageBreak/>
        <w:t xml:space="preserve">Caesars entry to the tomb marks the beginning of a narrative shifts as Lucan establishes Alexander as a, “pernicious example to future </w:t>
      </w:r>
      <w:r w:rsidR="006951E0">
        <w:t>megalomaniacs</w:t>
      </w:r>
      <w:r>
        <w:t>”.</w:t>
      </w:r>
      <w:r>
        <w:rPr>
          <w:rStyle w:val="FootnoteReference"/>
        </w:rPr>
        <w:footnoteReference w:id="8"/>
      </w:r>
      <w:r>
        <w:t xml:space="preserve"> Throughout this section of the passage Alexander is described as a, “mad son”, “fortunate freebooter”, “bad lesson to the world”, “impulsive”, “pestilence to earth” and a, “comet of disaster to mankind”</w:t>
      </w:r>
      <w:r w:rsidR="006951E0">
        <w:t xml:space="preserve"> [10.21-35]</w:t>
      </w:r>
      <w:r>
        <w:t>.</w:t>
      </w:r>
      <w:r w:rsidR="002741F9">
        <w:t xml:space="preserve"> Lucan presents Alexander as </w:t>
      </w:r>
      <w:r w:rsidR="006951E0">
        <w:t xml:space="preserve">the historic basis for a terrible leader, worse still a King. By including such a tirade against him after establishing Caesar as the new Alexander he directs accusations and criticism at both. Lucan suggests that had death not stopped the, “mad reign” [10.40] of Alexander he would have no doubt, “drank the Nile at its source” [10.39]. The inclusion of the Nile is revisited later in book 10 when Caesar questions where the source is [10.172-192]. In the ancient world the desire to know the source of the Nile is connected to </w:t>
      </w:r>
      <w:r w:rsidR="00C367F9">
        <w:t xml:space="preserve">the </w:t>
      </w:r>
      <w:r w:rsidR="006951E0">
        <w:t>harmful overambition often associated with tyrants.</w:t>
      </w:r>
      <w:r w:rsidR="00C367F9">
        <w:rPr>
          <w:rStyle w:val="FootnoteReference"/>
        </w:rPr>
        <w:footnoteReference w:id="9"/>
      </w:r>
      <w:r w:rsidR="00C367F9">
        <w:t xml:space="preserve"> A tyrant’s inability to ever learn the source is seen as a, “rhetorical topos for the limits of imperialistic ambition”.</w:t>
      </w:r>
      <w:r w:rsidR="00C367F9">
        <w:rPr>
          <w:rStyle w:val="FootnoteReference"/>
        </w:rPr>
        <w:footnoteReference w:id="10"/>
      </w:r>
    </w:p>
    <w:p w14:paraId="300B97CD" w14:textId="134E7EEE" w:rsidR="00976C69" w:rsidRDefault="00976C69">
      <w:r>
        <w:t>The connection between Caesar and Alexander as presented throughout the passage shows the way in which history could be utilised as a means of expressing opinions with regards to immediate concerns in the present. In alluding to the similarities within Alexander, Caesar and Nero</w:t>
      </w:r>
      <w:r w:rsidR="0092737F">
        <w:t>,</w:t>
      </w:r>
      <w:r>
        <w:t xml:space="preserve"> Lucan is able to show the ways in which powerful men in absolute control can and have harmed Rome.</w:t>
      </w:r>
      <w:r w:rsidR="005D0B57">
        <w:t xml:space="preserve"> For Lucan the continued celebration of such men is an afront to the freedom </w:t>
      </w:r>
      <w:r w:rsidR="00130D98">
        <w:t>of</w:t>
      </w:r>
      <w:r w:rsidR="005D0B57">
        <w:t xml:space="preserve"> Romans.</w:t>
      </w:r>
      <w:r w:rsidR="00130D98">
        <w:rPr>
          <w:rStyle w:val="FootnoteReference"/>
        </w:rPr>
        <w:footnoteReference w:id="11"/>
      </w:r>
      <w:r w:rsidR="005D0B57">
        <w:t xml:space="preserve"> For him Alexanders body being eagerly visited and revered shows that freedom has yet to make</w:t>
      </w:r>
      <w:r w:rsidR="00130D98">
        <w:t>, “men their own masters again” [10.21-22].</w:t>
      </w:r>
    </w:p>
    <w:p w14:paraId="45681A6C" w14:textId="75C8CF7D" w:rsidR="00DF2473" w:rsidRDefault="00DF2473"/>
    <w:p w14:paraId="33CCE0FA" w14:textId="31807E1D" w:rsidR="00DF2473" w:rsidRDefault="00DF2473">
      <w:pPr>
        <w:rPr>
          <w:u w:val="single"/>
        </w:rPr>
      </w:pPr>
      <w:r w:rsidRPr="00DF2473">
        <w:rPr>
          <w:u w:val="single"/>
        </w:rPr>
        <w:t>Bibliography:</w:t>
      </w:r>
    </w:p>
    <w:p w14:paraId="2972EBA3" w14:textId="31020778" w:rsidR="00DF2473" w:rsidRDefault="00DF2473">
      <w:pPr>
        <w:rPr>
          <w:u w:val="single"/>
        </w:rPr>
      </w:pPr>
      <w:r>
        <w:rPr>
          <w:u w:val="single"/>
        </w:rPr>
        <w:t>Ancient Sources:</w:t>
      </w:r>
    </w:p>
    <w:p w14:paraId="35E55C63" w14:textId="7FF83343" w:rsidR="00DF2473" w:rsidRDefault="00DF2473">
      <w:r w:rsidRPr="00DF2473">
        <w:t xml:space="preserve">Lucan. </w:t>
      </w:r>
      <w:r>
        <w:t xml:space="preserve">(1928). </w:t>
      </w:r>
      <w:r w:rsidRPr="00DF2473">
        <w:rPr>
          <w:i/>
          <w:iCs/>
        </w:rPr>
        <w:t>The Civil War (</w:t>
      </w:r>
      <w:proofErr w:type="spellStart"/>
      <w:r w:rsidRPr="00DF2473">
        <w:rPr>
          <w:i/>
          <w:iCs/>
        </w:rPr>
        <w:t>Pharsalia</w:t>
      </w:r>
      <w:proofErr w:type="spellEnd"/>
      <w:r w:rsidRPr="00DF2473">
        <w:rPr>
          <w:i/>
          <w:iCs/>
        </w:rPr>
        <w:t>).</w:t>
      </w:r>
      <w:r w:rsidRPr="00DF2473">
        <w:t xml:space="preserve"> J. D. Duff. </w:t>
      </w:r>
      <w:r>
        <w:t xml:space="preserve">(trans.). </w:t>
      </w:r>
      <w:proofErr w:type="gramStart"/>
      <w:r w:rsidRPr="00DF2473">
        <w:t>Loeb</w:t>
      </w:r>
      <w:proofErr w:type="gramEnd"/>
      <w:r w:rsidRPr="00DF2473">
        <w:t xml:space="preserve"> Classical Library 220. Cambridge, MA: Harvard University Press</w:t>
      </w:r>
      <w:r>
        <w:t>.</w:t>
      </w:r>
    </w:p>
    <w:p w14:paraId="6FD394D6" w14:textId="12DF8913" w:rsidR="00DF2473" w:rsidRPr="00DF2473" w:rsidRDefault="00DF2473">
      <w:pPr>
        <w:rPr>
          <w:u w:val="single"/>
        </w:rPr>
      </w:pPr>
      <w:r w:rsidRPr="00DF2473">
        <w:rPr>
          <w:u w:val="single"/>
        </w:rPr>
        <w:t>Modern Scholarship:</w:t>
      </w:r>
    </w:p>
    <w:p w14:paraId="4C76DFA4" w14:textId="77777777" w:rsidR="008109BF" w:rsidRDefault="008109BF">
      <w:proofErr w:type="spellStart"/>
      <w:r>
        <w:t>Asso</w:t>
      </w:r>
      <w:proofErr w:type="spellEnd"/>
      <w:r>
        <w:t>, P. (2012). Review of ‘</w:t>
      </w:r>
      <w:r w:rsidRPr="00DF2473">
        <w:t xml:space="preserve">Lucan: De Bello </w:t>
      </w:r>
      <w:proofErr w:type="spellStart"/>
      <w:r w:rsidRPr="00DF2473">
        <w:t>Civili</w:t>
      </w:r>
      <w:proofErr w:type="spellEnd"/>
      <w:r w:rsidRPr="00DF2473">
        <w:t>, Book 1. Classica</w:t>
      </w:r>
      <w:bookmarkStart w:id="0" w:name="_GoBack"/>
      <w:bookmarkEnd w:id="0"/>
      <w:r w:rsidRPr="00DF2473">
        <w:t>l World, vol. 105 no. 2, p. 271-272</w:t>
      </w:r>
      <w:r>
        <w:t>’</w:t>
      </w:r>
      <w:r w:rsidRPr="00DF2473">
        <w:t xml:space="preserve">. </w:t>
      </w:r>
      <w:r w:rsidRPr="00DF2473">
        <w:rPr>
          <w:i/>
          <w:iCs/>
        </w:rPr>
        <w:t>Project MUSE</w:t>
      </w:r>
      <w:r>
        <w:t xml:space="preserve">. </w:t>
      </w:r>
    </w:p>
    <w:p w14:paraId="076E6482" w14:textId="77777777" w:rsidR="008109BF" w:rsidRDefault="008109BF">
      <w:proofErr w:type="spellStart"/>
      <w:r>
        <w:t>Barrenechea</w:t>
      </w:r>
      <w:proofErr w:type="spellEnd"/>
      <w:r>
        <w:t xml:space="preserve">, F. (2010). ‘Didactic Aggressions of the Nile excursus of Lucan’s </w:t>
      </w:r>
      <w:r>
        <w:rPr>
          <w:i/>
          <w:iCs/>
        </w:rPr>
        <w:t xml:space="preserve">Bellum </w:t>
      </w:r>
      <w:proofErr w:type="spellStart"/>
      <w:r>
        <w:rPr>
          <w:i/>
          <w:iCs/>
        </w:rPr>
        <w:t>Civile</w:t>
      </w:r>
      <w:proofErr w:type="spellEnd"/>
      <w:r>
        <w:rPr>
          <w:i/>
          <w:iCs/>
        </w:rPr>
        <w:t xml:space="preserve">’. The American Journal of Philology. </w:t>
      </w:r>
      <w:r>
        <w:t>131. 2. 259-284.</w:t>
      </w:r>
    </w:p>
    <w:p w14:paraId="31127F1B" w14:textId="77777777" w:rsidR="008109BF" w:rsidRDefault="008109BF" w:rsidP="008109BF">
      <w:r>
        <w:t xml:space="preserve">Bernstein, N.W. (2011). ‘The Dead and Their Ghosts in the </w:t>
      </w:r>
      <w:r>
        <w:rPr>
          <w:i/>
          <w:iCs/>
        </w:rPr>
        <w:t xml:space="preserve">Bellum </w:t>
      </w:r>
      <w:proofErr w:type="spellStart"/>
      <w:r>
        <w:rPr>
          <w:i/>
          <w:iCs/>
        </w:rPr>
        <w:t>Civile</w:t>
      </w:r>
      <w:proofErr w:type="spellEnd"/>
      <w:r>
        <w:rPr>
          <w:i/>
          <w:iCs/>
        </w:rPr>
        <w:t>’</w:t>
      </w:r>
      <w:r>
        <w:t xml:space="preserve">, </w:t>
      </w:r>
      <w:r>
        <w:t xml:space="preserve">in </w:t>
      </w:r>
      <w:r>
        <w:rPr>
          <w:i/>
          <w:iCs/>
        </w:rPr>
        <w:t xml:space="preserve">Brill’s Companion to Lucan. </w:t>
      </w:r>
      <w:proofErr w:type="spellStart"/>
      <w:r>
        <w:t>Asso</w:t>
      </w:r>
      <w:proofErr w:type="spellEnd"/>
      <w:r>
        <w:t xml:space="preserve">, P. (ed.). Leiden: </w:t>
      </w:r>
      <w:proofErr w:type="spellStart"/>
      <w:r>
        <w:t>Koninklijke</w:t>
      </w:r>
      <w:proofErr w:type="spellEnd"/>
      <w:r>
        <w:t xml:space="preserve"> Brill NV.</w:t>
      </w:r>
    </w:p>
    <w:p w14:paraId="2DA30B46" w14:textId="77777777" w:rsidR="008109BF" w:rsidRDefault="008109BF">
      <w:proofErr w:type="spellStart"/>
      <w:r>
        <w:t>Fratantuono</w:t>
      </w:r>
      <w:proofErr w:type="spellEnd"/>
      <w:r>
        <w:t xml:space="preserve">, L. (2012). </w:t>
      </w:r>
      <w:r>
        <w:rPr>
          <w:i/>
          <w:iCs/>
        </w:rPr>
        <w:t xml:space="preserve">Madness Triumphant: A Reading of Lucan’s </w:t>
      </w:r>
      <w:proofErr w:type="spellStart"/>
      <w:r>
        <w:rPr>
          <w:i/>
          <w:iCs/>
        </w:rPr>
        <w:t>Pharsalia</w:t>
      </w:r>
      <w:proofErr w:type="spellEnd"/>
      <w:r>
        <w:rPr>
          <w:i/>
          <w:iCs/>
        </w:rPr>
        <w:t xml:space="preserve">. </w:t>
      </w:r>
      <w:r>
        <w:t xml:space="preserve">Lexington Books. </w:t>
      </w:r>
    </w:p>
    <w:p w14:paraId="62F43573" w14:textId="77777777" w:rsidR="008109BF" w:rsidRDefault="008109BF">
      <w:r>
        <w:t xml:space="preserve">Gagarin, M. (2010). ‘Lucan’, in </w:t>
      </w:r>
      <w:r>
        <w:rPr>
          <w:i/>
          <w:iCs/>
        </w:rPr>
        <w:t xml:space="preserve">The Oxford Encyclopaedia of Ancient Greece and Rome. </w:t>
      </w:r>
      <w:r>
        <w:t>Oxford University Press.</w:t>
      </w:r>
    </w:p>
    <w:p w14:paraId="4DB35F62" w14:textId="77777777" w:rsidR="008109BF" w:rsidRDefault="008109BF" w:rsidP="008109BF">
      <w:proofErr w:type="spellStart"/>
      <w:r>
        <w:t>Manolaraki</w:t>
      </w:r>
      <w:proofErr w:type="spellEnd"/>
      <w:r>
        <w:t>, E. (2011). ‘</w:t>
      </w:r>
      <w:proofErr w:type="spellStart"/>
      <w:r>
        <w:rPr>
          <w:i/>
          <w:iCs/>
        </w:rPr>
        <w:t>Noscendi</w:t>
      </w:r>
      <w:proofErr w:type="spellEnd"/>
      <w:r>
        <w:rPr>
          <w:i/>
          <w:iCs/>
        </w:rPr>
        <w:t xml:space="preserve"> </w:t>
      </w:r>
      <w:proofErr w:type="spellStart"/>
      <w:r>
        <w:rPr>
          <w:i/>
          <w:iCs/>
        </w:rPr>
        <w:t>Nilum</w:t>
      </w:r>
      <w:proofErr w:type="spellEnd"/>
      <w:r>
        <w:rPr>
          <w:i/>
          <w:iCs/>
        </w:rPr>
        <w:t xml:space="preserve"> Cupido: </w:t>
      </w:r>
      <w:r>
        <w:t xml:space="preserve">The Nile Digression in Book 10’, </w:t>
      </w:r>
      <w:r>
        <w:t xml:space="preserve">in </w:t>
      </w:r>
      <w:r>
        <w:rPr>
          <w:i/>
          <w:iCs/>
        </w:rPr>
        <w:t xml:space="preserve">Brill’s Companion to Lucan. </w:t>
      </w:r>
      <w:proofErr w:type="spellStart"/>
      <w:r>
        <w:t>Asso</w:t>
      </w:r>
      <w:proofErr w:type="spellEnd"/>
      <w:r>
        <w:t xml:space="preserve">, P. (ed.). Leiden: </w:t>
      </w:r>
      <w:proofErr w:type="spellStart"/>
      <w:r>
        <w:t>Koninklijke</w:t>
      </w:r>
      <w:proofErr w:type="spellEnd"/>
      <w:r>
        <w:t xml:space="preserve"> Brill NV.</w:t>
      </w:r>
    </w:p>
    <w:p w14:paraId="755F0DF0" w14:textId="77777777" w:rsidR="008109BF" w:rsidRDefault="008109BF" w:rsidP="008109BF">
      <w:r>
        <w:lastRenderedPageBreak/>
        <w:t xml:space="preserve">Reed, J.D. (2011). ‘The </w:t>
      </w:r>
      <w:r>
        <w:rPr>
          <w:i/>
          <w:iCs/>
        </w:rPr>
        <w:t xml:space="preserve">Bellum </w:t>
      </w:r>
      <w:proofErr w:type="spellStart"/>
      <w:r>
        <w:rPr>
          <w:i/>
          <w:iCs/>
        </w:rPr>
        <w:t>Civile</w:t>
      </w:r>
      <w:proofErr w:type="spellEnd"/>
      <w:r>
        <w:rPr>
          <w:i/>
          <w:iCs/>
        </w:rPr>
        <w:t xml:space="preserve"> </w:t>
      </w:r>
      <w:r>
        <w:t xml:space="preserve">as a Roman Epic’, </w:t>
      </w:r>
      <w:r>
        <w:t xml:space="preserve">in </w:t>
      </w:r>
      <w:r>
        <w:rPr>
          <w:i/>
          <w:iCs/>
        </w:rPr>
        <w:t xml:space="preserve">Brill’s Companion to Lucan. </w:t>
      </w:r>
      <w:proofErr w:type="spellStart"/>
      <w:r>
        <w:t>Asso</w:t>
      </w:r>
      <w:proofErr w:type="spellEnd"/>
      <w:r>
        <w:t xml:space="preserve">, P. (ed.). Leiden: </w:t>
      </w:r>
      <w:proofErr w:type="spellStart"/>
      <w:r>
        <w:t>Koninklijke</w:t>
      </w:r>
      <w:proofErr w:type="spellEnd"/>
      <w:r>
        <w:t xml:space="preserve"> Brill NV.</w:t>
      </w:r>
    </w:p>
    <w:p w14:paraId="5AA69A23" w14:textId="77777777" w:rsidR="008109BF" w:rsidRDefault="008109BF">
      <w:r>
        <w:t xml:space="preserve">Roberts, J. (2007). ‘Lucan (Marcus </w:t>
      </w:r>
      <w:proofErr w:type="spellStart"/>
      <w:r>
        <w:t>Annaeus</w:t>
      </w:r>
      <w:proofErr w:type="spellEnd"/>
      <w:r>
        <w:t xml:space="preserve"> Lucanus)’, in </w:t>
      </w:r>
      <w:r>
        <w:rPr>
          <w:i/>
          <w:iCs/>
        </w:rPr>
        <w:t xml:space="preserve">The Oxford Dictionary of the Classical World. </w:t>
      </w:r>
      <w:r>
        <w:t>Oxford University Press.</w:t>
      </w:r>
    </w:p>
    <w:p w14:paraId="4474048F" w14:textId="77777777" w:rsidR="008109BF" w:rsidRDefault="008109BF">
      <w:r>
        <w:t xml:space="preserve">Tracy, J. (2011). ‘Internal Evidence for the Completeness of the </w:t>
      </w:r>
      <w:r>
        <w:rPr>
          <w:i/>
          <w:iCs/>
        </w:rPr>
        <w:t xml:space="preserve">Bellum </w:t>
      </w:r>
      <w:proofErr w:type="spellStart"/>
      <w:r>
        <w:rPr>
          <w:i/>
          <w:iCs/>
        </w:rPr>
        <w:t>Civile</w:t>
      </w:r>
      <w:proofErr w:type="spellEnd"/>
      <w:r>
        <w:t xml:space="preserve">’, in </w:t>
      </w:r>
      <w:r>
        <w:rPr>
          <w:i/>
          <w:iCs/>
        </w:rPr>
        <w:t xml:space="preserve">Brill’s Companion to Lucan. </w:t>
      </w:r>
      <w:proofErr w:type="spellStart"/>
      <w:r>
        <w:t>Asso</w:t>
      </w:r>
      <w:proofErr w:type="spellEnd"/>
      <w:r>
        <w:t xml:space="preserve">, P. (ed.). Leiden: </w:t>
      </w:r>
      <w:proofErr w:type="spellStart"/>
      <w:r>
        <w:t>Koninklijke</w:t>
      </w:r>
      <w:proofErr w:type="spellEnd"/>
      <w:r>
        <w:t xml:space="preserve"> Brill NV.</w:t>
      </w:r>
    </w:p>
    <w:p w14:paraId="31DFC59B" w14:textId="77777777" w:rsidR="008109BF" w:rsidRDefault="008109BF">
      <w:r>
        <w:t xml:space="preserve">Wilson, E. (2015). </w:t>
      </w:r>
      <w:r>
        <w:rPr>
          <w:i/>
          <w:iCs/>
        </w:rPr>
        <w:t xml:space="preserve">Seneca: A Life. </w:t>
      </w:r>
      <w:r>
        <w:t>UK: Penguin.</w:t>
      </w:r>
    </w:p>
    <w:p w14:paraId="45A80925" w14:textId="415DF188" w:rsidR="008109BF" w:rsidRPr="008109BF" w:rsidRDefault="008109BF" w:rsidP="008109BF"/>
    <w:p w14:paraId="53BB4B82" w14:textId="4094ACA2" w:rsidR="00666D56" w:rsidRPr="008109BF" w:rsidRDefault="00666D56"/>
    <w:sectPr w:rsidR="00666D56" w:rsidRPr="008109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9B21B" w14:textId="77777777" w:rsidR="000456D0" w:rsidRDefault="000456D0" w:rsidP="0077060F">
      <w:pPr>
        <w:spacing w:after="0" w:line="240" w:lineRule="auto"/>
      </w:pPr>
      <w:r>
        <w:separator/>
      </w:r>
    </w:p>
  </w:endnote>
  <w:endnote w:type="continuationSeparator" w:id="0">
    <w:p w14:paraId="068E9796" w14:textId="77777777" w:rsidR="000456D0" w:rsidRDefault="000456D0" w:rsidP="00770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367E8" w14:textId="77777777" w:rsidR="000456D0" w:rsidRDefault="000456D0" w:rsidP="0077060F">
      <w:pPr>
        <w:spacing w:after="0" w:line="240" w:lineRule="auto"/>
      </w:pPr>
      <w:r>
        <w:separator/>
      </w:r>
    </w:p>
  </w:footnote>
  <w:footnote w:type="continuationSeparator" w:id="0">
    <w:p w14:paraId="1C849897" w14:textId="77777777" w:rsidR="000456D0" w:rsidRDefault="000456D0" w:rsidP="0077060F">
      <w:pPr>
        <w:spacing w:after="0" w:line="240" w:lineRule="auto"/>
      </w:pPr>
      <w:r>
        <w:continuationSeparator/>
      </w:r>
    </w:p>
  </w:footnote>
  <w:footnote w:id="1">
    <w:p w14:paraId="1C156D5D" w14:textId="5BD2B949" w:rsidR="0077060F" w:rsidRDefault="0077060F">
      <w:pPr>
        <w:pStyle w:val="FootnoteText"/>
      </w:pPr>
      <w:r>
        <w:rPr>
          <w:rStyle w:val="FootnoteReference"/>
        </w:rPr>
        <w:footnoteRef/>
      </w:r>
      <w:r>
        <w:t xml:space="preserve"> Roberts. (2007). </w:t>
      </w:r>
    </w:p>
  </w:footnote>
  <w:footnote w:id="2">
    <w:p w14:paraId="4FA2AE12" w14:textId="77777777" w:rsidR="00D61C47" w:rsidRDefault="00D61C47" w:rsidP="00D61C47">
      <w:pPr>
        <w:pStyle w:val="FootnoteText"/>
      </w:pPr>
      <w:r>
        <w:rPr>
          <w:rStyle w:val="FootnoteReference"/>
        </w:rPr>
        <w:footnoteRef/>
      </w:r>
      <w:r>
        <w:t xml:space="preserve"> </w:t>
      </w:r>
      <w:proofErr w:type="spellStart"/>
      <w:r>
        <w:t>Asso</w:t>
      </w:r>
      <w:proofErr w:type="spellEnd"/>
      <w:r>
        <w:t>. (2012).; Gagarin. (2010).</w:t>
      </w:r>
    </w:p>
  </w:footnote>
  <w:footnote w:id="3">
    <w:p w14:paraId="609A0C11" w14:textId="3466ED5B" w:rsidR="00952E80" w:rsidRDefault="00952E80">
      <w:pPr>
        <w:pStyle w:val="FootnoteText"/>
      </w:pPr>
      <w:r>
        <w:rPr>
          <w:rStyle w:val="FootnoteReference"/>
        </w:rPr>
        <w:footnoteRef/>
      </w:r>
      <w:r>
        <w:t xml:space="preserve"> Wilson. (2015). </w:t>
      </w:r>
    </w:p>
  </w:footnote>
  <w:footnote w:id="4">
    <w:p w14:paraId="4D8BE5FB" w14:textId="65FEE781" w:rsidR="00140FD6" w:rsidRDefault="00140FD6">
      <w:pPr>
        <w:pStyle w:val="FootnoteText"/>
      </w:pPr>
      <w:r>
        <w:rPr>
          <w:rStyle w:val="FootnoteReference"/>
        </w:rPr>
        <w:footnoteRef/>
      </w:r>
      <w:r>
        <w:t xml:space="preserve"> </w:t>
      </w:r>
      <w:proofErr w:type="spellStart"/>
      <w:r>
        <w:t>Fratantuono</w:t>
      </w:r>
      <w:proofErr w:type="spellEnd"/>
      <w:r>
        <w:t>. (2012). 400.</w:t>
      </w:r>
    </w:p>
  </w:footnote>
  <w:footnote w:id="5">
    <w:p w14:paraId="44DE7C1E" w14:textId="4F75E83A" w:rsidR="003E01F7" w:rsidRDefault="003E01F7">
      <w:pPr>
        <w:pStyle w:val="FootnoteText"/>
      </w:pPr>
      <w:r>
        <w:rPr>
          <w:rStyle w:val="FootnoteReference"/>
        </w:rPr>
        <w:footnoteRef/>
      </w:r>
      <w:r>
        <w:t xml:space="preserve"> Reed. (2011). 30.</w:t>
      </w:r>
    </w:p>
  </w:footnote>
  <w:footnote w:id="6">
    <w:p w14:paraId="11F2A0B6" w14:textId="04435D1E" w:rsidR="00F20D94" w:rsidRDefault="00F20D94">
      <w:pPr>
        <w:pStyle w:val="FootnoteText"/>
      </w:pPr>
      <w:r>
        <w:rPr>
          <w:rStyle w:val="FootnoteReference"/>
        </w:rPr>
        <w:footnoteRef/>
      </w:r>
      <w:r>
        <w:t xml:space="preserve"> Bernstein. (2011). 267.</w:t>
      </w:r>
    </w:p>
  </w:footnote>
  <w:footnote w:id="7">
    <w:p w14:paraId="25A0CE21" w14:textId="033E4078" w:rsidR="007547DD" w:rsidRDefault="007547DD">
      <w:pPr>
        <w:pStyle w:val="FootnoteText"/>
      </w:pPr>
      <w:r>
        <w:rPr>
          <w:rStyle w:val="FootnoteReference"/>
        </w:rPr>
        <w:footnoteRef/>
      </w:r>
      <w:r>
        <w:t xml:space="preserve"> </w:t>
      </w:r>
      <w:proofErr w:type="spellStart"/>
      <w:r>
        <w:t>Barrenecheu</w:t>
      </w:r>
      <w:proofErr w:type="spellEnd"/>
      <w:r>
        <w:t>. (2010). 259-284.</w:t>
      </w:r>
    </w:p>
  </w:footnote>
  <w:footnote w:id="8">
    <w:p w14:paraId="040D6FC2" w14:textId="77777777" w:rsidR="005D5CF0" w:rsidRDefault="005D5CF0" w:rsidP="005D5CF0">
      <w:pPr>
        <w:pStyle w:val="FootnoteText"/>
      </w:pPr>
      <w:r>
        <w:rPr>
          <w:rStyle w:val="FootnoteReference"/>
        </w:rPr>
        <w:footnoteRef/>
      </w:r>
      <w:r>
        <w:t xml:space="preserve"> Tracy. (2011). 38.</w:t>
      </w:r>
    </w:p>
  </w:footnote>
  <w:footnote w:id="9">
    <w:p w14:paraId="459A2B86" w14:textId="295D2CBC" w:rsidR="00C367F9" w:rsidRDefault="00C367F9">
      <w:pPr>
        <w:pStyle w:val="FootnoteText"/>
      </w:pPr>
      <w:r>
        <w:rPr>
          <w:rStyle w:val="FootnoteReference"/>
        </w:rPr>
        <w:footnoteRef/>
      </w:r>
      <w:r>
        <w:t xml:space="preserve"> </w:t>
      </w:r>
      <w:proofErr w:type="spellStart"/>
      <w:r>
        <w:t>Manolaraki</w:t>
      </w:r>
      <w:proofErr w:type="spellEnd"/>
      <w:r>
        <w:t>. (2011). 153-154.</w:t>
      </w:r>
    </w:p>
  </w:footnote>
  <w:footnote w:id="10">
    <w:p w14:paraId="09AFB32A" w14:textId="76B3BFE1" w:rsidR="00C367F9" w:rsidRDefault="00C367F9">
      <w:pPr>
        <w:pStyle w:val="FootnoteText"/>
      </w:pPr>
      <w:r>
        <w:rPr>
          <w:rStyle w:val="FootnoteReference"/>
        </w:rPr>
        <w:footnoteRef/>
      </w:r>
      <w:r>
        <w:t xml:space="preserve"> </w:t>
      </w:r>
      <w:proofErr w:type="spellStart"/>
      <w:r>
        <w:t>Barrenecheu</w:t>
      </w:r>
      <w:proofErr w:type="spellEnd"/>
      <w:r>
        <w:t>. (2010) 259-284.</w:t>
      </w:r>
    </w:p>
  </w:footnote>
  <w:footnote w:id="11">
    <w:p w14:paraId="14099151" w14:textId="48E6947F" w:rsidR="00130D98" w:rsidRDefault="00130D98">
      <w:pPr>
        <w:pStyle w:val="FootnoteText"/>
      </w:pPr>
      <w:r>
        <w:rPr>
          <w:rStyle w:val="FootnoteReference"/>
        </w:rPr>
        <w:footnoteRef/>
      </w:r>
      <w:r>
        <w:t xml:space="preserve"> </w:t>
      </w:r>
      <w:proofErr w:type="spellStart"/>
      <w:r>
        <w:t>Frantantuono</w:t>
      </w:r>
      <w:proofErr w:type="spellEnd"/>
      <w:r>
        <w:t>. (2012). 401.; Reed. (2011). 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155"/>
    <w:rsid w:val="000456D0"/>
    <w:rsid w:val="00091152"/>
    <w:rsid w:val="000D2AF4"/>
    <w:rsid w:val="00130D98"/>
    <w:rsid w:val="00140FD6"/>
    <w:rsid w:val="002741F9"/>
    <w:rsid w:val="003232C7"/>
    <w:rsid w:val="00326C30"/>
    <w:rsid w:val="00332AA5"/>
    <w:rsid w:val="00380CE9"/>
    <w:rsid w:val="00392256"/>
    <w:rsid w:val="00393CC0"/>
    <w:rsid w:val="003A3998"/>
    <w:rsid w:val="003E01F7"/>
    <w:rsid w:val="004C5D22"/>
    <w:rsid w:val="005D0B57"/>
    <w:rsid w:val="005D5CF0"/>
    <w:rsid w:val="005E0A42"/>
    <w:rsid w:val="006102BE"/>
    <w:rsid w:val="0064369A"/>
    <w:rsid w:val="00666D56"/>
    <w:rsid w:val="006951E0"/>
    <w:rsid w:val="006A20CE"/>
    <w:rsid w:val="006E39A3"/>
    <w:rsid w:val="007547DD"/>
    <w:rsid w:val="0077060F"/>
    <w:rsid w:val="008109BF"/>
    <w:rsid w:val="00817972"/>
    <w:rsid w:val="00885615"/>
    <w:rsid w:val="00895769"/>
    <w:rsid w:val="008D77A1"/>
    <w:rsid w:val="00903056"/>
    <w:rsid w:val="00906637"/>
    <w:rsid w:val="0092737F"/>
    <w:rsid w:val="00952E80"/>
    <w:rsid w:val="00976C69"/>
    <w:rsid w:val="00A152DB"/>
    <w:rsid w:val="00A33407"/>
    <w:rsid w:val="00A35991"/>
    <w:rsid w:val="00A71011"/>
    <w:rsid w:val="00A862A3"/>
    <w:rsid w:val="00AD10F6"/>
    <w:rsid w:val="00AE1B43"/>
    <w:rsid w:val="00B027F1"/>
    <w:rsid w:val="00BC765F"/>
    <w:rsid w:val="00BE470E"/>
    <w:rsid w:val="00C367F9"/>
    <w:rsid w:val="00C44B32"/>
    <w:rsid w:val="00D3272A"/>
    <w:rsid w:val="00D61C47"/>
    <w:rsid w:val="00DF2473"/>
    <w:rsid w:val="00E00D45"/>
    <w:rsid w:val="00E62F16"/>
    <w:rsid w:val="00E65886"/>
    <w:rsid w:val="00E713B6"/>
    <w:rsid w:val="00F20D94"/>
    <w:rsid w:val="00F2721F"/>
    <w:rsid w:val="00F56155"/>
    <w:rsid w:val="00F862CE"/>
    <w:rsid w:val="00FA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29558"/>
  <w15:chartTrackingRefBased/>
  <w15:docId w15:val="{0562F397-2332-44F6-AC51-DF7117E7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70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060F"/>
    <w:rPr>
      <w:sz w:val="20"/>
      <w:szCs w:val="20"/>
    </w:rPr>
  </w:style>
  <w:style w:type="character" w:styleId="FootnoteReference">
    <w:name w:val="footnote reference"/>
    <w:basedOn w:val="DefaultParagraphFont"/>
    <w:uiPriority w:val="99"/>
    <w:semiHidden/>
    <w:unhideWhenUsed/>
    <w:rsid w:val="007706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AB6B1-04BC-47D4-8E75-EE9FD5B41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4</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Sheep</cp:lastModifiedBy>
  <cp:revision>219</cp:revision>
  <dcterms:created xsi:type="dcterms:W3CDTF">2020-01-19T13:29:00Z</dcterms:created>
  <dcterms:modified xsi:type="dcterms:W3CDTF">2020-01-20T19:19:00Z</dcterms:modified>
</cp:coreProperties>
</file>