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3123E1" w14:textId="77777777" w:rsidR="00685A5C" w:rsidRPr="00685A5C" w:rsidRDefault="00685A5C" w:rsidP="00685A5C">
      <w:pPr>
        <w:spacing w:before="120" w:after="120"/>
        <w:jc w:val="center"/>
        <w:rPr>
          <w:b/>
          <w:sz w:val="32"/>
          <w:szCs w:val="32"/>
          <w:lang w:val="en-GB"/>
        </w:rPr>
      </w:pPr>
    </w:p>
    <w:p w14:paraId="4061BC97" w14:textId="77777777" w:rsidR="00685A5C" w:rsidRPr="00685A5C" w:rsidRDefault="00685A5C" w:rsidP="00685A5C">
      <w:pPr>
        <w:spacing w:before="120" w:after="120"/>
        <w:jc w:val="center"/>
        <w:rPr>
          <w:b/>
          <w:sz w:val="32"/>
          <w:szCs w:val="32"/>
          <w:lang w:val="en-GB"/>
        </w:rPr>
      </w:pPr>
    </w:p>
    <w:p w14:paraId="347B8328" w14:textId="77777777" w:rsidR="00685A5C" w:rsidRPr="00685A5C" w:rsidRDefault="00685A5C" w:rsidP="00685A5C">
      <w:pPr>
        <w:spacing w:before="120" w:after="120"/>
        <w:jc w:val="center"/>
        <w:rPr>
          <w:b/>
          <w:sz w:val="32"/>
          <w:szCs w:val="32"/>
          <w:lang w:val="en-GB"/>
        </w:rPr>
      </w:pPr>
    </w:p>
    <w:p w14:paraId="5B0876F9" w14:textId="77777777" w:rsidR="00685A5C" w:rsidRPr="00685A5C" w:rsidRDefault="00685A5C" w:rsidP="00685A5C">
      <w:pPr>
        <w:spacing w:before="120" w:after="120"/>
        <w:jc w:val="center"/>
        <w:rPr>
          <w:b/>
          <w:sz w:val="32"/>
          <w:szCs w:val="32"/>
          <w:lang w:val="en-GB"/>
        </w:rPr>
      </w:pPr>
    </w:p>
    <w:p w14:paraId="342BB7DF" w14:textId="77777777" w:rsidR="00685A5C" w:rsidRPr="00685A5C" w:rsidRDefault="00685A5C" w:rsidP="00685A5C">
      <w:pPr>
        <w:spacing w:before="120" w:after="120"/>
        <w:jc w:val="center"/>
        <w:rPr>
          <w:b/>
          <w:sz w:val="32"/>
          <w:szCs w:val="32"/>
          <w:lang w:val="en-GB"/>
        </w:rPr>
      </w:pPr>
    </w:p>
    <w:p w14:paraId="1BCFFEE8" w14:textId="77777777" w:rsidR="00685A5C" w:rsidRPr="00685A5C" w:rsidRDefault="00685A5C" w:rsidP="00685A5C">
      <w:pPr>
        <w:spacing w:before="120" w:after="120"/>
        <w:jc w:val="center"/>
        <w:rPr>
          <w:b/>
          <w:sz w:val="32"/>
          <w:szCs w:val="32"/>
          <w:lang w:val="en-GB"/>
        </w:rPr>
      </w:pPr>
    </w:p>
    <w:p w14:paraId="72531A31" w14:textId="77777777" w:rsidR="00685A5C" w:rsidRPr="00685A5C" w:rsidRDefault="00685A5C" w:rsidP="00685A5C">
      <w:pPr>
        <w:spacing w:before="120" w:after="120"/>
        <w:jc w:val="center"/>
        <w:rPr>
          <w:b/>
          <w:sz w:val="32"/>
          <w:szCs w:val="32"/>
          <w:lang w:val="en-GB"/>
        </w:rPr>
      </w:pPr>
    </w:p>
    <w:p w14:paraId="7803F05A" w14:textId="77777777" w:rsidR="00685A5C" w:rsidRPr="00685A5C" w:rsidRDefault="00685A5C" w:rsidP="00685A5C">
      <w:pPr>
        <w:spacing w:before="120" w:after="120"/>
        <w:jc w:val="center"/>
        <w:rPr>
          <w:b/>
          <w:sz w:val="32"/>
          <w:szCs w:val="32"/>
          <w:lang w:val="en-GB"/>
        </w:rPr>
      </w:pPr>
    </w:p>
    <w:p w14:paraId="00000001" w14:textId="7920BD1D" w:rsidR="00F210CE" w:rsidRPr="00685A5C" w:rsidRDefault="0081180D" w:rsidP="00685A5C">
      <w:pPr>
        <w:spacing w:before="120" w:after="120"/>
        <w:jc w:val="center"/>
        <w:rPr>
          <w:b/>
          <w:sz w:val="32"/>
          <w:szCs w:val="32"/>
          <w:lang w:val="en-GB"/>
        </w:rPr>
      </w:pPr>
      <w:r w:rsidRPr="00685A5C">
        <w:rPr>
          <w:b/>
          <w:sz w:val="32"/>
          <w:szCs w:val="32"/>
          <w:lang w:val="en-GB"/>
        </w:rPr>
        <w:t>Preparing for Professional Police Practice</w:t>
      </w:r>
      <w:r w:rsidRPr="00685A5C">
        <w:rPr>
          <w:sz w:val="32"/>
          <w:szCs w:val="32"/>
          <w:lang w:val="en-GB"/>
        </w:rPr>
        <w:br w:type="page"/>
      </w:r>
    </w:p>
    <w:sdt>
      <w:sdtPr>
        <w:rPr>
          <w:rFonts w:ascii="Arial" w:eastAsia="Arial" w:hAnsi="Arial" w:cs="Arial"/>
          <w:color w:val="auto"/>
          <w:sz w:val="24"/>
          <w:szCs w:val="22"/>
          <w:lang w:val="en-GB" w:eastAsia="en-IN"/>
        </w:rPr>
        <w:id w:val="844670106"/>
        <w:docPartObj>
          <w:docPartGallery w:val="Table of Contents"/>
          <w:docPartUnique/>
        </w:docPartObj>
      </w:sdtPr>
      <w:sdtEndPr>
        <w:rPr>
          <w:b/>
          <w:bCs/>
          <w:noProof/>
        </w:rPr>
      </w:sdtEndPr>
      <w:sdtContent>
        <w:p w14:paraId="1ABAC9C9" w14:textId="3E354AAD" w:rsidR="00685A5C" w:rsidRPr="00685A5C" w:rsidRDefault="00685A5C" w:rsidP="00685A5C">
          <w:pPr>
            <w:pStyle w:val="TOCHeading"/>
            <w:jc w:val="center"/>
            <w:rPr>
              <w:rFonts w:ascii="Arial" w:hAnsi="Arial" w:cs="Arial"/>
              <w:b/>
              <w:color w:val="auto"/>
              <w:sz w:val="24"/>
              <w:szCs w:val="24"/>
              <w:lang w:val="en-GB"/>
            </w:rPr>
          </w:pPr>
          <w:r w:rsidRPr="00685A5C">
            <w:rPr>
              <w:rFonts w:ascii="Arial" w:hAnsi="Arial" w:cs="Arial"/>
              <w:b/>
              <w:color w:val="auto"/>
              <w:sz w:val="24"/>
              <w:szCs w:val="24"/>
              <w:lang w:val="en-GB"/>
            </w:rPr>
            <w:t>Table of Contents</w:t>
          </w:r>
        </w:p>
        <w:p w14:paraId="523A7A5E" w14:textId="2FF694D3" w:rsidR="00685A5C" w:rsidRPr="00685A5C" w:rsidRDefault="00685A5C">
          <w:pPr>
            <w:pStyle w:val="TOC1"/>
            <w:tabs>
              <w:tab w:val="right" w:leader="dot" w:pos="9350"/>
            </w:tabs>
            <w:rPr>
              <w:noProof/>
              <w:lang w:val="en-GB"/>
            </w:rPr>
          </w:pPr>
          <w:r w:rsidRPr="00685A5C">
            <w:rPr>
              <w:lang w:val="en-GB"/>
            </w:rPr>
            <w:fldChar w:fldCharType="begin"/>
          </w:r>
          <w:r w:rsidRPr="00685A5C">
            <w:rPr>
              <w:lang w:val="en-GB"/>
            </w:rPr>
            <w:instrText xml:space="preserve"> TOC \o "1-3" \h \z \u </w:instrText>
          </w:r>
          <w:r w:rsidRPr="00685A5C">
            <w:rPr>
              <w:lang w:val="en-GB"/>
            </w:rPr>
            <w:fldChar w:fldCharType="separate"/>
          </w:r>
          <w:hyperlink w:anchor="_Toc119003131" w:history="1">
            <w:r w:rsidRPr="00685A5C">
              <w:rPr>
                <w:rStyle w:val="Hyperlink"/>
                <w:noProof/>
                <w:lang w:val="en-GB"/>
              </w:rPr>
              <w:t>Introduction</w:t>
            </w:r>
            <w:r w:rsidRPr="00685A5C">
              <w:rPr>
                <w:noProof/>
                <w:webHidden/>
                <w:lang w:val="en-GB"/>
              </w:rPr>
              <w:tab/>
            </w:r>
            <w:r w:rsidRPr="00685A5C">
              <w:rPr>
                <w:noProof/>
                <w:webHidden/>
                <w:lang w:val="en-GB"/>
              </w:rPr>
              <w:fldChar w:fldCharType="begin"/>
            </w:r>
            <w:r w:rsidRPr="00685A5C">
              <w:rPr>
                <w:noProof/>
                <w:webHidden/>
                <w:lang w:val="en-GB"/>
              </w:rPr>
              <w:instrText xml:space="preserve"> PAGEREF _Toc119003131 \h </w:instrText>
            </w:r>
            <w:r w:rsidRPr="00685A5C">
              <w:rPr>
                <w:noProof/>
                <w:webHidden/>
                <w:lang w:val="en-GB"/>
              </w:rPr>
            </w:r>
            <w:r w:rsidRPr="00685A5C">
              <w:rPr>
                <w:noProof/>
                <w:webHidden/>
                <w:lang w:val="en-GB"/>
              </w:rPr>
              <w:fldChar w:fldCharType="separate"/>
            </w:r>
            <w:r w:rsidRPr="00685A5C">
              <w:rPr>
                <w:noProof/>
                <w:webHidden/>
                <w:lang w:val="en-GB"/>
              </w:rPr>
              <w:t>3</w:t>
            </w:r>
            <w:r w:rsidRPr="00685A5C">
              <w:rPr>
                <w:noProof/>
                <w:webHidden/>
                <w:lang w:val="en-GB"/>
              </w:rPr>
              <w:fldChar w:fldCharType="end"/>
            </w:r>
          </w:hyperlink>
        </w:p>
        <w:p w14:paraId="28753E9E" w14:textId="3DBCF525" w:rsidR="00685A5C" w:rsidRPr="00685A5C" w:rsidRDefault="00CF69CE">
          <w:pPr>
            <w:pStyle w:val="TOC1"/>
            <w:tabs>
              <w:tab w:val="right" w:leader="dot" w:pos="9350"/>
            </w:tabs>
            <w:rPr>
              <w:noProof/>
              <w:lang w:val="en-GB"/>
            </w:rPr>
          </w:pPr>
          <w:hyperlink w:anchor="_Toc119003132" w:history="1">
            <w:r w:rsidR="00685A5C" w:rsidRPr="00685A5C">
              <w:rPr>
                <w:rStyle w:val="Hyperlink"/>
                <w:noProof/>
                <w:lang w:val="en-GB"/>
              </w:rPr>
              <w:t>Discussion</w:t>
            </w:r>
            <w:r w:rsidR="00685A5C" w:rsidRPr="00685A5C">
              <w:rPr>
                <w:noProof/>
                <w:webHidden/>
                <w:lang w:val="en-GB"/>
              </w:rPr>
              <w:tab/>
            </w:r>
            <w:r w:rsidR="00685A5C" w:rsidRPr="00685A5C">
              <w:rPr>
                <w:noProof/>
                <w:webHidden/>
                <w:lang w:val="en-GB"/>
              </w:rPr>
              <w:fldChar w:fldCharType="begin"/>
            </w:r>
            <w:r w:rsidR="00685A5C" w:rsidRPr="00685A5C">
              <w:rPr>
                <w:noProof/>
                <w:webHidden/>
                <w:lang w:val="en-GB"/>
              </w:rPr>
              <w:instrText xml:space="preserve"> PAGEREF _Toc119003132 \h </w:instrText>
            </w:r>
            <w:r w:rsidR="00685A5C" w:rsidRPr="00685A5C">
              <w:rPr>
                <w:noProof/>
                <w:webHidden/>
                <w:lang w:val="en-GB"/>
              </w:rPr>
            </w:r>
            <w:r w:rsidR="00685A5C" w:rsidRPr="00685A5C">
              <w:rPr>
                <w:noProof/>
                <w:webHidden/>
                <w:lang w:val="en-GB"/>
              </w:rPr>
              <w:fldChar w:fldCharType="separate"/>
            </w:r>
            <w:r w:rsidR="00685A5C" w:rsidRPr="00685A5C">
              <w:rPr>
                <w:noProof/>
                <w:webHidden/>
                <w:lang w:val="en-GB"/>
              </w:rPr>
              <w:t>3</w:t>
            </w:r>
            <w:r w:rsidR="00685A5C" w:rsidRPr="00685A5C">
              <w:rPr>
                <w:noProof/>
                <w:webHidden/>
                <w:lang w:val="en-GB"/>
              </w:rPr>
              <w:fldChar w:fldCharType="end"/>
            </w:r>
          </w:hyperlink>
        </w:p>
        <w:p w14:paraId="34EFFE67" w14:textId="585CE8A0" w:rsidR="00685A5C" w:rsidRPr="00685A5C" w:rsidRDefault="00CF69CE">
          <w:pPr>
            <w:pStyle w:val="TOC1"/>
            <w:tabs>
              <w:tab w:val="right" w:leader="dot" w:pos="9350"/>
            </w:tabs>
            <w:rPr>
              <w:noProof/>
              <w:lang w:val="en-GB"/>
            </w:rPr>
          </w:pPr>
          <w:hyperlink w:anchor="_Toc119003133" w:history="1">
            <w:r w:rsidR="00685A5C" w:rsidRPr="00685A5C">
              <w:rPr>
                <w:rStyle w:val="Hyperlink"/>
                <w:noProof/>
                <w:highlight w:val="white"/>
                <w:lang w:val="en-GB"/>
              </w:rPr>
              <w:t>Conclusion</w:t>
            </w:r>
            <w:r w:rsidR="00685A5C" w:rsidRPr="00685A5C">
              <w:rPr>
                <w:noProof/>
                <w:webHidden/>
                <w:lang w:val="en-GB"/>
              </w:rPr>
              <w:tab/>
            </w:r>
            <w:r w:rsidR="00685A5C" w:rsidRPr="00685A5C">
              <w:rPr>
                <w:noProof/>
                <w:webHidden/>
                <w:lang w:val="en-GB"/>
              </w:rPr>
              <w:fldChar w:fldCharType="begin"/>
            </w:r>
            <w:r w:rsidR="00685A5C" w:rsidRPr="00685A5C">
              <w:rPr>
                <w:noProof/>
                <w:webHidden/>
                <w:lang w:val="en-GB"/>
              </w:rPr>
              <w:instrText xml:space="preserve"> PAGEREF _Toc119003133 \h </w:instrText>
            </w:r>
            <w:r w:rsidR="00685A5C" w:rsidRPr="00685A5C">
              <w:rPr>
                <w:noProof/>
                <w:webHidden/>
                <w:lang w:val="en-GB"/>
              </w:rPr>
            </w:r>
            <w:r w:rsidR="00685A5C" w:rsidRPr="00685A5C">
              <w:rPr>
                <w:noProof/>
                <w:webHidden/>
                <w:lang w:val="en-GB"/>
              </w:rPr>
              <w:fldChar w:fldCharType="separate"/>
            </w:r>
            <w:r w:rsidR="00685A5C" w:rsidRPr="00685A5C">
              <w:rPr>
                <w:noProof/>
                <w:webHidden/>
                <w:lang w:val="en-GB"/>
              </w:rPr>
              <w:t>7</w:t>
            </w:r>
            <w:r w:rsidR="00685A5C" w:rsidRPr="00685A5C">
              <w:rPr>
                <w:noProof/>
                <w:webHidden/>
                <w:lang w:val="en-GB"/>
              </w:rPr>
              <w:fldChar w:fldCharType="end"/>
            </w:r>
          </w:hyperlink>
        </w:p>
        <w:p w14:paraId="75FF8870" w14:textId="265A1732" w:rsidR="00685A5C" w:rsidRPr="00685A5C" w:rsidRDefault="00CF69CE">
          <w:pPr>
            <w:pStyle w:val="TOC1"/>
            <w:tabs>
              <w:tab w:val="right" w:leader="dot" w:pos="9350"/>
            </w:tabs>
            <w:rPr>
              <w:noProof/>
              <w:lang w:val="en-GB"/>
            </w:rPr>
          </w:pPr>
          <w:hyperlink w:anchor="_Toc119003134" w:history="1">
            <w:r w:rsidR="00685A5C" w:rsidRPr="00685A5C">
              <w:rPr>
                <w:rStyle w:val="Hyperlink"/>
                <w:noProof/>
                <w:highlight w:val="white"/>
                <w:lang w:val="en-GB"/>
              </w:rPr>
              <w:t>Bibliography</w:t>
            </w:r>
            <w:r w:rsidR="00685A5C" w:rsidRPr="00685A5C">
              <w:rPr>
                <w:noProof/>
                <w:webHidden/>
                <w:lang w:val="en-GB"/>
              </w:rPr>
              <w:tab/>
            </w:r>
            <w:r w:rsidR="00685A5C" w:rsidRPr="00685A5C">
              <w:rPr>
                <w:noProof/>
                <w:webHidden/>
                <w:lang w:val="en-GB"/>
              </w:rPr>
              <w:fldChar w:fldCharType="begin"/>
            </w:r>
            <w:r w:rsidR="00685A5C" w:rsidRPr="00685A5C">
              <w:rPr>
                <w:noProof/>
                <w:webHidden/>
                <w:lang w:val="en-GB"/>
              </w:rPr>
              <w:instrText xml:space="preserve"> PAGEREF _Toc119003134 \h </w:instrText>
            </w:r>
            <w:r w:rsidR="00685A5C" w:rsidRPr="00685A5C">
              <w:rPr>
                <w:noProof/>
                <w:webHidden/>
                <w:lang w:val="en-GB"/>
              </w:rPr>
            </w:r>
            <w:r w:rsidR="00685A5C" w:rsidRPr="00685A5C">
              <w:rPr>
                <w:noProof/>
                <w:webHidden/>
                <w:lang w:val="en-GB"/>
              </w:rPr>
              <w:fldChar w:fldCharType="separate"/>
            </w:r>
            <w:r w:rsidR="00685A5C" w:rsidRPr="00685A5C">
              <w:rPr>
                <w:noProof/>
                <w:webHidden/>
                <w:lang w:val="en-GB"/>
              </w:rPr>
              <w:t>8</w:t>
            </w:r>
            <w:r w:rsidR="00685A5C" w:rsidRPr="00685A5C">
              <w:rPr>
                <w:noProof/>
                <w:webHidden/>
                <w:lang w:val="en-GB"/>
              </w:rPr>
              <w:fldChar w:fldCharType="end"/>
            </w:r>
          </w:hyperlink>
        </w:p>
        <w:p w14:paraId="0ADBF16D" w14:textId="6938AC42" w:rsidR="00685A5C" w:rsidRPr="00685A5C" w:rsidRDefault="00685A5C">
          <w:pPr>
            <w:rPr>
              <w:lang w:val="en-GB"/>
            </w:rPr>
          </w:pPr>
          <w:r w:rsidRPr="00685A5C">
            <w:rPr>
              <w:b/>
              <w:bCs/>
              <w:noProof/>
              <w:lang w:val="en-GB"/>
            </w:rPr>
            <w:fldChar w:fldCharType="end"/>
          </w:r>
        </w:p>
      </w:sdtContent>
    </w:sdt>
    <w:p w14:paraId="04D4F2D3" w14:textId="77777777" w:rsidR="00685A5C" w:rsidRPr="00685A5C" w:rsidRDefault="00685A5C" w:rsidP="00685A5C">
      <w:pPr>
        <w:spacing w:line="276" w:lineRule="auto"/>
        <w:jc w:val="center"/>
        <w:rPr>
          <w:b/>
          <w:szCs w:val="40"/>
          <w:lang w:val="en-GB"/>
        </w:rPr>
      </w:pPr>
      <w:r w:rsidRPr="00685A5C">
        <w:rPr>
          <w:lang w:val="en-GB"/>
        </w:rPr>
        <w:br w:type="page"/>
      </w:r>
    </w:p>
    <w:p w14:paraId="00000002" w14:textId="6A561E4A" w:rsidR="00F210CE" w:rsidRPr="00685A5C" w:rsidRDefault="0081180D" w:rsidP="00685A5C">
      <w:pPr>
        <w:pStyle w:val="Heading1"/>
        <w:rPr>
          <w:b w:val="0"/>
          <w:lang w:val="en-GB"/>
        </w:rPr>
      </w:pPr>
      <w:bookmarkStart w:id="0" w:name="_Toc119003131"/>
      <w:r w:rsidRPr="00685A5C">
        <w:rPr>
          <w:lang w:val="en-GB"/>
        </w:rPr>
        <w:lastRenderedPageBreak/>
        <w:t>Introduction</w:t>
      </w:r>
      <w:bookmarkEnd w:id="0"/>
    </w:p>
    <w:p w14:paraId="00000003" w14:textId="045BFA2D" w:rsidR="00F210CE" w:rsidRPr="00685A5C" w:rsidRDefault="0081180D">
      <w:pPr>
        <w:spacing w:before="120" w:after="120"/>
        <w:rPr>
          <w:color w:val="0B0C0C"/>
          <w:szCs w:val="24"/>
          <w:lang w:val="en-GB"/>
        </w:rPr>
      </w:pPr>
      <w:r w:rsidRPr="00685A5C">
        <w:rPr>
          <w:szCs w:val="24"/>
          <w:lang w:val="en-GB"/>
        </w:rPr>
        <w:t xml:space="preserve">The topic of the study is “Examine the importance of </w:t>
      </w:r>
      <w:r w:rsidRPr="00685A5C">
        <w:rPr>
          <w:i/>
          <w:szCs w:val="24"/>
          <w:lang w:val="en-GB"/>
        </w:rPr>
        <w:t>‘policing by consent’</w:t>
      </w:r>
      <w:r w:rsidRPr="00685A5C">
        <w:rPr>
          <w:szCs w:val="24"/>
          <w:lang w:val="en-GB"/>
        </w:rPr>
        <w:t xml:space="preserve"> and the impact it has upon a modern-day police service”. Policing by consent is a process which defines the functions and power of police that comes from common consent of the public as opposed to the power of the state. Policing by consent is beneficial for a country because it helps to prevent disorders </w:t>
      </w:r>
      <w:r w:rsidRPr="00685A5C">
        <w:rPr>
          <w:color w:val="0B0C0C"/>
          <w:szCs w:val="24"/>
          <w:lang w:val="en-GB"/>
        </w:rPr>
        <w:t xml:space="preserve">as an alternative to their repression by military force and severity of legal punishment. It also helps to recognise the power of police by taking approval from common people. The main aim </w:t>
      </w:r>
      <w:r w:rsidR="00685A5C" w:rsidRPr="00685A5C">
        <w:rPr>
          <w:color w:val="0B0C0C"/>
          <w:szCs w:val="24"/>
          <w:lang w:val="en-GB"/>
        </w:rPr>
        <w:t>of policing</w:t>
      </w:r>
      <w:r w:rsidRPr="00685A5C">
        <w:rPr>
          <w:color w:val="0B0C0C"/>
          <w:szCs w:val="24"/>
          <w:lang w:val="en-GB"/>
        </w:rPr>
        <w:t xml:space="preserve"> by consent is to secure the public and respect them. In policing by consent police takes public consent for performing their activities because it helps them to conduct their activities in a smooth manner in near future. The thesis statement of the study will highlight the importance of policing by </w:t>
      </w:r>
      <w:r w:rsidR="00685A5C" w:rsidRPr="00685A5C">
        <w:rPr>
          <w:color w:val="0B0C0C"/>
          <w:szCs w:val="24"/>
          <w:lang w:val="en-GB"/>
        </w:rPr>
        <w:t>consent</w:t>
      </w:r>
      <w:r w:rsidRPr="00685A5C">
        <w:rPr>
          <w:color w:val="0B0C0C"/>
          <w:szCs w:val="24"/>
          <w:lang w:val="en-GB"/>
        </w:rPr>
        <w:t xml:space="preserve"> and its impact on modern day police service.</w:t>
      </w:r>
    </w:p>
    <w:p w14:paraId="00000004" w14:textId="26DCAE76" w:rsidR="00F210CE" w:rsidRPr="00685A5C" w:rsidRDefault="0081180D">
      <w:pPr>
        <w:spacing w:before="120" w:after="120"/>
        <w:rPr>
          <w:color w:val="0B0C0C"/>
          <w:szCs w:val="24"/>
          <w:lang w:val="en-GB"/>
        </w:rPr>
      </w:pPr>
      <w:r w:rsidRPr="00685A5C">
        <w:rPr>
          <w:color w:val="0B0C0C"/>
          <w:szCs w:val="24"/>
          <w:lang w:val="en-GB"/>
        </w:rPr>
        <w:t xml:space="preserve">Initially, in this study the concept of “policing by Consent will be discussed. In addition to that, the advantages of policing by consent will also be analysed. Furthermore, the impact of policing by consent on the modern </w:t>
      </w:r>
      <w:r w:rsidR="00685A5C" w:rsidRPr="00685A5C">
        <w:rPr>
          <w:color w:val="0B0C0C"/>
          <w:szCs w:val="24"/>
          <w:lang w:val="en-GB"/>
        </w:rPr>
        <w:t>day’s</w:t>
      </w:r>
      <w:r w:rsidRPr="00685A5C">
        <w:rPr>
          <w:color w:val="0B0C0C"/>
          <w:szCs w:val="24"/>
          <w:lang w:val="en-GB"/>
        </w:rPr>
        <w:t xml:space="preserve"> police activities will also be presented in the study. Lastly, in the conclusion section section main findings of the study will also be presented.</w:t>
      </w:r>
    </w:p>
    <w:p w14:paraId="00000005" w14:textId="77777777" w:rsidR="00F210CE" w:rsidRPr="00685A5C" w:rsidRDefault="0081180D" w:rsidP="00685A5C">
      <w:pPr>
        <w:pStyle w:val="Heading1"/>
        <w:rPr>
          <w:lang w:val="en-GB"/>
        </w:rPr>
      </w:pPr>
      <w:bookmarkStart w:id="1" w:name="_Toc119003132"/>
      <w:r w:rsidRPr="00685A5C">
        <w:rPr>
          <w:lang w:val="en-GB"/>
        </w:rPr>
        <w:t>Discussion</w:t>
      </w:r>
      <w:bookmarkEnd w:id="1"/>
    </w:p>
    <w:p w14:paraId="00000006" w14:textId="249D8C37" w:rsidR="00F210CE" w:rsidRPr="00685A5C" w:rsidRDefault="0081180D">
      <w:pPr>
        <w:spacing w:before="120" w:after="120"/>
        <w:rPr>
          <w:color w:val="0B0C0C"/>
          <w:szCs w:val="24"/>
          <w:lang w:val="en-GB"/>
        </w:rPr>
      </w:pPr>
      <w:r w:rsidRPr="00685A5C">
        <w:rPr>
          <w:color w:val="0B0C0C"/>
          <w:szCs w:val="24"/>
          <w:lang w:val="en-GB"/>
        </w:rPr>
        <w:t xml:space="preserve">In UK, the metropolitan </w:t>
      </w:r>
      <w:r w:rsidR="00685A5C" w:rsidRPr="00685A5C">
        <w:rPr>
          <w:color w:val="0B0C0C"/>
          <w:szCs w:val="24"/>
          <w:lang w:val="en-GB"/>
        </w:rPr>
        <w:t>police have</w:t>
      </w:r>
      <w:r w:rsidRPr="00685A5C">
        <w:rPr>
          <w:color w:val="0B0C0C"/>
          <w:szCs w:val="24"/>
          <w:lang w:val="en-GB"/>
        </w:rPr>
        <w:t xml:space="preserve"> developed 9 policies among them policing by consent is one of the most famous principle. Robert Peel has mentioned that taking public consent for police is very important because it will help them to perform their duties in an effective manner. Rober Peel has also further mentioned that for performing functions of policing </w:t>
      </w:r>
      <w:r w:rsidRPr="00685A5C">
        <w:rPr>
          <w:color w:val="0B0C0C"/>
          <w:szCs w:val="24"/>
          <w:lang w:val="en-GB"/>
        </w:rPr>
        <w:lastRenderedPageBreak/>
        <w:t xml:space="preserve">a wide range of public support is mandatory (london.gov.uk, 2022). Being a civil servant, it is very important for policemen to pay respect to viewpoints of public. In the year 1829, a general instruction was given to police </w:t>
      </w:r>
      <w:r w:rsidR="00685A5C" w:rsidRPr="00685A5C">
        <w:rPr>
          <w:color w:val="0B0C0C"/>
          <w:szCs w:val="24"/>
          <w:lang w:val="en-GB"/>
        </w:rPr>
        <w:t>that physical</w:t>
      </w:r>
      <w:r w:rsidRPr="00685A5C">
        <w:rPr>
          <w:color w:val="0B0C0C"/>
          <w:szCs w:val="24"/>
          <w:lang w:val="en-GB"/>
        </w:rPr>
        <w:t xml:space="preserve"> force can only be used by them if persuasion, advice and warning is being found insufficient in order to obtain public co-operation. However, it was also said that only a minimum amount of physical force can be used if common people fail to maintain law and order. Policing by consent has brought a significant change in present day’s law and order </w:t>
      </w:r>
      <w:r w:rsidR="00685A5C" w:rsidRPr="00685A5C">
        <w:rPr>
          <w:color w:val="0B0C0C"/>
          <w:szCs w:val="24"/>
          <w:lang w:val="en-GB"/>
        </w:rPr>
        <w:t>(london.gov.uk</w:t>
      </w:r>
      <w:r w:rsidRPr="00685A5C">
        <w:rPr>
          <w:color w:val="0B0C0C"/>
          <w:szCs w:val="24"/>
          <w:lang w:val="en-GB"/>
        </w:rPr>
        <w:t>, 2022).</w:t>
      </w:r>
    </w:p>
    <w:p w14:paraId="00000007" w14:textId="47F2DD6E" w:rsidR="00F210CE" w:rsidRPr="00685A5C" w:rsidRDefault="0081180D">
      <w:pPr>
        <w:spacing w:before="120" w:after="120"/>
        <w:rPr>
          <w:color w:val="0B0C0C"/>
          <w:szCs w:val="24"/>
          <w:lang w:val="en-GB"/>
        </w:rPr>
      </w:pPr>
      <w:r w:rsidRPr="00685A5C">
        <w:rPr>
          <w:color w:val="0B0C0C"/>
          <w:szCs w:val="24"/>
          <w:lang w:val="en-GB"/>
        </w:rPr>
        <w:t xml:space="preserve">On the contrary, policing </w:t>
      </w:r>
      <w:r w:rsidR="00685A5C" w:rsidRPr="00685A5C">
        <w:rPr>
          <w:color w:val="0B0C0C"/>
          <w:szCs w:val="24"/>
          <w:lang w:val="en-GB"/>
        </w:rPr>
        <w:t>by consent</w:t>
      </w:r>
      <w:r w:rsidRPr="00685A5C">
        <w:rPr>
          <w:color w:val="0B0C0C"/>
          <w:szCs w:val="24"/>
          <w:lang w:val="en-GB"/>
        </w:rPr>
        <w:t xml:space="preserve"> was not in practice during the pandemic session and this decision of the UK Government was greatly supported by the common people in order to limit the spread of virus. As per the report presented by  Medicore Dave, for almost 200 policing by consent has been the central idea on which the entire Britain police is functioning. The author has further stated that in UK due to policing consent the police men and common people share a cordial relation. Furthermore, it ha</w:t>
      </w:r>
      <w:r w:rsidR="00685A5C">
        <w:rPr>
          <w:color w:val="0B0C0C"/>
          <w:szCs w:val="24"/>
          <w:lang w:val="en-GB"/>
        </w:rPr>
        <w:t xml:space="preserve">s also been seen that in UK, </w:t>
      </w:r>
      <w:r w:rsidR="00685A5C" w:rsidRPr="00685A5C">
        <w:rPr>
          <w:color w:val="0B0C0C"/>
          <w:szCs w:val="24"/>
          <w:lang w:val="en-GB"/>
        </w:rPr>
        <w:t>police</w:t>
      </w:r>
      <w:r w:rsidRPr="00685A5C">
        <w:rPr>
          <w:color w:val="0B0C0C"/>
          <w:szCs w:val="24"/>
          <w:lang w:val="en-GB"/>
        </w:rPr>
        <w:t xml:space="preserve"> </w:t>
      </w:r>
      <w:r w:rsidR="00685A5C" w:rsidRPr="00685A5C">
        <w:rPr>
          <w:color w:val="0B0C0C"/>
          <w:szCs w:val="24"/>
          <w:lang w:val="en-GB"/>
        </w:rPr>
        <w:t>want</w:t>
      </w:r>
      <w:r w:rsidRPr="00685A5C">
        <w:rPr>
          <w:color w:val="0B0C0C"/>
          <w:szCs w:val="24"/>
          <w:lang w:val="en-GB"/>
        </w:rPr>
        <w:t xml:space="preserve"> to gain confidence of public through policing consent rather than imposing their functions on them (abolitionistfutures.com, 2022). As per the report presented by Deloitte, British Tradition of policing by consent endures the </w:t>
      </w:r>
      <w:r w:rsidR="00685A5C" w:rsidRPr="00685A5C">
        <w:rPr>
          <w:color w:val="0B0C0C"/>
          <w:szCs w:val="24"/>
          <w:lang w:val="en-GB"/>
        </w:rPr>
        <w:t>country’s counter</w:t>
      </w:r>
      <w:r w:rsidRPr="00685A5C">
        <w:rPr>
          <w:color w:val="0B0C0C"/>
          <w:szCs w:val="24"/>
          <w:lang w:val="en-GB"/>
        </w:rPr>
        <w:t xml:space="preserve">- terrorism capability and at the same time it </w:t>
      </w:r>
      <w:r w:rsidR="00685A5C" w:rsidRPr="00685A5C">
        <w:rPr>
          <w:color w:val="0B0C0C"/>
          <w:szCs w:val="24"/>
          <w:lang w:val="en-GB"/>
        </w:rPr>
        <w:t>also makes</w:t>
      </w:r>
      <w:r w:rsidRPr="00685A5C">
        <w:rPr>
          <w:color w:val="0B0C0C"/>
          <w:szCs w:val="24"/>
          <w:lang w:val="en-GB"/>
        </w:rPr>
        <w:t xml:space="preserve"> the rest of the world envious (deloitte.com, 2022). It has also helped to reduce </w:t>
      </w:r>
      <w:r w:rsidR="00685A5C" w:rsidRPr="00685A5C">
        <w:rPr>
          <w:color w:val="0B0C0C"/>
          <w:szCs w:val="24"/>
          <w:lang w:val="en-GB"/>
        </w:rPr>
        <w:t>the feeling</w:t>
      </w:r>
      <w:r w:rsidRPr="00685A5C">
        <w:rPr>
          <w:color w:val="0B0C0C"/>
          <w:szCs w:val="24"/>
          <w:lang w:val="en-GB"/>
        </w:rPr>
        <w:t xml:space="preserve"> of vulnerability that may arise among common people.</w:t>
      </w:r>
    </w:p>
    <w:p w14:paraId="00000008" w14:textId="3A7509F4" w:rsidR="00F210CE" w:rsidRPr="00685A5C" w:rsidRDefault="0081180D">
      <w:pPr>
        <w:spacing w:before="120" w:after="120"/>
        <w:rPr>
          <w:color w:val="0B0C0C"/>
          <w:szCs w:val="24"/>
          <w:lang w:val="en-GB"/>
        </w:rPr>
      </w:pPr>
      <w:r w:rsidRPr="00685A5C">
        <w:rPr>
          <w:color w:val="0B0C0C"/>
          <w:szCs w:val="24"/>
          <w:lang w:val="en-GB"/>
        </w:rPr>
        <w:t xml:space="preserve">In the above </w:t>
      </w:r>
      <w:r w:rsidR="00685A5C" w:rsidRPr="00685A5C">
        <w:rPr>
          <w:color w:val="0B0C0C"/>
          <w:szCs w:val="24"/>
          <w:lang w:val="en-GB"/>
        </w:rPr>
        <w:t>paragraph the</w:t>
      </w:r>
      <w:r w:rsidRPr="00685A5C">
        <w:rPr>
          <w:color w:val="0B0C0C"/>
          <w:szCs w:val="24"/>
          <w:lang w:val="en-GB"/>
        </w:rPr>
        <w:t xml:space="preserve"> importance of Policing by consent has been discussed. After discussion, it has been pointed out that policing by consent has helped to metamorphose the rules and regulations of English law. Thus, in the next paragraph the advantages of policing by consent will be discussed. Policing by consent is beneficial for common people </w:t>
      </w:r>
      <w:r w:rsidRPr="00685A5C">
        <w:rPr>
          <w:color w:val="0B0C0C"/>
          <w:szCs w:val="24"/>
          <w:lang w:val="en-GB"/>
        </w:rPr>
        <w:lastRenderedPageBreak/>
        <w:t xml:space="preserve">because it helps to improve the quality of public service towards common people. In addition to that, policing by consent is also beneficial because it helps to enhance security of the common people so that standard of living can be enhanced. “Policing by consent is also advantageous for common people and police men because it helps them to build an effective community based relationship (london.gov.uk, 2022). Meaningful policing by consent means the power of the police must derive from the support entrusted into the service by all communities that comprise our society. Furthermore, the principle of policing by consent is beneficial for English individuals because it helps to understand that it is very important to maintain an effective relation of trust </w:t>
      </w:r>
      <w:r w:rsidR="00685A5C" w:rsidRPr="00685A5C">
        <w:rPr>
          <w:color w:val="0B0C0C"/>
          <w:szCs w:val="24"/>
          <w:lang w:val="en-GB"/>
        </w:rPr>
        <w:t>with London’s</w:t>
      </w:r>
      <w:r w:rsidRPr="00685A5C">
        <w:rPr>
          <w:color w:val="0B0C0C"/>
          <w:szCs w:val="24"/>
          <w:lang w:val="en-GB"/>
        </w:rPr>
        <w:t xml:space="preserve"> BAME community in order to make them believe that they are safe in the country (london.gov.uk, 2022). </w:t>
      </w:r>
      <w:r w:rsidR="00685A5C" w:rsidRPr="00685A5C">
        <w:rPr>
          <w:color w:val="0B0C0C"/>
          <w:szCs w:val="24"/>
          <w:lang w:val="en-GB"/>
        </w:rPr>
        <w:t>However,</w:t>
      </w:r>
      <w:r w:rsidRPr="00685A5C">
        <w:rPr>
          <w:color w:val="0B0C0C"/>
          <w:szCs w:val="24"/>
          <w:lang w:val="en-GB"/>
        </w:rPr>
        <w:t xml:space="preserve"> in the case of Met Police, if they want to reduce the rate of violence </w:t>
      </w:r>
      <w:r w:rsidR="00685A5C" w:rsidRPr="00685A5C">
        <w:rPr>
          <w:color w:val="0B0C0C"/>
          <w:szCs w:val="24"/>
          <w:lang w:val="en-GB"/>
        </w:rPr>
        <w:t>like the</w:t>
      </w:r>
      <w:r w:rsidRPr="00685A5C">
        <w:rPr>
          <w:color w:val="0B0C0C"/>
          <w:szCs w:val="24"/>
          <w:lang w:val="en-GB"/>
        </w:rPr>
        <w:t xml:space="preserve"> Londoners then they also need to gain support for their activities from different communities (london.gov.uk, 2022). In UK, the principle of policing by consent is beneficial because it has reduced the rate of crime and violence.</w:t>
      </w:r>
    </w:p>
    <w:p w14:paraId="00000009" w14:textId="2EC86419" w:rsidR="00F210CE" w:rsidRPr="00685A5C" w:rsidRDefault="0081180D">
      <w:pPr>
        <w:spacing w:before="120" w:after="120"/>
        <w:rPr>
          <w:color w:val="222222"/>
          <w:szCs w:val="24"/>
          <w:highlight w:val="white"/>
          <w:lang w:val="en-GB"/>
        </w:rPr>
      </w:pPr>
      <w:r w:rsidRPr="00685A5C">
        <w:rPr>
          <w:color w:val="0B0C0C"/>
          <w:szCs w:val="24"/>
          <w:lang w:val="en-GB"/>
        </w:rPr>
        <w:t xml:space="preserve">On the contrary as per the report presented in the Guardian, the government of UK need to reconsider the concept of policing by consent because as per Human Rights Act police men are considered as discriminators if they consider the consent of the general public before conducting their duties (theguardian.com, 2022). However, if they police men perform their duties without considering the viewpoint of common people then </w:t>
      </w:r>
      <w:r w:rsidRPr="00685A5C">
        <w:rPr>
          <w:color w:val="121212"/>
          <w:szCs w:val="24"/>
          <w:shd w:val="clear" w:color="auto" w:fill="FEF9F5"/>
          <w:lang w:val="en-GB"/>
        </w:rPr>
        <w:t xml:space="preserve">they are castigated for giving succour to vandals and violence (theguardian.com, 2022). </w:t>
      </w:r>
      <w:r w:rsidR="00685A5C" w:rsidRPr="00685A5C">
        <w:rPr>
          <w:color w:val="121212"/>
          <w:szCs w:val="24"/>
          <w:shd w:val="clear" w:color="auto" w:fill="FEF9F5"/>
          <w:lang w:val="en-GB"/>
        </w:rPr>
        <w:t>As argued</w:t>
      </w:r>
      <w:r w:rsidRPr="00685A5C">
        <w:rPr>
          <w:color w:val="121212"/>
          <w:szCs w:val="24"/>
          <w:shd w:val="clear" w:color="auto" w:fill="FEF9F5"/>
          <w:lang w:val="en-GB"/>
        </w:rPr>
        <w:t xml:space="preserve"> by </w:t>
      </w:r>
      <w:r w:rsidRPr="00685A5C">
        <w:rPr>
          <w:color w:val="222222"/>
          <w:szCs w:val="24"/>
          <w:highlight w:val="white"/>
          <w:lang w:val="en-GB"/>
        </w:rPr>
        <w:t xml:space="preserve">Farrow (2020), the main function of police is to maintain the law and order of the country and this is only effective due to the implementation of the principle of Policing by Consent. The author has also stated that success to this process can be best measured </w:t>
      </w:r>
      <w:r w:rsidRPr="00685A5C">
        <w:rPr>
          <w:color w:val="222222"/>
          <w:szCs w:val="24"/>
          <w:highlight w:val="white"/>
          <w:lang w:val="en-GB"/>
        </w:rPr>
        <w:lastRenderedPageBreak/>
        <w:t xml:space="preserve">by the willingness of the public in following the rules and regulations set up by the police. </w:t>
      </w:r>
      <w:r w:rsidR="00615A55">
        <w:rPr>
          <w:color w:val="222222"/>
          <w:szCs w:val="24"/>
          <w:highlight w:val="white"/>
          <w:lang w:val="en-GB"/>
        </w:rPr>
        <w:t>“</w:t>
      </w:r>
      <w:r w:rsidRPr="00685A5C">
        <w:rPr>
          <w:color w:val="222222"/>
          <w:szCs w:val="24"/>
          <w:highlight w:val="white"/>
          <w:lang w:val="en-GB"/>
        </w:rPr>
        <w:t>Whilst challenges to the notion of policing by consent have surfaced regularly since the announcement of the lockdown, with 14,000 fines for breaking the new regulations, having been given out prior to 15 May in England and Wales alone</w:t>
      </w:r>
      <w:r w:rsidR="00615A55">
        <w:rPr>
          <w:color w:val="222222"/>
          <w:szCs w:val="24"/>
          <w:highlight w:val="white"/>
          <w:lang w:val="en-GB"/>
        </w:rPr>
        <w:t>”</w:t>
      </w:r>
      <w:bookmarkStart w:id="2" w:name="_GoBack"/>
      <w:bookmarkEnd w:id="2"/>
      <w:r w:rsidRPr="00685A5C">
        <w:rPr>
          <w:color w:val="222222"/>
          <w:szCs w:val="24"/>
          <w:highlight w:val="white"/>
          <w:lang w:val="en-GB"/>
        </w:rPr>
        <w:t>. As opposed by Peelian Principles, policemen in the UK are dependent on public responses. Therefore, they have a tendency to lose their authority when they lose public consent. The principle has further mentioned that public concern is not only gained by pandering their opinion but also by implementing laws and order judiciously and by applying minimum force (researchbriefings.files.parliament.uk, 2022).</w:t>
      </w:r>
    </w:p>
    <w:p w14:paraId="0000000A" w14:textId="4FA6AE83" w:rsidR="00F210CE" w:rsidRPr="00685A5C" w:rsidRDefault="0081180D">
      <w:pPr>
        <w:spacing w:before="120" w:after="120"/>
        <w:rPr>
          <w:color w:val="222222"/>
          <w:szCs w:val="24"/>
          <w:highlight w:val="white"/>
          <w:lang w:val="en-GB"/>
        </w:rPr>
      </w:pPr>
      <w:r w:rsidRPr="00685A5C">
        <w:rPr>
          <w:color w:val="222222"/>
          <w:szCs w:val="24"/>
          <w:highlight w:val="white"/>
          <w:lang w:val="en-GB"/>
        </w:rPr>
        <w:t xml:space="preserve">The recent cases of UK police aligning with racist attitudes when it comes to arresting absconders has imported or negative impact on the use of consent policies in UK legal system. It is because the consent policies strictly </w:t>
      </w:r>
      <w:r w:rsidR="00685A5C" w:rsidRPr="00685A5C">
        <w:rPr>
          <w:color w:val="222222"/>
          <w:szCs w:val="24"/>
          <w:highlight w:val="white"/>
          <w:lang w:val="en-GB"/>
        </w:rPr>
        <w:t>inform</w:t>
      </w:r>
      <w:r w:rsidRPr="00685A5C">
        <w:rPr>
          <w:color w:val="222222"/>
          <w:szCs w:val="24"/>
          <w:highlight w:val="white"/>
          <w:lang w:val="en-GB"/>
        </w:rPr>
        <w:t xml:space="preserve"> the judiciary and policing system to take consensual guidance for treating with any criminal and disregard its undervaluation to the aspects of racist suppression. Several instances has been recorded where the criminals have been subjected to violent conduct from the police due to their race, which is an extensive subjugation of the consent policy. Therefore, it has emerged to be one of the major issues and limitation in the application of constant policing in the UK.</w:t>
      </w:r>
    </w:p>
    <w:p w14:paraId="0000000B" w14:textId="549528A8" w:rsidR="00F210CE" w:rsidRPr="00685A5C" w:rsidRDefault="0081180D">
      <w:pPr>
        <w:spacing w:before="120" w:after="120"/>
        <w:rPr>
          <w:color w:val="222222"/>
          <w:szCs w:val="24"/>
          <w:highlight w:val="white"/>
          <w:lang w:val="en-GB"/>
        </w:rPr>
      </w:pPr>
      <w:r w:rsidRPr="00685A5C">
        <w:rPr>
          <w:color w:val="222222"/>
          <w:szCs w:val="24"/>
          <w:highlight w:val="white"/>
          <w:lang w:val="en-GB"/>
        </w:rPr>
        <w:t xml:space="preserve">In the present situation due to the application of policing by consent transparency can be maintained between the common man and police men. In the current situation the home office also remains informed about the power that is being enforced by policemen among the common mass so that they can follow the rules and regulations in an effective manner. Nowadays police organisations have launched different social media pages where people </w:t>
      </w:r>
      <w:r w:rsidRPr="00685A5C">
        <w:rPr>
          <w:color w:val="222222"/>
          <w:szCs w:val="24"/>
          <w:highlight w:val="white"/>
          <w:lang w:val="en-GB"/>
        </w:rPr>
        <w:lastRenderedPageBreak/>
        <w:t xml:space="preserve">can comment on policing activities in their area. This shows the transparency in the entire system which has come inforce due to the concept of policing by consent. Application of policing by consent can also help the </w:t>
      </w:r>
      <w:r w:rsidR="00685A5C" w:rsidRPr="00685A5C">
        <w:rPr>
          <w:color w:val="222222"/>
          <w:szCs w:val="24"/>
          <w:highlight w:val="white"/>
          <w:lang w:val="en-GB"/>
        </w:rPr>
        <w:t>residents of</w:t>
      </w:r>
      <w:r w:rsidRPr="00685A5C">
        <w:rPr>
          <w:color w:val="222222"/>
          <w:szCs w:val="24"/>
          <w:highlight w:val="white"/>
          <w:lang w:val="en-GB"/>
        </w:rPr>
        <w:t xml:space="preserve"> different area in getting engaged in different activities such </w:t>
      </w:r>
      <w:r w:rsidR="00685A5C" w:rsidRPr="00685A5C">
        <w:rPr>
          <w:color w:val="222222"/>
          <w:szCs w:val="24"/>
          <w:highlight w:val="white"/>
          <w:lang w:val="en-GB"/>
        </w:rPr>
        <w:t>as</w:t>
      </w:r>
      <w:r w:rsidRPr="00685A5C">
        <w:rPr>
          <w:color w:val="222222"/>
          <w:szCs w:val="24"/>
          <w:highlight w:val="white"/>
          <w:lang w:val="en-GB"/>
        </w:rPr>
        <w:t xml:space="preserve"> forming advisory committees where local people, often those from underrepresented groups, advise on how their policing is affecting them. Lastly, it has been noted that policing by consent is helping in investing matters in an effective matter.</w:t>
      </w:r>
    </w:p>
    <w:p w14:paraId="0000000C" w14:textId="77777777" w:rsidR="00F210CE" w:rsidRPr="00685A5C" w:rsidRDefault="0081180D" w:rsidP="00685A5C">
      <w:pPr>
        <w:pStyle w:val="Heading1"/>
        <w:rPr>
          <w:highlight w:val="white"/>
          <w:lang w:val="en-GB"/>
        </w:rPr>
      </w:pPr>
      <w:bookmarkStart w:id="3" w:name="_Toc119003133"/>
      <w:r w:rsidRPr="00685A5C">
        <w:rPr>
          <w:highlight w:val="white"/>
          <w:lang w:val="en-GB"/>
        </w:rPr>
        <w:t>Conclusion</w:t>
      </w:r>
      <w:bookmarkEnd w:id="3"/>
    </w:p>
    <w:p w14:paraId="0000000D" w14:textId="497D9F19" w:rsidR="00685A5C" w:rsidRPr="00685A5C" w:rsidRDefault="0081180D">
      <w:pPr>
        <w:spacing w:before="120" w:after="120"/>
        <w:rPr>
          <w:color w:val="222222"/>
          <w:szCs w:val="24"/>
          <w:highlight w:val="white"/>
          <w:lang w:val="en-GB"/>
        </w:rPr>
      </w:pPr>
      <w:r w:rsidRPr="00685A5C">
        <w:rPr>
          <w:color w:val="222222"/>
          <w:szCs w:val="24"/>
          <w:highlight w:val="white"/>
          <w:lang w:val="en-GB"/>
        </w:rPr>
        <w:t xml:space="preserve">Thus, after completing the study it has been noted policing by consent is a </w:t>
      </w:r>
      <w:r w:rsidR="00685A5C" w:rsidRPr="00685A5C">
        <w:rPr>
          <w:color w:val="222222"/>
          <w:szCs w:val="24"/>
          <w:highlight w:val="white"/>
          <w:lang w:val="en-GB"/>
        </w:rPr>
        <w:t>process in</w:t>
      </w:r>
      <w:r w:rsidRPr="00685A5C">
        <w:rPr>
          <w:color w:val="222222"/>
          <w:szCs w:val="24"/>
          <w:highlight w:val="white"/>
          <w:lang w:val="en-GB"/>
        </w:rPr>
        <w:t xml:space="preserve"> which the </w:t>
      </w:r>
      <w:r w:rsidR="00685A5C" w:rsidRPr="00685A5C">
        <w:rPr>
          <w:color w:val="222222"/>
          <w:szCs w:val="24"/>
          <w:highlight w:val="white"/>
          <w:lang w:val="en-GB"/>
        </w:rPr>
        <w:t>policemen consult</w:t>
      </w:r>
      <w:r w:rsidRPr="00685A5C">
        <w:rPr>
          <w:color w:val="222222"/>
          <w:szCs w:val="24"/>
          <w:highlight w:val="white"/>
          <w:lang w:val="en-GB"/>
        </w:rPr>
        <w:t xml:space="preserve"> general mass before taking any action. Further, it has been pointed that this process helps to form a community feeling </w:t>
      </w:r>
      <w:r w:rsidR="00685A5C" w:rsidRPr="00685A5C">
        <w:rPr>
          <w:color w:val="222222"/>
          <w:szCs w:val="24"/>
          <w:highlight w:val="white"/>
          <w:lang w:val="en-GB"/>
        </w:rPr>
        <w:t>among</w:t>
      </w:r>
      <w:r w:rsidRPr="00685A5C">
        <w:rPr>
          <w:color w:val="222222"/>
          <w:szCs w:val="24"/>
          <w:highlight w:val="white"/>
          <w:lang w:val="en-GB"/>
        </w:rPr>
        <w:t xml:space="preserve"> people hence, issues and investigations can be done in a </w:t>
      </w:r>
      <w:r w:rsidR="00685A5C" w:rsidRPr="00685A5C">
        <w:rPr>
          <w:color w:val="222222"/>
          <w:szCs w:val="24"/>
          <w:highlight w:val="white"/>
          <w:lang w:val="en-GB"/>
        </w:rPr>
        <w:t>productive</w:t>
      </w:r>
      <w:r w:rsidRPr="00685A5C">
        <w:rPr>
          <w:color w:val="222222"/>
          <w:szCs w:val="24"/>
          <w:highlight w:val="white"/>
          <w:lang w:val="en-GB"/>
        </w:rPr>
        <w:t xml:space="preserve"> manner. On the contrary, some of the scholars have stated that this process is dubious for policemen because they cannot perform their duties without the consent of common people. Lastly, it has been noted that this process is helping local people to form advisory teams which in turns help policemen to make decisions productively.</w:t>
      </w:r>
    </w:p>
    <w:p w14:paraId="5BCFC815" w14:textId="77777777" w:rsidR="00685A5C" w:rsidRPr="00685A5C" w:rsidRDefault="00685A5C">
      <w:pPr>
        <w:rPr>
          <w:color w:val="222222"/>
          <w:szCs w:val="24"/>
          <w:highlight w:val="white"/>
          <w:lang w:val="en-GB"/>
        </w:rPr>
      </w:pPr>
      <w:r w:rsidRPr="00685A5C">
        <w:rPr>
          <w:color w:val="222222"/>
          <w:szCs w:val="24"/>
          <w:highlight w:val="white"/>
          <w:lang w:val="en-GB"/>
        </w:rPr>
        <w:br w:type="page"/>
      </w:r>
    </w:p>
    <w:p w14:paraId="7FFBFB4C" w14:textId="12A6682A" w:rsidR="00F210CE" w:rsidRPr="00685A5C" w:rsidRDefault="00685A5C" w:rsidP="00685A5C">
      <w:pPr>
        <w:pStyle w:val="Heading1"/>
        <w:rPr>
          <w:highlight w:val="white"/>
          <w:lang w:val="en-GB"/>
        </w:rPr>
      </w:pPr>
      <w:bookmarkStart w:id="4" w:name="_Toc119003134"/>
      <w:r w:rsidRPr="00685A5C">
        <w:rPr>
          <w:highlight w:val="white"/>
          <w:lang w:val="en-GB"/>
        </w:rPr>
        <w:lastRenderedPageBreak/>
        <w:t>Bibliography</w:t>
      </w:r>
      <w:bookmarkEnd w:id="4"/>
      <w:r w:rsidRPr="00685A5C">
        <w:rPr>
          <w:highlight w:val="white"/>
          <w:lang w:val="en-GB"/>
        </w:rPr>
        <w:t xml:space="preserve"> </w:t>
      </w:r>
    </w:p>
    <w:p w14:paraId="5D57C7C2" w14:textId="77777777" w:rsidR="00685A5C" w:rsidRPr="00685A5C" w:rsidRDefault="00685A5C" w:rsidP="00685A5C">
      <w:pPr>
        <w:rPr>
          <w:color w:val="222222"/>
          <w:szCs w:val="24"/>
          <w:shd w:val="clear" w:color="auto" w:fill="FFFFFF"/>
          <w:lang w:val="en-GB"/>
        </w:rPr>
      </w:pPr>
      <w:r w:rsidRPr="00685A5C">
        <w:rPr>
          <w:color w:val="222222"/>
          <w:szCs w:val="24"/>
          <w:shd w:val="clear" w:color="auto" w:fill="FFFFFF"/>
          <w:lang w:val="en-GB"/>
        </w:rPr>
        <w:t>Farrow, K., 2020. Policing the pandemic in the UK using the principles of procedural justice. </w:t>
      </w:r>
      <w:r w:rsidRPr="00685A5C">
        <w:rPr>
          <w:i/>
          <w:iCs/>
          <w:color w:val="222222"/>
          <w:szCs w:val="24"/>
          <w:shd w:val="clear" w:color="auto" w:fill="FFFFFF"/>
          <w:lang w:val="en-GB"/>
        </w:rPr>
        <w:t>Policing: a journal of policy and practice</w:t>
      </w:r>
      <w:r w:rsidRPr="00685A5C">
        <w:rPr>
          <w:color w:val="222222"/>
          <w:szCs w:val="24"/>
          <w:shd w:val="clear" w:color="auto" w:fill="FFFFFF"/>
          <w:lang w:val="en-GB"/>
        </w:rPr>
        <w:t>, </w:t>
      </w:r>
      <w:r w:rsidRPr="00685A5C">
        <w:rPr>
          <w:i/>
          <w:iCs/>
          <w:color w:val="222222"/>
          <w:szCs w:val="24"/>
          <w:shd w:val="clear" w:color="auto" w:fill="FFFFFF"/>
          <w:lang w:val="en-GB"/>
        </w:rPr>
        <w:t>14</w:t>
      </w:r>
      <w:r w:rsidRPr="00685A5C">
        <w:rPr>
          <w:color w:val="222222"/>
          <w:szCs w:val="24"/>
          <w:shd w:val="clear" w:color="auto" w:fill="FFFFFF"/>
          <w:lang w:val="en-GB"/>
        </w:rPr>
        <w:t>(3), pp.587-592.</w:t>
      </w:r>
    </w:p>
    <w:p w14:paraId="0B9733DF" w14:textId="252413F4" w:rsidR="00685A5C" w:rsidRPr="00685A5C" w:rsidRDefault="00685A5C" w:rsidP="00685A5C">
      <w:pPr>
        <w:rPr>
          <w:szCs w:val="24"/>
          <w:lang w:val="en-GB"/>
        </w:rPr>
      </w:pPr>
      <w:r w:rsidRPr="00685A5C">
        <w:rPr>
          <w:szCs w:val="24"/>
          <w:lang w:val="en-GB"/>
        </w:rPr>
        <w:t xml:space="preserve">london.gov.uk </w:t>
      </w:r>
      <w:r>
        <w:rPr>
          <w:szCs w:val="24"/>
          <w:lang w:val="en-GB"/>
        </w:rPr>
        <w:t>2022 policing by consult [Online] available at: &lt;</w:t>
      </w:r>
      <w:hyperlink r:id="rId7" w:history="1">
        <w:r w:rsidRPr="00685A5C">
          <w:rPr>
            <w:rStyle w:val="Hyperlink"/>
            <w:szCs w:val="24"/>
            <w:lang w:val="en-GB"/>
          </w:rPr>
          <w:t>https://www.london.gov.uk/node/59395</w:t>
        </w:r>
      </w:hyperlink>
      <w:r>
        <w:rPr>
          <w:szCs w:val="24"/>
          <w:lang w:val="en-GB"/>
        </w:rPr>
        <w:t>&gt; [Accessed on 10 November, 2022]</w:t>
      </w:r>
    </w:p>
    <w:p w14:paraId="42ADB60C" w14:textId="2BCB2D64" w:rsidR="00685A5C" w:rsidRPr="00685A5C" w:rsidRDefault="00685A5C" w:rsidP="00685A5C">
      <w:pPr>
        <w:rPr>
          <w:szCs w:val="24"/>
          <w:lang w:val="en-GB"/>
        </w:rPr>
      </w:pPr>
      <w:r w:rsidRPr="00685A5C">
        <w:rPr>
          <w:szCs w:val="24"/>
          <w:lang w:val="en-GB"/>
        </w:rPr>
        <w:t xml:space="preserve">london.gov.uk </w:t>
      </w:r>
      <w:r>
        <w:rPr>
          <w:szCs w:val="24"/>
          <w:lang w:val="en-GB"/>
        </w:rPr>
        <w:t>2022 importance of policing by consult [Online] available at&lt;</w:t>
      </w:r>
      <w:hyperlink r:id="rId8" w:history="1">
        <w:r w:rsidRPr="00685A5C">
          <w:rPr>
            <w:rStyle w:val="Hyperlink"/>
            <w:szCs w:val="24"/>
            <w:lang w:val="en-GB"/>
          </w:rPr>
          <w:t>https://www.london.gov.uk/sites/default/files/policing_with_consent.pdf</w:t>
        </w:r>
      </w:hyperlink>
      <w:r>
        <w:rPr>
          <w:szCs w:val="24"/>
          <w:lang w:val="en-GB"/>
        </w:rPr>
        <w:t>&gt; [Accessed on 10 November, 2022]</w:t>
      </w:r>
    </w:p>
    <w:p w14:paraId="1D2DC181" w14:textId="09B9F60C" w:rsidR="00685A5C" w:rsidRPr="00685A5C" w:rsidRDefault="00685A5C" w:rsidP="00685A5C">
      <w:pPr>
        <w:rPr>
          <w:szCs w:val="24"/>
          <w:lang w:val="en-GB"/>
        </w:rPr>
      </w:pPr>
      <w:r w:rsidRPr="00685A5C">
        <w:rPr>
          <w:szCs w:val="24"/>
          <w:lang w:val="en-GB"/>
        </w:rPr>
        <w:t xml:space="preserve">theguardian.com </w:t>
      </w:r>
      <w:r>
        <w:rPr>
          <w:szCs w:val="24"/>
          <w:lang w:val="en-GB"/>
        </w:rPr>
        <w:t>2022 policing by consult [Online] available at</w:t>
      </w:r>
      <w:r w:rsidRPr="00685A5C">
        <w:rPr>
          <w:szCs w:val="24"/>
          <w:lang w:val="en-GB"/>
        </w:rPr>
        <w:t xml:space="preserve"> </w:t>
      </w:r>
      <w:r>
        <w:rPr>
          <w:szCs w:val="24"/>
          <w:lang w:val="en-GB"/>
        </w:rPr>
        <w:t>&lt;</w:t>
      </w:r>
      <w:hyperlink r:id="rId9" w:history="1">
        <w:r w:rsidRPr="00685A5C">
          <w:rPr>
            <w:rStyle w:val="Hyperlink"/>
            <w:szCs w:val="24"/>
            <w:lang w:val="en-GB"/>
          </w:rPr>
          <w:t>https://www.theguardian.com/commentisfree/libertycentral/2010/dec/10/water-cannon-tear-gas-violent-disorder</w:t>
        </w:r>
      </w:hyperlink>
      <w:r>
        <w:rPr>
          <w:szCs w:val="24"/>
          <w:lang w:val="en-GB"/>
        </w:rPr>
        <w:t>&gt; [Accessed on 10 November, 2022]</w:t>
      </w:r>
    </w:p>
    <w:p w14:paraId="67C35BDA" w14:textId="468AB945" w:rsidR="00685A5C" w:rsidRPr="00685A5C" w:rsidRDefault="00685A5C" w:rsidP="00685A5C">
      <w:pPr>
        <w:rPr>
          <w:szCs w:val="24"/>
          <w:lang w:val="en-GB"/>
        </w:rPr>
      </w:pPr>
      <w:r w:rsidRPr="00685A5C">
        <w:rPr>
          <w:szCs w:val="24"/>
          <w:lang w:val="en-GB"/>
        </w:rPr>
        <w:t xml:space="preserve">abolitionistfutures.com </w:t>
      </w:r>
      <w:r>
        <w:rPr>
          <w:szCs w:val="24"/>
          <w:lang w:val="en-GB"/>
        </w:rPr>
        <w:t xml:space="preserve">2022 cases of policing by consult </w:t>
      </w:r>
      <w:hyperlink r:id="rId10" w:history="1">
        <w:r w:rsidRPr="00685A5C">
          <w:rPr>
            <w:rStyle w:val="Hyperlink"/>
            <w:szCs w:val="24"/>
            <w:lang w:val="en-GB"/>
          </w:rPr>
          <w:t>https://abolitionistfutures.com/latest-news/policing-by-consent</w:t>
        </w:r>
      </w:hyperlink>
      <w:r>
        <w:rPr>
          <w:szCs w:val="24"/>
          <w:lang w:val="en-GB"/>
        </w:rPr>
        <w:t xml:space="preserve"> [Online] available  at </w:t>
      </w:r>
    </w:p>
    <w:p w14:paraId="4CA7A15F" w14:textId="6C0B2D11" w:rsidR="00685A5C" w:rsidRPr="00685A5C" w:rsidRDefault="00685A5C" w:rsidP="00685A5C">
      <w:pPr>
        <w:rPr>
          <w:szCs w:val="24"/>
          <w:lang w:val="en-GB"/>
        </w:rPr>
      </w:pPr>
      <w:r>
        <w:rPr>
          <w:szCs w:val="24"/>
          <w:lang w:val="en-GB"/>
        </w:rPr>
        <w:t>&lt;</w:t>
      </w:r>
      <w:hyperlink r:id="rId11" w:history="1">
        <w:r w:rsidRPr="00685A5C">
          <w:rPr>
            <w:rStyle w:val="Hyperlink"/>
            <w:szCs w:val="24"/>
            <w:lang w:val="en-GB"/>
          </w:rPr>
          <w:t>https://www.npcc.police.uk/documents/Policing%20Vision.pdf</w:t>
        </w:r>
      </w:hyperlink>
      <w:r>
        <w:rPr>
          <w:szCs w:val="24"/>
          <w:lang w:val="en-GB"/>
        </w:rPr>
        <w:t>&gt;[Accessed on 10 November, 2022]</w:t>
      </w:r>
    </w:p>
    <w:p w14:paraId="55E697EC" w14:textId="218B6198" w:rsidR="00685A5C" w:rsidRPr="00685A5C" w:rsidRDefault="00685A5C" w:rsidP="00685A5C">
      <w:pPr>
        <w:rPr>
          <w:szCs w:val="24"/>
          <w:lang w:val="en-GB"/>
        </w:rPr>
      </w:pPr>
      <w:r w:rsidRPr="00685A5C">
        <w:rPr>
          <w:szCs w:val="24"/>
          <w:lang w:val="en-GB"/>
        </w:rPr>
        <w:t xml:space="preserve">deloitte.com </w:t>
      </w:r>
      <w:r>
        <w:rPr>
          <w:szCs w:val="24"/>
          <w:lang w:val="en-GB"/>
        </w:rPr>
        <w:t>2022 future of policing [Online] available at: &lt;</w:t>
      </w:r>
      <w:hyperlink r:id="rId12" w:history="1">
        <w:r w:rsidRPr="00685A5C">
          <w:rPr>
            <w:rStyle w:val="Hyperlink"/>
            <w:szCs w:val="24"/>
            <w:lang w:val="en-GB"/>
          </w:rPr>
          <w:t>https://www2.deloitte.com/content/dam/Deloitte/uk/Documents/public-sector/deloitte-uk-future-of-policing.pdf</w:t>
        </w:r>
      </w:hyperlink>
      <w:r>
        <w:rPr>
          <w:szCs w:val="24"/>
          <w:lang w:val="en-GB"/>
        </w:rPr>
        <w:t>&gt; [Accessed on 10 November, 2022]</w:t>
      </w:r>
    </w:p>
    <w:p w14:paraId="0A5F0D7B" w14:textId="08CFD0ED" w:rsidR="00685A5C" w:rsidRPr="00685A5C" w:rsidRDefault="00685A5C" w:rsidP="00685A5C">
      <w:pPr>
        <w:rPr>
          <w:szCs w:val="24"/>
          <w:lang w:val="en-GB"/>
        </w:rPr>
      </w:pPr>
      <w:r w:rsidRPr="00685A5C">
        <w:rPr>
          <w:szCs w:val="24"/>
          <w:lang w:val="en-GB"/>
        </w:rPr>
        <w:t xml:space="preserve">researchbriefings.files.parliament.uk </w:t>
      </w:r>
      <w:r>
        <w:rPr>
          <w:szCs w:val="24"/>
          <w:lang w:val="en-GB"/>
        </w:rPr>
        <w:t>2022 future of policing [Online] available at:&lt;</w:t>
      </w:r>
      <w:hyperlink r:id="rId13" w:history="1">
        <w:r w:rsidRPr="00B31B81">
          <w:rPr>
            <w:rStyle w:val="Hyperlink"/>
            <w:szCs w:val="24"/>
            <w:lang w:val="en-GB"/>
          </w:rPr>
          <w:t>https://researchbriefings.files.parliament.uk/documents/CBP-8582/CBP-8582.pdf</w:t>
        </w:r>
      </w:hyperlink>
      <w:r>
        <w:rPr>
          <w:szCs w:val="24"/>
          <w:lang w:val="en-GB"/>
        </w:rPr>
        <w:t>&gt;[Accessed on 10 November, 2022]</w:t>
      </w:r>
    </w:p>
    <w:p w14:paraId="7B94EBDD" w14:textId="77777777" w:rsidR="00685A5C" w:rsidRPr="00685A5C" w:rsidRDefault="00685A5C" w:rsidP="00685A5C">
      <w:pPr>
        <w:rPr>
          <w:szCs w:val="24"/>
          <w:lang w:val="en-GB"/>
        </w:rPr>
      </w:pPr>
    </w:p>
    <w:p w14:paraId="14F6DBB7" w14:textId="77777777" w:rsidR="00685A5C" w:rsidRPr="00685A5C" w:rsidRDefault="00685A5C" w:rsidP="00685A5C">
      <w:pPr>
        <w:spacing w:before="120" w:after="120"/>
        <w:rPr>
          <w:color w:val="222222"/>
          <w:szCs w:val="24"/>
          <w:highlight w:val="white"/>
          <w:lang w:val="en-GB"/>
        </w:rPr>
      </w:pPr>
    </w:p>
    <w:sectPr w:rsidR="00685A5C" w:rsidRPr="00685A5C">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5BD360" w14:textId="77777777" w:rsidR="00CF69CE" w:rsidRDefault="00CF69CE" w:rsidP="00685A5C">
      <w:pPr>
        <w:spacing w:line="240" w:lineRule="auto"/>
      </w:pPr>
      <w:r>
        <w:separator/>
      </w:r>
    </w:p>
  </w:endnote>
  <w:endnote w:type="continuationSeparator" w:id="0">
    <w:p w14:paraId="1BC11897" w14:textId="77777777" w:rsidR="00CF69CE" w:rsidRDefault="00CF69CE" w:rsidP="00685A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884198"/>
      <w:docPartObj>
        <w:docPartGallery w:val="Page Numbers (Bottom of Page)"/>
        <w:docPartUnique/>
      </w:docPartObj>
    </w:sdtPr>
    <w:sdtEndPr>
      <w:rPr>
        <w:noProof/>
      </w:rPr>
    </w:sdtEndPr>
    <w:sdtContent>
      <w:p w14:paraId="5EE07164" w14:textId="60E49896" w:rsidR="00685A5C" w:rsidRDefault="00685A5C">
        <w:pPr>
          <w:pStyle w:val="Footer"/>
          <w:jc w:val="right"/>
        </w:pPr>
        <w:r>
          <w:fldChar w:fldCharType="begin"/>
        </w:r>
        <w:r>
          <w:instrText xml:space="preserve"> PAGE   \* MERGEFORMAT </w:instrText>
        </w:r>
        <w:r>
          <w:fldChar w:fldCharType="separate"/>
        </w:r>
        <w:r w:rsidR="00615A55">
          <w:rPr>
            <w:noProof/>
          </w:rPr>
          <w:t>5</w:t>
        </w:r>
        <w:r>
          <w:rPr>
            <w:noProof/>
          </w:rPr>
          <w:fldChar w:fldCharType="end"/>
        </w:r>
      </w:p>
    </w:sdtContent>
  </w:sdt>
  <w:p w14:paraId="79BB8DE8" w14:textId="77777777" w:rsidR="00685A5C" w:rsidRDefault="00685A5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C50E7F" w14:textId="77777777" w:rsidR="00CF69CE" w:rsidRDefault="00CF69CE" w:rsidP="00685A5C">
      <w:pPr>
        <w:spacing w:line="240" w:lineRule="auto"/>
      </w:pPr>
      <w:r>
        <w:separator/>
      </w:r>
    </w:p>
  </w:footnote>
  <w:footnote w:type="continuationSeparator" w:id="0">
    <w:p w14:paraId="41A7908A" w14:textId="77777777" w:rsidR="00CF69CE" w:rsidRDefault="00CF69CE" w:rsidP="00685A5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10CE"/>
    <w:rsid w:val="00615A55"/>
    <w:rsid w:val="00685A5C"/>
    <w:rsid w:val="0081180D"/>
    <w:rsid w:val="00CF69CE"/>
    <w:rsid w:val="00D619A2"/>
    <w:rsid w:val="00F210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BC6B7"/>
  <w15:docId w15:val="{D6AE28BA-7B93-49C7-B2D9-584F83791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685A5C"/>
    <w:pPr>
      <w:spacing w:line="480" w:lineRule="auto"/>
      <w:jc w:val="both"/>
    </w:pPr>
    <w:rPr>
      <w:sz w:val="24"/>
    </w:rPr>
  </w:style>
  <w:style w:type="paragraph" w:styleId="Heading1">
    <w:name w:val="heading 1"/>
    <w:basedOn w:val="Normal"/>
    <w:next w:val="Normal"/>
    <w:rsid w:val="00685A5C"/>
    <w:pPr>
      <w:keepNext/>
      <w:keepLines/>
      <w:spacing w:before="400" w:after="120"/>
      <w:outlineLvl w:val="0"/>
    </w:pPr>
    <w:rPr>
      <w:b/>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685A5C"/>
    <w:rPr>
      <w:color w:val="0000FF" w:themeColor="hyperlink"/>
      <w:u w:val="single"/>
    </w:rPr>
  </w:style>
  <w:style w:type="paragraph" w:styleId="TOCHeading">
    <w:name w:val="TOC Heading"/>
    <w:basedOn w:val="Heading1"/>
    <w:next w:val="Normal"/>
    <w:uiPriority w:val="39"/>
    <w:unhideWhenUsed/>
    <w:qFormat/>
    <w:rsid w:val="00685A5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85A5C"/>
    <w:pPr>
      <w:spacing w:after="100"/>
    </w:pPr>
  </w:style>
  <w:style w:type="paragraph" w:styleId="Header">
    <w:name w:val="header"/>
    <w:basedOn w:val="Normal"/>
    <w:link w:val="HeaderChar"/>
    <w:uiPriority w:val="99"/>
    <w:unhideWhenUsed/>
    <w:rsid w:val="00685A5C"/>
    <w:pPr>
      <w:tabs>
        <w:tab w:val="center" w:pos="4513"/>
        <w:tab w:val="right" w:pos="9026"/>
      </w:tabs>
      <w:spacing w:line="240" w:lineRule="auto"/>
    </w:pPr>
  </w:style>
  <w:style w:type="character" w:customStyle="1" w:styleId="HeaderChar">
    <w:name w:val="Header Char"/>
    <w:basedOn w:val="DefaultParagraphFont"/>
    <w:link w:val="Header"/>
    <w:uiPriority w:val="99"/>
    <w:rsid w:val="00685A5C"/>
    <w:rPr>
      <w:sz w:val="24"/>
    </w:rPr>
  </w:style>
  <w:style w:type="paragraph" w:styleId="Footer">
    <w:name w:val="footer"/>
    <w:basedOn w:val="Normal"/>
    <w:link w:val="FooterChar"/>
    <w:uiPriority w:val="99"/>
    <w:unhideWhenUsed/>
    <w:rsid w:val="00685A5C"/>
    <w:pPr>
      <w:tabs>
        <w:tab w:val="center" w:pos="4513"/>
        <w:tab w:val="right" w:pos="9026"/>
      </w:tabs>
      <w:spacing w:line="240" w:lineRule="auto"/>
    </w:pPr>
  </w:style>
  <w:style w:type="character" w:customStyle="1" w:styleId="FooterChar">
    <w:name w:val="Footer Char"/>
    <w:basedOn w:val="DefaultParagraphFont"/>
    <w:link w:val="Footer"/>
    <w:uiPriority w:val="99"/>
    <w:rsid w:val="00685A5C"/>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london.gov.uk/sites/default/files/policing_with_consent.pdf" TargetMode="External"/><Relationship Id="rId13" Type="http://schemas.openxmlformats.org/officeDocument/2006/relationships/hyperlink" Target="https://researchbriefings.files.parliament.uk/documents/CBP-8582/CBP-8582.pdf" TargetMode="External"/><Relationship Id="rId3" Type="http://schemas.openxmlformats.org/officeDocument/2006/relationships/settings" Target="settings.xml"/><Relationship Id="rId7" Type="http://schemas.openxmlformats.org/officeDocument/2006/relationships/hyperlink" Target="https://www.london.gov.uk/node/59395" TargetMode="External"/><Relationship Id="rId12" Type="http://schemas.openxmlformats.org/officeDocument/2006/relationships/hyperlink" Target="https://www2.deloitte.com/content/dam/Deloitte/uk/Documents/public-sector/deloitte-uk-future-of-policing.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pcc.police.uk/documents/Policing%20Vision.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bolitionistfutures.com/latest-news/policing-by-consent" TargetMode="External"/><Relationship Id="rId4" Type="http://schemas.openxmlformats.org/officeDocument/2006/relationships/webSettings" Target="webSettings.xml"/><Relationship Id="rId9" Type="http://schemas.openxmlformats.org/officeDocument/2006/relationships/hyperlink" Target="https://www.theguardian.com/commentisfree/libertycentral/2010/dec/10/water-cannon-tear-gas-violent-disorder"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E19B54-026A-4AFC-8E20-4EFA415DA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1656</Words>
  <Characters>9445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dc:creator>
  <cp:lastModifiedBy>Sun</cp:lastModifiedBy>
  <cp:revision>3</cp:revision>
  <dcterms:created xsi:type="dcterms:W3CDTF">2022-11-10T14:46:00Z</dcterms:created>
  <dcterms:modified xsi:type="dcterms:W3CDTF">2022-11-10T14:51:00Z</dcterms:modified>
</cp:coreProperties>
</file>