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2AA92C" w14:textId="3277767D" w:rsidR="00623976" w:rsidRPr="0053780F" w:rsidRDefault="0919804C" w:rsidP="46F9D4E4">
      <w:pPr>
        <w:spacing w:after="165" w:line="360" w:lineRule="auto"/>
        <w:rPr>
          <w:color w:val="000000" w:themeColor="text1"/>
        </w:rPr>
      </w:pPr>
      <w:r w:rsidRPr="0053780F">
        <w:rPr>
          <w:noProof/>
        </w:rPr>
        <w:drawing>
          <wp:inline distT="0" distB="0" distL="0" distR="0" wp14:anchorId="07B21E46" wp14:editId="6A9F4692">
            <wp:extent cx="2209800" cy="742950"/>
            <wp:effectExtent l="0" t="0" r="0" b="0"/>
            <wp:docPr id="1000803016" name="drawing" title="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03016" name="Picture 1000803016"/>
                    <pic:cNvPicPr/>
                  </pic:nvPicPr>
                  <pic:blipFill>
                    <a:blip r:embed="rId7">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14:paraId="652726E4" w14:textId="658B57A8" w:rsidR="00623976" w:rsidRPr="0053780F" w:rsidRDefault="0919804C" w:rsidP="46F9D4E4">
      <w:pPr>
        <w:spacing w:after="165" w:line="360" w:lineRule="auto"/>
        <w:jc w:val="center"/>
        <w:rPr>
          <w:color w:val="000000" w:themeColor="text1"/>
        </w:rPr>
      </w:pPr>
      <w:r w:rsidRPr="0053780F">
        <w:rPr>
          <w:color w:val="000000" w:themeColor="text1"/>
        </w:rPr>
        <w:t>Applied Leadership and Management in the Workplace</w:t>
      </w:r>
      <w:r w:rsidR="00000000" w:rsidRPr="0053780F">
        <w:br/>
      </w:r>
      <w:r w:rsidRPr="0053780F">
        <w:rPr>
          <w:color w:val="000000" w:themeColor="text1"/>
        </w:rPr>
        <w:t xml:space="preserve">Module Assignment Submission </w:t>
      </w:r>
      <w:r w:rsidR="00000000" w:rsidRPr="0053780F">
        <w:br/>
      </w:r>
    </w:p>
    <w:tbl>
      <w:tblPr>
        <w:tblW w:w="0" w:type="auto"/>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3255"/>
        <w:gridCol w:w="5730"/>
      </w:tblGrid>
      <w:tr w:rsidR="5F0B6CBD" w:rsidRPr="0053780F" w14:paraId="7223E145" w14:textId="77777777" w:rsidTr="46F9D4E4">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1BA89605" w14:textId="53A81839" w:rsidR="5F0B6CBD" w:rsidRPr="0053780F" w:rsidRDefault="4AD36262" w:rsidP="46F9D4E4">
            <w:pPr>
              <w:spacing w:before="120" w:after="120" w:line="360" w:lineRule="auto"/>
            </w:pPr>
            <w:r w:rsidRPr="0053780F">
              <w:t>Student Name:</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D8B7773" w14:textId="38925178" w:rsidR="5F0B6CBD" w:rsidRPr="0053780F" w:rsidRDefault="4AD36262" w:rsidP="46F9D4E4">
            <w:pPr>
              <w:spacing w:before="120" w:after="120" w:line="360" w:lineRule="auto"/>
            </w:pPr>
            <w:r w:rsidRPr="0053780F">
              <w:t>Lisa Williams</w:t>
            </w:r>
          </w:p>
        </w:tc>
      </w:tr>
      <w:tr w:rsidR="5F0B6CBD" w:rsidRPr="0053780F" w14:paraId="0B3C03DC" w14:textId="77777777" w:rsidTr="46F9D4E4">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0D52691B" w14:textId="0FFD5122" w:rsidR="5F0B6CBD" w:rsidRPr="0053780F" w:rsidRDefault="4AD36262" w:rsidP="46F9D4E4">
            <w:pPr>
              <w:spacing w:before="120" w:after="120" w:line="360" w:lineRule="auto"/>
            </w:pPr>
            <w:r w:rsidRPr="0053780F">
              <w:t>Student Number:</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6A0B3DE" w14:textId="6EC1B46D" w:rsidR="5F0B6CBD" w:rsidRPr="0053780F" w:rsidRDefault="4AD36262" w:rsidP="46F9D4E4">
            <w:pPr>
              <w:spacing w:before="120" w:after="120" w:line="360" w:lineRule="auto"/>
            </w:pPr>
            <w:r w:rsidRPr="0053780F">
              <w:t>2309068</w:t>
            </w:r>
          </w:p>
        </w:tc>
      </w:tr>
      <w:tr w:rsidR="5F0B6CBD" w:rsidRPr="0053780F" w14:paraId="3F9C9DC5" w14:textId="77777777" w:rsidTr="46F9D4E4">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06FDFBEE" w14:textId="5474F345" w:rsidR="5F0B6CBD" w:rsidRPr="0053780F" w:rsidRDefault="4AD36262" w:rsidP="46F9D4E4">
            <w:pPr>
              <w:spacing w:before="120" w:after="120" w:line="360" w:lineRule="auto"/>
            </w:pPr>
            <w:r w:rsidRPr="0053780F">
              <w:t>Module No:</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6F5FD92" w14:textId="6ED207D7" w:rsidR="5F0B6CBD" w:rsidRPr="0053780F" w:rsidRDefault="4AD36262" w:rsidP="46F9D4E4">
            <w:pPr>
              <w:spacing w:before="120" w:after="120" w:line="360" w:lineRule="auto"/>
            </w:pPr>
            <w:r w:rsidRPr="0053780F">
              <w:t>BMSK601</w:t>
            </w:r>
            <w:r w:rsidR="359CD87A" w:rsidRPr="0053780F">
              <w:t>1</w:t>
            </w:r>
          </w:p>
        </w:tc>
      </w:tr>
      <w:tr w:rsidR="5F0B6CBD" w:rsidRPr="0053780F" w14:paraId="466554F7" w14:textId="77777777" w:rsidTr="46F9D4E4">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07C50DCF" w14:textId="1C9FCE55" w:rsidR="5F0B6CBD" w:rsidRPr="0053780F" w:rsidRDefault="4AD36262" w:rsidP="46F9D4E4">
            <w:pPr>
              <w:spacing w:before="120" w:after="120" w:line="360" w:lineRule="auto"/>
            </w:pPr>
            <w:r w:rsidRPr="0053780F">
              <w:t>Module Title:</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CB50B17" w14:textId="0AA5F15D" w:rsidR="16A46AEC" w:rsidRPr="0053780F" w:rsidRDefault="0919804C" w:rsidP="46F9D4E4">
            <w:pPr>
              <w:spacing w:before="120" w:after="120" w:line="360" w:lineRule="auto"/>
            </w:pPr>
            <w:r w:rsidRPr="0053780F">
              <w:t>Leading &amp; Implementing Workplace Change</w:t>
            </w:r>
          </w:p>
        </w:tc>
      </w:tr>
    </w:tbl>
    <w:p w14:paraId="10D96EE7" w14:textId="7C02060E" w:rsidR="00623976" w:rsidRPr="0053780F" w:rsidRDefault="00623976" w:rsidP="46F9D4E4">
      <w:pPr>
        <w:spacing w:before="120" w:after="120" w:line="360" w:lineRule="auto"/>
        <w:rPr>
          <w:color w:val="FF0000"/>
        </w:rPr>
      </w:pPr>
    </w:p>
    <w:p w14:paraId="71B1E60E" w14:textId="49B6BEFF" w:rsidR="00623976" w:rsidRPr="0053780F" w:rsidRDefault="0919804C" w:rsidP="46F9D4E4">
      <w:pPr>
        <w:spacing w:before="120" w:after="120" w:line="360" w:lineRule="auto"/>
        <w:rPr>
          <w:color w:val="000000" w:themeColor="text1"/>
        </w:rPr>
      </w:pPr>
      <w:r w:rsidRPr="0053780F">
        <w:rPr>
          <w:b/>
          <w:bCs/>
          <w:color w:val="000000" w:themeColor="text1"/>
        </w:rPr>
        <w:t>Statement of Confirmation of Authenticity</w:t>
      </w:r>
    </w:p>
    <w:p w14:paraId="58E4FFF4" w14:textId="5BAC792F" w:rsidR="00623976" w:rsidRPr="0053780F" w:rsidRDefault="0919804C" w:rsidP="46F9D4E4">
      <w:pPr>
        <w:spacing w:before="120" w:after="120" w:line="360" w:lineRule="auto"/>
        <w:rPr>
          <w:color w:val="000000" w:themeColor="text1"/>
        </w:rPr>
      </w:pPr>
      <w:r w:rsidRPr="0053780F">
        <w:rPr>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CB163D4" w14:textId="45D676E8" w:rsidR="00623976" w:rsidRPr="0053780F" w:rsidRDefault="0919804C" w:rsidP="46F9D4E4">
      <w:pPr>
        <w:spacing w:before="120" w:after="120" w:line="360" w:lineRule="auto"/>
        <w:rPr>
          <w:color w:val="000000" w:themeColor="text1"/>
        </w:rPr>
      </w:pPr>
      <w:r w:rsidRPr="0053780F">
        <w:rPr>
          <w:color w:val="000000" w:themeColor="text1"/>
        </w:rPr>
        <w:t>Attention is drawn to the plagiarism and unfair practice policies of both the University and of ILM.</w:t>
      </w:r>
    </w:p>
    <w:p w14:paraId="5E5787A5" w14:textId="7E8ACE1E" w:rsidR="00623976" w:rsidRPr="0053780F" w:rsidRDefault="00623976" w:rsidP="46F9D4E4"/>
    <w:p w14:paraId="237DCBD1" w14:textId="263EC00C" w:rsidR="46F9D4E4" w:rsidRPr="0053780F" w:rsidRDefault="46F9D4E4" w:rsidP="46F9D4E4"/>
    <w:p w14:paraId="794F10DA" w14:textId="621DFA96" w:rsidR="46F9D4E4" w:rsidRPr="0053780F" w:rsidRDefault="46F9D4E4" w:rsidP="46F9D4E4"/>
    <w:p w14:paraId="3FE04CFF" w14:textId="4254A121" w:rsidR="46F9D4E4" w:rsidRPr="0053780F" w:rsidRDefault="46F9D4E4" w:rsidP="46F9D4E4"/>
    <w:p w14:paraId="1FFE15EF" w14:textId="1B7FDEB3" w:rsidR="46F9D4E4" w:rsidRPr="0053780F" w:rsidRDefault="46F9D4E4" w:rsidP="46F9D4E4"/>
    <w:p w14:paraId="15C0330D" w14:textId="41FA5C69" w:rsidR="46F9D4E4" w:rsidRPr="0053780F" w:rsidRDefault="46F9D4E4" w:rsidP="46F9D4E4"/>
    <w:p w14:paraId="4734C5D1" w14:textId="538F317B" w:rsidR="46F9D4E4" w:rsidRPr="0053780F" w:rsidRDefault="46F9D4E4" w:rsidP="46F9D4E4"/>
    <w:sdt>
      <w:sdtPr>
        <w:rPr>
          <w:rFonts w:asciiTheme="minorHAnsi" w:hAnsiTheme="minorHAnsi"/>
        </w:rPr>
        <w:id w:val="-714735489"/>
        <w:docPartObj>
          <w:docPartGallery w:val="Table of Contents"/>
          <w:docPartUnique/>
        </w:docPartObj>
      </w:sdtPr>
      <w:sdtEndPr>
        <w:rPr>
          <w:rFonts w:eastAsiaTheme="minorEastAsia" w:cstheme="minorBidi"/>
          <w:noProof/>
          <w:color w:val="auto"/>
          <w:sz w:val="24"/>
          <w:szCs w:val="24"/>
          <w:lang w:val="en-GB" w:eastAsia="ja-JP"/>
        </w:rPr>
      </w:sdtEndPr>
      <w:sdtContent>
        <w:p w14:paraId="263678F6" w14:textId="74E5AED3" w:rsidR="0053780F" w:rsidRPr="0053780F" w:rsidRDefault="0053780F">
          <w:pPr>
            <w:pStyle w:val="TOCHeading"/>
            <w:rPr>
              <w:rFonts w:asciiTheme="minorHAnsi" w:hAnsiTheme="minorHAnsi"/>
            </w:rPr>
          </w:pPr>
          <w:r w:rsidRPr="0053780F">
            <w:rPr>
              <w:rFonts w:asciiTheme="minorHAnsi" w:hAnsiTheme="minorHAnsi"/>
            </w:rPr>
            <w:t>Table of Contents</w:t>
          </w:r>
        </w:p>
        <w:p w14:paraId="640CF5AC" w14:textId="622161CF" w:rsidR="0053780F" w:rsidRPr="0053780F" w:rsidRDefault="0053780F">
          <w:pPr>
            <w:pStyle w:val="TOC1"/>
            <w:tabs>
              <w:tab w:val="right" w:leader="dot" w:pos="9010"/>
            </w:tabs>
            <w:rPr>
              <w:noProof/>
              <w:sz w:val="28"/>
              <w:szCs w:val="28"/>
            </w:rPr>
          </w:pPr>
          <w:r w:rsidRPr="0053780F">
            <w:rPr>
              <w:b w:val="0"/>
              <w:bCs w:val="0"/>
              <w:sz w:val="28"/>
              <w:szCs w:val="28"/>
            </w:rPr>
            <w:fldChar w:fldCharType="begin"/>
          </w:r>
          <w:r w:rsidRPr="0053780F">
            <w:rPr>
              <w:sz w:val="28"/>
              <w:szCs w:val="28"/>
            </w:rPr>
            <w:instrText xml:space="preserve"> TOC \o "1-3" \h \z \u </w:instrText>
          </w:r>
          <w:r w:rsidRPr="0053780F">
            <w:rPr>
              <w:b w:val="0"/>
              <w:bCs w:val="0"/>
              <w:sz w:val="28"/>
              <w:szCs w:val="28"/>
            </w:rPr>
            <w:fldChar w:fldCharType="separate"/>
          </w:r>
          <w:hyperlink w:anchor="_Toc242610798" w:history="1">
            <w:r w:rsidRPr="0053780F">
              <w:rPr>
                <w:rStyle w:val="Hyperlink"/>
                <w:noProof/>
                <w:sz w:val="28"/>
                <w:szCs w:val="28"/>
              </w:rPr>
              <w:t>Introduction</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_Toc242610798 \h </w:instrText>
            </w:r>
            <w:r w:rsidRPr="0053780F">
              <w:rPr>
                <w:noProof/>
                <w:webHidden/>
                <w:sz w:val="28"/>
                <w:szCs w:val="28"/>
              </w:rPr>
            </w:r>
            <w:r w:rsidRPr="0053780F">
              <w:rPr>
                <w:noProof/>
                <w:webHidden/>
                <w:sz w:val="28"/>
                <w:szCs w:val="28"/>
              </w:rPr>
              <w:fldChar w:fldCharType="separate"/>
            </w:r>
            <w:r w:rsidR="004C74D2">
              <w:rPr>
                <w:noProof/>
                <w:webHidden/>
                <w:sz w:val="28"/>
                <w:szCs w:val="28"/>
              </w:rPr>
              <w:t>3</w:t>
            </w:r>
            <w:r w:rsidRPr="0053780F">
              <w:rPr>
                <w:noProof/>
                <w:webHidden/>
                <w:sz w:val="28"/>
                <w:szCs w:val="28"/>
              </w:rPr>
              <w:fldChar w:fldCharType="end"/>
            </w:r>
          </w:hyperlink>
        </w:p>
        <w:p w14:paraId="6039A691" w14:textId="0E37EE4E" w:rsidR="0053780F" w:rsidRPr="0053780F" w:rsidRDefault="0053780F">
          <w:pPr>
            <w:pStyle w:val="TOC1"/>
            <w:tabs>
              <w:tab w:val="right" w:leader="dot" w:pos="9010"/>
            </w:tabs>
            <w:rPr>
              <w:noProof/>
              <w:sz w:val="28"/>
              <w:szCs w:val="28"/>
            </w:rPr>
          </w:pPr>
          <w:hyperlink w:anchor="_Toc242610799" w:history="1">
            <w:r w:rsidRPr="0053780F">
              <w:rPr>
                <w:rStyle w:val="Hyperlink"/>
                <w:noProof/>
                <w:sz w:val="28"/>
                <w:szCs w:val="28"/>
              </w:rPr>
              <w:t>Critically analyse the current forces in the organisation's micro and macro environment that can impact workplace culture and capability.</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_Toc242610799 \h </w:instrText>
            </w:r>
            <w:r w:rsidRPr="0053780F">
              <w:rPr>
                <w:noProof/>
                <w:webHidden/>
                <w:sz w:val="28"/>
                <w:szCs w:val="28"/>
              </w:rPr>
            </w:r>
            <w:r w:rsidRPr="0053780F">
              <w:rPr>
                <w:noProof/>
                <w:webHidden/>
                <w:sz w:val="28"/>
                <w:szCs w:val="28"/>
              </w:rPr>
              <w:fldChar w:fldCharType="separate"/>
            </w:r>
            <w:r w:rsidR="004C74D2">
              <w:rPr>
                <w:noProof/>
                <w:webHidden/>
                <w:sz w:val="28"/>
                <w:szCs w:val="28"/>
              </w:rPr>
              <w:t>3</w:t>
            </w:r>
            <w:r w:rsidRPr="0053780F">
              <w:rPr>
                <w:noProof/>
                <w:webHidden/>
                <w:sz w:val="28"/>
                <w:szCs w:val="28"/>
              </w:rPr>
              <w:fldChar w:fldCharType="end"/>
            </w:r>
          </w:hyperlink>
        </w:p>
        <w:p w14:paraId="1EB7F5C6" w14:textId="1B61EF52" w:rsidR="0053780F" w:rsidRPr="0053780F" w:rsidRDefault="0053780F">
          <w:pPr>
            <w:pStyle w:val="TOC2"/>
            <w:tabs>
              <w:tab w:val="right" w:leader="dot" w:pos="9010"/>
            </w:tabs>
            <w:rPr>
              <w:noProof/>
              <w:sz w:val="28"/>
              <w:szCs w:val="28"/>
            </w:rPr>
          </w:pPr>
          <w:hyperlink w:anchor="_Toc242610800" w:history="1">
            <w:r w:rsidRPr="0053780F">
              <w:rPr>
                <w:rStyle w:val="Hyperlink"/>
                <w:noProof/>
                <w:sz w:val="28"/>
                <w:szCs w:val="28"/>
              </w:rPr>
              <w:t>Understanding Organisational Change, Culture and Capability</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_Toc242610800 \h </w:instrText>
            </w:r>
            <w:r w:rsidRPr="0053780F">
              <w:rPr>
                <w:noProof/>
                <w:webHidden/>
                <w:sz w:val="28"/>
                <w:szCs w:val="28"/>
              </w:rPr>
            </w:r>
            <w:r w:rsidRPr="0053780F">
              <w:rPr>
                <w:noProof/>
                <w:webHidden/>
                <w:sz w:val="28"/>
                <w:szCs w:val="28"/>
              </w:rPr>
              <w:fldChar w:fldCharType="separate"/>
            </w:r>
            <w:r w:rsidR="004C74D2">
              <w:rPr>
                <w:noProof/>
                <w:webHidden/>
                <w:sz w:val="28"/>
                <w:szCs w:val="28"/>
              </w:rPr>
              <w:t>3</w:t>
            </w:r>
            <w:r w:rsidRPr="0053780F">
              <w:rPr>
                <w:noProof/>
                <w:webHidden/>
                <w:sz w:val="28"/>
                <w:szCs w:val="28"/>
              </w:rPr>
              <w:fldChar w:fldCharType="end"/>
            </w:r>
          </w:hyperlink>
        </w:p>
        <w:p w14:paraId="125C7264" w14:textId="46F99369" w:rsidR="0053780F" w:rsidRPr="0053780F" w:rsidRDefault="0053780F">
          <w:pPr>
            <w:pStyle w:val="TOC2"/>
            <w:tabs>
              <w:tab w:val="right" w:leader="dot" w:pos="9010"/>
            </w:tabs>
            <w:rPr>
              <w:noProof/>
              <w:sz w:val="28"/>
              <w:szCs w:val="28"/>
            </w:rPr>
          </w:pPr>
          <w:hyperlink w:anchor="_Toc242610801" w:history="1">
            <w:r w:rsidRPr="0053780F">
              <w:rPr>
                <w:rStyle w:val="Hyperlink"/>
                <w:noProof/>
                <w:sz w:val="28"/>
                <w:szCs w:val="28"/>
              </w:rPr>
              <w:t>Alpha Safety Training and its Current Operating Environment</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_Toc242610801 \h </w:instrText>
            </w:r>
            <w:r w:rsidRPr="0053780F">
              <w:rPr>
                <w:noProof/>
                <w:webHidden/>
                <w:sz w:val="28"/>
                <w:szCs w:val="28"/>
              </w:rPr>
            </w:r>
            <w:r w:rsidRPr="0053780F">
              <w:rPr>
                <w:noProof/>
                <w:webHidden/>
                <w:sz w:val="28"/>
                <w:szCs w:val="28"/>
              </w:rPr>
              <w:fldChar w:fldCharType="separate"/>
            </w:r>
            <w:r w:rsidR="004C74D2">
              <w:rPr>
                <w:noProof/>
                <w:webHidden/>
                <w:sz w:val="28"/>
                <w:szCs w:val="28"/>
              </w:rPr>
              <w:t>4</w:t>
            </w:r>
            <w:r w:rsidRPr="0053780F">
              <w:rPr>
                <w:noProof/>
                <w:webHidden/>
                <w:sz w:val="28"/>
                <w:szCs w:val="28"/>
              </w:rPr>
              <w:fldChar w:fldCharType="end"/>
            </w:r>
          </w:hyperlink>
        </w:p>
        <w:p w14:paraId="7F9D2869" w14:textId="5A4DEB4E" w:rsidR="0053780F" w:rsidRPr="0053780F" w:rsidRDefault="0053780F">
          <w:pPr>
            <w:pStyle w:val="TOC2"/>
            <w:tabs>
              <w:tab w:val="right" w:leader="dot" w:pos="9010"/>
            </w:tabs>
            <w:rPr>
              <w:noProof/>
              <w:sz w:val="28"/>
              <w:szCs w:val="28"/>
            </w:rPr>
          </w:pPr>
          <w:hyperlink w:anchor="_Toc242610802" w:history="1">
            <w:r w:rsidRPr="0053780F">
              <w:rPr>
                <w:rStyle w:val="Hyperlink"/>
                <w:noProof/>
                <w:sz w:val="28"/>
                <w:szCs w:val="28"/>
              </w:rPr>
              <w:t>Micro-Environmental Analysis: SWOT Analysis</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_Toc242610802 \h </w:instrText>
            </w:r>
            <w:r w:rsidRPr="0053780F">
              <w:rPr>
                <w:noProof/>
                <w:webHidden/>
                <w:sz w:val="28"/>
                <w:szCs w:val="28"/>
              </w:rPr>
            </w:r>
            <w:r w:rsidRPr="0053780F">
              <w:rPr>
                <w:noProof/>
                <w:webHidden/>
                <w:sz w:val="28"/>
                <w:szCs w:val="28"/>
              </w:rPr>
              <w:fldChar w:fldCharType="separate"/>
            </w:r>
            <w:r w:rsidR="004C74D2">
              <w:rPr>
                <w:noProof/>
                <w:webHidden/>
                <w:sz w:val="28"/>
                <w:szCs w:val="28"/>
              </w:rPr>
              <w:t>5</w:t>
            </w:r>
            <w:r w:rsidRPr="0053780F">
              <w:rPr>
                <w:noProof/>
                <w:webHidden/>
                <w:sz w:val="28"/>
                <w:szCs w:val="28"/>
              </w:rPr>
              <w:fldChar w:fldCharType="end"/>
            </w:r>
          </w:hyperlink>
        </w:p>
        <w:p w14:paraId="4B244C4A" w14:textId="5C429CB4" w:rsidR="0053780F" w:rsidRPr="0053780F" w:rsidRDefault="0053780F">
          <w:pPr>
            <w:pStyle w:val="TOC2"/>
            <w:tabs>
              <w:tab w:val="right" w:leader="dot" w:pos="9010"/>
            </w:tabs>
            <w:rPr>
              <w:noProof/>
              <w:sz w:val="28"/>
              <w:szCs w:val="28"/>
            </w:rPr>
          </w:pPr>
          <w:hyperlink w:anchor="_Toc242610803" w:history="1">
            <w:r w:rsidRPr="0053780F">
              <w:rPr>
                <w:rStyle w:val="Hyperlink"/>
                <w:noProof/>
                <w:sz w:val="28"/>
                <w:szCs w:val="28"/>
              </w:rPr>
              <w:t>Macro-Environmental Analysis: PESTLE Analysis</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_Toc242610803 \h </w:instrText>
            </w:r>
            <w:r w:rsidRPr="0053780F">
              <w:rPr>
                <w:noProof/>
                <w:webHidden/>
                <w:sz w:val="28"/>
                <w:szCs w:val="28"/>
              </w:rPr>
            </w:r>
            <w:r w:rsidRPr="0053780F">
              <w:rPr>
                <w:noProof/>
                <w:webHidden/>
                <w:sz w:val="28"/>
                <w:szCs w:val="28"/>
              </w:rPr>
              <w:fldChar w:fldCharType="separate"/>
            </w:r>
            <w:r w:rsidR="004C74D2">
              <w:rPr>
                <w:noProof/>
                <w:webHidden/>
                <w:sz w:val="28"/>
                <w:szCs w:val="28"/>
              </w:rPr>
              <w:t>7</w:t>
            </w:r>
            <w:r w:rsidRPr="0053780F">
              <w:rPr>
                <w:noProof/>
                <w:webHidden/>
                <w:sz w:val="28"/>
                <w:szCs w:val="28"/>
              </w:rPr>
              <w:fldChar w:fldCharType="end"/>
            </w:r>
          </w:hyperlink>
        </w:p>
        <w:p w14:paraId="4A8F8E5F" w14:textId="67E6D799" w:rsidR="0053780F" w:rsidRPr="0053780F" w:rsidRDefault="0053780F">
          <w:pPr>
            <w:pStyle w:val="TOC2"/>
            <w:tabs>
              <w:tab w:val="right" w:leader="dot" w:pos="9010"/>
            </w:tabs>
            <w:rPr>
              <w:noProof/>
              <w:sz w:val="28"/>
              <w:szCs w:val="28"/>
            </w:rPr>
          </w:pPr>
          <w:hyperlink w:anchor="_Toc242610804" w:history="1">
            <w:r w:rsidRPr="0053780F">
              <w:rPr>
                <w:rStyle w:val="Hyperlink"/>
                <w:noProof/>
                <w:sz w:val="28"/>
                <w:szCs w:val="28"/>
              </w:rPr>
              <w:t>The Current Health and Safety Training Market and Competitive Pressures</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_Toc242610804 \h </w:instrText>
            </w:r>
            <w:r w:rsidRPr="0053780F">
              <w:rPr>
                <w:noProof/>
                <w:webHidden/>
                <w:sz w:val="28"/>
                <w:szCs w:val="28"/>
              </w:rPr>
            </w:r>
            <w:r w:rsidRPr="0053780F">
              <w:rPr>
                <w:noProof/>
                <w:webHidden/>
                <w:sz w:val="28"/>
                <w:szCs w:val="28"/>
              </w:rPr>
              <w:fldChar w:fldCharType="separate"/>
            </w:r>
            <w:r w:rsidR="004C74D2">
              <w:rPr>
                <w:noProof/>
                <w:webHidden/>
                <w:sz w:val="28"/>
                <w:szCs w:val="28"/>
              </w:rPr>
              <w:t>8</w:t>
            </w:r>
            <w:r w:rsidRPr="0053780F">
              <w:rPr>
                <w:noProof/>
                <w:webHidden/>
                <w:sz w:val="28"/>
                <w:szCs w:val="28"/>
              </w:rPr>
              <w:fldChar w:fldCharType="end"/>
            </w:r>
          </w:hyperlink>
        </w:p>
        <w:p w14:paraId="0055A40A" w14:textId="32C81914" w:rsidR="0053780F" w:rsidRPr="0053780F" w:rsidRDefault="0053780F">
          <w:pPr>
            <w:pStyle w:val="TOC2"/>
            <w:tabs>
              <w:tab w:val="right" w:leader="dot" w:pos="9010"/>
            </w:tabs>
            <w:rPr>
              <w:noProof/>
              <w:sz w:val="28"/>
              <w:szCs w:val="28"/>
            </w:rPr>
          </w:pPr>
          <w:hyperlink w:anchor="_Toc242610805" w:history="1">
            <w:r w:rsidRPr="0053780F">
              <w:rPr>
                <w:rStyle w:val="Hyperlink"/>
                <w:noProof/>
                <w:sz w:val="28"/>
                <w:szCs w:val="28"/>
              </w:rPr>
              <w:t>Impact of Environmental Forces on Organisational Culture</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_Toc242610805 \h </w:instrText>
            </w:r>
            <w:r w:rsidRPr="0053780F">
              <w:rPr>
                <w:noProof/>
                <w:webHidden/>
                <w:sz w:val="28"/>
                <w:szCs w:val="28"/>
              </w:rPr>
            </w:r>
            <w:r w:rsidRPr="0053780F">
              <w:rPr>
                <w:noProof/>
                <w:webHidden/>
                <w:sz w:val="28"/>
                <w:szCs w:val="28"/>
              </w:rPr>
              <w:fldChar w:fldCharType="separate"/>
            </w:r>
            <w:r w:rsidR="004C74D2">
              <w:rPr>
                <w:noProof/>
                <w:webHidden/>
                <w:sz w:val="28"/>
                <w:szCs w:val="28"/>
              </w:rPr>
              <w:t>9</w:t>
            </w:r>
            <w:r w:rsidRPr="0053780F">
              <w:rPr>
                <w:noProof/>
                <w:webHidden/>
                <w:sz w:val="28"/>
                <w:szCs w:val="28"/>
              </w:rPr>
              <w:fldChar w:fldCharType="end"/>
            </w:r>
          </w:hyperlink>
        </w:p>
        <w:p w14:paraId="7082B8B8" w14:textId="0B542B14" w:rsidR="0053780F" w:rsidRPr="0053780F" w:rsidRDefault="0053780F">
          <w:pPr>
            <w:pStyle w:val="TOC2"/>
            <w:tabs>
              <w:tab w:val="right" w:leader="dot" w:pos="9010"/>
            </w:tabs>
            <w:rPr>
              <w:noProof/>
              <w:sz w:val="28"/>
              <w:szCs w:val="28"/>
            </w:rPr>
          </w:pPr>
          <w:hyperlink w:anchor="_Toc242610806" w:history="1">
            <w:r w:rsidRPr="0053780F">
              <w:rPr>
                <w:rStyle w:val="Hyperlink"/>
                <w:noProof/>
                <w:sz w:val="28"/>
                <w:szCs w:val="28"/>
              </w:rPr>
              <w:t>Impact of Environmental Forces on Organisational Capability</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_Toc242610806 \h </w:instrText>
            </w:r>
            <w:r w:rsidRPr="0053780F">
              <w:rPr>
                <w:noProof/>
                <w:webHidden/>
                <w:sz w:val="28"/>
                <w:szCs w:val="28"/>
              </w:rPr>
            </w:r>
            <w:r w:rsidRPr="0053780F">
              <w:rPr>
                <w:noProof/>
                <w:webHidden/>
                <w:sz w:val="28"/>
                <w:szCs w:val="28"/>
              </w:rPr>
              <w:fldChar w:fldCharType="separate"/>
            </w:r>
            <w:r w:rsidR="004C74D2">
              <w:rPr>
                <w:noProof/>
                <w:webHidden/>
                <w:sz w:val="28"/>
                <w:szCs w:val="28"/>
              </w:rPr>
              <w:t>10</w:t>
            </w:r>
            <w:r w:rsidRPr="0053780F">
              <w:rPr>
                <w:noProof/>
                <w:webHidden/>
                <w:sz w:val="28"/>
                <w:szCs w:val="28"/>
              </w:rPr>
              <w:fldChar w:fldCharType="end"/>
            </w:r>
          </w:hyperlink>
        </w:p>
        <w:p w14:paraId="61F567AD" w14:textId="6226574E" w:rsidR="0053780F" w:rsidRPr="0053780F" w:rsidRDefault="0053780F">
          <w:pPr>
            <w:pStyle w:val="TOC2"/>
            <w:tabs>
              <w:tab w:val="right" w:leader="dot" w:pos="9010"/>
            </w:tabs>
            <w:rPr>
              <w:noProof/>
              <w:sz w:val="28"/>
              <w:szCs w:val="28"/>
            </w:rPr>
          </w:pPr>
          <w:hyperlink w:anchor="_Toc242610807" w:history="1">
            <w:r w:rsidRPr="0053780F">
              <w:rPr>
                <w:rStyle w:val="Hyperlink"/>
                <w:noProof/>
                <w:sz w:val="28"/>
                <w:szCs w:val="28"/>
              </w:rPr>
              <w:t>Critical Evaluation of the Need for Change at Alpha Safety Training</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_Toc242610807 \h </w:instrText>
            </w:r>
            <w:r w:rsidRPr="0053780F">
              <w:rPr>
                <w:noProof/>
                <w:webHidden/>
                <w:sz w:val="28"/>
                <w:szCs w:val="28"/>
              </w:rPr>
            </w:r>
            <w:r w:rsidRPr="0053780F">
              <w:rPr>
                <w:noProof/>
                <w:webHidden/>
                <w:sz w:val="28"/>
                <w:szCs w:val="28"/>
              </w:rPr>
              <w:fldChar w:fldCharType="separate"/>
            </w:r>
            <w:r w:rsidR="004C74D2">
              <w:rPr>
                <w:noProof/>
                <w:webHidden/>
                <w:sz w:val="28"/>
                <w:szCs w:val="28"/>
              </w:rPr>
              <w:t>11</w:t>
            </w:r>
            <w:r w:rsidRPr="0053780F">
              <w:rPr>
                <w:noProof/>
                <w:webHidden/>
                <w:sz w:val="28"/>
                <w:szCs w:val="28"/>
              </w:rPr>
              <w:fldChar w:fldCharType="end"/>
            </w:r>
          </w:hyperlink>
        </w:p>
        <w:p w14:paraId="1E97313D" w14:textId="62A334EB" w:rsidR="0053780F" w:rsidRPr="0053780F" w:rsidRDefault="0053780F">
          <w:pPr>
            <w:pStyle w:val="TOC1"/>
            <w:tabs>
              <w:tab w:val="right" w:leader="dot" w:pos="9010"/>
            </w:tabs>
            <w:rPr>
              <w:noProof/>
              <w:sz w:val="28"/>
              <w:szCs w:val="28"/>
            </w:rPr>
          </w:pPr>
          <w:hyperlink w:anchor="_Toc242610808" w:history="1">
            <w:r w:rsidRPr="0053780F">
              <w:rPr>
                <w:rStyle w:val="Hyperlink"/>
                <w:noProof/>
                <w:sz w:val="28"/>
                <w:szCs w:val="28"/>
              </w:rPr>
              <w:t>Evaluate how organisational stakeholders can be efficiently led through complex workplace change.</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_Toc242610808 \h </w:instrText>
            </w:r>
            <w:r w:rsidRPr="0053780F">
              <w:rPr>
                <w:noProof/>
                <w:webHidden/>
                <w:sz w:val="28"/>
                <w:szCs w:val="28"/>
              </w:rPr>
            </w:r>
            <w:r w:rsidRPr="0053780F">
              <w:rPr>
                <w:noProof/>
                <w:webHidden/>
                <w:sz w:val="28"/>
                <w:szCs w:val="28"/>
              </w:rPr>
              <w:fldChar w:fldCharType="separate"/>
            </w:r>
            <w:r w:rsidR="004C74D2">
              <w:rPr>
                <w:noProof/>
                <w:webHidden/>
                <w:sz w:val="28"/>
                <w:szCs w:val="28"/>
              </w:rPr>
              <w:t>12</w:t>
            </w:r>
            <w:r w:rsidRPr="0053780F">
              <w:rPr>
                <w:noProof/>
                <w:webHidden/>
                <w:sz w:val="28"/>
                <w:szCs w:val="28"/>
              </w:rPr>
              <w:fldChar w:fldCharType="end"/>
            </w:r>
          </w:hyperlink>
        </w:p>
        <w:p w14:paraId="2948BF63" w14:textId="5BA9D27E" w:rsidR="0053780F" w:rsidRPr="0053780F" w:rsidRDefault="0053780F">
          <w:pPr>
            <w:pStyle w:val="TOC2"/>
            <w:tabs>
              <w:tab w:val="right" w:leader="dot" w:pos="9010"/>
            </w:tabs>
            <w:rPr>
              <w:noProof/>
              <w:sz w:val="28"/>
              <w:szCs w:val="28"/>
            </w:rPr>
          </w:pPr>
          <w:hyperlink w:anchor="_Toc242610809" w:history="1">
            <w:r w:rsidRPr="0053780F">
              <w:rPr>
                <w:rStyle w:val="Hyperlink"/>
                <w:noProof/>
                <w:sz w:val="28"/>
                <w:szCs w:val="28"/>
              </w:rPr>
              <w:t>Identifying Alpha Safety Training's Organisational Stakeholders</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_Toc242610809 \h </w:instrText>
            </w:r>
            <w:r w:rsidRPr="0053780F">
              <w:rPr>
                <w:noProof/>
                <w:webHidden/>
                <w:sz w:val="28"/>
                <w:szCs w:val="28"/>
              </w:rPr>
            </w:r>
            <w:r w:rsidRPr="0053780F">
              <w:rPr>
                <w:noProof/>
                <w:webHidden/>
                <w:sz w:val="28"/>
                <w:szCs w:val="28"/>
              </w:rPr>
              <w:fldChar w:fldCharType="separate"/>
            </w:r>
            <w:r w:rsidR="004C74D2">
              <w:rPr>
                <w:noProof/>
                <w:webHidden/>
                <w:sz w:val="28"/>
                <w:szCs w:val="28"/>
              </w:rPr>
              <w:t>12</w:t>
            </w:r>
            <w:r w:rsidRPr="0053780F">
              <w:rPr>
                <w:noProof/>
                <w:webHidden/>
                <w:sz w:val="28"/>
                <w:szCs w:val="28"/>
              </w:rPr>
              <w:fldChar w:fldCharType="end"/>
            </w:r>
          </w:hyperlink>
        </w:p>
        <w:p w14:paraId="66E304B7" w14:textId="3314DAF7" w:rsidR="0053780F" w:rsidRPr="0053780F" w:rsidRDefault="0053780F">
          <w:pPr>
            <w:pStyle w:val="TOC2"/>
            <w:tabs>
              <w:tab w:val="right" w:leader="dot" w:pos="9010"/>
            </w:tabs>
            <w:rPr>
              <w:noProof/>
              <w:sz w:val="28"/>
              <w:szCs w:val="28"/>
            </w:rPr>
          </w:pPr>
          <w:hyperlink w:anchor="_Toc242610810" w:history="1">
            <w:r w:rsidRPr="0053780F">
              <w:rPr>
                <w:rStyle w:val="Hyperlink"/>
                <w:noProof/>
                <w:sz w:val="28"/>
                <w:szCs w:val="28"/>
              </w:rPr>
              <w:t>Leadership and Managing Complex Workplace Change</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_Toc242610810 \h </w:instrText>
            </w:r>
            <w:r w:rsidRPr="0053780F">
              <w:rPr>
                <w:noProof/>
                <w:webHidden/>
                <w:sz w:val="28"/>
                <w:szCs w:val="28"/>
              </w:rPr>
            </w:r>
            <w:r w:rsidRPr="0053780F">
              <w:rPr>
                <w:noProof/>
                <w:webHidden/>
                <w:sz w:val="28"/>
                <w:szCs w:val="28"/>
              </w:rPr>
              <w:fldChar w:fldCharType="separate"/>
            </w:r>
            <w:r w:rsidR="004C74D2">
              <w:rPr>
                <w:noProof/>
                <w:webHidden/>
                <w:sz w:val="28"/>
                <w:szCs w:val="28"/>
              </w:rPr>
              <w:t>13</w:t>
            </w:r>
            <w:r w:rsidRPr="0053780F">
              <w:rPr>
                <w:noProof/>
                <w:webHidden/>
                <w:sz w:val="28"/>
                <w:szCs w:val="28"/>
              </w:rPr>
              <w:fldChar w:fldCharType="end"/>
            </w:r>
          </w:hyperlink>
        </w:p>
        <w:p w14:paraId="2E38D2D3" w14:textId="07E3B6C9" w:rsidR="0053780F" w:rsidRPr="0053780F" w:rsidRDefault="0053780F">
          <w:pPr>
            <w:pStyle w:val="TOC2"/>
            <w:tabs>
              <w:tab w:val="right" w:leader="dot" w:pos="9010"/>
            </w:tabs>
            <w:rPr>
              <w:noProof/>
              <w:sz w:val="28"/>
              <w:szCs w:val="28"/>
            </w:rPr>
          </w:pPr>
          <w:hyperlink w:anchor="_Toc242610811" w:history="1">
            <w:r w:rsidRPr="0053780F">
              <w:rPr>
                <w:rStyle w:val="Hyperlink"/>
                <w:noProof/>
                <w:sz w:val="28"/>
                <w:szCs w:val="28"/>
              </w:rPr>
              <w:t>Resistance, Communication and Stakeholder Engagement During Change</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_Toc242610811 \h </w:instrText>
            </w:r>
            <w:r w:rsidRPr="0053780F">
              <w:rPr>
                <w:noProof/>
                <w:webHidden/>
                <w:sz w:val="28"/>
                <w:szCs w:val="28"/>
              </w:rPr>
            </w:r>
            <w:r w:rsidRPr="0053780F">
              <w:rPr>
                <w:noProof/>
                <w:webHidden/>
                <w:sz w:val="28"/>
                <w:szCs w:val="28"/>
              </w:rPr>
              <w:fldChar w:fldCharType="separate"/>
            </w:r>
            <w:r w:rsidR="004C74D2">
              <w:rPr>
                <w:noProof/>
                <w:webHidden/>
                <w:sz w:val="28"/>
                <w:szCs w:val="28"/>
              </w:rPr>
              <w:t>15</w:t>
            </w:r>
            <w:r w:rsidRPr="0053780F">
              <w:rPr>
                <w:noProof/>
                <w:webHidden/>
                <w:sz w:val="28"/>
                <w:szCs w:val="28"/>
              </w:rPr>
              <w:fldChar w:fldCharType="end"/>
            </w:r>
          </w:hyperlink>
        </w:p>
        <w:p w14:paraId="54FCA32C" w14:textId="6EF93EAF" w:rsidR="0053780F" w:rsidRPr="0053780F" w:rsidRDefault="0053780F">
          <w:pPr>
            <w:pStyle w:val="TOC2"/>
            <w:tabs>
              <w:tab w:val="right" w:leader="dot" w:pos="9010"/>
            </w:tabs>
            <w:rPr>
              <w:noProof/>
              <w:sz w:val="28"/>
              <w:szCs w:val="28"/>
            </w:rPr>
          </w:pPr>
          <w:hyperlink w:anchor="_Toc242610812" w:history="1">
            <w:r w:rsidRPr="0053780F">
              <w:rPr>
                <w:rStyle w:val="Hyperlink"/>
                <w:noProof/>
                <w:sz w:val="28"/>
                <w:szCs w:val="28"/>
              </w:rPr>
              <w:t>Motivation and the Behavioural Impact of Change</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_Toc242610812 \h </w:instrText>
            </w:r>
            <w:r w:rsidRPr="0053780F">
              <w:rPr>
                <w:noProof/>
                <w:webHidden/>
                <w:sz w:val="28"/>
                <w:szCs w:val="28"/>
              </w:rPr>
            </w:r>
            <w:r w:rsidRPr="0053780F">
              <w:rPr>
                <w:noProof/>
                <w:webHidden/>
                <w:sz w:val="28"/>
                <w:szCs w:val="28"/>
              </w:rPr>
              <w:fldChar w:fldCharType="separate"/>
            </w:r>
            <w:r w:rsidR="004C74D2">
              <w:rPr>
                <w:noProof/>
                <w:webHidden/>
                <w:sz w:val="28"/>
                <w:szCs w:val="28"/>
              </w:rPr>
              <w:t>16</w:t>
            </w:r>
            <w:r w:rsidRPr="0053780F">
              <w:rPr>
                <w:noProof/>
                <w:webHidden/>
                <w:sz w:val="28"/>
                <w:szCs w:val="28"/>
              </w:rPr>
              <w:fldChar w:fldCharType="end"/>
            </w:r>
          </w:hyperlink>
        </w:p>
        <w:p w14:paraId="7B0CA380" w14:textId="2FE81798" w:rsidR="0053780F" w:rsidRPr="0053780F" w:rsidRDefault="0053780F">
          <w:pPr>
            <w:pStyle w:val="TOC2"/>
            <w:tabs>
              <w:tab w:val="right" w:leader="dot" w:pos="9010"/>
            </w:tabs>
            <w:rPr>
              <w:noProof/>
              <w:sz w:val="28"/>
              <w:szCs w:val="28"/>
            </w:rPr>
          </w:pPr>
          <w:hyperlink w:anchor="_Toc242610813" w:history="1">
            <w:r w:rsidRPr="0053780F">
              <w:rPr>
                <w:rStyle w:val="Hyperlink"/>
                <w:noProof/>
                <w:sz w:val="28"/>
                <w:szCs w:val="28"/>
              </w:rPr>
              <w:t>Sustaining and Embedding Complex Workplace Change</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_Toc242610813 \h </w:instrText>
            </w:r>
            <w:r w:rsidRPr="0053780F">
              <w:rPr>
                <w:noProof/>
                <w:webHidden/>
                <w:sz w:val="28"/>
                <w:szCs w:val="28"/>
              </w:rPr>
            </w:r>
            <w:r w:rsidRPr="0053780F">
              <w:rPr>
                <w:noProof/>
                <w:webHidden/>
                <w:sz w:val="28"/>
                <w:szCs w:val="28"/>
              </w:rPr>
              <w:fldChar w:fldCharType="separate"/>
            </w:r>
            <w:r w:rsidR="004C74D2">
              <w:rPr>
                <w:noProof/>
                <w:webHidden/>
                <w:sz w:val="28"/>
                <w:szCs w:val="28"/>
              </w:rPr>
              <w:t>16</w:t>
            </w:r>
            <w:r w:rsidRPr="0053780F">
              <w:rPr>
                <w:noProof/>
                <w:webHidden/>
                <w:sz w:val="28"/>
                <w:szCs w:val="28"/>
              </w:rPr>
              <w:fldChar w:fldCharType="end"/>
            </w:r>
          </w:hyperlink>
        </w:p>
        <w:p w14:paraId="2EE96182" w14:textId="5FA8A24B" w:rsidR="0053780F" w:rsidRPr="0053780F" w:rsidRDefault="0053780F">
          <w:pPr>
            <w:pStyle w:val="TOC1"/>
            <w:tabs>
              <w:tab w:val="right" w:leader="dot" w:pos="9010"/>
            </w:tabs>
            <w:rPr>
              <w:noProof/>
              <w:sz w:val="28"/>
              <w:szCs w:val="28"/>
            </w:rPr>
          </w:pPr>
          <w:hyperlink w:anchor="_Toc242610814" w:history="1">
            <w:r w:rsidRPr="0053780F">
              <w:rPr>
                <w:rStyle w:val="Hyperlink"/>
                <w:noProof/>
                <w:sz w:val="28"/>
                <w:szCs w:val="28"/>
              </w:rPr>
              <w:t>Conclusion</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_Toc242610814 \h </w:instrText>
            </w:r>
            <w:r w:rsidRPr="0053780F">
              <w:rPr>
                <w:noProof/>
                <w:webHidden/>
                <w:sz w:val="28"/>
                <w:szCs w:val="28"/>
              </w:rPr>
            </w:r>
            <w:r w:rsidRPr="0053780F">
              <w:rPr>
                <w:noProof/>
                <w:webHidden/>
                <w:sz w:val="28"/>
                <w:szCs w:val="28"/>
              </w:rPr>
              <w:fldChar w:fldCharType="separate"/>
            </w:r>
            <w:r w:rsidR="004C74D2">
              <w:rPr>
                <w:noProof/>
                <w:webHidden/>
                <w:sz w:val="28"/>
                <w:szCs w:val="28"/>
              </w:rPr>
              <w:t>17</w:t>
            </w:r>
            <w:r w:rsidRPr="0053780F">
              <w:rPr>
                <w:noProof/>
                <w:webHidden/>
                <w:sz w:val="28"/>
                <w:szCs w:val="28"/>
              </w:rPr>
              <w:fldChar w:fldCharType="end"/>
            </w:r>
          </w:hyperlink>
        </w:p>
        <w:p w14:paraId="4A4E8361" w14:textId="00DF57C9" w:rsidR="0053780F" w:rsidRPr="0053780F" w:rsidRDefault="0053780F">
          <w:pPr>
            <w:pStyle w:val="TOC1"/>
            <w:tabs>
              <w:tab w:val="right" w:leader="dot" w:pos="9010"/>
            </w:tabs>
            <w:rPr>
              <w:noProof/>
              <w:sz w:val="28"/>
              <w:szCs w:val="28"/>
            </w:rPr>
          </w:pPr>
          <w:hyperlink w:anchor="_Toc242610815" w:history="1">
            <w:r w:rsidRPr="0053780F">
              <w:rPr>
                <w:rStyle w:val="Hyperlink"/>
                <w:noProof/>
                <w:sz w:val="28"/>
                <w:szCs w:val="28"/>
              </w:rPr>
              <w:t>References</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_Toc242610815 \h </w:instrText>
            </w:r>
            <w:r w:rsidRPr="0053780F">
              <w:rPr>
                <w:noProof/>
                <w:webHidden/>
                <w:sz w:val="28"/>
                <w:szCs w:val="28"/>
              </w:rPr>
            </w:r>
            <w:r w:rsidRPr="0053780F">
              <w:rPr>
                <w:noProof/>
                <w:webHidden/>
                <w:sz w:val="28"/>
                <w:szCs w:val="28"/>
              </w:rPr>
              <w:fldChar w:fldCharType="separate"/>
            </w:r>
            <w:r w:rsidR="004C74D2">
              <w:rPr>
                <w:noProof/>
                <w:webHidden/>
                <w:sz w:val="28"/>
                <w:szCs w:val="28"/>
              </w:rPr>
              <w:t>18</w:t>
            </w:r>
            <w:r w:rsidRPr="0053780F">
              <w:rPr>
                <w:noProof/>
                <w:webHidden/>
                <w:sz w:val="28"/>
                <w:szCs w:val="28"/>
              </w:rPr>
              <w:fldChar w:fldCharType="end"/>
            </w:r>
          </w:hyperlink>
        </w:p>
        <w:p w14:paraId="41130132" w14:textId="5230DEA2" w:rsidR="0053780F" w:rsidRPr="0053780F" w:rsidRDefault="0053780F">
          <w:pPr>
            <w:pStyle w:val="TOC1"/>
            <w:tabs>
              <w:tab w:val="right" w:leader="dot" w:pos="9010"/>
            </w:tabs>
            <w:rPr>
              <w:noProof/>
              <w:sz w:val="28"/>
              <w:szCs w:val="28"/>
            </w:rPr>
          </w:pPr>
          <w:hyperlink w:anchor="_Toc242610816" w:history="1">
            <w:r w:rsidRPr="0053780F">
              <w:rPr>
                <w:rStyle w:val="Hyperlink"/>
                <w:noProof/>
                <w:sz w:val="28"/>
                <w:szCs w:val="28"/>
              </w:rPr>
              <w:t>Appendix A</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_Toc242610816 \h </w:instrText>
            </w:r>
            <w:r w:rsidRPr="0053780F">
              <w:rPr>
                <w:noProof/>
                <w:webHidden/>
                <w:sz w:val="28"/>
                <w:szCs w:val="28"/>
              </w:rPr>
            </w:r>
            <w:r w:rsidRPr="0053780F">
              <w:rPr>
                <w:noProof/>
                <w:webHidden/>
                <w:sz w:val="28"/>
                <w:szCs w:val="28"/>
              </w:rPr>
              <w:fldChar w:fldCharType="separate"/>
            </w:r>
            <w:r w:rsidR="004C74D2">
              <w:rPr>
                <w:noProof/>
                <w:webHidden/>
                <w:sz w:val="28"/>
                <w:szCs w:val="28"/>
              </w:rPr>
              <w:t>20</w:t>
            </w:r>
            <w:r w:rsidRPr="0053780F">
              <w:rPr>
                <w:noProof/>
                <w:webHidden/>
                <w:sz w:val="28"/>
                <w:szCs w:val="28"/>
              </w:rPr>
              <w:fldChar w:fldCharType="end"/>
            </w:r>
          </w:hyperlink>
        </w:p>
        <w:p w14:paraId="1121B6A8" w14:textId="3BB4B2E6" w:rsidR="0053780F" w:rsidRPr="0053780F" w:rsidRDefault="0053780F">
          <w:pPr>
            <w:pStyle w:val="TOC1"/>
            <w:tabs>
              <w:tab w:val="right" w:leader="dot" w:pos="9010"/>
            </w:tabs>
            <w:rPr>
              <w:noProof/>
              <w:sz w:val="28"/>
              <w:szCs w:val="28"/>
            </w:rPr>
          </w:pPr>
          <w:hyperlink w:anchor="_Toc242610817" w:history="1">
            <w:r w:rsidRPr="0053780F">
              <w:rPr>
                <w:rStyle w:val="Hyperlink"/>
                <w:noProof/>
                <w:sz w:val="28"/>
                <w:szCs w:val="28"/>
              </w:rPr>
              <w:t>Appendix B</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_Toc242610817 \h </w:instrText>
            </w:r>
            <w:r w:rsidRPr="0053780F">
              <w:rPr>
                <w:noProof/>
                <w:webHidden/>
                <w:sz w:val="28"/>
                <w:szCs w:val="28"/>
              </w:rPr>
            </w:r>
            <w:r w:rsidRPr="0053780F">
              <w:rPr>
                <w:noProof/>
                <w:webHidden/>
                <w:sz w:val="28"/>
                <w:szCs w:val="28"/>
              </w:rPr>
              <w:fldChar w:fldCharType="separate"/>
            </w:r>
            <w:r w:rsidR="004C74D2">
              <w:rPr>
                <w:noProof/>
                <w:webHidden/>
                <w:sz w:val="28"/>
                <w:szCs w:val="28"/>
              </w:rPr>
              <w:t>21</w:t>
            </w:r>
            <w:r w:rsidRPr="0053780F">
              <w:rPr>
                <w:noProof/>
                <w:webHidden/>
                <w:sz w:val="28"/>
                <w:szCs w:val="28"/>
              </w:rPr>
              <w:fldChar w:fldCharType="end"/>
            </w:r>
          </w:hyperlink>
        </w:p>
        <w:p w14:paraId="5568F630" w14:textId="171DA90E" w:rsidR="0053780F" w:rsidRPr="0053780F" w:rsidRDefault="0053780F">
          <w:pPr>
            <w:pStyle w:val="TOC1"/>
            <w:tabs>
              <w:tab w:val="right" w:leader="dot" w:pos="9010"/>
            </w:tabs>
            <w:rPr>
              <w:noProof/>
              <w:sz w:val="28"/>
              <w:szCs w:val="28"/>
            </w:rPr>
          </w:pPr>
          <w:hyperlink w:anchor="_Toc242610818" w:history="1">
            <w:r w:rsidRPr="0053780F">
              <w:rPr>
                <w:rStyle w:val="Hyperlink"/>
                <w:noProof/>
                <w:sz w:val="28"/>
                <w:szCs w:val="28"/>
              </w:rPr>
              <w:t>Appendix C</w:t>
            </w:r>
            <w:r w:rsidRPr="0053780F">
              <w:rPr>
                <w:noProof/>
                <w:webHidden/>
                <w:sz w:val="28"/>
                <w:szCs w:val="28"/>
              </w:rPr>
              <w:tab/>
            </w:r>
            <w:r w:rsidRPr="0053780F">
              <w:rPr>
                <w:noProof/>
                <w:webHidden/>
                <w:sz w:val="28"/>
                <w:szCs w:val="28"/>
              </w:rPr>
              <w:fldChar w:fldCharType="begin"/>
            </w:r>
            <w:r w:rsidRPr="0053780F">
              <w:rPr>
                <w:noProof/>
                <w:webHidden/>
                <w:sz w:val="28"/>
                <w:szCs w:val="28"/>
              </w:rPr>
              <w:instrText xml:space="preserve"> PAGEREF _Toc242610818 \h </w:instrText>
            </w:r>
            <w:r w:rsidRPr="0053780F">
              <w:rPr>
                <w:noProof/>
                <w:webHidden/>
                <w:sz w:val="28"/>
                <w:szCs w:val="28"/>
              </w:rPr>
            </w:r>
            <w:r w:rsidRPr="0053780F">
              <w:rPr>
                <w:noProof/>
                <w:webHidden/>
                <w:sz w:val="28"/>
                <w:szCs w:val="28"/>
              </w:rPr>
              <w:fldChar w:fldCharType="separate"/>
            </w:r>
            <w:r w:rsidR="004C74D2">
              <w:rPr>
                <w:noProof/>
                <w:webHidden/>
                <w:sz w:val="28"/>
                <w:szCs w:val="28"/>
              </w:rPr>
              <w:t>22</w:t>
            </w:r>
            <w:r w:rsidRPr="0053780F">
              <w:rPr>
                <w:noProof/>
                <w:webHidden/>
                <w:sz w:val="28"/>
                <w:szCs w:val="28"/>
              </w:rPr>
              <w:fldChar w:fldCharType="end"/>
            </w:r>
          </w:hyperlink>
        </w:p>
        <w:p w14:paraId="12CB3249" w14:textId="14073E17" w:rsidR="0053780F" w:rsidRPr="0053780F" w:rsidRDefault="0053780F">
          <w:r w:rsidRPr="0053780F">
            <w:rPr>
              <w:b/>
              <w:bCs/>
              <w:noProof/>
              <w:sz w:val="28"/>
              <w:szCs w:val="28"/>
            </w:rPr>
            <w:fldChar w:fldCharType="end"/>
          </w:r>
        </w:p>
      </w:sdtContent>
    </w:sdt>
    <w:p w14:paraId="3AF4CEBC" w14:textId="77777777" w:rsidR="0053780F" w:rsidRPr="0053780F" w:rsidRDefault="0053780F" w:rsidP="46F9D4E4">
      <w:pPr>
        <w:pStyle w:val="Heading1"/>
        <w:spacing w:line="360" w:lineRule="auto"/>
        <w:rPr>
          <w:rFonts w:asciiTheme="minorHAnsi" w:eastAsiaTheme="minorEastAsia" w:hAnsiTheme="minorHAnsi" w:cstheme="minorBidi"/>
        </w:rPr>
      </w:pPr>
      <w:bookmarkStart w:id="0" w:name="_Toc242610798"/>
    </w:p>
    <w:p w14:paraId="5AC9FCCD" w14:textId="5CABDDEF" w:rsidR="5B726F16" w:rsidRPr="0053780F" w:rsidRDefault="5B726F16" w:rsidP="46F9D4E4">
      <w:pPr>
        <w:pStyle w:val="Heading1"/>
        <w:spacing w:line="360" w:lineRule="auto"/>
        <w:rPr>
          <w:rFonts w:asciiTheme="minorHAnsi" w:eastAsiaTheme="minorEastAsia" w:hAnsiTheme="minorHAnsi" w:cstheme="minorBidi"/>
        </w:rPr>
      </w:pPr>
      <w:r w:rsidRPr="0053780F">
        <w:rPr>
          <w:rFonts w:asciiTheme="minorHAnsi" w:eastAsiaTheme="minorEastAsia" w:hAnsiTheme="minorHAnsi" w:cstheme="minorBidi"/>
        </w:rPr>
        <w:t>Introduction</w:t>
      </w:r>
      <w:bookmarkEnd w:id="0"/>
    </w:p>
    <w:p w14:paraId="40E132E9" w14:textId="78F7E98A" w:rsidR="12B12B04" w:rsidRPr="0053780F" w:rsidRDefault="12B12B04" w:rsidP="46F9D4E4">
      <w:pPr>
        <w:spacing w:before="240" w:after="240" w:line="360" w:lineRule="auto"/>
      </w:pPr>
      <w:r w:rsidRPr="0053780F">
        <w:t>Alpha Safety Training operates within the health and safety training sector, providing accredited vocational and workplace training across South Wales. The organisation operates within an evolving environment shaped by technological development, regulatory requirements, changing customer expectations and competitive pressures. This report critically analyses the micro- and macro-environmental forces influencing Alpha’s workplace culture and organisational capability. It then evaluates how organisational stakeholders can be effectively led through the complex workplace changes arising from these pressures, considering stakeholder influence, leadership, resistance, communication, motivation and the sustainability of change.</w:t>
      </w:r>
    </w:p>
    <w:p w14:paraId="1965EA85" w14:textId="3AA60B5A" w:rsidR="46F9D4E4" w:rsidRPr="0053780F" w:rsidRDefault="46F9D4E4" w:rsidP="46F9D4E4">
      <w:pPr>
        <w:spacing w:line="360" w:lineRule="auto"/>
      </w:pPr>
    </w:p>
    <w:p w14:paraId="352930BF" w14:textId="06237A76" w:rsidR="5B726F16" w:rsidRPr="0053780F" w:rsidRDefault="5B726F16" w:rsidP="46F9D4E4">
      <w:pPr>
        <w:pStyle w:val="Heading1"/>
        <w:spacing w:line="360" w:lineRule="auto"/>
        <w:rPr>
          <w:rFonts w:asciiTheme="minorHAnsi" w:eastAsiaTheme="minorEastAsia" w:hAnsiTheme="minorHAnsi" w:cstheme="minorBidi"/>
          <w:b/>
          <w:bCs/>
        </w:rPr>
      </w:pPr>
      <w:bookmarkStart w:id="1" w:name="_Toc242610799"/>
      <w:r w:rsidRPr="0053780F">
        <w:rPr>
          <w:rFonts w:asciiTheme="minorHAnsi" w:eastAsiaTheme="minorEastAsia" w:hAnsiTheme="minorHAnsi" w:cstheme="minorBidi"/>
        </w:rPr>
        <w:t>Critically analyse the current forces in the organisation's micro and macro environment that can impact workplace culture and capability.</w:t>
      </w:r>
      <w:bookmarkEnd w:id="1"/>
    </w:p>
    <w:p w14:paraId="1485D3E8" w14:textId="4161ED60" w:rsidR="5B726F16" w:rsidRPr="0053780F" w:rsidRDefault="5B726F16" w:rsidP="46F9D4E4">
      <w:pPr>
        <w:pStyle w:val="Heading2"/>
        <w:spacing w:line="360" w:lineRule="auto"/>
        <w:rPr>
          <w:rFonts w:asciiTheme="minorHAnsi" w:eastAsiaTheme="minorEastAsia" w:hAnsiTheme="minorHAnsi" w:cstheme="minorBidi"/>
          <w:b/>
          <w:bCs/>
          <w:sz w:val="28"/>
          <w:szCs w:val="28"/>
        </w:rPr>
      </w:pPr>
      <w:bookmarkStart w:id="2" w:name="_Toc242610800"/>
      <w:r w:rsidRPr="0053780F">
        <w:rPr>
          <w:rFonts w:asciiTheme="minorHAnsi" w:eastAsiaTheme="minorEastAsia" w:hAnsiTheme="minorHAnsi" w:cstheme="minorBidi"/>
        </w:rPr>
        <w:t>Understanding Organisational Change, Culture and Capability</w:t>
      </w:r>
      <w:bookmarkEnd w:id="2"/>
    </w:p>
    <w:p w14:paraId="6CC6B6EF" w14:textId="2E9A9C7F" w:rsidR="3F1C8B07" w:rsidRPr="0053780F" w:rsidRDefault="3F1C8B07" w:rsidP="46F9D4E4">
      <w:pPr>
        <w:spacing w:line="360" w:lineRule="auto"/>
      </w:pPr>
      <w:r w:rsidRPr="0053780F">
        <w:t xml:space="preserve">For companies functioning in circumstances marked by changing customer expectations, technology advancements, and competitive challenges, organisational transformation is becoming </w:t>
      </w:r>
      <w:r w:rsidR="007015A4" w:rsidRPr="0053780F">
        <w:t>more</w:t>
      </w:r>
      <w:r w:rsidRPr="0053780F">
        <w:t xml:space="preserve"> crucial.</w:t>
      </w:r>
      <w:r w:rsidR="54F0D94B" w:rsidRPr="0053780F">
        <w:t xml:space="preserve"> (Weick &amp; Quinn, 1999</w:t>
      </w:r>
      <w:r w:rsidR="6997E4C9" w:rsidRPr="0053780F">
        <w:t>a</w:t>
      </w:r>
      <w:r w:rsidR="54F0D94B" w:rsidRPr="0053780F">
        <w:t>)</w:t>
      </w:r>
      <w:r w:rsidR="58750120" w:rsidRPr="0053780F">
        <w:t xml:space="preserve"> distinguish between episodic change, which occurs at regular intervals, and continuous change, in which organisations constantly adjust their methods in reaction to their surroundings. This divergence is essential because it calls into question the idea that organisational change is always a well-defined process with a clear beginning and end.</w:t>
      </w:r>
      <w:r w:rsidR="1CAFCBBB" w:rsidRPr="0053780F">
        <w:t xml:space="preserve"> (Burnes, 2004)</w:t>
      </w:r>
      <w:r w:rsidR="58750120" w:rsidRPr="0053780F">
        <w:t>, on the other hand, believes that deliberate approaches to change are still useful and emphasises the necessity of understanding the dynamics that keep existing organisational habits in place before attempting to modify them.</w:t>
      </w:r>
      <w:r w:rsidR="6F16E677" w:rsidRPr="0053780F">
        <w:t xml:space="preserve"> Although planned </w:t>
      </w:r>
      <w:r w:rsidR="6F16E677" w:rsidRPr="0053780F">
        <w:lastRenderedPageBreak/>
        <w:t>change can give structure, companies like Alpha Safety Training operate in ever-changing market conditions, necessitating both planned interventions and constant adaptability.</w:t>
      </w:r>
      <w:r w:rsidR="78292384" w:rsidRPr="0053780F">
        <w:t xml:space="preserve"> </w:t>
      </w:r>
    </w:p>
    <w:p w14:paraId="69C4F023" w14:textId="4E8BFF90" w:rsidR="78292384" w:rsidRPr="0053780F" w:rsidRDefault="78292384" w:rsidP="46F9D4E4">
      <w:pPr>
        <w:spacing w:before="120" w:after="120" w:line="360" w:lineRule="auto"/>
      </w:pPr>
      <w:r w:rsidRPr="0053780F">
        <w:t>Organisational culture is intimately linked to the capacity to react to such demands.</w:t>
      </w:r>
      <w:r w:rsidR="34D224AC" w:rsidRPr="0053780F">
        <w:t xml:space="preserve"> (Schein, 2010</w:t>
      </w:r>
      <w:r w:rsidR="629D82AE" w:rsidRPr="0053780F">
        <w:t>a</w:t>
      </w:r>
      <w:r w:rsidR="34D224AC" w:rsidRPr="0053780F">
        <w:t>)</w:t>
      </w:r>
      <w:r w:rsidR="69A37877" w:rsidRPr="0053780F">
        <w:t xml:space="preserve"> conceptualises culture in terms of interrelated levels that include visible organisational behaviours, proclaimed values, and deeper underlying assumptions. This implies that workplace change cannot be understood merely through changes in systems or procedures, because established beliefs and behaviours can influence how employees interpret and respond to change.</w:t>
      </w:r>
      <w:r w:rsidR="5DAEF95E" w:rsidRPr="0053780F">
        <w:t xml:space="preserve"> </w:t>
      </w:r>
      <w:r w:rsidR="60A79AE9" w:rsidRPr="0053780F">
        <w:t xml:space="preserve">(Hatch, 1993) </w:t>
      </w:r>
      <w:r w:rsidR="5DAEF95E" w:rsidRPr="0053780F">
        <w:t>expands on Schein's perspective by stating that culture should be viewed more dynamically, highlighting the interaction of assumptions, values, symbols, and interpretation.</w:t>
      </w:r>
      <w:r w:rsidR="38B3DB5D" w:rsidRPr="0053780F">
        <w:t xml:space="preserve"> As a result, Alpha's culture should not be considered stable; changes in technology, client requirements, working habits, or competitive conditions may progressively impact how personnel understand their positions and expected behaviours.</w:t>
      </w:r>
      <w:r w:rsidR="772AD739" w:rsidRPr="0053780F">
        <w:t xml:space="preserve"> Recognising the need for change does not necessarily imply that an organi</w:t>
      </w:r>
      <w:r w:rsidR="0053780F">
        <w:t>s</w:t>
      </w:r>
      <w:r w:rsidR="772AD739" w:rsidRPr="0053780F">
        <w:t xml:space="preserve">ation </w:t>
      </w:r>
      <w:proofErr w:type="gramStart"/>
      <w:r w:rsidR="772AD739" w:rsidRPr="0053780F">
        <w:t>have</w:t>
      </w:r>
      <w:proofErr w:type="gramEnd"/>
      <w:r w:rsidR="772AD739" w:rsidRPr="0053780F">
        <w:t xml:space="preserve"> the resources or competencies required to achieve it. </w:t>
      </w:r>
      <w:r w:rsidR="7B337B4B" w:rsidRPr="0053780F">
        <w:t>(Teece et al., 1997</w:t>
      </w:r>
      <w:r w:rsidR="15B0D42F" w:rsidRPr="0053780F">
        <w:t>a</w:t>
      </w:r>
      <w:r w:rsidR="7B337B4B" w:rsidRPr="0053780F">
        <w:t xml:space="preserve">) </w:t>
      </w:r>
      <w:r w:rsidR="772AD739" w:rsidRPr="0053780F">
        <w:t>contend that competitive performance in changing settings is dependent on an organi</w:t>
      </w:r>
      <w:r w:rsidR="0053780F">
        <w:t>s</w:t>
      </w:r>
      <w:r w:rsidR="772AD739" w:rsidRPr="0053780F">
        <w:t>ation's ability to create and reconfigure its internal and external skills.</w:t>
      </w:r>
      <w:r w:rsidR="0F629D59" w:rsidRPr="0053780F">
        <w:t xml:space="preserve"> In the context of Alpha Safety Training, effective responses to environmental change require more than the identification of market opportunities. The organisation must also possess suitable employee skills, managerial processes, technological resources, and organisational knowledge. Culture and capability are interdependent; while environmental pressures may necessitate change, Alpha's existing behaviours, competencies, and resources will determine its capacity to respond. The subsequent micro- and macro-environmental analysis will therefore evaluate both the forces driving change and Alpha's ability to adapt.</w:t>
      </w:r>
    </w:p>
    <w:p w14:paraId="2CC35E8C" w14:textId="7F37B3E9" w:rsidR="46F9D4E4" w:rsidRPr="0053780F" w:rsidRDefault="46F9D4E4" w:rsidP="46F9D4E4">
      <w:pPr>
        <w:spacing w:before="240" w:after="240" w:line="360" w:lineRule="auto"/>
      </w:pPr>
    </w:p>
    <w:p w14:paraId="1B3EAF0A" w14:textId="5CC4D06B" w:rsidR="5B726F16" w:rsidRPr="0053780F" w:rsidRDefault="5B726F16" w:rsidP="46F9D4E4">
      <w:pPr>
        <w:pStyle w:val="Heading2"/>
        <w:spacing w:line="360" w:lineRule="auto"/>
        <w:rPr>
          <w:rFonts w:asciiTheme="minorHAnsi" w:eastAsiaTheme="minorEastAsia" w:hAnsiTheme="minorHAnsi" w:cstheme="minorBidi"/>
          <w:b/>
          <w:bCs/>
          <w:sz w:val="28"/>
          <w:szCs w:val="28"/>
        </w:rPr>
      </w:pPr>
      <w:bookmarkStart w:id="3" w:name="_Toc242610801"/>
      <w:r w:rsidRPr="0053780F">
        <w:rPr>
          <w:rFonts w:asciiTheme="minorHAnsi" w:eastAsiaTheme="minorEastAsia" w:hAnsiTheme="minorHAnsi" w:cstheme="minorBidi"/>
        </w:rPr>
        <w:t>Alpha Safety Training and its Current Operating Environment</w:t>
      </w:r>
      <w:bookmarkEnd w:id="3"/>
    </w:p>
    <w:p w14:paraId="699A82CB" w14:textId="41F5FB1B" w:rsidR="26ED6864" w:rsidRPr="0053780F" w:rsidRDefault="26ED6864" w:rsidP="46F9D4E4">
      <w:pPr>
        <w:spacing w:line="360" w:lineRule="auto"/>
      </w:pPr>
      <w:r w:rsidRPr="0053780F">
        <w:t xml:space="preserve">With campuses in Swansea and Cardiff, Alpha Safety Training is a South Wales-based company that offers certified health, safety, and vocational training. Its offerings range from construction-focused services like CITB, confined-space, and plant-related training to occupational health and safety courses including first aid and IOSH programs. Alpha </w:t>
      </w:r>
      <w:r w:rsidRPr="0053780F">
        <w:lastRenderedPageBreak/>
        <w:t>positions certification and industry recognition as crucial components of its service offering, aligning with reputable awarding and industry groups such as IOSH, CITB, and City &amp; Guilds. This range of provision allows Alpha to serve learners and companies with a variety of vocational needs; however, it also emphasises the significance of maintaining adequately qualified staff, compliant processes, and consistently high standards across its operations.</w:t>
      </w:r>
    </w:p>
    <w:p w14:paraId="69B0C46C" w14:textId="206A8569" w:rsidR="28E29258" w:rsidRPr="0053780F" w:rsidRDefault="28E29258" w:rsidP="46F9D4E4">
      <w:pPr>
        <w:spacing w:line="360" w:lineRule="auto"/>
      </w:pPr>
      <w:r w:rsidRPr="0053780F">
        <w:t>Alpha's working environment is also influenced by shifting expectations about how training is delivered. While its Swansea and Cardiff centers continue to offer classroom-based training, its portfolio now includes e-learning and remote-learning alternatives, indicating a shift toward more flexible delivery methods.</w:t>
      </w:r>
      <w:r w:rsidR="7344C03A" w:rsidRPr="0053780F">
        <w:t xml:space="preserve"> This adaptability may enhance Alpha's capacity to connect with clients outside its physical premises, yet concurrently imposes demands concerning technology, workforce competencies, and the proficient administration of various delivery systems. Consequently, Alpha functions in a context where organisational competence must evolve in tandem with shifting consumer and industry demands. Its capacity to uphold certification, service excellence, and workforce proficiency while adjusting to market fluctuations is therefore crucial to its competitive edge. These intrinsic attributes should be evaluated in conjunction with external prospects and challenges, which are analysed through the subsequent SWOT and macro-environmental assessments.</w:t>
      </w:r>
    </w:p>
    <w:p w14:paraId="31D8F626" w14:textId="24F6FA18" w:rsidR="5B726F16" w:rsidRPr="0053780F" w:rsidRDefault="5B726F16" w:rsidP="46F9D4E4">
      <w:pPr>
        <w:pStyle w:val="Heading2"/>
        <w:spacing w:line="360" w:lineRule="auto"/>
        <w:rPr>
          <w:rFonts w:asciiTheme="minorHAnsi" w:eastAsiaTheme="minorEastAsia" w:hAnsiTheme="minorHAnsi" w:cstheme="minorBidi"/>
          <w:b/>
          <w:bCs/>
          <w:sz w:val="28"/>
          <w:szCs w:val="28"/>
        </w:rPr>
      </w:pPr>
      <w:bookmarkStart w:id="4" w:name="_Toc242610802"/>
      <w:r w:rsidRPr="0053780F">
        <w:rPr>
          <w:rFonts w:asciiTheme="minorHAnsi" w:eastAsiaTheme="minorEastAsia" w:hAnsiTheme="minorHAnsi" w:cstheme="minorBidi"/>
        </w:rPr>
        <w:t>Micro-Environmental Analysis: SWOT Analysis</w:t>
      </w:r>
      <w:bookmarkEnd w:id="4"/>
    </w:p>
    <w:p w14:paraId="5E758C34" w14:textId="4AD021BB" w:rsidR="63CBD9D7" w:rsidRPr="0053780F" w:rsidRDefault="63CBD9D7" w:rsidP="46F9D4E4">
      <w:pPr>
        <w:spacing w:line="360" w:lineRule="auto"/>
      </w:pPr>
      <w:r w:rsidRPr="0053780F">
        <w:t>SWOT analysis is a commonly employed strategic tool for assessing an organi</w:t>
      </w:r>
      <w:r w:rsidR="0053780F">
        <w:t>s</w:t>
      </w:r>
      <w:r w:rsidRPr="0053780F">
        <w:t xml:space="preserve">ation's internal strengths and weaknesses alongside external opportunities and threats. </w:t>
      </w:r>
      <w:r w:rsidR="19740E22" w:rsidRPr="0053780F">
        <w:t>(Pickton &amp; Wright, 1998) argue that environmental analysis is a crucial element of strategic planning and acknowledge SWOT as an effective technique for classifying key internal and external aspects. Nonetheless, they also challenge the predominantly uncritical embrace of the framework, proposing that its straightforwardness may obscure deficiencies in the calibre of the analysis generated.</w:t>
      </w:r>
      <w:r w:rsidR="0DF89817" w:rsidRPr="0053780F">
        <w:t xml:space="preserve"> (Gurel &amp; Tat, 2017) recognise SWOT as an effective situational analysis method that allows businesses to assess advantageous and disadvantageous elements in their internal and external contexts.</w:t>
      </w:r>
      <w:r w:rsidR="39B04C4D" w:rsidRPr="0053780F">
        <w:t xml:space="preserve"> Its straightforwardness thus offers a valuable foundation for analysing Alpha Safety Training, as it allows for the assessment of organisational competencies in conjunction with evolving market dynamics; however, merely recognising factors does </w:t>
      </w:r>
      <w:r w:rsidR="39B04C4D" w:rsidRPr="0053780F">
        <w:lastRenderedPageBreak/>
        <w:t>not illustrate their significance or clarify the organi</w:t>
      </w:r>
      <w:r w:rsidR="0053780F">
        <w:t>s</w:t>
      </w:r>
      <w:r w:rsidR="39B04C4D" w:rsidRPr="0053780F">
        <w:t>ation's appropriate response.</w:t>
      </w:r>
      <w:r w:rsidR="6E500DB7" w:rsidRPr="0053780F">
        <w:t xml:space="preserve"> This constraint is emphasised by (Helms &amp; Nixon, 2010), whose examination of peer-reviewed studies reveals the persistent use of SWOT in strategic management while also highlighting a continuing scholarly discourse on its advantages and disadvantages.</w:t>
      </w:r>
      <w:r w:rsidR="273B3ED2" w:rsidRPr="0053780F">
        <w:t xml:space="preserve"> According to (Hill &amp; Westbrook, 1997), the implementation of SWOT in practice commonly produced exhaustive lists of elements without proper prioritisation, confirmation, or ensuing strategic initiatives. This introduces a threat that SWOT evolves into a superficial descriptive task rather than a significant analytical resource.</w:t>
      </w:r>
      <w:r w:rsidR="7B3E70BA" w:rsidRPr="0053780F">
        <w:t xml:space="preserve"> (Coman &amp; Ronen, 2009) address these constraints by promoting a more targeted strategy that emphasises essential strengths and weaknesses, correlating them with organisational actions instead of regarding all identified elements as equally important. The collective viewpoints indicate that the merit of SWOT is not in generating four lists, but in thoroughly assessing which elements carry the most significant strategic consequences.</w:t>
      </w:r>
    </w:p>
    <w:p w14:paraId="69BEAFF5" w14:textId="36EDB44B" w:rsidR="1BD5A8D9" w:rsidRPr="0053780F" w:rsidRDefault="1BD5A8D9" w:rsidP="46F9D4E4">
      <w:pPr>
        <w:spacing w:line="360" w:lineRule="auto"/>
      </w:pPr>
      <w:r w:rsidRPr="0053780F">
        <w:t>This methodology, when applied to Alpha Safety Training, recognises advantages such as its extensive training offerings, esteemed industry credentials, and adaptable delivery methods, while also emphasising the challenges of sustaining employee proficiency, service excellence, and efficient systems across diverse training options. The prospects generated by digital education and the changing demands of workforce training must also be weighed against challenges such as competitiveness, economic constraints, and shifting regulatory or financial conditions. Crucially, these elements are interrelated; a potential to enhance services, for instance, may transform into a structural vulnerability if the competencies of employees and operational capabilities do not progress in tandem.</w:t>
      </w:r>
      <w:r w:rsidR="28292249" w:rsidRPr="0053780F">
        <w:t xml:space="preserve"> Consequently, the SWOT analysis outlined in </w:t>
      </w:r>
      <w:r w:rsidR="28292249" w:rsidRPr="0053780F">
        <w:rPr>
          <w:b/>
          <w:bCs/>
        </w:rPr>
        <w:t xml:space="preserve">Appendix </w:t>
      </w:r>
      <w:r w:rsidR="578841D7" w:rsidRPr="0053780F">
        <w:rPr>
          <w:b/>
          <w:bCs/>
        </w:rPr>
        <w:t>A</w:t>
      </w:r>
      <w:r w:rsidR="28292249" w:rsidRPr="0053780F">
        <w:rPr>
          <w:b/>
          <w:bCs/>
        </w:rPr>
        <w:t xml:space="preserve"> </w:t>
      </w:r>
      <w:r w:rsidR="28292249" w:rsidRPr="0053780F">
        <w:t>serves as diagnostic tool rather than a mere descriptive one, emphasising elements based on their prospective influence on Alpha's workplace culture and organisational capacity. This examination suggests that Alpha's proficiency in addressing external opportunities and challenges will heavily rely on its ability to enhance its personnel, systems, and operational methodologies in conjunction with market evolution.</w:t>
      </w:r>
    </w:p>
    <w:p w14:paraId="04D50CCA" w14:textId="722DDBD9" w:rsidR="46F9D4E4" w:rsidRPr="0053780F" w:rsidRDefault="46F9D4E4" w:rsidP="46F9D4E4">
      <w:pPr>
        <w:spacing w:line="360" w:lineRule="auto"/>
      </w:pPr>
    </w:p>
    <w:p w14:paraId="28AE943C" w14:textId="0D6BED71" w:rsidR="5B726F16" w:rsidRPr="0053780F" w:rsidRDefault="5B726F16" w:rsidP="46F9D4E4">
      <w:pPr>
        <w:pStyle w:val="Heading2"/>
        <w:spacing w:line="360" w:lineRule="auto"/>
        <w:rPr>
          <w:rFonts w:asciiTheme="minorHAnsi" w:eastAsiaTheme="minorEastAsia" w:hAnsiTheme="minorHAnsi" w:cstheme="minorBidi"/>
          <w:b/>
          <w:bCs/>
          <w:sz w:val="28"/>
          <w:szCs w:val="28"/>
        </w:rPr>
      </w:pPr>
      <w:bookmarkStart w:id="5" w:name="_Toc242610803"/>
      <w:r w:rsidRPr="0053780F">
        <w:rPr>
          <w:rFonts w:asciiTheme="minorHAnsi" w:eastAsiaTheme="minorEastAsia" w:hAnsiTheme="minorHAnsi" w:cstheme="minorBidi"/>
        </w:rPr>
        <w:lastRenderedPageBreak/>
        <w:t>Macro-Environmental Analysis: PESTLE Analysis</w:t>
      </w:r>
      <w:bookmarkEnd w:id="5"/>
    </w:p>
    <w:p w14:paraId="6BFCC7FE" w14:textId="1F82E5D7" w:rsidR="148816B3" w:rsidRPr="0053780F" w:rsidRDefault="148816B3" w:rsidP="46F9D4E4">
      <w:pPr>
        <w:spacing w:line="360" w:lineRule="auto"/>
      </w:pPr>
      <w:r w:rsidRPr="0053780F">
        <w:t>Organisations exist inside external settings that can significantly impact strategy determinations and organisational success.</w:t>
      </w:r>
      <w:r w:rsidR="5C8F2B1A" w:rsidRPr="0053780F">
        <w:t xml:space="preserve"> (Kunc, 2026) contends that external elements ought to play a significant role in the strategic management process, as companies may have limited control over them, yet they can impact organisational decisions and outcomes. PESTLE analysis offers a systematic framework for assessing external factors spanning political, economic, social, technical, legal, and environmental spheres. This framework is especially pertinent for Alpha Safety Training since its operations are shaped by elements such as health and safety regulations, economic circumstances, technology advancements, and evolving workforce training needs.</w:t>
      </w:r>
    </w:p>
    <w:p w14:paraId="1176394E" w14:textId="0F8B221B" w:rsidR="30855DF3" w:rsidRPr="0053780F" w:rsidRDefault="30855DF3" w:rsidP="46F9D4E4">
      <w:pPr>
        <w:spacing w:line="360" w:lineRule="auto"/>
      </w:pPr>
      <w:r w:rsidRPr="0053780F">
        <w:t>Nonetheless, the systematic framework of PESTLE does not necessarily lead to proficient environmental assessment. (Yuksel, 2012) argues that although PESTLE offers a broad comprehension of an organi</w:t>
      </w:r>
      <w:r w:rsidR="0053780F">
        <w:t>s</w:t>
      </w:r>
      <w:r w:rsidRPr="0053780F">
        <w:t>ation's macro-environmental circumstances, the conventional model inadequately considers the interconnections among elements or assesses their relative significance. This constitutes a considerable constraint as macro-environmental influences seldom function in isolation. Technological advancements may modify consumer expectations and the skill sets required from employees, but economic circumstances might concurrently influence organisations' readiness to spend in workforce training. Consequently, PESTLE becomes most beneficial to Alpha when elements are assessed based on their importance and interrelations rather than merely classified.</w:t>
      </w:r>
    </w:p>
    <w:p w14:paraId="587E7A5E" w14:textId="4632DF90" w:rsidR="3EDBDC52" w:rsidRPr="0053780F" w:rsidRDefault="3EDBDC52" w:rsidP="46F9D4E4">
      <w:pPr>
        <w:spacing w:line="360" w:lineRule="auto"/>
      </w:pPr>
      <w:r w:rsidRPr="0053780F">
        <w:t xml:space="preserve">The comprehensive PESTLE study for Alpha Safety Training </w:t>
      </w:r>
      <w:r w:rsidRPr="0053780F">
        <w:rPr>
          <w:b/>
          <w:bCs/>
        </w:rPr>
        <w:t>(refer to Appendix B)</w:t>
      </w:r>
      <w:r w:rsidRPr="0053780F">
        <w:t xml:space="preserve"> highlights legal and regulatory obligations as notably important. The Health and Safety at Work etc. Act 1974 mandates that employers, to the extent that it is practically feasible, furnish the information, instruction, training, and oversight essential for safeguarding employee health and safety. Moreover, the Health and Safety Executive (HSE, n.d.) indicates that supplementary training can be necessary when new apparatus is implemented or operational procedures are modified. These stipulations facilitate the ongoing need for occupational health and safety training while necessitating that Alpha retains suitably qualified trainers and current offerings. Thus, macro-environmental alterations signify both prospects and hazards: changing regulations, technological advancements, and labour necessities may generate increased demand while </w:t>
      </w:r>
      <w:r w:rsidRPr="0053780F">
        <w:lastRenderedPageBreak/>
        <w:t>concurrently necessitating Alpha to cultivate its personnel, systems, and services. The PESTLE research suggests that Alpha's capacity to react to external changes relies on a flexible workplace culture and enough organisational competence.</w:t>
      </w:r>
    </w:p>
    <w:p w14:paraId="47F67FA6" w14:textId="77777777" w:rsidR="00241901" w:rsidRPr="0053780F" w:rsidRDefault="00241901" w:rsidP="46F9D4E4">
      <w:pPr>
        <w:spacing w:line="360" w:lineRule="auto"/>
      </w:pPr>
    </w:p>
    <w:p w14:paraId="68DA7B5A" w14:textId="291801F5" w:rsidR="5B726F16" w:rsidRPr="0053780F" w:rsidRDefault="5B726F16" w:rsidP="46F9D4E4">
      <w:pPr>
        <w:pStyle w:val="Heading2"/>
        <w:spacing w:line="360" w:lineRule="auto"/>
        <w:rPr>
          <w:rFonts w:asciiTheme="minorHAnsi" w:eastAsiaTheme="minorEastAsia" w:hAnsiTheme="minorHAnsi" w:cstheme="minorBidi"/>
          <w:b/>
          <w:bCs/>
          <w:sz w:val="28"/>
          <w:szCs w:val="28"/>
        </w:rPr>
      </w:pPr>
      <w:bookmarkStart w:id="6" w:name="_Toc242610804"/>
      <w:r w:rsidRPr="0053780F">
        <w:rPr>
          <w:rFonts w:asciiTheme="minorHAnsi" w:eastAsiaTheme="minorEastAsia" w:hAnsiTheme="minorHAnsi" w:cstheme="minorBidi"/>
        </w:rPr>
        <w:t>The Current Health and Safety Training Market and Competitive Pressures</w:t>
      </w:r>
      <w:bookmarkEnd w:id="6"/>
    </w:p>
    <w:p w14:paraId="1545AFCD" w14:textId="195958F6" w:rsidR="1DC9D3F1" w:rsidRPr="0053780F" w:rsidRDefault="1DC9D3F1" w:rsidP="46F9D4E4">
      <w:pPr>
        <w:spacing w:line="360" w:lineRule="auto"/>
      </w:pPr>
      <w:r w:rsidRPr="0053780F">
        <w:t xml:space="preserve">Current market dynamics suggest a persistent need for occupational health and safety instruction, albeit within a progressively competitive and evolving training landscape. Statistics from the </w:t>
      </w:r>
      <w:r w:rsidR="21D39ABC" w:rsidRPr="0053780F">
        <w:t>(HSE Health &amp; Safety at Work, 2025)</w:t>
      </w:r>
      <w:r w:rsidRPr="0053780F">
        <w:t xml:space="preserve"> illustrate the persistent magnitude of occupational health and safety issues in Great Britain, revealing that almost 1.9 million employees faced work-related health problems and 680,000 incurred injuries in the workplace during 2024/25. Occupational ailments and injuries led to an estimated loss of almost 40.1 million workdays. These statistics indicate that, notwithstanding existing health and safety regulations and training mandates, workplace hazards persist, underscoring the ongoing necessity for proficient health and safety measures. For Alpha Safety Training, this presents a fundamental market potential; yet, mere demand does not provide a competitive edge, as clients can obtain authorised training from many suppliers and formats.</w:t>
      </w:r>
    </w:p>
    <w:p w14:paraId="76963588" w14:textId="75340F7A" w:rsidR="369E9C22" w:rsidRPr="0053780F" w:rsidRDefault="369E9C22" w:rsidP="46F9D4E4">
      <w:pPr>
        <w:spacing w:line="360" w:lineRule="auto"/>
      </w:pPr>
      <w:r w:rsidRPr="0053780F">
        <w:t>The construction industry in Wales signifies a notably significant domain of prospective demand. The Construction Industry Training Board (CITB HSE, 2026) projects that Wales will need over 8,600 more construction personnel from 2025 to 2029, translating to about 1,720 workers each year. This generates prospective demand for training and skill enhancement as newcomers join the sector. The importance of safety proficiency is underscored by contemporary HSE data indicating that construction continues to be a perilous industry; 25 construction labourers experienced fatal injuries in 2025/26. Alpha is thus situated in a market where labour growth and ongoing safety hazards present prospects for certified training. The existing portfolio encompasses CITB Health and Safety Awareness, SSSTS, SMSTS, and Temporary Works programs, in addition to many other occupational safety offerings.</w:t>
      </w:r>
    </w:p>
    <w:p w14:paraId="55911330" w14:textId="4D1D1016" w:rsidR="55876AD8" w:rsidRPr="0053780F" w:rsidRDefault="55876AD8" w:rsidP="46F9D4E4">
      <w:pPr>
        <w:spacing w:line="360" w:lineRule="auto"/>
      </w:pPr>
      <w:r w:rsidRPr="0053780F">
        <w:lastRenderedPageBreak/>
        <w:t xml:space="preserve">Nonetheless, Alpha's market standing must be evaluated </w:t>
      </w:r>
      <w:r w:rsidR="008D0937" w:rsidRPr="0053780F">
        <w:t>considering</w:t>
      </w:r>
      <w:r w:rsidRPr="0053780F">
        <w:t xml:space="preserve"> evolving consumer expectations and competitive dynamics. Training is no longer confined to conventional classroom settings, as clients are progressively able to utilise various delivery methods. Alpha now provides classroom, remote, and e-learning alternatives for components of its portfolio, encompassing IOSH and CITB offerings. Although this adaptability may broaden Alpha's </w:t>
      </w:r>
      <w:r w:rsidR="2DB2A55A" w:rsidRPr="0053780F">
        <w:t>geographical</w:t>
      </w:r>
      <w:r w:rsidRPr="0053780F">
        <w:t xml:space="preserve"> reach, digital distribution concurrently diminishes geographical obstacles for rivals, heightening the significance of distinction via service excellence, specialised knowledge, client relations, and agility.</w:t>
      </w:r>
      <w:r w:rsidR="7B394F75" w:rsidRPr="0053780F">
        <w:t xml:space="preserve"> </w:t>
      </w:r>
    </w:p>
    <w:p w14:paraId="235B2FA6" w14:textId="3BB86F59" w:rsidR="7B394F75" w:rsidRPr="0053780F" w:rsidRDefault="7B394F75" w:rsidP="46F9D4E4">
      <w:pPr>
        <w:spacing w:line="360" w:lineRule="auto"/>
      </w:pPr>
      <w:r w:rsidRPr="0053780F">
        <w:t>In conclusion, current market data reveals both prospects and competency obstacles for Alpha. Ongoing workplace hazards and anticipated construction labour needs bolster future training necessities, although technological advancements enhance consumer options and rivalry. Alpha's potential to capitalise on market expansion will hinge not only on the programs it offers but also on its ability to enhance personnel proficiency, digital skills, and customer-centric operational methods. Thus, competitive pressure serves as a significant catalyst for transformation in the workplace.</w:t>
      </w:r>
    </w:p>
    <w:p w14:paraId="468B79A7" w14:textId="77777777" w:rsidR="008D0937" w:rsidRPr="0053780F" w:rsidRDefault="008D0937" w:rsidP="46F9D4E4">
      <w:pPr>
        <w:spacing w:line="360" w:lineRule="auto"/>
      </w:pPr>
    </w:p>
    <w:p w14:paraId="59A68079" w14:textId="134EC2C2" w:rsidR="5B726F16" w:rsidRPr="0053780F" w:rsidRDefault="5B726F16" w:rsidP="46F9D4E4">
      <w:pPr>
        <w:pStyle w:val="Heading2"/>
        <w:spacing w:line="360" w:lineRule="auto"/>
        <w:rPr>
          <w:rFonts w:asciiTheme="minorHAnsi" w:eastAsiaTheme="minorEastAsia" w:hAnsiTheme="minorHAnsi" w:cstheme="minorBidi"/>
          <w:b/>
          <w:bCs/>
          <w:sz w:val="28"/>
          <w:szCs w:val="28"/>
        </w:rPr>
      </w:pPr>
      <w:bookmarkStart w:id="7" w:name="_Toc242610805"/>
      <w:r w:rsidRPr="0053780F">
        <w:rPr>
          <w:rFonts w:asciiTheme="minorHAnsi" w:eastAsiaTheme="minorEastAsia" w:hAnsiTheme="minorHAnsi" w:cstheme="minorBidi"/>
        </w:rPr>
        <w:t>Impact of Environmental Forces on Organisational Culture</w:t>
      </w:r>
      <w:bookmarkEnd w:id="7"/>
    </w:p>
    <w:p w14:paraId="2D1FFF8B" w14:textId="74FA3C0D" w:rsidR="178F2E55" w:rsidRPr="0053780F" w:rsidRDefault="178F2E55" w:rsidP="46F9D4E4">
      <w:pPr>
        <w:spacing w:before="240" w:after="240" w:line="360" w:lineRule="auto"/>
      </w:pPr>
      <w:r w:rsidRPr="0053780F">
        <w:t>The environmental study reveals that Alpha Safety Training's capacity to adapt to market fluctuations is shaped by both its resources and the attitudes and principles ingrained in its organisational culture.</w:t>
      </w:r>
      <w:r w:rsidR="22EFBF48" w:rsidRPr="0053780F">
        <w:t xml:space="preserve"> (Denison &amp; Mishra, 1995</w:t>
      </w:r>
      <w:r w:rsidR="5DE9284C" w:rsidRPr="0053780F">
        <w:t>a</w:t>
      </w:r>
      <w:r w:rsidR="22EFBF48" w:rsidRPr="0053780F">
        <w:t>) recognise adaptation, engagement, consistency, and mission as cultural traits linked to organisational efficacy. They contend that flexible organisations cultivate the ability to perceive cues from their external surroundings and convert them into internal behavioural and structural modifications. This is especially pertinent to Alpha, where advancements in technology, evolving client demands, regulatory obligations, and competitive challenges need that personnel consistently update their expertise and work methodologies.</w:t>
      </w:r>
    </w:p>
    <w:p w14:paraId="618A7E80" w14:textId="5EE38973" w:rsidR="73A68B66" w:rsidRPr="0053780F" w:rsidRDefault="73A68B66" w:rsidP="46F9D4E4">
      <w:pPr>
        <w:spacing w:before="240" w:after="240" w:line="360" w:lineRule="auto"/>
      </w:pPr>
      <w:r w:rsidRPr="0053780F">
        <w:t xml:space="preserve">Nevertheless, flexibility could clash with established organisational </w:t>
      </w:r>
      <w:r w:rsidR="008D0937" w:rsidRPr="0053780F">
        <w:t>practices. (</w:t>
      </w:r>
      <w:r w:rsidRPr="0053780F">
        <w:t xml:space="preserve">Schein, 2010b) posits that culture evolves in part through collective assumptions formed as companies navigate challenges of external adaptation and internal cohesion. Although these entrenched beliefs might offer consistency, methodologies that were once </w:t>
      </w:r>
      <w:r w:rsidRPr="0053780F">
        <w:lastRenderedPageBreak/>
        <w:t>effective may transform into obstacles when external circumstances evolve. For Alpha, traditional methods of classroom instruction, administration, or customer relations may ensure uniformity but could also incite opposition when heightened digitalisation or novel procedures necessitate alterations in personnel workflows. This indicates that a robust culture may not inherently be beneficial if entrenched practices hinder adaptability to external transformations.</w:t>
      </w:r>
    </w:p>
    <w:p w14:paraId="048A336A" w14:textId="5F1C6442" w:rsidR="4BF32AE0" w:rsidRPr="0053780F" w:rsidRDefault="4BF32AE0" w:rsidP="46F9D4E4">
      <w:pPr>
        <w:spacing w:before="240" w:after="240" w:line="360" w:lineRule="auto"/>
      </w:pPr>
      <w:r w:rsidRPr="0053780F">
        <w:t>However, (Denison &amp; Mishra, 1995b) also recognise involvement as crucial to organisational efficacy, proposing that adaptation need not to rely exclusively on managerial choices. Personnel engaged directly with students, consumers, and training frameworks may hold significant insights regarding evolving customer demands and operational difficulties. Promoting engagement, dialogue, and ongoing education could consequently enhance Alpha's capacity to address the external challenges highlighted in the SWOT and PESTLE assessments. The research indicates that Alpha necessitates a culture that harmonises stability in safety, quality, and compliance with flexibility in technology, customer service, and operational methods. Environmental transformation necessitates a cultural imperative for employees to stay involved, adaptable, and eager to acquire knowledge, while leadership must guarantee that entrenched habits do not hinder essential organisational evolution.</w:t>
      </w:r>
    </w:p>
    <w:p w14:paraId="240074F2" w14:textId="25E87FE3" w:rsidR="5B726F16" w:rsidRPr="0053780F" w:rsidRDefault="5B726F16" w:rsidP="46F9D4E4">
      <w:pPr>
        <w:pStyle w:val="Heading2"/>
        <w:spacing w:line="360" w:lineRule="auto"/>
        <w:rPr>
          <w:rFonts w:asciiTheme="minorHAnsi" w:eastAsiaTheme="minorEastAsia" w:hAnsiTheme="minorHAnsi" w:cstheme="minorBidi"/>
          <w:b/>
          <w:bCs/>
          <w:sz w:val="28"/>
          <w:szCs w:val="28"/>
        </w:rPr>
      </w:pPr>
      <w:bookmarkStart w:id="8" w:name="_Toc242610806"/>
      <w:r w:rsidRPr="0053780F">
        <w:rPr>
          <w:rFonts w:asciiTheme="minorHAnsi" w:eastAsiaTheme="minorEastAsia" w:hAnsiTheme="minorHAnsi" w:cstheme="minorBidi"/>
        </w:rPr>
        <w:t>Impact of Environmental Forces on Organisational Capability</w:t>
      </w:r>
      <w:bookmarkEnd w:id="8"/>
    </w:p>
    <w:p w14:paraId="0279BDD0" w14:textId="357A673B" w:rsidR="30D86886" w:rsidRPr="0053780F" w:rsidRDefault="30D86886" w:rsidP="46F9D4E4">
      <w:pPr>
        <w:spacing w:line="360" w:lineRule="auto"/>
      </w:pPr>
      <w:r w:rsidRPr="0053780F">
        <w:t>Organisational capacity influences Alpha Safety Training's ability to convert awareness of environmental shifts into a proficient organisational reaction. (Teece et al., 1997b) characterise dynamic capabilities as the capacity of an organi</w:t>
      </w:r>
      <w:r w:rsidR="0053780F">
        <w:t>s</w:t>
      </w:r>
      <w:r w:rsidRPr="0053780F">
        <w:t>ation to amalgamate, develop, and reorganise internal and external skills in reaction to swiftly evolving settings. This indicates that Alpha's current resources alone do not ensure future competitiveness; the capacity to evolve personnel skills, systems, and processes in response to market demands is also crucial. The prospects recognised in the SWOT and PESTLE assessments, such as digital delivery and evolving workforce training needs, will only generate value if Alpha has the requisite competence to use them.</w:t>
      </w:r>
    </w:p>
    <w:p w14:paraId="16FEFEE2" w14:textId="6F5C1AFF" w:rsidR="6D78DA67" w:rsidRPr="0053780F" w:rsidRDefault="6D78DA67" w:rsidP="46F9D4E4">
      <w:pPr>
        <w:spacing w:line="360" w:lineRule="auto"/>
      </w:pPr>
      <w:r w:rsidRPr="0053780F">
        <w:t xml:space="preserve">However, an organisational capability transcends the mere acquisition of new resources. (Eisenhardt &amp; Martin, 2000) advance the dynamic capabilities framework by asserting that capabilities are discernible organisational processes, encompassing </w:t>
      </w:r>
      <w:r w:rsidRPr="0053780F">
        <w:lastRenderedPageBreak/>
        <w:t xml:space="preserve">product development, strategic decision-making, and resource reconfiguration. They further contest the presumption that dynamic skills inherently generate enduring competitive advantage, proposing that their worth is contingent upon the efficacy of resource configuration and utilisation. </w:t>
      </w:r>
    </w:p>
    <w:p w14:paraId="4F98DB4B" w14:textId="59BF579B" w:rsidR="6D78DA67" w:rsidRPr="0053780F" w:rsidRDefault="6D78DA67" w:rsidP="46F9D4E4">
      <w:pPr>
        <w:spacing w:line="360" w:lineRule="auto"/>
      </w:pPr>
      <w:r w:rsidRPr="0053780F">
        <w:t>Current market circumstances highlight the significance of this competency. The anticipated need for more construction personnel in Wales, coupled with ongoing health and safety regulations, presents potential prospects for Alpha; nevertheless, addressing heightened or evolving demand may strain trainer capabilities, employee expertise, and operational frameworks. Organisational expansion without simultaneous enhancement of capabilities may thus undermine rather than bolster performance. In summary, Alpha's prospective abilities hinge on harmonising commercial expansion with ongoing staff advancement, technical proficiency, and efficient internal operations. The environmental assessment thus suggests that organisational transformation must prioritise not only addressing external prospects but also enhancing the internal competencies necessary to maintain that response.</w:t>
      </w:r>
    </w:p>
    <w:p w14:paraId="323B5B2F" w14:textId="09646A58" w:rsidR="46F9D4E4" w:rsidRPr="0053780F" w:rsidRDefault="46F9D4E4" w:rsidP="46F9D4E4">
      <w:pPr>
        <w:spacing w:line="360" w:lineRule="auto"/>
      </w:pPr>
    </w:p>
    <w:p w14:paraId="2332785A" w14:textId="3C662D07" w:rsidR="5B726F16" w:rsidRPr="0053780F" w:rsidRDefault="5B726F16" w:rsidP="46F9D4E4">
      <w:pPr>
        <w:pStyle w:val="Heading2"/>
        <w:spacing w:line="360" w:lineRule="auto"/>
        <w:rPr>
          <w:rFonts w:asciiTheme="minorHAnsi" w:eastAsiaTheme="minorEastAsia" w:hAnsiTheme="minorHAnsi" w:cstheme="minorBidi"/>
          <w:b/>
          <w:bCs/>
          <w:sz w:val="28"/>
          <w:szCs w:val="28"/>
        </w:rPr>
      </w:pPr>
      <w:bookmarkStart w:id="9" w:name="_Toc242610807"/>
      <w:r w:rsidRPr="0053780F">
        <w:rPr>
          <w:rFonts w:asciiTheme="minorHAnsi" w:eastAsiaTheme="minorEastAsia" w:hAnsiTheme="minorHAnsi" w:cstheme="minorBidi"/>
        </w:rPr>
        <w:t>Critical Evaluation of the Need for Change at Alpha Safety Training</w:t>
      </w:r>
      <w:bookmarkEnd w:id="9"/>
    </w:p>
    <w:p w14:paraId="3B5E67B6" w14:textId="06A8AF3B" w:rsidR="2147BEB9" w:rsidRPr="0053780F" w:rsidRDefault="2147BEB9" w:rsidP="46F9D4E4">
      <w:pPr>
        <w:spacing w:before="240" w:after="240" w:line="360" w:lineRule="auto"/>
      </w:pPr>
      <w:r w:rsidRPr="0053780F">
        <w:t>The prior environmental assessment reveals that the necessity for transformation at Alpha Safety Training stems not from a singular influence, but from the interplay of commercial, technological, regulatory, and internal capability elements. (Weick &amp; Quinn, 1999b) contend that organisational change can be ongoing instead of sporadic, especially in contexts where organisations function in dynamic surroundings. This viewpoint is pertinent to Alpha since the SWOT and PESTLE evaluations reveal that transformations in digital education, consumer anticipations, labour demands, and rivalry are continuous rather than singular occurrences. Thus, Alpha's capacity for efficient response may hinge on ongoing adaptation instead of merely awaiting environmental conditions that necessitate substantial reactive alterations.</w:t>
      </w:r>
      <w:r w:rsidR="21D64842" w:rsidRPr="0053780F">
        <w:t xml:space="preserve"> </w:t>
      </w:r>
    </w:p>
    <w:p w14:paraId="5D67AFFB" w14:textId="34700501" w:rsidR="21D64842" w:rsidRPr="0053780F" w:rsidRDefault="21D64842" w:rsidP="46F9D4E4">
      <w:pPr>
        <w:spacing w:before="240" w:after="240" w:line="360" w:lineRule="auto"/>
      </w:pPr>
      <w:r w:rsidRPr="0053780F">
        <w:t>However, acknowledging external alterations does not inherently confirm an organi</w:t>
      </w:r>
      <w:r w:rsidR="0053780F">
        <w:t>s</w:t>
      </w:r>
      <w:r w:rsidRPr="0053780F">
        <w:t>ation's preparedness to react. (Armenakis et al., 1993</w:t>
      </w:r>
      <w:r w:rsidR="0D98A106" w:rsidRPr="0053780F">
        <w:t>a</w:t>
      </w:r>
      <w:r w:rsidRPr="0053780F">
        <w:t xml:space="preserve">) contend that </w:t>
      </w:r>
      <w:r w:rsidRPr="0053780F">
        <w:lastRenderedPageBreak/>
        <w:t>preparedness for change pertains to the convictions and dispositions of organisational members about the necessity of change and the organi</w:t>
      </w:r>
      <w:r w:rsidR="0053780F">
        <w:t>s</w:t>
      </w:r>
      <w:r w:rsidRPr="0053780F">
        <w:t>ation's ability to execute it effectively. This is crucial for Alpha since prospects like digital growth and heightened workforce training demands may impose extra strain on trainers, administration, technology, and leadership if organisational capacity does not evolve concurrently. Consequently, growth should not be indiscriminately used as proof of effective adaptation.</w:t>
      </w:r>
    </w:p>
    <w:p w14:paraId="14702A8F" w14:textId="2E1D71F6" w:rsidR="008D0937" w:rsidRPr="0053780F" w:rsidRDefault="21D64842" w:rsidP="46F9D4E4">
      <w:pPr>
        <w:spacing w:before="240" w:after="240" w:line="360" w:lineRule="auto"/>
      </w:pPr>
      <w:r w:rsidRPr="0053780F">
        <w:t xml:space="preserve">The analysis indicates that Alpha's primary focus needs to be on synchronising workplace culture and organisational capacity with shifts in the external market. This necessitates ongoing personnel advancement, technological flexibility, proficient communication, and adequate operational capability while upholding the quality and compliance vital for accredited training. The necessity for transformation is not merely economic; it pertains to Alpha's capacity to guarantee that its personnel and procedures continue to facilitate sustainable organisational growth. The </w:t>
      </w:r>
      <w:r w:rsidR="008D0937" w:rsidRPr="0053780F">
        <w:t>way</w:t>
      </w:r>
      <w:r w:rsidRPr="0053780F">
        <w:t xml:space="preserve"> stakeholders are guided through this transformation thus becomes pivotal to effective execution and serves as the emphasis of the subsequent section.</w:t>
      </w:r>
    </w:p>
    <w:p w14:paraId="51A0C43B" w14:textId="77777777" w:rsidR="00241901" w:rsidRPr="0053780F" w:rsidRDefault="00241901" w:rsidP="46F9D4E4">
      <w:pPr>
        <w:spacing w:before="240" w:after="240" w:line="360" w:lineRule="auto"/>
      </w:pPr>
    </w:p>
    <w:p w14:paraId="4C6BF655" w14:textId="647C686F" w:rsidR="5B726F16" w:rsidRPr="0053780F" w:rsidRDefault="5B726F16" w:rsidP="46F9D4E4">
      <w:pPr>
        <w:pStyle w:val="Heading1"/>
        <w:spacing w:line="360" w:lineRule="auto"/>
        <w:rPr>
          <w:rFonts w:asciiTheme="minorHAnsi" w:eastAsiaTheme="minorEastAsia" w:hAnsiTheme="minorHAnsi" w:cstheme="minorBidi"/>
        </w:rPr>
      </w:pPr>
      <w:bookmarkStart w:id="10" w:name="_Toc242610808"/>
      <w:r w:rsidRPr="0053780F">
        <w:rPr>
          <w:rFonts w:asciiTheme="minorHAnsi" w:eastAsiaTheme="minorEastAsia" w:hAnsiTheme="minorHAnsi" w:cstheme="minorBidi"/>
        </w:rPr>
        <w:t>Evaluate how organisational stakeholders can be efficiently led through complex workplace change.</w:t>
      </w:r>
      <w:bookmarkEnd w:id="10"/>
    </w:p>
    <w:p w14:paraId="4F525BE0" w14:textId="72DBF4D5" w:rsidR="5B726F16" w:rsidRPr="0053780F" w:rsidRDefault="5B726F16" w:rsidP="46F9D4E4">
      <w:pPr>
        <w:pStyle w:val="Heading2"/>
        <w:spacing w:line="360" w:lineRule="auto"/>
        <w:rPr>
          <w:rFonts w:asciiTheme="minorHAnsi" w:eastAsiaTheme="minorEastAsia" w:hAnsiTheme="minorHAnsi" w:cstheme="minorBidi"/>
        </w:rPr>
      </w:pPr>
      <w:bookmarkStart w:id="11" w:name="_Toc242610809"/>
      <w:r w:rsidRPr="0053780F">
        <w:rPr>
          <w:rFonts w:asciiTheme="minorHAnsi" w:eastAsiaTheme="minorEastAsia" w:hAnsiTheme="minorHAnsi" w:cstheme="minorBidi"/>
        </w:rPr>
        <w:t>Identifying Alpha Safety Training's Organisational Stakeholders</w:t>
      </w:r>
      <w:bookmarkEnd w:id="11"/>
    </w:p>
    <w:p w14:paraId="3F050F5E" w14:textId="483CAE63" w:rsidR="2DE646BF" w:rsidRPr="0053780F" w:rsidRDefault="2DE646BF" w:rsidP="46F9D4E4">
      <w:pPr>
        <w:spacing w:line="360" w:lineRule="auto"/>
      </w:pPr>
      <w:r w:rsidRPr="0053780F">
        <w:t>Successful organisational transformation necessitates an acknowledgement that stakeholders vary in their capacity to effect change and in the degree to which they are impacted by its results.</w:t>
      </w:r>
      <w:r w:rsidR="1693AA93" w:rsidRPr="0053780F">
        <w:t xml:space="preserve"> (Freeman, 2022) characterises stakeholders as entities or individuals that can influence, or are influenced by, the attainment of corporate goals. However, (Mitchell et al., 1997) argue that merely recognising stakeholders does not offer adequate direction for management, suggesting that the significance of stakeholders fluctuates based on power, legitimacy, and urgency. Their framework consequently offers a more fluid comprehension of stakeholder impact, as the </w:t>
      </w:r>
      <w:r w:rsidR="1693AA93" w:rsidRPr="0053780F">
        <w:lastRenderedPageBreak/>
        <w:t>importance assigned to specific factions may evolve during an organisational transformation.</w:t>
      </w:r>
    </w:p>
    <w:p w14:paraId="6556F89F" w14:textId="77E86442" w:rsidR="48899AEF" w:rsidRPr="0053780F" w:rsidRDefault="48899AEF" w:rsidP="46F9D4E4">
      <w:pPr>
        <w:spacing w:line="360" w:lineRule="auto"/>
      </w:pPr>
      <w:r w:rsidRPr="0053780F">
        <w:t xml:space="preserve">This differentiation is especially pertinent to Alpha Safety Training, as alterations in the workplace may impact managers, trainers, administrative staff, business development personnel, clients, corporate customers, and external accreditation or industry organisations in varied ways. A stakeholder power-interest analysis </w:t>
      </w:r>
      <w:r w:rsidRPr="0053780F">
        <w:rPr>
          <w:b/>
          <w:bCs/>
        </w:rPr>
        <w:t>(see to Appendix C)</w:t>
      </w:r>
      <w:r w:rsidRPr="0053780F">
        <w:t xml:space="preserve"> reveals that senior management and prominent accreditation or industry organisations necessitate careful oversight due to their capacity to affect strategic direction, compliance, and training delivery. Workers could hold diminished official authority inside the organi</w:t>
      </w:r>
      <w:r w:rsidR="0053780F">
        <w:t>s</w:t>
      </w:r>
      <w:r w:rsidRPr="0053780F">
        <w:t>ation yet exhibit significant interest in alterations at the workplace, as modifications to technology, processes, or service provision directly impact their responsibilities. Their impact should not be undervalued, especially as effective execution relies on individuals embracing new habits and work methodologies.</w:t>
      </w:r>
    </w:p>
    <w:p w14:paraId="297DA709" w14:textId="1D2D4DD5" w:rsidR="721DC326" w:rsidRPr="0053780F" w:rsidRDefault="721DC326" w:rsidP="46F9D4E4">
      <w:pPr>
        <w:spacing w:line="360" w:lineRule="auto"/>
      </w:pPr>
      <w:r w:rsidRPr="0053780F">
        <w:t>However, stakeholder analysis need not to culminate in inflexible classification. (Bryson, 2004) contends that recognising and analysing stakeholders can enhance strategic management, although underscores the necessity of choosing methods suited to the context instead of supposing a single strategy will resolve all stakeholder concerns. For Alpha, the goals of stakeholders might evolve as workplace transformations unfold; employees who first seek information may thereafter demand training and enhanced involvement, whereas consumers may have more influence as changes impact service provision. Thus, proficient leadership necessitates ongoing evaluation of stakeholders instead of singular categorisation, allowing for the modification of communication and engagement techniques during intricate transformations.</w:t>
      </w:r>
    </w:p>
    <w:p w14:paraId="0FDA4397" w14:textId="232C3D59" w:rsidR="46F9D4E4" w:rsidRPr="0053780F" w:rsidRDefault="46F9D4E4" w:rsidP="46F9D4E4">
      <w:pPr>
        <w:pStyle w:val="Heading3"/>
        <w:spacing w:line="360" w:lineRule="auto"/>
        <w:rPr>
          <w:rFonts w:eastAsiaTheme="minorEastAsia" w:cstheme="minorBidi"/>
        </w:rPr>
      </w:pPr>
    </w:p>
    <w:p w14:paraId="4B877BA8" w14:textId="46816558" w:rsidR="5F78D8C2" w:rsidRPr="0053780F" w:rsidRDefault="5F78D8C2" w:rsidP="46F9D4E4">
      <w:pPr>
        <w:pStyle w:val="Heading2"/>
        <w:spacing w:line="360" w:lineRule="auto"/>
        <w:rPr>
          <w:rFonts w:asciiTheme="minorHAnsi" w:eastAsiaTheme="minorEastAsia" w:hAnsiTheme="minorHAnsi" w:cstheme="minorBidi"/>
        </w:rPr>
      </w:pPr>
      <w:bookmarkStart w:id="12" w:name="_Toc242610810"/>
      <w:r w:rsidRPr="0053780F">
        <w:rPr>
          <w:rFonts w:asciiTheme="minorHAnsi" w:eastAsiaTheme="minorEastAsia" w:hAnsiTheme="minorHAnsi" w:cstheme="minorBidi"/>
        </w:rPr>
        <w:t>Leadership and Managing Complex Workplace Change</w:t>
      </w:r>
      <w:bookmarkEnd w:id="12"/>
    </w:p>
    <w:p w14:paraId="1E2074AB" w14:textId="2922C9EE" w:rsidR="51E9FEE4" w:rsidRPr="0053780F" w:rsidRDefault="51E9FEE4" w:rsidP="46F9D4E4">
      <w:pPr>
        <w:spacing w:line="360" w:lineRule="auto"/>
      </w:pPr>
      <w:r w:rsidRPr="0053780F">
        <w:t>Effective leadership is essential for navigating stakeholders through intricate organisational transformations, as execution demands more than merely instituting new procedures; stakeholders must comprehend the rationale behind the change and be prepared to modify ingrained behaviours. (Kotter, 1995</w:t>
      </w:r>
      <w:r w:rsidR="73C8EDF4" w:rsidRPr="0053780F">
        <w:t>a</w:t>
      </w:r>
      <w:r w:rsidRPr="0053780F">
        <w:t xml:space="preserve">) contends that effective transformation necessitates leaders foster a sense of urgency, construct a steering </w:t>
      </w:r>
      <w:r w:rsidRPr="0053780F">
        <w:lastRenderedPageBreak/>
        <w:t>coalition, articulate and disseminate a clear vision, enable action, accomplish short-term wins, and integrate change into the organisational culture. For Alpha Safety Training, this systematic method may prove advantageous when enacting modifications due to digitalisation, market expansion, or novel work practices. Formulating a coherent justification for change would allow employees to comprehend the impact of external pressures highlighted in the SWOT and PESTLE analyses on the organi</w:t>
      </w:r>
      <w:r w:rsidR="0053780F">
        <w:t>s</w:t>
      </w:r>
      <w:r w:rsidRPr="0053780F">
        <w:t>ation, while engaging key managers and staff in a guiding coalition could enhance ownership and mitigate feelings of imposed change.</w:t>
      </w:r>
    </w:p>
    <w:p w14:paraId="636D685C" w14:textId="2D6C78F2" w:rsidR="50AAB13A" w:rsidRPr="0053780F" w:rsidRDefault="50AAB13A" w:rsidP="46F9D4E4">
      <w:pPr>
        <w:spacing w:line="360" w:lineRule="auto"/>
      </w:pPr>
      <w:r w:rsidRPr="0053780F">
        <w:t>Nevertheless, Kotter's model ought not to be utilised without scrutiny. (Hughes, 2016) recognises Leading Change as a significant work in leadership and organisational transformation but critiques its current applicability and empirical basis, noting that Kotter's initial methodology was primarily based on his personal insights rather than rigorous academic research. Hughes asserts that while the model continues to wield influence, its prescriptive methodology may fall short in addressing the intricacies of modern organisational transformation.</w:t>
      </w:r>
      <w:r w:rsidR="7AC31152" w:rsidRPr="0053780F">
        <w:t xml:space="preserve"> This critique applies to Alpha since the environmental assessment suggests that change is expected to be ongoing rather than a singular evolution advancing in a predictable manner through successive phases. Leaders might need to modify their tempo and methodology based on stakeholder feedback instead than strictly adhering to established procedures.</w:t>
      </w:r>
    </w:p>
    <w:p w14:paraId="169FE04C" w14:textId="443F1485" w:rsidR="4ADA7014" w:rsidRPr="0053780F" w:rsidRDefault="4ADA7014" w:rsidP="46F9D4E4">
      <w:pPr>
        <w:spacing w:line="360" w:lineRule="auto"/>
      </w:pPr>
      <w:r w:rsidRPr="0053780F">
        <w:t>Leadership during transformation should therefore integrate organi</w:t>
      </w:r>
      <w:r w:rsidR="0053780F">
        <w:t>s</w:t>
      </w:r>
      <w:r w:rsidRPr="0053780F">
        <w:t>ation with stakeholder engagement. (Armenakis et al., 1993b) contend that the preparedness for change is shaped by the convictions of organisational members on the necessity of change and the organi</w:t>
      </w:r>
      <w:r w:rsidR="0053780F">
        <w:t>s</w:t>
      </w:r>
      <w:r w:rsidRPr="0053780F">
        <w:t xml:space="preserve">ation's ability to execute it. Submitting to Alpha, merely conveying management's resolution would hence be inadequate. Instructors, administrative personnel, and business development staff must comprehend the necessity for change, its implications for their positions, and the availability of sufficient training and resources. Thus, Kotter offers Alpha a valuable structure for establishing direction and momentum; </w:t>
      </w:r>
      <w:r w:rsidR="008D0937" w:rsidRPr="0053780F">
        <w:t>yet</w:t>
      </w:r>
      <w:r w:rsidRPr="0053780F">
        <w:t xml:space="preserve"> successful leadership necessitates a more adaptable and inclusive strategy that addresses stakeholder issues during execution. This is especially crucial when alterations impact established workflows, as employee buy-in may ultimately dictate whether organisational change is integrated or opposed.</w:t>
      </w:r>
    </w:p>
    <w:p w14:paraId="6978B1B8" w14:textId="70A44750" w:rsidR="46F9D4E4" w:rsidRPr="0053780F" w:rsidRDefault="46F9D4E4" w:rsidP="46F9D4E4">
      <w:pPr>
        <w:spacing w:line="360" w:lineRule="auto"/>
      </w:pPr>
    </w:p>
    <w:p w14:paraId="176497B6" w14:textId="0F21BC6F" w:rsidR="2644A753" w:rsidRPr="0053780F" w:rsidRDefault="2644A753" w:rsidP="46F9D4E4">
      <w:pPr>
        <w:pStyle w:val="Heading2"/>
        <w:spacing w:line="360" w:lineRule="auto"/>
        <w:rPr>
          <w:rFonts w:asciiTheme="minorHAnsi" w:eastAsiaTheme="minorEastAsia" w:hAnsiTheme="minorHAnsi" w:cstheme="minorBidi"/>
        </w:rPr>
      </w:pPr>
      <w:bookmarkStart w:id="13" w:name="_Toc242610811"/>
      <w:r w:rsidRPr="0053780F">
        <w:rPr>
          <w:rFonts w:asciiTheme="minorHAnsi" w:eastAsiaTheme="minorEastAsia" w:hAnsiTheme="minorHAnsi" w:cstheme="minorBidi"/>
        </w:rPr>
        <w:lastRenderedPageBreak/>
        <w:t>Resistance, Communication and Stakeholder Engagement During Change</w:t>
      </w:r>
      <w:bookmarkEnd w:id="13"/>
      <w:r w:rsidRPr="0053780F">
        <w:rPr>
          <w:rFonts w:asciiTheme="minorHAnsi" w:hAnsiTheme="minorHAnsi"/>
        </w:rPr>
        <w:tab/>
      </w:r>
    </w:p>
    <w:p w14:paraId="63FF6BE0" w14:textId="1A88BD2F" w:rsidR="70A1DDB6" w:rsidRPr="0053780F" w:rsidRDefault="70A1DDB6" w:rsidP="46F9D4E4">
      <w:pPr>
        <w:spacing w:line="360" w:lineRule="auto"/>
      </w:pPr>
      <w:r w:rsidRPr="0053780F">
        <w:t>Resistance is a considerable obstacle in managing intricate organisational transformations, since stakeholders may react variably based on the impact of change on their responsibilities, interests, and entrenched work habits. (Oreg, 2006) defines resistance as a multifaceted phenomenon, discovering that both personal traits and the organisational environment affect employees' perceptions of change, which in turn relate to outcomes such as organisational commitment and turnover intention. Alterations in digital systems, training methodologies, or administrative procedures at Alpha Safety Training may elicit varied reactions from trainers, administrative staff, and business development personnel. Leaders should therefore refrain from supposing that one communication strategy would satisfy the needs of all stakeholder groups.</w:t>
      </w:r>
      <w:r w:rsidR="17A96861" w:rsidRPr="0053780F">
        <w:t xml:space="preserve"> Crucially, resistance ought not to be reflexively construed as an issue pertaining to the employee. (Ford et al., 2008) contest conventional views that depict resistance as fundamentally maladaptive, positing that change leaders can inadvertently foster resistance through their behaviours or lack thereof, and that employee resistance can yield critical insights into deficiencies in the suggested change. Concerns about workload, training prerequisites, or the feasibility of new systems in relation to Alpha should be investigated rather than disregarded, since they may reveal authentic implementation issues.</w:t>
      </w:r>
      <w:r w:rsidR="54F542C7" w:rsidRPr="0053780F">
        <w:t xml:space="preserve"> </w:t>
      </w:r>
    </w:p>
    <w:p w14:paraId="6E99C72C" w14:textId="65B728F1" w:rsidR="54F542C7" w:rsidRPr="0053780F" w:rsidRDefault="54F542C7" w:rsidP="46F9D4E4">
      <w:pPr>
        <w:spacing w:line="360" w:lineRule="auto"/>
      </w:pPr>
      <w:r w:rsidRPr="0053780F">
        <w:t xml:space="preserve">Engagement could serve </w:t>
      </w:r>
      <w:r w:rsidR="57E688BA" w:rsidRPr="0053780F">
        <w:t>to</w:t>
      </w:r>
      <w:r w:rsidRPr="0053780F">
        <w:t xml:space="preserve"> tackle these issues. (Lines , 2004) identified a robust positive correlation between engagement in strategic transformation and both organisational commitment and the attainment of change objectives, as well as a negative correlation with resistance. Nonetheless, the research suggests that the impact of participation is affected by the alignment of change with corporate culture and individual employee objectives, implying that mere involvement does not ensure acceptance. Alpha's leaders shou</w:t>
      </w:r>
      <w:r w:rsidR="781AA844" w:rsidRPr="0053780F">
        <w:t>ld therefor</w:t>
      </w:r>
      <w:r w:rsidRPr="0053780F">
        <w:t xml:space="preserve"> merge transparent </w:t>
      </w:r>
      <w:r w:rsidR="5A753F3F" w:rsidRPr="0053780F">
        <w:t>two-way</w:t>
      </w:r>
      <w:r w:rsidRPr="0053780F">
        <w:t xml:space="preserve"> communication with significant employee engagement, elucidating the reasoning behind changes while aggressively integrating stakeholder insights and feedback. Successful engagement necessitates that leadership perceives opposition as both a source of understanding and a possible obstacle, allowing for the modification of change tactics while preserving the organi</w:t>
      </w:r>
      <w:r w:rsidR="0053780F">
        <w:t>s</w:t>
      </w:r>
      <w:r w:rsidRPr="0053780F">
        <w:t>ation's trajectory.</w:t>
      </w:r>
    </w:p>
    <w:p w14:paraId="3F716686" w14:textId="4D22C7AA" w:rsidR="46F9D4E4" w:rsidRPr="0053780F" w:rsidRDefault="46F9D4E4" w:rsidP="46F9D4E4">
      <w:pPr>
        <w:spacing w:line="360" w:lineRule="auto"/>
      </w:pPr>
    </w:p>
    <w:p w14:paraId="7C635CC7" w14:textId="17D31A94" w:rsidR="2644A753" w:rsidRPr="0053780F" w:rsidRDefault="2644A753" w:rsidP="46F9D4E4">
      <w:pPr>
        <w:pStyle w:val="Heading2"/>
        <w:spacing w:line="360" w:lineRule="auto"/>
        <w:rPr>
          <w:rFonts w:asciiTheme="minorHAnsi" w:eastAsiaTheme="minorEastAsia" w:hAnsiTheme="minorHAnsi" w:cstheme="minorBidi"/>
        </w:rPr>
      </w:pPr>
      <w:bookmarkStart w:id="14" w:name="_Toc242610812"/>
      <w:r w:rsidRPr="0053780F">
        <w:rPr>
          <w:rFonts w:asciiTheme="minorHAnsi" w:eastAsiaTheme="minorEastAsia" w:hAnsiTheme="minorHAnsi" w:cstheme="minorBidi"/>
        </w:rPr>
        <w:t>Motivation and the Behavioural Impact of Change</w:t>
      </w:r>
      <w:bookmarkEnd w:id="14"/>
    </w:p>
    <w:p w14:paraId="10420BA6" w14:textId="3F45CC6E" w:rsidR="36DA0BAA" w:rsidRPr="0053780F" w:rsidRDefault="36DA0BAA" w:rsidP="46F9D4E4">
      <w:pPr>
        <w:spacing w:line="360" w:lineRule="auto"/>
      </w:pPr>
      <w:r w:rsidRPr="0053780F">
        <w:t>Employee motivation is crucial during organisational transitions, as mere acceptance does not guarantee ongoing behavioural commitment. Self-determination theory differentiates many types of motivation and argues that autonomy, competence, and relatedness can foster more self-determined actions (Deci &amp; Ryan, 2000). This implies that Alpha should refrain from depending exclusively on managerial directives during the change implementation process. Equipping personnel with suitable training, avenues for contribution, and clear understanding of how change aligns with organisational goals may enhance both proficiency and accountability.</w:t>
      </w:r>
      <w:r w:rsidR="2625D827" w:rsidRPr="0053780F">
        <w:t xml:space="preserve"> </w:t>
      </w:r>
    </w:p>
    <w:p w14:paraId="401A6F7E" w14:textId="6339654D" w:rsidR="2625D827" w:rsidRPr="0053780F" w:rsidRDefault="2625D827" w:rsidP="46F9D4E4">
      <w:pPr>
        <w:spacing w:line="360" w:lineRule="auto"/>
      </w:pPr>
      <w:r w:rsidRPr="0053780F">
        <w:t>(Herscovitch &amp; Meyer, 2002) illustrate that dedication to change can stem from various motivations: employees might endorse change out of desire, due to perceived costs of resistance, or from a sense of obligation. This differentiation is crucial as adherence does not inherently signify authentic dedication. For Alpha, proficient leadership should prioritise garnering active employee endorsement above transient adherence. Through the integration of engagement, suitable training, and acknowledgement, leaders can motivate employees to perceive change as attainable and valuable, hence enhancing the probability that new behaviours will be sustained.</w:t>
      </w:r>
    </w:p>
    <w:p w14:paraId="45164AD0" w14:textId="028B1A17" w:rsidR="46F9D4E4" w:rsidRPr="0053780F" w:rsidRDefault="46F9D4E4" w:rsidP="46F9D4E4">
      <w:pPr>
        <w:spacing w:line="360" w:lineRule="auto"/>
      </w:pPr>
    </w:p>
    <w:p w14:paraId="02D95CF9" w14:textId="6542968A" w:rsidR="2644A753" w:rsidRPr="0053780F" w:rsidRDefault="2644A753" w:rsidP="46F9D4E4">
      <w:pPr>
        <w:pStyle w:val="Heading2"/>
        <w:spacing w:line="360" w:lineRule="auto"/>
        <w:rPr>
          <w:rFonts w:asciiTheme="minorHAnsi" w:eastAsiaTheme="minorEastAsia" w:hAnsiTheme="minorHAnsi" w:cstheme="minorBidi"/>
        </w:rPr>
      </w:pPr>
      <w:bookmarkStart w:id="15" w:name="_Toc242610813"/>
      <w:r w:rsidRPr="0053780F">
        <w:rPr>
          <w:rFonts w:asciiTheme="minorHAnsi" w:eastAsiaTheme="minorEastAsia" w:hAnsiTheme="minorHAnsi" w:cstheme="minorBidi"/>
        </w:rPr>
        <w:t>Sustaining and Embedding Complex Workplace Change</w:t>
      </w:r>
      <w:bookmarkEnd w:id="15"/>
    </w:p>
    <w:p w14:paraId="4B163CE5" w14:textId="25213C5F" w:rsidR="7139E573" w:rsidRPr="0053780F" w:rsidRDefault="7139E573" w:rsidP="46F9D4E4">
      <w:pPr>
        <w:spacing w:line="360" w:lineRule="auto"/>
      </w:pPr>
      <w:r w:rsidRPr="0053780F">
        <w:t>Accomplished deployment does not assure the continuity of workplace alterations. According to (Kotter, 1995b), it is essential for change to be integrated into the organisational culture to stop people from relapsing to old methods. Nevertheless, Alpha's previous environmental evaluation reveals that its operational context is in a constant state of flux, indicating that the incorporation of change ought not to produce another series of unyielding routines.</w:t>
      </w:r>
    </w:p>
    <w:p w14:paraId="1CEF04E6" w14:textId="6E795958" w:rsidR="7139E573" w:rsidRPr="0053780F" w:rsidRDefault="7139E573" w:rsidP="46F9D4E4">
      <w:pPr>
        <w:spacing w:line="360" w:lineRule="auto"/>
      </w:pPr>
      <w:r w:rsidRPr="0053780F">
        <w:t xml:space="preserve">To maintain change at Alpha, it is essential to incorporate continuous training, employee input, and oversight instead of viewing implementation as the conclusion of the process. This aligns with </w:t>
      </w:r>
      <w:r w:rsidR="153D9BF4" w:rsidRPr="0053780F">
        <w:t>(Weick &amp; Quinn, 1999c)</w:t>
      </w:r>
      <w:r w:rsidRPr="0053780F">
        <w:t xml:space="preserve"> perspective on perpetual change, wherein organisational adaptation is a continual process rather than a sporadic event. </w:t>
      </w:r>
      <w:r w:rsidRPr="0053780F">
        <w:lastRenderedPageBreak/>
        <w:t xml:space="preserve">Leaders </w:t>
      </w:r>
      <w:r w:rsidR="33FA50E5" w:rsidRPr="0053780F">
        <w:t>must</w:t>
      </w:r>
      <w:r w:rsidRPr="0053780F">
        <w:t xml:space="preserve"> assess if novel techniques enhance service quality, personnel proficiency, and customer satisfaction while addressing stakeholder issues. Thus, proficient change leadership at Alpha necessitates a harmonious blend of bolstering successful new practices while maintaining adequate adaptability to address forthcoming technical, regulatory, and market shifts.</w:t>
      </w:r>
    </w:p>
    <w:p w14:paraId="4C70C840" w14:textId="1CC8BBCB" w:rsidR="19B84988" w:rsidRPr="0053780F" w:rsidRDefault="19B84988" w:rsidP="46F9D4E4">
      <w:pPr>
        <w:pStyle w:val="Heading1"/>
        <w:spacing w:line="360" w:lineRule="auto"/>
        <w:rPr>
          <w:rFonts w:asciiTheme="minorHAnsi" w:eastAsiaTheme="minorEastAsia" w:hAnsiTheme="minorHAnsi" w:cstheme="minorBidi"/>
        </w:rPr>
      </w:pPr>
      <w:bookmarkStart w:id="16" w:name="_Toc242610814"/>
      <w:r w:rsidRPr="0053780F">
        <w:rPr>
          <w:rFonts w:asciiTheme="minorHAnsi" w:eastAsiaTheme="minorEastAsia" w:hAnsiTheme="minorHAnsi" w:cstheme="minorBidi"/>
        </w:rPr>
        <w:t>Conclusion</w:t>
      </w:r>
      <w:bookmarkEnd w:id="16"/>
    </w:p>
    <w:p w14:paraId="2C19DCDA" w14:textId="5796F0C6" w:rsidR="3AA50A33" w:rsidRPr="0053780F" w:rsidRDefault="3AA50A33" w:rsidP="46F9D4E4">
      <w:pPr>
        <w:spacing w:line="360" w:lineRule="auto"/>
      </w:pPr>
      <w:r w:rsidRPr="0053780F">
        <w:t>In summary, Alpha Safety Training encounters persistent technological, regulatory, competitive, and workforce challenges necessitating organisational adjustment. Its capacity to react proficiently hinges on the synchronisation of employee competencies and organisational culture with these evolving requirements. The examination reveals that effective transformation necessitates the proper engagement, support, and motivation of stakeholders, rather than solely relying on management directives. Alpha must thus integrate decisive leadership with staff engagement, effective communication, and growth, while maintaining adequate adaptability to address forthcoming environmental shifts.</w:t>
      </w:r>
    </w:p>
    <w:p w14:paraId="674DFEB2" w14:textId="5310B3C0" w:rsidR="46F9D4E4" w:rsidRPr="0053780F" w:rsidRDefault="46F9D4E4" w:rsidP="46F9D4E4"/>
    <w:p w14:paraId="5CCFE73F" w14:textId="7D30375A" w:rsidR="46F9D4E4" w:rsidRPr="0053780F" w:rsidRDefault="46F9D4E4" w:rsidP="46F9D4E4"/>
    <w:p w14:paraId="0E84CEBB" w14:textId="1FF8313E" w:rsidR="46F9D4E4" w:rsidRPr="0053780F" w:rsidRDefault="46F9D4E4" w:rsidP="46F9D4E4"/>
    <w:p w14:paraId="06BB245A" w14:textId="1EF510B5" w:rsidR="46F9D4E4" w:rsidRPr="0053780F" w:rsidRDefault="46F9D4E4" w:rsidP="46F9D4E4"/>
    <w:p w14:paraId="4CD3DCE1" w14:textId="736AE6C7" w:rsidR="46F9D4E4" w:rsidRPr="0053780F" w:rsidRDefault="46F9D4E4" w:rsidP="46F9D4E4"/>
    <w:p w14:paraId="25AAA40E" w14:textId="76A9F974" w:rsidR="46F9D4E4" w:rsidRPr="0053780F" w:rsidRDefault="46F9D4E4" w:rsidP="46F9D4E4"/>
    <w:p w14:paraId="61A11283" w14:textId="4DE9142C" w:rsidR="46F9D4E4" w:rsidRPr="0053780F" w:rsidRDefault="46F9D4E4" w:rsidP="46F9D4E4"/>
    <w:p w14:paraId="4B6591F7" w14:textId="1A29BEB7" w:rsidR="46F9D4E4" w:rsidRPr="0053780F" w:rsidRDefault="46F9D4E4" w:rsidP="46F9D4E4"/>
    <w:p w14:paraId="08C43BF3" w14:textId="142BDE53" w:rsidR="46F9D4E4" w:rsidRPr="0053780F" w:rsidRDefault="46F9D4E4" w:rsidP="46F9D4E4"/>
    <w:p w14:paraId="4276CC5B" w14:textId="0BADA82D" w:rsidR="46F9D4E4" w:rsidRPr="0053780F" w:rsidRDefault="46F9D4E4" w:rsidP="46F9D4E4"/>
    <w:p w14:paraId="2CB6F757" w14:textId="3B4505E2" w:rsidR="46F9D4E4" w:rsidRPr="0053780F" w:rsidRDefault="46F9D4E4" w:rsidP="46F9D4E4"/>
    <w:p w14:paraId="3C208EE5" w14:textId="3DCC98F6" w:rsidR="46F9D4E4" w:rsidRPr="0053780F" w:rsidRDefault="46F9D4E4" w:rsidP="46F9D4E4"/>
    <w:p w14:paraId="123E4CBD" w14:textId="426F52A1" w:rsidR="46F9D4E4" w:rsidRPr="0053780F" w:rsidRDefault="46F9D4E4" w:rsidP="46F9D4E4"/>
    <w:p w14:paraId="0B95D91F" w14:textId="28455FDF" w:rsidR="46F9D4E4" w:rsidRPr="0053780F" w:rsidRDefault="46F9D4E4" w:rsidP="46F9D4E4"/>
    <w:p w14:paraId="46FCD833" w14:textId="70147D75" w:rsidR="6B145540" w:rsidRPr="0053780F" w:rsidRDefault="6B145540" w:rsidP="46F9D4E4">
      <w:pPr>
        <w:pStyle w:val="Heading1"/>
        <w:rPr>
          <w:rFonts w:asciiTheme="minorHAnsi" w:hAnsiTheme="minorHAnsi"/>
        </w:rPr>
      </w:pPr>
      <w:bookmarkStart w:id="17" w:name="_Toc242610815"/>
      <w:r w:rsidRPr="0053780F">
        <w:rPr>
          <w:rFonts w:asciiTheme="minorHAnsi" w:hAnsiTheme="minorHAnsi"/>
        </w:rPr>
        <w:lastRenderedPageBreak/>
        <w:t>References</w:t>
      </w:r>
      <w:bookmarkEnd w:id="17"/>
    </w:p>
    <w:p w14:paraId="52B53888" w14:textId="45C721B7"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Armenakis, A. A., Harris, S. G., &amp; Mossholder, K. W. (1993a). Creating readiness for organizational change. </w:t>
      </w:r>
      <w:r w:rsidRPr="0053780F">
        <w:rPr>
          <w:rFonts w:eastAsia="Times New Roman" w:cs="Times New Roman"/>
          <w:i/>
          <w:iCs/>
          <w:sz w:val="20"/>
          <w:szCs w:val="20"/>
        </w:rPr>
        <w:t>Human Relations</w:t>
      </w:r>
      <w:r w:rsidRPr="0053780F">
        <w:rPr>
          <w:rFonts w:eastAsia="Times New Roman" w:cs="Times New Roman"/>
          <w:sz w:val="20"/>
          <w:szCs w:val="20"/>
        </w:rPr>
        <w:t xml:space="preserve">, </w:t>
      </w:r>
      <w:r w:rsidRPr="0053780F">
        <w:rPr>
          <w:rFonts w:eastAsia="Times New Roman" w:cs="Times New Roman"/>
          <w:i/>
          <w:iCs/>
          <w:sz w:val="20"/>
          <w:szCs w:val="20"/>
        </w:rPr>
        <w:t>46</w:t>
      </w:r>
      <w:r w:rsidRPr="0053780F">
        <w:rPr>
          <w:rFonts w:eastAsia="Times New Roman" w:cs="Times New Roman"/>
          <w:sz w:val="20"/>
          <w:szCs w:val="20"/>
        </w:rPr>
        <w:t xml:space="preserve">(6), 681–703. </w:t>
      </w:r>
      <w:hyperlink r:id="rId8">
        <w:r w:rsidRPr="0053780F">
          <w:rPr>
            <w:rStyle w:val="Hyperlink"/>
            <w:sz w:val="20"/>
            <w:szCs w:val="20"/>
          </w:rPr>
          <w:t>https://doi.org/https://doi.org/10.1177/001872679304600601</w:t>
        </w:r>
      </w:hyperlink>
    </w:p>
    <w:p w14:paraId="169AE972" w14:textId="31D2BBCA"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Armenakis, A. A., Harris, S. G., &amp; Mossholder, K. W. (1993b). Creating readiness for organizational change. </w:t>
      </w:r>
      <w:r w:rsidRPr="0053780F">
        <w:rPr>
          <w:rFonts w:eastAsia="Times New Roman" w:cs="Times New Roman"/>
          <w:i/>
          <w:iCs/>
          <w:sz w:val="20"/>
          <w:szCs w:val="20"/>
        </w:rPr>
        <w:t>Human Relations</w:t>
      </w:r>
      <w:r w:rsidRPr="0053780F">
        <w:rPr>
          <w:rFonts w:eastAsia="Times New Roman" w:cs="Times New Roman"/>
          <w:sz w:val="20"/>
          <w:szCs w:val="20"/>
        </w:rPr>
        <w:t xml:space="preserve">, </w:t>
      </w:r>
      <w:r w:rsidRPr="0053780F">
        <w:rPr>
          <w:rFonts w:eastAsia="Times New Roman" w:cs="Times New Roman"/>
          <w:i/>
          <w:iCs/>
          <w:sz w:val="20"/>
          <w:szCs w:val="20"/>
        </w:rPr>
        <w:t>46</w:t>
      </w:r>
      <w:r w:rsidRPr="0053780F">
        <w:rPr>
          <w:rFonts w:eastAsia="Times New Roman" w:cs="Times New Roman"/>
          <w:sz w:val="20"/>
          <w:szCs w:val="20"/>
        </w:rPr>
        <w:t xml:space="preserve">(6), 681–703. </w:t>
      </w:r>
      <w:hyperlink r:id="rId9">
        <w:r w:rsidRPr="0053780F">
          <w:rPr>
            <w:rStyle w:val="Hyperlink"/>
            <w:sz w:val="20"/>
            <w:szCs w:val="20"/>
          </w:rPr>
          <w:t>https://doi.org/https://doi.org/10.1177/001872679304600601</w:t>
        </w:r>
      </w:hyperlink>
    </w:p>
    <w:p w14:paraId="79028CDC" w14:textId="5CA5453E"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Bryson, J. M. (2004). What to do when stakeholders matter. </w:t>
      </w:r>
      <w:r w:rsidRPr="0053780F">
        <w:rPr>
          <w:rFonts w:eastAsia="Times New Roman" w:cs="Times New Roman"/>
          <w:i/>
          <w:iCs/>
          <w:sz w:val="20"/>
          <w:szCs w:val="20"/>
        </w:rPr>
        <w:t>Public Management Review</w:t>
      </w:r>
      <w:r w:rsidRPr="0053780F">
        <w:rPr>
          <w:rFonts w:eastAsia="Times New Roman" w:cs="Times New Roman"/>
          <w:sz w:val="20"/>
          <w:szCs w:val="20"/>
        </w:rPr>
        <w:t xml:space="preserve">, </w:t>
      </w:r>
      <w:r w:rsidRPr="0053780F">
        <w:rPr>
          <w:rFonts w:eastAsia="Times New Roman" w:cs="Times New Roman"/>
          <w:i/>
          <w:iCs/>
          <w:sz w:val="20"/>
          <w:szCs w:val="20"/>
        </w:rPr>
        <w:t>6</w:t>
      </w:r>
      <w:r w:rsidRPr="0053780F">
        <w:rPr>
          <w:rFonts w:eastAsia="Times New Roman" w:cs="Times New Roman"/>
          <w:sz w:val="20"/>
          <w:szCs w:val="20"/>
        </w:rPr>
        <w:t xml:space="preserve">(1), 21–53. </w:t>
      </w:r>
      <w:hyperlink r:id="rId10">
        <w:r w:rsidRPr="0053780F">
          <w:rPr>
            <w:rStyle w:val="Hyperlink"/>
            <w:sz w:val="20"/>
            <w:szCs w:val="20"/>
          </w:rPr>
          <w:t>https://doi.org/10.1080/14719030410001675722</w:t>
        </w:r>
      </w:hyperlink>
    </w:p>
    <w:p w14:paraId="5AE72817" w14:textId="42351313"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Burnes, B. (2004). Kurt Lewin and the planned approach to change: A re-appraisal. </w:t>
      </w:r>
      <w:r w:rsidRPr="0053780F">
        <w:rPr>
          <w:rFonts w:eastAsia="Times New Roman" w:cs="Times New Roman"/>
          <w:i/>
          <w:iCs/>
          <w:sz w:val="20"/>
          <w:szCs w:val="20"/>
        </w:rPr>
        <w:t>Journal of Management Studies</w:t>
      </w:r>
      <w:r w:rsidRPr="0053780F">
        <w:rPr>
          <w:rFonts w:eastAsia="Times New Roman" w:cs="Times New Roman"/>
          <w:sz w:val="20"/>
          <w:szCs w:val="20"/>
        </w:rPr>
        <w:t xml:space="preserve">, </w:t>
      </w:r>
      <w:r w:rsidRPr="0053780F">
        <w:rPr>
          <w:rFonts w:eastAsia="Times New Roman" w:cs="Times New Roman"/>
          <w:i/>
          <w:iCs/>
          <w:sz w:val="20"/>
          <w:szCs w:val="20"/>
        </w:rPr>
        <w:t>41</w:t>
      </w:r>
      <w:r w:rsidRPr="0053780F">
        <w:rPr>
          <w:rFonts w:eastAsia="Times New Roman" w:cs="Times New Roman"/>
          <w:sz w:val="20"/>
          <w:szCs w:val="20"/>
        </w:rPr>
        <w:t xml:space="preserve">(6), 977–1002. </w:t>
      </w:r>
      <w:hyperlink r:id="rId11">
        <w:r w:rsidRPr="0053780F">
          <w:rPr>
            <w:rStyle w:val="Hyperlink"/>
            <w:sz w:val="20"/>
            <w:szCs w:val="20"/>
          </w:rPr>
          <w:t>https://doi.org/10.1111/j.1467-6486.2004.00463.x</w:t>
        </w:r>
      </w:hyperlink>
    </w:p>
    <w:p w14:paraId="10437809" w14:textId="0A5D42E0" w:rsidR="6B145540" w:rsidRPr="0053780F" w:rsidRDefault="6B145540" w:rsidP="46F9D4E4">
      <w:pPr>
        <w:spacing w:after="0" w:line="240" w:lineRule="auto"/>
        <w:ind w:left="720" w:hanging="720"/>
        <w:rPr>
          <w:rFonts w:eastAsia="Times New Roman" w:cs="Times New Roman"/>
          <w:sz w:val="20"/>
          <w:szCs w:val="20"/>
        </w:rPr>
      </w:pPr>
      <w:r w:rsidRPr="0053780F">
        <w:rPr>
          <w:rFonts w:eastAsia="Times New Roman" w:cs="Times New Roman"/>
          <w:sz w:val="20"/>
          <w:szCs w:val="20"/>
        </w:rPr>
        <w:t xml:space="preserve">CITB HSE. (2026). The Construction Workforce Outlook. In </w:t>
      </w:r>
      <w:r w:rsidRPr="0053780F">
        <w:rPr>
          <w:rFonts w:eastAsia="Times New Roman" w:cs="Times New Roman"/>
          <w:i/>
          <w:iCs/>
          <w:sz w:val="20"/>
          <w:szCs w:val="20"/>
        </w:rPr>
        <w:t>CITB</w:t>
      </w:r>
      <w:r w:rsidRPr="0053780F">
        <w:rPr>
          <w:rFonts w:eastAsia="Times New Roman" w:cs="Times New Roman"/>
          <w:sz w:val="20"/>
          <w:szCs w:val="20"/>
        </w:rPr>
        <w:t xml:space="preserve">. </w:t>
      </w:r>
      <w:hyperlink r:id="rId12">
        <w:r w:rsidRPr="0053780F">
          <w:rPr>
            <w:rStyle w:val="Hyperlink"/>
            <w:sz w:val="20"/>
            <w:szCs w:val="20"/>
          </w:rPr>
          <w:t>https://www.citb.co.uk/cwo/reports/cwo_report_wales_english.pdf</w:t>
        </w:r>
      </w:hyperlink>
      <w:r w:rsidRPr="0053780F">
        <w:rPr>
          <w:rFonts w:eastAsia="Times New Roman" w:cs="Times New Roman"/>
          <w:sz w:val="20"/>
          <w:szCs w:val="20"/>
        </w:rPr>
        <w:t>?</w:t>
      </w:r>
    </w:p>
    <w:p w14:paraId="1100ED0E" w14:textId="437BF4F5"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Coman, A., &amp; Ronen, B. (2009). Focused SWOT: Diagnosing critical strengths and weaknesses. </w:t>
      </w:r>
      <w:r w:rsidRPr="0053780F">
        <w:rPr>
          <w:rFonts w:eastAsia="Times New Roman" w:cs="Times New Roman"/>
          <w:i/>
          <w:iCs/>
          <w:sz w:val="20"/>
          <w:szCs w:val="20"/>
        </w:rPr>
        <w:t>International Journal of Production Research</w:t>
      </w:r>
      <w:r w:rsidRPr="0053780F">
        <w:rPr>
          <w:rFonts w:eastAsia="Times New Roman" w:cs="Times New Roman"/>
          <w:sz w:val="20"/>
          <w:szCs w:val="20"/>
        </w:rPr>
        <w:t xml:space="preserve">, </w:t>
      </w:r>
      <w:r w:rsidRPr="0053780F">
        <w:rPr>
          <w:rFonts w:eastAsia="Times New Roman" w:cs="Times New Roman"/>
          <w:i/>
          <w:iCs/>
          <w:sz w:val="20"/>
          <w:szCs w:val="20"/>
        </w:rPr>
        <w:t>47</w:t>
      </w:r>
      <w:r w:rsidRPr="0053780F">
        <w:rPr>
          <w:rFonts w:eastAsia="Times New Roman" w:cs="Times New Roman"/>
          <w:sz w:val="20"/>
          <w:szCs w:val="20"/>
        </w:rPr>
        <w:t xml:space="preserve">(20), 5677–5689. </w:t>
      </w:r>
      <w:hyperlink r:id="rId13">
        <w:r w:rsidRPr="0053780F">
          <w:rPr>
            <w:rStyle w:val="Hyperlink"/>
            <w:sz w:val="20"/>
            <w:szCs w:val="20"/>
          </w:rPr>
          <w:t>https://doi.org/10.1080/00207540802146130</w:t>
        </w:r>
      </w:hyperlink>
    </w:p>
    <w:p w14:paraId="77CBE89F" w14:textId="29E318E3"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Deci, E. L., &amp; Ryan, R. M. (2000). Commentaries on ‘the ‘what’ and ‘why’ of goal pursuits: Human needs and the self-determination of behavior’. </w:t>
      </w:r>
      <w:r w:rsidRPr="0053780F">
        <w:rPr>
          <w:rFonts w:eastAsia="Times New Roman" w:cs="Times New Roman"/>
          <w:i/>
          <w:iCs/>
          <w:sz w:val="20"/>
          <w:szCs w:val="20"/>
        </w:rPr>
        <w:t>Psychological Inquiry</w:t>
      </w:r>
      <w:r w:rsidRPr="0053780F">
        <w:rPr>
          <w:rFonts w:eastAsia="Times New Roman" w:cs="Times New Roman"/>
          <w:sz w:val="20"/>
          <w:szCs w:val="20"/>
        </w:rPr>
        <w:t xml:space="preserve">, </w:t>
      </w:r>
      <w:r w:rsidRPr="0053780F">
        <w:rPr>
          <w:rFonts w:eastAsia="Times New Roman" w:cs="Times New Roman"/>
          <w:i/>
          <w:iCs/>
          <w:sz w:val="20"/>
          <w:szCs w:val="20"/>
        </w:rPr>
        <w:t>11</w:t>
      </w:r>
      <w:r w:rsidRPr="0053780F">
        <w:rPr>
          <w:rFonts w:eastAsia="Times New Roman" w:cs="Times New Roman"/>
          <w:sz w:val="20"/>
          <w:szCs w:val="20"/>
        </w:rPr>
        <w:t xml:space="preserve">(4), 227–268. </w:t>
      </w:r>
      <w:hyperlink r:id="rId14">
        <w:r w:rsidRPr="0053780F">
          <w:rPr>
            <w:rStyle w:val="Hyperlink"/>
            <w:sz w:val="20"/>
            <w:szCs w:val="20"/>
          </w:rPr>
          <w:t>https://www-tandfonline-com.uwtsd.idm.oclc.org/doi/pdf/10.1207/S15327965PLI1104_01?needAccess=true</w:t>
        </w:r>
      </w:hyperlink>
    </w:p>
    <w:p w14:paraId="7C2B3752" w14:textId="24270B20"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Denison, D. R., &amp; Mishra, A. K. (1995a). Toward a theory of organizational culture and effectiveness. </w:t>
      </w:r>
      <w:r w:rsidRPr="0053780F">
        <w:rPr>
          <w:rFonts w:eastAsia="Times New Roman" w:cs="Times New Roman"/>
          <w:i/>
          <w:iCs/>
          <w:sz w:val="20"/>
          <w:szCs w:val="20"/>
        </w:rPr>
        <w:t>Organization Science</w:t>
      </w:r>
      <w:r w:rsidRPr="0053780F">
        <w:rPr>
          <w:rFonts w:eastAsia="Times New Roman" w:cs="Times New Roman"/>
          <w:sz w:val="20"/>
          <w:szCs w:val="20"/>
        </w:rPr>
        <w:t xml:space="preserve">, </w:t>
      </w:r>
      <w:r w:rsidRPr="0053780F">
        <w:rPr>
          <w:rFonts w:eastAsia="Times New Roman" w:cs="Times New Roman"/>
          <w:i/>
          <w:iCs/>
          <w:sz w:val="20"/>
          <w:szCs w:val="20"/>
        </w:rPr>
        <w:t>6</w:t>
      </w:r>
      <w:r w:rsidRPr="0053780F">
        <w:rPr>
          <w:rFonts w:eastAsia="Times New Roman" w:cs="Times New Roman"/>
          <w:sz w:val="20"/>
          <w:szCs w:val="20"/>
        </w:rPr>
        <w:t xml:space="preserve">(2), 204–223. </w:t>
      </w:r>
      <w:hyperlink r:id="rId15">
        <w:r w:rsidRPr="0053780F">
          <w:rPr>
            <w:rStyle w:val="Hyperlink"/>
            <w:sz w:val="20"/>
            <w:szCs w:val="20"/>
          </w:rPr>
          <w:t>https://doi.org/https://doi.org/10.1287/orsc.6.2.204</w:t>
        </w:r>
      </w:hyperlink>
    </w:p>
    <w:p w14:paraId="34F70632" w14:textId="237D8B61"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Denison, D. R., &amp; Mishra, A. K. (1995b). Toward a theory of organizational culture and effectiveness. </w:t>
      </w:r>
      <w:r w:rsidRPr="0053780F">
        <w:rPr>
          <w:rFonts w:eastAsia="Times New Roman" w:cs="Times New Roman"/>
          <w:i/>
          <w:iCs/>
          <w:sz w:val="20"/>
          <w:szCs w:val="20"/>
        </w:rPr>
        <w:t>Organization Science</w:t>
      </w:r>
      <w:r w:rsidRPr="0053780F">
        <w:rPr>
          <w:rFonts w:eastAsia="Times New Roman" w:cs="Times New Roman"/>
          <w:sz w:val="20"/>
          <w:szCs w:val="20"/>
        </w:rPr>
        <w:t xml:space="preserve">, </w:t>
      </w:r>
      <w:r w:rsidRPr="0053780F">
        <w:rPr>
          <w:rFonts w:eastAsia="Times New Roman" w:cs="Times New Roman"/>
          <w:i/>
          <w:iCs/>
          <w:sz w:val="20"/>
          <w:szCs w:val="20"/>
        </w:rPr>
        <w:t>6</w:t>
      </w:r>
      <w:r w:rsidRPr="0053780F">
        <w:rPr>
          <w:rFonts w:eastAsia="Times New Roman" w:cs="Times New Roman"/>
          <w:sz w:val="20"/>
          <w:szCs w:val="20"/>
        </w:rPr>
        <w:t xml:space="preserve">(2), 204–223. </w:t>
      </w:r>
      <w:hyperlink r:id="rId16">
        <w:r w:rsidRPr="0053780F">
          <w:rPr>
            <w:rStyle w:val="Hyperlink"/>
            <w:sz w:val="20"/>
            <w:szCs w:val="20"/>
          </w:rPr>
          <w:t>https://doi.org/https://doi.org/10.1287/orsc.6.2.204</w:t>
        </w:r>
      </w:hyperlink>
    </w:p>
    <w:p w14:paraId="4570E2CB" w14:textId="57443811"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Eisenhardt, K. M., &amp; Martin, J. A. (2000). Dynamic capabilities: What are they? </w:t>
      </w:r>
      <w:r w:rsidRPr="0053780F">
        <w:rPr>
          <w:rFonts w:eastAsia="Times New Roman" w:cs="Times New Roman"/>
          <w:i/>
          <w:iCs/>
          <w:sz w:val="20"/>
          <w:szCs w:val="20"/>
        </w:rPr>
        <w:t>Strategic Management Journal</w:t>
      </w:r>
      <w:r w:rsidRPr="0053780F">
        <w:rPr>
          <w:rFonts w:eastAsia="Times New Roman" w:cs="Times New Roman"/>
          <w:sz w:val="20"/>
          <w:szCs w:val="20"/>
        </w:rPr>
        <w:t xml:space="preserve">, </w:t>
      </w:r>
      <w:r w:rsidRPr="0053780F">
        <w:rPr>
          <w:rFonts w:eastAsia="Times New Roman" w:cs="Times New Roman"/>
          <w:i/>
          <w:iCs/>
          <w:sz w:val="20"/>
          <w:szCs w:val="20"/>
        </w:rPr>
        <w:t>21</w:t>
      </w:r>
      <w:r w:rsidRPr="0053780F">
        <w:rPr>
          <w:rFonts w:eastAsia="Times New Roman" w:cs="Times New Roman"/>
          <w:sz w:val="20"/>
          <w:szCs w:val="20"/>
        </w:rPr>
        <w:t xml:space="preserve">(10–11), 1105–1121. </w:t>
      </w:r>
      <w:hyperlink r:id="rId17">
        <w:r w:rsidRPr="0053780F">
          <w:rPr>
            <w:rStyle w:val="Hyperlink"/>
            <w:sz w:val="20"/>
            <w:szCs w:val="20"/>
          </w:rPr>
          <w:t>https://doi.org/https://doi.org/10.1002/1097-0266(200010/11)21:10/11%3C1105::AID-SMJ133%3E3.0.CO;2-E</w:t>
        </w:r>
      </w:hyperlink>
    </w:p>
    <w:p w14:paraId="2A607737" w14:textId="6F72C0B4"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Ford, J. D., Ford, L. W., &amp; D’Amelio, A. (2008). Resistance to change: The rest of the story. </w:t>
      </w:r>
      <w:r w:rsidRPr="0053780F">
        <w:rPr>
          <w:rFonts w:eastAsia="Times New Roman" w:cs="Times New Roman"/>
          <w:i/>
          <w:iCs/>
          <w:sz w:val="20"/>
          <w:szCs w:val="20"/>
        </w:rPr>
        <w:t>Academy of Management Review</w:t>
      </w:r>
      <w:r w:rsidRPr="0053780F">
        <w:rPr>
          <w:rFonts w:eastAsia="Times New Roman" w:cs="Times New Roman"/>
          <w:sz w:val="20"/>
          <w:szCs w:val="20"/>
        </w:rPr>
        <w:t xml:space="preserve">, </w:t>
      </w:r>
      <w:r w:rsidRPr="0053780F">
        <w:rPr>
          <w:rFonts w:eastAsia="Times New Roman" w:cs="Times New Roman"/>
          <w:i/>
          <w:iCs/>
          <w:sz w:val="20"/>
          <w:szCs w:val="20"/>
        </w:rPr>
        <w:t>33</w:t>
      </w:r>
      <w:r w:rsidRPr="0053780F">
        <w:rPr>
          <w:rFonts w:eastAsia="Times New Roman" w:cs="Times New Roman"/>
          <w:sz w:val="20"/>
          <w:szCs w:val="20"/>
        </w:rPr>
        <w:t xml:space="preserve">(2), 362–377. </w:t>
      </w:r>
      <w:hyperlink r:id="rId18">
        <w:r w:rsidRPr="0053780F">
          <w:rPr>
            <w:rStyle w:val="Hyperlink"/>
            <w:sz w:val="20"/>
            <w:szCs w:val="20"/>
          </w:rPr>
          <w:t>https://research-ebsco-com.uwtsd.idm.oclc.org/c/onvpsy/viewer/pdf/cgbsf2zilv?route=details</w:t>
        </w:r>
      </w:hyperlink>
    </w:p>
    <w:p w14:paraId="44B5E46A" w14:textId="388C8E2A"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Freeman, R. E. (2022). My own book review. Strategic management: A stakeholder approach. </w:t>
      </w:r>
      <w:r w:rsidRPr="0053780F">
        <w:rPr>
          <w:rFonts w:eastAsia="Times New Roman" w:cs="Times New Roman"/>
          <w:i/>
          <w:iCs/>
          <w:sz w:val="20"/>
          <w:szCs w:val="20"/>
        </w:rPr>
        <w:t>M@N@Gement</w:t>
      </w:r>
      <w:r w:rsidRPr="0053780F">
        <w:rPr>
          <w:rFonts w:eastAsia="Times New Roman" w:cs="Times New Roman"/>
          <w:sz w:val="20"/>
          <w:szCs w:val="20"/>
        </w:rPr>
        <w:t xml:space="preserve">, </w:t>
      </w:r>
      <w:r w:rsidRPr="0053780F">
        <w:rPr>
          <w:rFonts w:eastAsia="Times New Roman" w:cs="Times New Roman"/>
          <w:i/>
          <w:iCs/>
          <w:sz w:val="20"/>
          <w:szCs w:val="20"/>
        </w:rPr>
        <w:t>25</w:t>
      </w:r>
      <w:r w:rsidRPr="0053780F">
        <w:rPr>
          <w:rFonts w:eastAsia="Times New Roman" w:cs="Times New Roman"/>
          <w:sz w:val="20"/>
          <w:szCs w:val="20"/>
        </w:rPr>
        <w:t xml:space="preserve">(1). </w:t>
      </w:r>
      <w:hyperlink r:id="rId19">
        <w:r w:rsidRPr="0053780F">
          <w:rPr>
            <w:rStyle w:val="Hyperlink"/>
            <w:sz w:val="20"/>
            <w:szCs w:val="20"/>
          </w:rPr>
          <w:t>https://doi.org/10.37725/mgmt.v25.8519</w:t>
        </w:r>
      </w:hyperlink>
    </w:p>
    <w:p w14:paraId="448B7E15" w14:textId="53346FAA"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Gurel, E., &amp; Tat, M. (2017). SWOT analysis: A theoretical review. </w:t>
      </w:r>
      <w:r w:rsidRPr="0053780F">
        <w:rPr>
          <w:rFonts w:eastAsia="Times New Roman" w:cs="Times New Roman"/>
          <w:i/>
          <w:iCs/>
          <w:sz w:val="20"/>
          <w:szCs w:val="20"/>
        </w:rPr>
        <w:t>Journal of International Social Research</w:t>
      </w:r>
      <w:r w:rsidRPr="0053780F">
        <w:rPr>
          <w:rFonts w:eastAsia="Times New Roman" w:cs="Times New Roman"/>
          <w:sz w:val="20"/>
          <w:szCs w:val="20"/>
        </w:rPr>
        <w:t xml:space="preserve">, </w:t>
      </w:r>
      <w:r w:rsidRPr="0053780F">
        <w:rPr>
          <w:rFonts w:eastAsia="Times New Roman" w:cs="Times New Roman"/>
          <w:i/>
          <w:iCs/>
          <w:sz w:val="20"/>
          <w:szCs w:val="20"/>
        </w:rPr>
        <w:t>10</w:t>
      </w:r>
      <w:r w:rsidRPr="0053780F">
        <w:rPr>
          <w:rFonts w:eastAsia="Times New Roman" w:cs="Times New Roman"/>
          <w:sz w:val="20"/>
          <w:szCs w:val="20"/>
        </w:rPr>
        <w:t xml:space="preserve">(51), 994–1006. </w:t>
      </w:r>
      <w:hyperlink r:id="rId20">
        <w:r w:rsidRPr="0053780F">
          <w:rPr>
            <w:rStyle w:val="Hyperlink"/>
            <w:sz w:val="20"/>
            <w:szCs w:val="20"/>
          </w:rPr>
          <w:t>https://doi.org/10.17719/jisr.2017.1832</w:t>
        </w:r>
      </w:hyperlink>
    </w:p>
    <w:p w14:paraId="13F5F366" w14:textId="552E6FBC"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Hatch, M. J. (1993). The dynamics of organizational culture. </w:t>
      </w:r>
      <w:r w:rsidRPr="0053780F">
        <w:rPr>
          <w:rFonts w:eastAsia="Times New Roman" w:cs="Times New Roman"/>
          <w:i/>
          <w:iCs/>
          <w:sz w:val="20"/>
          <w:szCs w:val="20"/>
        </w:rPr>
        <w:t>The Academy of Management Review</w:t>
      </w:r>
      <w:r w:rsidRPr="0053780F">
        <w:rPr>
          <w:rFonts w:eastAsia="Times New Roman" w:cs="Times New Roman"/>
          <w:sz w:val="20"/>
          <w:szCs w:val="20"/>
        </w:rPr>
        <w:t xml:space="preserve">, </w:t>
      </w:r>
      <w:r w:rsidRPr="0053780F">
        <w:rPr>
          <w:rFonts w:eastAsia="Times New Roman" w:cs="Times New Roman"/>
          <w:i/>
          <w:iCs/>
          <w:sz w:val="20"/>
          <w:szCs w:val="20"/>
        </w:rPr>
        <w:t>18</w:t>
      </w:r>
      <w:r w:rsidRPr="0053780F">
        <w:rPr>
          <w:rFonts w:eastAsia="Times New Roman" w:cs="Times New Roman"/>
          <w:sz w:val="20"/>
          <w:szCs w:val="20"/>
        </w:rPr>
        <w:t xml:space="preserve">(4), 657–693. JSTOR. </w:t>
      </w:r>
      <w:hyperlink r:id="rId21">
        <w:r w:rsidRPr="0053780F">
          <w:rPr>
            <w:rStyle w:val="Hyperlink"/>
            <w:sz w:val="20"/>
            <w:szCs w:val="20"/>
          </w:rPr>
          <w:t>https://doi.org/10.2307/258594</w:t>
        </w:r>
      </w:hyperlink>
    </w:p>
    <w:p w14:paraId="4AE95D2C" w14:textId="0E5D3723"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Helms, M. M., &amp; Nixon, J. (2010). Exploring SWOT analysis – where are we now? </w:t>
      </w:r>
      <w:r w:rsidRPr="0053780F">
        <w:rPr>
          <w:rFonts w:eastAsia="Times New Roman" w:cs="Times New Roman"/>
          <w:i/>
          <w:iCs/>
          <w:sz w:val="20"/>
          <w:szCs w:val="20"/>
        </w:rPr>
        <w:t>Journal of Strategy and Management</w:t>
      </w:r>
      <w:r w:rsidRPr="0053780F">
        <w:rPr>
          <w:rFonts w:eastAsia="Times New Roman" w:cs="Times New Roman"/>
          <w:sz w:val="20"/>
          <w:szCs w:val="20"/>
        </w:rPr>
        <w:t xml:space="preserve">, </w:t>
      </w:r>
      <w:r w:rsidRPr="0053780F">
        <w:rPr>
          <w:rFonts w:eastAsia="Times New Roman" w:cs="Times New Roman"/>
          <w:i/>
          <w:iCs/>
          <w:sz w:val="20"/>
          <w:szCs w:val="20"/>
        </w:rPr>
        <w:t>3</w:t>
      </w:r>
      <w:r w:rsidRPr="0053780F">
        <w:rPr>
          <w:rFonts w:eastAsia="Times New Roman" w:cs="Times New Roman"/>
          <w:sz w:val="20"/>
          <w:szCs w:val="20"/>
        </w:rPr>
        <w:t xml:space="preserve">(3), 215–251. </w:t>
      </w:r>
      <w:hyperlink r:id="rId22">
        <w:r w:rsidRPr="0053780F">
          <w:rPr>
            <w:rStyle w:val="Hyperlink"/>
            <w:sz w:val="20"/>
            <w:szCs w:val="20"/>
          </w:rPr>
          <w:t>https://doi.org/10.1108/17554251011064837</w:t>
        </w:r>
      </w:hyperlink>
    </w:p>
    <w:p w14:paraId="01ECD4D8" w14:textId="60FB66F7"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Herscovitch, L., &amp; Meyer, J. P. (2002). Commitment to organizational change: Extension of a three-component model. </w:t>
      </w:r>
      <w:r w:rsidRPr="0053780F">
        <w:rPr>
          <w:rFonts w:eastAsia="Times New Roman" w:cs="Times New Roman"/>
          <w:i/>
          <w:iCs/>
          <w:sz w:val="20"/>
          <w:szCs w:val="20"/>
        </w:rPr>
        <w:t>Journal of Applied Psychology</w:t>
      </w:r>
      <w:r w:rsidRPr="0053780F">
        <w:rPr>
          <w:rFonts w:eastAsia="Times New Roman" w:cs="Times New Roman"/>
          <w:sz w:val="20"/>
          <w:szCs w:val="20"/>
        </w:rPr>
        <w:t xml:space="preserve">, </w:t>
      </w:r>
      <w:r w:rsidRPr="0053780F">
        <w:rPr>
          <w:rFonts w:eastAsia="Times New Roman" w:cs="Times New Roman"/>
          <w:i/>
          <w:iCs/>
          <w:sz w:val="20"/>
          <w:szCs w:val="20"/>
        </w:rPr>
        <w:t>87</w:t>
      </w:r>
      <w:r w:rsidRPr="0053780F">
        <w:rPr>
          <w:rFonts w:eastAsia="Times New Roman" w:cs="Times New Roman"/>
          <w:sz w:val="20"/>
          <w:szCs w:val="20"/>
        </w:rPr>
        <w:t xml:space="preserve">(3), 474–487. </w:t>
      </w:r>
      <w:hyperlink r:id="rId23">
        <w:r w:rsidRPr="0053780F">
          <w:rPr>
            <w:rStyle w:val="Hyperlink"/>
            <w:sz w:val="20"/>
            <w:szCs w:val="20"/>
          </w:rPr>
          <w:t>https://research-ebsco-com.uwtsd.idm.oclc.org/c/onvpsy/viewer/pdf/b36z22umzz?route=details</w:t>
        </w:r>
      </w:hyperlink>
    </w:p>
    <w:p w14:paraId="792354FD" w14:textId="05945FA6"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Hill, T., &amp; Westbrook, R. (1997). SWOT analysis: It’s time for a product recall. </w:t>
      </w:r>
      <w:r w:rsidRPr="0053780F">
        <w:rPr>
          <w:rFonts w:eastAsia="Times New Roman" w:cs="Times New Roman"/>
          <w:i/>
          <w:iCs/>
          <w:sz w:val="20"/>
          <w:szCs w:val="20"/>
        </w:rPr>
        <w:t>Long Range Planning</w:t>
      </w:r>
      <w:r w:rsidRPr="0053780F">
        <w:rPr>
          <w:rFonts w:eastAsia="Times New Roman" w:cs="Times New Roman"/>
          <w:sz w:val="20"/>
          <w:szCs w:val="20"/>
        </w:rPr>
        <w:t xml:space="preserve">, </w:t>
      </w:r>
      <w:r w:rsidRPr="0053780F">
        <w:rPr>
          <w:rFonts w:eastAsia="Times New Roman" w:cs="Times New Roman"/>
          <w:i/>
          <w:iCs/>
          <w:sz w:val="20"/>
          <w:szCs w:val="20"/>
        </w:rPr>
        <w:t>30</w:t>
      </w:r>
      <w:r w:rsidRPr="0053780F">
        <w:rPr>
          <w:rFonts w:eastAsia="Times New Roman" w:cs="Times New Roman"/>
          <w:sz w:val="20"/>
          <w:szCs w:val="20"/>
        </w:rPr>
        <w:t xml:space="preserve">(1), 46–52. </w:t>
      </w:r>
      <w:hyperlink r:id="rId24">
        <w:r w:rsidRPr="0053780F">
          <w:rPr>
            <w:rStyle w:val="Hyperlink"/>
            <w:sz w:val="20"/>
            <w:szCs w:val="20"/>
          </w:rPr>
          <w:t>https://doi.org/10.1016/s0024-6301(96)00095-7</w:t>
        </w:r>
      </w:hyperlink>
    </w:p>
    <w:p w14:paraId="46DC8F18" w14:textId="27D12DCC"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HSE Health &amp; Safety at Work. (2025). Health and safety at work. In </w:t>
      </w:r>
      <w:r w:rsidRPr="0053780F">
        <w:rPr>
          <w:rFonts w:eastAsia="Times New Roman" w:cs="Times New Roman"/>
          <w:i/>
          <w:iCs/>
          <w:sz w:val="20"/>
          <w:szCs w:val="20"/>
        </w:rPr>
        <w:t>HSE</w:t>
      </w:r>
      <w:r w:rsidRPr="0053780F">
        <w:rPr>
          <w:rFonts w:eastAsia="Times New Roman" w:cs="Times New Roman"/>
          <w:sz w:val="20"/>
          <w:szCs w:val="20"/>
        </w:rPr>
        <w:t xml:space="preserve">. </w:t>
      </w:r>
      <w:hyperlink r:id="rId25">
        <w:r w:rsidRPr="0053780F">
          <w:rPr>
            <w:rStyle w:val="Hyperlink"/>
            <w:sz w:val="20"/>
            <w:szCs w:val="20"/>
          </w:rPr>
          <w:t>https://www.hse.gov.uk/statistics/assets/docs/hssh2425.pdf</w:t>
        </w:r>
      </w:hyperlink>
    </w:p>
    <w:p w14:paraId="38C8FEA5" w14:textId="7E6274D6"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Hughes, M. (2016). Leading changes: Why transformation explanations fail. </w:t>
      </w:r>
      <w:r w:rsidRPr="0053780F">
        <w:rPr>
          <w:rFonts w:eastAsia="Times New Roman" w:cs="Times New Roman"/>
          <w:i/>
          <w:iCs/>
          <w:sz w:val="20"/>
          <w:szCs w:val="20"/>
        </w:rPr>
        <w:t>Leadership</w:t>
      </w:r>
      <w:r w:rsidRPr="0053780F">
        <w:rPr>
          <w:rFonts w:eastAsia="Times New Roman" w:cs="Times New Roman"/>
          <w:sz w:val="20"/>
          <w:szCs w:val="20"/>
        </w:rPr>
        <w:t xml:space="preserve">, </w:t>
      </w:r>
      <w:r w:rsidRPr="0053780F">
        <w:rPr>
          <w:rFonts w:eastAsia="Times New Roman" w:cs="Times New Roman"/>
          <w:i/>
          <w:iCs/>
          <w:sz w:val="20"/>
          <w:szCs w:val="20"/>
        </w:rPr>
        <w:t>12</w:t>
      </w:r>
      <w:r w:rsidRPr="0053780F">
        <w:rPr>
          <w:rFonts w:eastAsia="Times New Roman" w:cs="Times New Roman"/>
          <w:sz w:val="20"/>
          <w:szCs w:val="20"/>
        </w:rPr>
        <w:t xml:space="preserve">(4), 449–469. </w:t>
      </w:r>
      <w:hyperlink r:id="rId26">
        <w:r w:rsidRPr="0053780F">
          <w:rPr>
            <w:rStyle w:val="Hyperlink"/>
            <w:sz w:val="20"/>
            <w:szCs w:val="20"/>
          </w:rPr>
          <w:t>https://doi.org/10.1177/1742715015571393</w:t>
        </w:r>
      </w:hyperlink>
    </w:p>
    <w:p w14:paraId="75874862" w14:textId="5BF1AE0C"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Kotter, J. (1995a). Leading change: Why transformation efforts fail. </w:t>
      </w:r>
      <w:r w:rsidRPr="0053780F">
        <w:rPr>
          <w:rFonts w:eastAsia="Times New Roman" w:cs="Times New Roman"/>
          <w:i/>
          <w:iCs/>
          <w:sz w:val="20"/>
          <w:szCs w:val="20"/>
        </w:rPr>
        <w:t>IEEE Engineering Management Review</w:t>
      </w:r>
      <w:r w:rsidRPr="0053780F">
        <w:rPr>
          <w:rFonts w:eastAsia="Times New Roman" w:cs="Times New Roman"/>
          <w:sz w:val="20"/>
          <w:szCs w:val="20"/>
        </w:rPr>
        <w:t xml:space="preserve">, </w:t>
      </w:r>
      <w:r w:rsidRPr="0053780F">
        <w:rPr>
          <w:rFonts w:eastAsia="Times New Roman" w:cs="Times New Roman"/>
          <w:i/>
          <w:iCs/>
          <w:sz w:val="20"/>
          <w:szCs w:val="20"/>
        </w:rPr>
        <w:t>37</w:t>
      </w:r>
      <w:r w:rsidRPr="0053780F">
        <w:rPr>
          <w:rFonts w:eastAsia="Times New Roman" w:cs="Times New Roman"/>
          <w:sz w:val="20"/>
          <w:szCs w:val="20"/>
        </w:rPr>
        <w:t xml:space="preserve">(3), 42–48. </w:t>
      </w:r>
      <w:hyperlink r:id="rId27">
        <w:r w:rsidRPr="0053780F">
          <w:rPr>
            <w:rStyle w:val="Hyperlink"/>
            <w:sz w:val="20"/>
            <w:szCs w:val="20"/>
          </w:rPr>
          <w:t>https://heeoe.hee.nhs.uk/sites/default/files/leading_change_why_transformation_efforts_fail.pdf</w:t>
        </w:r>
      </w:hyperlink>
    </w:p>
    <w:p w14:paraId="0CB864D8" w14:textId="3F725D46"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Kotter, J. (1995b). Leading change: Why transformation efforts fail. </w:t>
      </w:r>
      <w:r w:rsidRPr="0053780F">
        <w:rPr>
          <w:rFonts w:eastAsia="Times New Roman" w:cs="Times New Roman"/>
          <w:i/>
          <w:iCs/>
          <w:sz w:val="20"/>
          <w:szCs w:val="20"/>
        </w:rPr>
        <w:t>IEEE Engineering Management Review</w:t>
      </w:r>
      <w:r w:rsidRPr="0053780F">
        <w:rPr>
          <w:rFonts w:eastAsia="Times New Roman" w:cs="Times New Roman"/>
          <w:sz w:val="20"/>
          <w:szCs w:val="20"/>
        </w:rPr>
        <w:t xml:space="preserve">, </w:t>
      </w:r>
      <w:r w:rsidRPr="0053780F">
        <w:rPr>
          <w:rFonts w:eastAsia="Times New Roman" w:cs="Times New Roman"/>
          <w:i/>
          <w:iCs/>
          <w:sz w:val="20"/>
          <w:szCs w:val="20"/>
        </w:rPr>
        <w:t>37</w:t>
      </w:r>
      <w:r w:rsidRPr="0053780F">
        <w:rPr>
          <w:rFonts w:eastAsia="Times New Roman" w:cs="Times New Roman"/>
          <w:sz w:val="20"/>
          <w:szCs w:val="20"/>
        </w:rPr>
        <w:t xml:space="preserve">(3), 42–48. </w:t>
      </w:r>
      <w:hyperlink r:id="rId28">
        <w:r w:rsidRPr="0053780F">
          <w:rPr>
            <w:rStyle w:val="Hyperlink"/>
            <w:sz w:val="20"/>
            <w:szCs w:val="20"/>
          </w:rPr>
          <w:t>https://heeoe.hee.nhs.uk/sites/default/files/leading_change_why_transformation_efforts_fail.pdf</w:t>
        </w:r>
      </w:hyperlink>
    </w:p>
    <w:p w14:paraId="0E692D7E" w14:textId="3967F4FD"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Kunc, M. (2026). </w:t>
      </w:r>
      <w:r w:rsidRPr="0053780F">
        <w:rPr>
          <w:rFonts w:eastAsia="Times New Roman" w:cs="Times New Roman"/>
          <w:i/>
          <w:iCs/>
          <w:sz w:val="20"/>
          <w:szCs w:val="20"/>
        </w:rPr>
        <w:t>Strategic analytics</w:t>
      </w:r>
      <w:r w:rsidRPr="0053780F">
        <w:rPr>
          <w:rFonts w:eastAsia="Times New Roman" w:cs="Times New Roman"/>
          <w:sz w:val="20"/>
          <w:szCs w:val="20"/>
        </w:rPr>
        <w:t xml:space="preserve">. John Wiley &amp; Sons. </w:t>
      </w:r>
      <w:hyperlink r:id="rId29" w:anchor="v=onepage&amp;q&amp;f=false">
        <w:r w:rsidRPr="0053780F">
          <w:rPr>
            <w:rStyle w:val="Hyperlink"/>
            <w:sz w:val="20"/>
            <w:szCs w:val="20"/>
          </w:rPr>
          <w:t>https://books.google.co.uk/books?hl=en&amp;lr=&amp;id=SYVqDwAAQBAJ&amp;oi=fnd&amp;pg=PR11&amp;dq=Kunc+(2018)+is+published+by+Wiley+in+Strategic+Analytics.+The+Wiley+page+specifically+states+</w:t>
        </w:r>
        <w:r w:rsidRPr="0053780F">
          <w:rPr>
            <w:rStyle w:val="Hyperlink"/>
            <w:sz w:val="20"/>
            <w:szCs w:val="20"/>
          </w:rPr>
          <w:lastRenderedPageBreak/>
          <w:t>that+external+factors+can+affect+organisational+choices+and+performance+and+identifies+political,+economic,+social,+technological+and+environmental+factors+within+the+general+external+environment.&amp;ots=yBugqccFxU&amp;sig=hH-lKI2UCmqrI3_pbMB3SSgYDO4#v=onepage&amp;q&amp;f=false</w:t>
        </w:r>
      </w:hyperlink>
    </w:p>
    <w:p w14:paraId="1D11F2B0" w14:textId="0B8AAD77" w:rsidR="6B145540" w:rsidRPr="0053780F" w:rsidRDefault="008D0937" w:rsidP="46F9D4E4">
      <w:pPr>
        <w:spacing w:after="0" w:line="240" w:lineRule="auto"/>
        <w:ind w:left="720" w:hanging="720"/>
        <w:rPr>
          <w:sz w:val="20"/>
          <w:szCs w:val="20"/>
        </w:rPr>
      </w:pPr>
      <w:r w:rsidRPr="0053780F">
        <w:rPr>
          <w:rFonts w:eastAsia="Times New Roman" w:cs="Times New Roman"/>
          <w:sz w:val="20"/>
          <w:szCs w:val="20"/>
        </w:rPr>
        <w:t>Lines,</w:t>
      </w:r>
      <w:r w:rsidR="6B145540" w:rsidRPr="0053780F">
        <w:rPr>
          <w:rFonts w:eastAsia="Times New Roman" w:cs="Times New Roman"/>
          <w:sz w:val="20"/>
          <w:szCs w:val="20"/>
        </w:rPr>
        <w:t xml:space="preserve"> R. (2004). Influence of participation in strategic change: Resistance, organizational commitment and change goal achievement. </w:t>
      </w:r>
      <w:r w:rsidR="6B145540" w:rsidRPr="0053780F">
        <w:rPr>
          <w:rFonts w:eastAsia="Times New Roman" w:cs="Times New Roman"/>
          <w:i/>
          <w:iCs/>
          <w:sz w:val="20"/>
          <w:szCs w:val="20"/>
        </w:rPr>
        <w:t>Journal of Change Management</w:t>
      </w:r>
      <w:r w:rsidR="6B145540" w:rsidRPr="0053780F">
        <w:rPr>
          <w:rFonts w:eastAsia="Times New Roman" w:cs="Times New Roman"/>
          <w:sz w:val="20"/>
          <w:szCs w:val="20"/>
        </w:rPr>
        <w:t xml:space="preserve">, </w:t>
      </w:r>
      <w:r w:rsidR="6B145540" w:rsidRPr="0053780F">
        <w:rPr>
          <w:rFonts w:eastAsia="Times New Roman" w:cs="Times New Roman"/>
          <w:i/>
          <w:iCs/>
          <w:sz w:val="20"/>
          <w:szCs w:val="20"/>
        </w:rPr>
        <w:t>4</w:t>
      </w:r>
      <w:r w:rsidR="6B145540" w:rsidRPr="0053780F">
        <w:rPr>
          <w:rFonts w:eastAsia="Times New Roman" w:cs="Times New Roman"/>
          <w:sz w:val="20"/>
          <w:szCs w:val="20"/>
        </w:rPr>
        <w:t xml:space="preserve">(3), 193–215. </w:t>
      </w:r>
      <w:hyperlink r:id="rId30">
        <w:r w:rsidR="6B145540" w:rsidRPr="0053780F">
          <w:rPr>
            <w:rStyle w:val="Hyperlink"/>
            <w:sz w:val="20"/>
            <w:szCs w:val="20"/>
          </w:rPr>
          <w:t>https://doi.org/10.1080/1469701042000221696</w:t>
        </w:r>
      </w:hyperlink>
    </w:p>
    <w:p w14:paraId="021945AE" w14:textId="5AABA2B4"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Mitchell, R. K., Agle, B. R., &amp; Wood, D. J. (1997). Toward a theory of stakeholder identification and salience: Defining the principle of who and what really counts. </w:t>
      </w:r>
      <w:r w:rsidRPr="0053780F">
        <w:rPr>
          <w:rFonts w:eastAsia="Times New Roman" w:cs="Times New Roman"/>
          <w:i/>
          <w:iCs/>
          <w:sz w:val="20"/>
          <w:szCs w:val="20"/>
        </w:rPr>
        <w:t>The Academy of Management Review</w:t>
      </w:r>
      <w:r w:rsidRPr="0053780F">
        <w:rPr>
          <w:rFonts w:eastAsia="Times New Roman" w:cs="Times New Roman"/>
          <w:sz w:val="20"/>
          <w:szCs w:val="20"/>
        </w:rPr>
        <w:t xml:space="preserve">, </w:t>
      </w:r>
      <w:r w:rsidRPr="0053780F">
        <w:rPr>
          <w:rFonts w:eastAsia="Times New Roman" w:cs="Times New Roman"/>
          <w:i/>
          <w:iCs/>
          <w:sz w:val="20"/>
          <w:szCs w:val="20"/>
        </w:rPr>
        <w:t>22</w:t>
      </w:r>
      <w:r w:rsidRPr="0053780F">
        <w:rPr>
          <w:rFonts w:eastAsia="Times New Roman" w:cs="Times New Roman"/>
          <w:sz w:val="20"/>
          <w:szCs w:val="20"/>
        </w:rPr>
        <w:t xml:space="preserve">(4), 853–886. </w:t>
      </w:r>
      <w:hyperlink r:id="rId31">
        <w:r w:rsidRPr="0053780F">
          <w:rPr>
            <w:rStyle w:val="Hyperlink"/>
            <w:sz w:val="20"/>
            <w:szCs w:val="20"/>
          </w:rPr>
          <w:t>https://doi.org/10.2307/259247</w:t>
        </w:r>
      </w:hyperlink>
    </w:p>
    <w:p w14:paraId="6671430C" w14:textId="3D16AD45"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Oreg, S. (2006). Personality, context, and resistance to organizational change. </w:t>
      </w:r>
      <w:r w:rsidRPr="0053780F">
        <w:rPr>
          <w:rFonts w:eastAsia="Times New Roman" w:cs="Times New Roman"/>
          <w:i/>
          <w:iCs/>
          <w:sz w:val="20"/>
          <w:szCs w:val="20"/>
        </w:rPr>
        <w:t>European Journal of Work and Organizational Psychology</w:t>
      </w:r>
      <w:r w:rsidRPr="0053780F">
        <w:rPr>
          <w:rFonts w:eastAsia="Times New Roman" w:cs="Times New Roman"/>
          <w:sz w:val="20"/>
          <w:szCs w:val="20"/>
        </w:rPr>
        <w:t xml:space="preserve">, </w:t>
      </w:r>
      <w:r w:rsidRPr="0053780F">
        <w:rPr>
          <w:rFonts w:eastAsia="Times New Roman" w:cs="Times New Roman"/>
          <w:i/>
          <w:iCs/>
          <w:sz w:val="20"/>
          <w:szCs w:val="20"/>
        </w:rPr>
        <w:t>15</w:t>
      </w:r>
      <w:r w:rsidRPr="0053780F">
        <w:rPr>
          <w:rFonts w:eastAsia="Times New Roman" w:cs="Times New Roman"/>
          <w:sz w:val="20"/>
          <w:szCs w:val="20"/>
        </w:rPr>
        <w:t xml:space="preserve">(1), 73–101. </w:t>
      </w:r>
      <w:hyperlink r:id="rId32">
        <w:r w:rsidRPr="0053780F">
          <w:rPr>
            <w:rStyle w:val="Hyperlink"/>
            <w:sz w:val="20"/>
            <w:szCs w:val="20"/>
          </w:rPr>
          <w:t>https://doi.org/10.1080/13594320500451247</w:t>
        </w:r>
      </w:hyperlink>
    </w:p>
    <w:p w14:paraId="1D6B8DB6" w14:textId="38DE8052"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Pickton, D. W., &amp; Wright, S. (1998). What’s SWOT in STRATEGIC analysis? </w:t>
      </w:r>
      <w:r w:rsidRPr="0053780F">
        <w:rPr>
          <w:rFonts w:eastAsia="Times New Roman" w:cs="Times New Roman"/>
          <w:i/>
          <w:iCs/>
          <w:sz w:val="20"/>
          <w:szCs w:val="20"/>
        </w:rPr>
        <w:t>Strategic Change</w:t>
      </w:r>
      <w:r w:rsidRPr="0053780F">
        <w:rPr>
          <w:rFonts w:eastAsia="Times New Roman" w:cs="Times New Roman"/>
          <w:sz w:val="20"/>
          <w:szCs w:val="20"/>
        </w:rPr>
        <w:t xml:space="preserve">, </w:t>
      </w:r>
      <w:r w:rsidRPr="0053780F">
        <w:rPr>
          <w:rFonts w:eastAsia="Times New Roman" w:cs="Times New Roman"/>
          <w:i/>
          <w:iCs/>
          <w:sz w:val="20"/>
          <w:szCs w:val="20"/>
        </w:rPr>
        <w:t>7</w:t>
      </w:r>
      <w:r w:rsidRPr="0053780F">
        <w:rPr>
          <w:rFonts w:eastAsia="Times New Roman" w:cs="Times New Roman"/>
          <w:sz w:val="20"/>
          <w:szCs w:val="20"/>
        </w:rPr>
        <w:t xml:space="preserve">(2), 101–109. </w:t>
      </w:r>
      <w:hyperlink r:id="rId33">
        <w:r w:rsidRPr="0053780F">
          <w:rPr>
            <w:rStyle w:val="Hyperlink"/>
            <w:sz w:val="20"/>
            <w:szCs w:val="20"/>
          </w:rPr>
          <w:t>https://doi.org/https://doi.org/10.1002/(SICI)1099-1697(199803/04)7:2&lt;101::AID-JSC332&gt;3.0.CO;2-6</w:t>
        </w:r>
      </w:hyperlink>
    </w:p>
    <w:p w14:paraId="6FC613BB" w14:textId="6C8CD6EA"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Schein, E. H. (2010a). Organizational Culture and Leadership. </w:t>
      </w:r>
      <w:r w:rsidRPr="0053780F">
        <w:rPr>
          <w:rFonts w:eastAsia="Times New Roman" w:cs="Times New Roman"/>
          <w:i/>
          <w:iCs/>
          <w:sz w:val="20"/>
          <w:szCs w:val="20"/>
        </w:rPr>
        <w:t>The Academy of Management Review</w:t>
      </w:r>
      <w:r w:rsidRPr="0053780F">
        <w:rPr>
          <w:rFonts w:eastAsia="Times New Roman" w:cs="Times New Roman"/>
          <w:sz w:val="20"/>
          <w:szCs w:val="20"/>
        </w:rPr>
        <w:t xml:space="preserve">, </w:t>
      </w:r>
      <w:r w:rsidRPr="0053780F">
        <w:rPr>
          <w:rFonts w:eastAsia="Times New Roman" w:cs="Times New Roman"/>
          <w:i/>
          <w:iCs/>
          <w:sz w:val="20"/>
          <w:szCs w:val="20"/>
        </w:rPr>
        <w:t>11</w:t>
      </w:r>
      <w:r w:rsidRPr="0053780F">
        <w:rPr>
          <w:rFonts w:eastAsia="Times New Roman" w:cs="Times New Roman"/>
          <w:sz w:val="20"/>
          <w:szCs w:val="20"/>
        </w:rPr>
        <w:t xml:space="preserve">(3), 677. </w:t>
      </w:r>
      <w:hyperlink r:id="rId34">
        <w:r w:rsidRPr="0053780F">
          <w:rPr>
            <w:rStyle w:val="Hyperlink"/>
            <w:sz w:val="20"/>
            <w:szCs w:val="20"/>
          </w:rPr>
          <w:t>https://doi.org/10.2307/258322</w:t>
        </w:r>
      </w:hyperlink>
    </w:p>
    <w:p w14:paraId="29C4DEE2" w14:textId="1867BD74" w:rsidR="6B145540" w:rsidRPr="0053780F" w:rsidRDefault="6B145540" w:rsidP="46F9D4E4">
      <w:pPr>
        <w:spacing w:after="0" w:line="240" w:lineRule="auto"/>
        <w:ind w:left="720" w:hanging="720"/>
        <w:rPr>
          <w:rFonts w:eastAsia="Times New Roman" w:cs="Times New Roman"/>
          <w:sz w:val="20"/>
          <w:szCs w:val="20"/>
        </w:rPr>
      </w:pPr>
      <w:r w:rsidRPr="0053780F">
        <w:rPr>
          <w:rFonts w:eastAsia="Times New Roman" w:cs="Times New Roman"/>
          <w:sz w:val="20"/>
          <w:szCs w:val="20"/>
        </w:rPr>
        <w:t xml:space="preserve">Schein, E. H. (2010b). </w:t>
      </w:r>
      <w:r w:rsidRPr="0053780F">
        <w:rPr>
          <w:rFonts w:eastAsia="Times New Roman" w:cs="Times New Roman"/>
          <w:i/>
          <w:iCs/>
          <w:sz w:val="20"/>
          <w:szCs w:val="20"/>
        </w:rPr>
        <w:t>Organizational culture and leadership</w:t>
      </w:r>
      <w:r w:rsidRPr="0053780F">
        <w:rPr>
          <w:rFonts w:eastAsia="Times New Roman" w:cs="Times New Roman"/>
          <w:sz w:val="20"/>
          <w:szCs w:val="20"/>
        </w:rPr>
        <w:t xml:space="preserve"> (4th edn). Jossey-Bass.</w:t>
      </w:r>
    </w:p>
    <w:p w14:paraId="762CE667" w14:textId="2A032E40"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Teece, D. J., Pisano, G., &amp; Shuen, A. (1997a). Dynamic capabilities and strategic management. </w:t>
      </w:r>
      <w:r w:rsidRPr="0053780F">
        <w:rPr>
          <w:rFonts w:eastAsia="Times New Roman" w:cs="Times New Roman"/>
          <w:i/>
          <w:iCs/>
          <w:sz w:val="20"/>
          <w:szCs w:val="20"/>
        </w:rPr>
        <w:t>Strategic Management Journal</w:t>
      </w:r>
      <w:r w:rsidRPr="0053780F">
        <w:rPr>
          <w:rFonts w:eastAsia="Times New Roman" w:cs="Times New Roman"/>
          <w:sz w:val="20"/>
          <w:szCs w:val="20"/>
        </w:rPr>
        <w:t xml:space="preserve">, </w:t>
      </w:r>
      <w:r w:rsidRPr="0053780F">
        <w:rPr>
          <w:rFonts w:eastAsia="Times New Roman" w:cs="Times New Roman"/>
          <w:i/>
          <w:iCs/>
          <w:sz w:val="20"/>
          <w:szCs w:val="20"/>
        </w:rPr>
        <w:t>18</w:t>
      </w:r>
      <w:r w:rsidRPr="0053780F">
        <w:rPr>
          <w:rFonts w:eastAsia="Times New Roman" w:cs="Times New Roman"/>
          <w:sz w:val="20"/>
          <w:szCs w:val="20"/>
        </w:rPr>
        <w:t xml:space="preserve">(7), 509–533. </w:t>
      </w:r>
      <w:hyperlink r:id="rId35">
        <w:r w:rsidRPr="0053780F">
          <w:rPr>
            <w:rStyle w:val="Hyperlink"/>
            <w:sz w:val="20"/>
            <w:szCs w:val="20"/>
          </w:rPr>
          <w:t>https://www.jstor.org/stable/3088148</w:t>
        </w:r>
      </w:hyperlink>
    </w:p>
    <w:p w14:paraId="6A6B8201" w14:textId="5FBD57B7"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Teece, D. J., Pisano, G., &amp; Shuen, A. (1997b). Dynamic capabilities and strategic management. </w:t>
      </w:r>
      <w:r w:rsidRPr="0053780F">
        <w:rPr>
          <w:rFonts w:eastAsia="Times New Roman" w:cs="Times New Roman"/>
          <w:i/>
          <w:iCs/>
          <w:sz w:val="20"/>
          <w:szCs w:val="20"/>
        </w:rPr>
        <w:t>Strategic Management Journal</w:t>
      </w:r>
      <w:r w:rsidRPr="0053780F">
        <w:rPr>
          <w:rFonts w:eastAsia="Times New Roman" w:cs="Times New Roman"/>
          <w:sz w:val="20"/>
          <w:szCs w:val="20"/>
        </w:rPr>
        <w:t xml:space="preserve">, </w:t>
      </w:r>
      <w:r w:rsidRPr="0053780F">
        <w:rPr>
          <w:rFonts w:eastAsia="Times New Roman" w:cs="Times New Roman"/>
          <w:i/>
          <w:iCs/>
          <w:sz w:val="20"/>
          <w:szCs w:val="20"/>
        </w:rPr>
        <w:t>18</w:t>
      </w:r>
      <w:r w:rsidRPr="0053780F">
        <w:rPr>
          <w:rFonts w:eastAsia="Times New Roman" w:cs="Times New Roman"/>
          <w:sz w:val="20"/>
          <w:szCs w:val="20"/>
        </w:rPr>
        <w:t xml:space="preserve">(7), 509–533. </w:t>
      </w:r>
      <w:hyperlink r:id="rId36">
        <w:r w:rsidRPr="0053780F">
          <w:rPr>
            <w:rStyle w:val="Hyperlink"/>
            <w:sz w:val="20"/>
            <w:szCs w:val="20"/>
          </w:rPr>
          <w:t>https://www.jstor.org/stable/3088148</w:t>
        </w:r>
      </w:hyperlink>
    </w:p>
    <w:p w14:paraId="3F0DBC78" w14:textId="330FF4D0"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Weick, K. E., &amp; Quinn, R. E. (1999a). Organisational change and development. </w:t>
      </w:r>
      <w:r w:rsidRPr="0053780F">
        <w:rPr>
          <w:rFonts w:eastAsia="Times New Roman" w:cs="Times New Roman"/>
          <w:i/>
          <w:iCs/>
          <w:sz w:val="20"/>
          <w:szCs w:val="20"/>
        </w:rPr>
        <w:t>Annual Review of Psychology</w:t>
      </w:r>
      <w:r w:rsidRPr="0053780F">
        <w:rPr>
          <w:rFonts w:eastAsia="Times New Roman" w:cs="Times New Roman"/>
          <w:sz w:val="20"/>
          <w:szCs w:val="20"/>
        </w:rPr>
        <w:t xml:space="preserve">, </w:t>
      </w:r>
      <w:r w:rsidRPr="0053780F">
        <w:rPr>
          <w:rFonts w:eastAsia="Times New Roman" w:cs="Times New Roman"/>
          <w:i/>
          <w:iCs/>
          <w:sz w:val="20"/>
          <w:szCs w:val="20"/>
        </w:rPr>
        <w:t>50</w:t>
      </w:r>
      <w:r w:rsidRPr="0053780F">
        <w:rPr>
          <w:rFonts w:eastAsia="Times New Roman" w:cs="Times New Roman"/>
          <w:sz w:val="20"/>
          <w:szCs w:val="20"/>
        </w:rPr>
        <w:t xml:space="preserve">(1), 361–386. </w:t>
      </w:r>
      <w:hyperlink r:id="rId37">
        <w:r w:rsidRPr="0053780F">
          <w:rPr>
            <w:rStyle w:val="Hyperlink"/>
            <w:sz w:val="20"/>
            <w:szCs w:val="20"/>
          </w:rPr>
          <w:t>https://doi.org/10.1146/annurev.psych.50.1.361</w:t>
        </w:r>
      </w:hyperlink>
    </w:p>
    <w:p w14:paraId="5F97DDA7" w14:textId="4B654894"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Weick, K. E., &amp; Quinn, R. E. (1999b). Organisational Change and Development. </w:t>
      </w:r>
      <w:r w:rsidRPr="0053780F">
        <w:rPr>
          <w:rFonts w:eastAsia="Times New Roman" w:cs="Times New Roman"/>
          <w:i/>
          <w:iCs/>
          <w:sz w:val="20"/>
          <w:szCs w:val="20"/>
        </w:rPr>
        <w:t>Annual Review of Psychology</w:t>
      </w:r>
      <w:r w:rsidRPr="0053780F">
        <w:rPr>
          <w:rFonts w:eastAsia="Times New Roman" w:cs="Times New Roman"/>
          <w:sz w:val="20"/>
          <w:szCs w:val="20"/>
        </w:rPr>
        <w:t xml:space="preserve">, </w:t>
      </w:r>
      <w:r w:rsidRPr="0053780F">
        <w:rPr>
          <w:rFonts w:eastAsia="Times New Roman" w:cs="Times New Roman"/>
          <w:i/>
          <w:iCs/>
          <w:sz w:val="20"/>
          <w:szCs w:val="20"/>
        </w:rPr>
        <w:t>50</w:t>
      </w:r>
      <w:r w:rsidRPr="0053780F">
        <w:rPr>
          <w:rFonts w:eastAsia="Times New Roman" w:cs="Times New Roman"/>
          <w:sz w:val="20"/>
          <w:szCs w:val="20"/>
        </w:rPr>
        <w:t xml:space="preserve">(1), 361–386. </w:t>
      </w:r>
      <w:hyperlink r:id="rId38">
        <w:r w:rsidRPr="0053780F">
          <w:rPr>
            <w:rStyle w:val="Hyperlink"/>
            <w:sz w:val="20"/>
            <w:szCs w:val="20"/>
          </w:rPr>
          <w:t>https://doi.org/10.1146/annurev.psych.50.1.361</w:t>
        </w:r>
      </w:hyperlink>
    </w:p>
    <w:p w14:paraId="7B917FD9" w14:textId="738CE54A"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Weick, K. E., &amp; Quinn, R. E. (1999c). Organisational Change and Development. </w:t>
      </w:r>
      <w:r w:rsidRPr="0053780F">
        <w:rPr>
          <w:rFonts w:eastAsia="Times New Roman" w:cs="Times New Roman"/>
          <w:i/>
          <w:iCs/>
          <w:sz w:val="20"/>
          <w:szCs w:val="20"/>
        </w:rPr>
        <w:t>Annual Review of Psychology</w:t>
      </w:r>
      <w:r w:rsidRPr="0053780F">
        <w:rPr>
          <w:rFonts w:eastAsia="Times New Roman" w:cs="Times New Roman"/>
          <w:sz w:val="20"/>
          <w:szCs w:val="20"/>
        </w:rPr>
        <w:t xml:space="preserve">, </w:t>
      </w:r>
      <w:r w:rsidRPr="0053780F">
        <w:rPr>
          <w:rFonts w:eastAsia="Times New Roman" w:cs="Times New Roman"/>
          <w:i/>
          <w:iCs/>
          <w:sz w:val="20"/>
          <w:szCs w:val="20"/>
        </w:rPr>
        <w:t>50</w:t>
      </w:r>
      <w:r w:rsidRPr="0053780F">
        <w:rPr>
          <w:rFonts w:eastAsia="Times New Roman" w:cs="Times New Roman"/>
          <w:sz w:val="20"/>
          <w:szCs w:val="20"/>
        </w:rPr>
        <w:t xml:space="preserve">(1), 361–386. </w:t>
      </w:r>
      <w:hyperlink r:id="rId39">
        <w:r w:rsidRPr="0053780F">
          <w:rPr>
            <w:rStyle w:val="Hyperlink"/>
            <w:sz w:val="20"/>
            <w:szCs w:val="20"/>
          </w:rPr>
          <w:t>https://doi.org/10.1146/annurev.psych.50.1.361</w:t>
        </w:r>
      </w:hyperlink>
    </w:p>
    <w:p w14:paraId="16CEE1DB" w14:textId="44A37780" w:rsidR="6B145540" w:rsidRPr="0053780F" w:rsidRDefault="6B145540" w:rsidP="46F9D4E4">
      <w:pPr>
        <w:spacing w:after="0" w:line="240" w:lineRule="auto"/>
        <w:ind w:left="720" w:hanging="720"/>
        <w:rPr>
          <w:sz w:val="20"/>
          <w:szCs w:val="20"/>
        </w:rPr>
      </w:pPr>
      <w:r w:rsidRPr="0053780F">
        <w:rPr>
          <w:rFonts w:eastAsia="Times New Roman" w:cs="Times New Roman"/>
          <w:sz w:val="20"/>
          <w:szCs w:val="20"/>
        </w:rPr>
        <w:t xml:space="preserve">Yuksel, I. (2012). Developing a multi-criteria decision making model for PESTEL analysis. </w:t>
      </w:r>
      <w:r w:rsidRPr="0053780F">
        <w:rPr>
          <w:rFonts w:eastAsia="Times New Roman" w:cs="Times New Roman"/>
          <w:i/>
          <w:iCs/>
          <w:sz w:val="20"/>
          <w:szCs w:val="20"/>
        </w:rPr>
        <w:t>International Journal of Business and Management</w:t>
      </w:r>
      <w:r w:rsidRPr="0053780F">
        <w:rPr>
          <w:rFonts w:eastAsia="Times New Roman" w:cs="Times New Roman"/>
          <w:sz w:val="20"/>
          <w:szCs w:val="20"/>
        </w:rPr>
        <w:t xml:space="preserve">, </w:t>
      </w:r>
      <w:r w:rsidRPr="0053780F">
        <w:rPr>
          <w:rFonts w:eastAsia="Times New Roman" w:cs="Times New Roman"/>
          <w:i/>
          <w:iCs/>
          <w:sz w:val="20"/>
          <w:szCs w:val="20"/>
        </w:rPr>
        <w:t>7</w:t>
      </w:r>
      <w:r w:rsidRPr="0053780F">
        <w:rPr>
          <w:rFonts w:eastAsia="Times New Roman" w:cs="Times New Roman"/>
          <w:sz w:val="20"/>
          <w:szCs w:val="20"/>
        </w:rPr>
        <w:t xml:space="preserve">(24), 52–66. </w:t>
      </w:r>
      <w:hyperlink r:id="rId40">
        <w:r w:rsidRPr="0053780F">
          <w:rPr>
            <w:rStyle w:val="Hyperlink"/>
            <w:sz w:val="20"/>
            <w:szCs w:val="20"/>
          </w:rPr>
          <w:t>https://doi.org/10.5539/ijbm.v7n24p52</w:t>
        </w:r>
      </w:hyperlink>
    </w:p>
    <w:p w14:paraId="4E734360" w14:textId="46E8F182" w:rsidR="46F9D4E4" w:rsidRPr="0053780F" w:rsidRDefault="46F9D4E4" w:rsidP="46F9D4E4"/>
    <w:p w14:paraId="646666CE" w14:textId="7E641BB8" w:rsidR="46F9D4E4" w:rsidRPr="0053780F" w:rsidRDefault="46F9D4E4" w:rsidP="46F9D4E4"/>
    <w:p w14:paraId="24F0C885" w14:textId="2456BEB8" w:rsidR="46F9D4E4" w:rsidRPr="0053780F" w:rsidRDefault="46F9D4E4" w:rsidP="46F9D4E4"/>
    <w:p w14:paraId="0256D6A4" w14:textId="3F7D7863" w:rsidR="46F9D4E4" w:rsidRPr="0053780F" w:rsidRDefault="46F9D4E4" w:rsidP="46F9D4E4"/>
    <w:p w14:paraId="13753F90" w14:textId="6F714B2B" w:rsidR="46F9D4E4" w:rsidRPr="0053780F" w:rsidRDefault="46F9D4E4" w:rsidP="46F9D4E4"/>
    <w:p w14:paraId="3E5F11E9" w14:textId="05E8E37A" w:rsidR="46F9D4E4" w:rsidRPr="0053780F" w:rsidRDefault="46F9D4E4" w:rsidP="46F9D4E4"/>
    <w:p w14:paraId="22DEDCA1" w14:textId="26F2B3B9" w:rsidR="46F9D4E4" w:rsidRPr="0053780F" w:rsidRDefault="46F9D4E4" w:rsidP="46F9D4E4"/>
    <w:p w14:paraId="3F1DB8EB" w14:textId="35544686" w:rsidR="46F9D4E4" w:rsidRPr="0053780F" w:rsidRDefault="46F9D4E4" w:rsidP="46F9D4E4"/>
    <w:p w14:paraId="35F0B3B6" w14:textId="17ED03D1" w:rsidR="46F9D4E4" w:rsidRPr="0053780F" w:rsidRDefault="46F9D4E4" w:rsidP="46F9D4E4"/>
    <w:p w14:paraId="58DA17D9" w14:textId="75A4F98B" w:rsidR="46F9D4E4" w:rsidRPr="0053780F" w:rsidRDefault="46F9D4E4" w:rsidP="46F9D4E4"/>
    <w:p w14:paraId="1586C722" w14:textId="38306CB6" w:rsidR="46F9D4E4" w:rsidRPr="0053780F" w:rsidRDefault="46F9D4E4" w:rsidP="46F9D4E4"/>
    <w:p w14:paraId="1B4B1361" w14:textId="3E5D5C07" w:rsidR="46F9D4E4" w:rsidRPr="0053780F" w:rsidRDefault="46F9D4E4" w:rsidP="46F9D4E4"/>
    <w:p w14:paraId="2037187C" w14:textId="2DAB97B7" w:rsidR="46F9D4E4" w:rsidRPr="0053780F" w:rsidRDefault="46F9D4E4" w:rsidP="46F9D4E4"/>
    <w:p w14:paraId="2F93A08D" w14:textId="2D18BF17" w:rsidR="46F9D4E4" w:rsidRPr="0053780F" w:rsidRDefault="46F9D4E4" w:rsidP="46F9D4E4"/>
    <w:p w14:paraId="0585E8E9" w14:textId="77777777" w:rsidR="00471337" w:rsidRPr="0053780F" w:rsidRDefault="00471337" w:rsidP="00241901">
      <w:pPr>
        <w:pStyle w:val="Heading1"/>
        <w:tabs>
          <w:tab w:val="left" w:pos="2605"/>
        </w:tabs>
        <w:rPr>
          <w:rFonts w:asciiTheme="minorHAnsi" w:hAnsiTheme="minorHAnsi"/>
        </w:rPr>
        <w:sectPr w:rsidR="00471337" w:rsidRPr="0053780F" w:rsidSect="00471337">
          <w:headerReference w:type="default" r:id="rId41"/>
          <w:footerReference w:type="default" r:id="rId42"/>
          <w:pgSz w:w="11900" w:h="16820"/>
          <w:pgMar w:top="1440" w:right="1440" w:bottom="1440" w:left="1440" w:header="720" w:footer="720" w:gutter="0"/>
          <w:cols w:space="720"/>
          <w:docGrid w:linePitch="360"/>
        </w:sectPr>
      </w:pPr>
    </w:p>
    <w:p w14:paraId="6EB32790" w14:textId="6EA8151E" w:rsidR="6B145540" w:rsidRPr="00571212" w:rsidRDefault="6B145540" w:rsidP="00241901">
      <w:pPr>
        <w:pStyle w:val="Heading1"/>
        <w:tabs>
          <w:tab w:val="left" w:pos="2605"/>
        </w:tabs>
        <w:rPr>
          <w:rFonts w:asciiTheme="minorHAnsi" w:hAnsiTheme="minorHAnsi"/>
          <w:sz w:val="32"/>
          <w:szCs w:val="32"/>
        </w:rPr>
      </w:pPr>
      <w:bookmarkStart w:id="18" w:name="_Toc242610816"/>
      <w:r w:rsidRPr="00571212">
        <w:rPr>
          <w:rFonts w:asciiTheme="minorHAnsi" w:hAnsiTheme="minorHAnsi"/>
          <w:sz w:val="32"/>
          <w:szCs w:val="32"/>
        </w:rPr>
        <w:lastRenderedPageBreak/>
        <w:t>Appendix A</w:t>
      </w:r>
      <w:bookmarkEnd w:id="18"/>
      <w:r w:rsidR="00241901" w:rsidRPr="00571212">
        <w:rPr>
          <w:rFonts w:asciiTheme="minorHAnsi" w:hAnsiTheme="minorHAnsi"/>
          <w:sz w:val="32"/>
          <w:szCs w:val="32"/>
        </w:rPr>
        <w:tab/>
      </w:r>
    </w:p>
    <w:p w14:paraId="76B0F48D" w14:textId="77777777" w:rsidR="00241901" w:rsidRPr="0053780F" w:rsidRDefault="00241901" w:rsidP="00241901">
      <w:pPr>
        <w:rPr>
          <w:rFonts w:eastAsia="Calibri Light" w:cs="Calibri Light"/>
          <w:b/>
          <w:bCs/>
          <w:sz w:val="20"/>
          <w:szCs w:val="20"/>
          <w:u w:val="single"/>
        </w:rPr>
      </w:pPr>
      <w:r w:rsidRPr="0053780F">
        <w:rPr>
          <w:rFonts w:eastAsia="Calibri Light" w:cs="Calibri Light"/>
          <w:b/>
          <w:bCs/>
          <w:sz w:val="20"/>
          <w:szCs w:val="20"/>
          <w:u w:val="single"/>
        </w:rPr>
        <w:t>SWOT Analysis</w:t>
      </w:r>
    </w:p>
    <w:tbl>
      <w:tblPr>
        <w:tblStyle w:val="TableGrid"/>
        <w:tblW w:w="15452" w:type="dxa"/>
        <w:tblInd w:w="-856" w:type="dxa"/>
        <w:tblLook w:val="06A0" w:firstRow="1" w:lastRow="0" w:firstColumn="1" w:lastColumn="0" w:noHBand="1" w:noVBand="1"/>
      </w:tblPr>
      <w:tblGrid>
        <w:gridCol w:w="2694"/>
        <w:gridCol w:w="4819"/>
        <w:gridCol w:w="7939"/>
      </w:tblGrid>
      <w:tr w:rsidR="00241901" w:rsidRPr="0053780F" w14:paraId="17FDD648" w14:textId="77777777" w:rsidTr="00571212">
        <w:trPr>
          <w:trHeight w:val="300"/>
        </w:trPr>
        <w:tc>
          <w:tcPr>
            <w:tcW w:w="2694" w:type="dxa"/>
            <w:shd w:val="clear" w:color="auto" w:fill="D9F2D0" w:themeFill="accent6" w:themeFillTint="33"/>
          </w:tcPr>
          <w:p w14:paraId="7DA2CA84" w14:textId="77777777" w:rsidR="00241901" w:rsidRPr="0053780F" w:rsidRDefault="00241901" w:rsidP="00816F65">
            <w:pPr>
              <w:rPr>
                <w:rFonts w:eastAsia="Calibri" w:cs="Calibri"/>
                <w:b/>
                <w:bCs/>
                <w:sz w:val="20"/>
                <w:szCs w:val="20"/>
              </w:rPr>
            </w:pPr>
            <w:r w:rsidRPr="0053780F">
              <w:rPr>
                <w:rFonts w:eastAsia="Calibri" w:cs="Calibri"/>
                <w:b/>
                <w:bCs/>
                <w:sz w:val="20"/>
                <w:szCs w:val="20"/>
              </w:rPr>
              <w:t>Factor</w:t>
            </w:r>
          </w:p>
        </w:tc>
        <w:tc>
          <w:tcPr>
            <w:tcW w:w="4819" w:type="dxa"/>
            <w:shd w:val="clear" w:color="auto" w:fill="D9F2D0" w:themeFill="accent6" w:themeFillTint="33"/>
          </w:tcPr>
          <w:p w14:paraId="69402F8C" w14:textId="77777777" w:rsidR="00241901" w:rsidRPr="0053780F" w:rsidRDefault="00241901" w:rsidP="00816F65">
            <w:pPr>
              <w:rPr>
                <w:rFonts w:eastAsia="Calibri" w:cs="Calibri"/>
                <w:b/>
                <w:bCs/>
                <w:sz w:val="20"/>
                <w:szCs w:val="20"/>
              </w:rPr>
            </w:pPr>
            <w:r w:rsidRPr="0053780F">
              <w:rPr>
                <w:rFonts w:eastAsia="Calibri" w:cs="Calibri"/>
                <w:b/>
                <w:bCs/>
                <w:sz w:val="20"/>
                <w:szCs w:val="20"/>
              </w:rPr>
              <w:t>Analysis</w:t>
            </w:r>
          </w:p>
        </w:tc>
        <w:tc>
          <w:tcPr>
            <w:tcW w:w="7939" w:type="dxa"/>
            <w:shd w:val="clear" w:color="auto" w:fill="D9F2D0" w:themeFill="accent6" w:themeFillTint="33"/>
          </w:tcPr>
          <w:p w14:paraId="5E6D08F7" w14:textId="77777777" w:rsidR="00241901" w:rsidRPr="0053780F" w:rsidRDefault="00241901" w:rsidP="00816F65">
            <w:pPr>
              <w:rPr>
                <w:rFonts w:eastAsia="Calibri" w:cs="Calibri"/>
                <w:b/>
                <w:bCs/>
                <w:sz w:val="20"/>
                <w:szCs w:val="20"/>
              </w:rPr>
            </w:pPr>
            <w:r w:rsidRPr="0053780F">
              <w:rPr>
                <w:rFonts w:eastAsia="Calibri" w:cs="Calibri"/>
                <w:b/>
                <w:bCs/>
                <w:sz w:val="20"/>
                <w:szCs w:val="20"/>
              </w:rPr>
              <w:t>Implication for Workplace Culture &amp; Capability</w:t>
            </w:r>
          </w:p>
        </w:tc>
      </w:tr>
      <w:tr w:rsidR="00241901" w:rsidRPr="0053780F" w14:paraId="425C01D1" w14:textId="77777777" w:rsidTr="00571212">
        <w:trPr>
          <w:trHeight w:val="300"/>
        </w:trPr>
        <w:tc>
          <w:tcPr>
            <w:tcW w:w="2694" w:type="dxa"/>
          </w:tcPr>
          <w:p w14:paraId="001246E0" w14:textId="77777777" w:rsidR="00241901" w:rsidRPr="0053780F" w:rsidRDefault="00241901" w:rsidP="00816F65">
            <w:pPr>
              <w:rPr>
                <w:rFonts w:eastAsia="Calibri" w:cs="Calibri"/>
                <w:b/>
                <w:bCs/>
                <w:sz w:val="16"/>
                <w:szCs w:val="16"/>
              </w:rPr>
            </w:pPr>
            <w:r w:rsidRPr="0053780F">
              <w:rPr>
                <w:rFonts w:eastAsia="Calibri" w:cs="Calibri"/>
                <w:b/>
                <w:bCs/>
                <w:sz w:val="16"/>
                <w:szCs w:val="16"/>
              </w:rPr>
              <w:t>Strength – Diverse training portfolio</w:t>
            </w:r>
          </w:p>
        </w:tc>
        <w:tc>
          <w:tcPr>
            <w:tcW w:w="4819" w:type="dxa"/>
          </w:tcPr>
          <w:p w14:paraId="5835B420" w14:textId="77777777" w:rsidR="00241901" w:rsidRPr="0053780F" w:rsidRDefault="00241901" w:rsidP="00816F65">
            <w:pPr>
              <w:rPr>
                <w:rFonts w:eastAsia="Calibri" w:cs="Calibri"/>
                <w:sz w:val="16"/>
                <w:szCs w:val="16"/>
              </w:rPr>
            </w:pPr>
            <w:r w:rsidRPr="0053780F">
              <w:rPr>
                <w:rFonts w:eastAsia="Calibri" w:cs="Calibri"/>
                <w:sz w:val="16"/>
                <w:szCs w:val="16"/>
              </w:rPr>
              <w:t>Alpha offers an extensive selection of health, safety, and vocational training, allowing it to fulfil diverse client and organisational needs.</w:t>
            </w:r>
          </w:p>
        </w:tc>
        <w:tc>
          <w:tcPr>
            <w:tcW w:w="7939" w:type="dxa"/>
          </w:tcPr>
          <w:p w14:paraId="1F4C04AC" w14:textId="77777777" w:rsidR="00241901" w:rsidRPr="0053780F" w:rsidRDefault="00241901" w:rsidP="00816F65">
            <w:pPr>
              <w:rPr>
                <w:rFonts w:eastAsia="Calibri" w:cs="Calibri"/>
                <w:sz w:val="16"/>
                <w:szCs w:val="16"/>
              </w:rPr>
            </w:pPr>
            <w:r w:rsidRPr="0053780F">
              <w:rPr>
                <w:rFonts w:eastAsia="Calibri" w:cs="Calibri"/>
                <w:sz w:val="16"/>
                <w:szCs w:val="16"/>
              </w:rPr>
              <w:t>Demands a versatile workforce and robust collaboration among trainers, management, and business development. A culture of perpetual learning is essential to uphold proficiency throughout the service.</w:t>
            </w:r>
          </w:p>
        </w:tc>
      </w:tr>
      <w:tr w:rsidR="00241901" w:rsidRPr="0053780F" w14:paraId="705E7F51" w14:textId="77777777" w:rsidTr="00571212">
        <w:trPr>
          <w:trHeight w:val="300"/>
        </w:trPr>
        <w:tc>
          <w:tcPr>
            <w:tcW w:w="2694" w:type="dxa"/>
          </w:tcPr>
          <w:p w14:paraId="5EBE85C4" w14:textId="77777777" w:rsidR="00241901" w:rsidRPr="0053780F" w:rsidRDefault="00241901" w:rsidP="00816F65">
            <w:pPr>
              <w:rPr>
                <w:rFonts w:eastAsia="Calibri" w:cs="Calibri"/>
                <w:b/>
                <w:bCs/>
                <w:sz w:val="16"/>
                <w:szCs w:val="16"/>
              </w:rPr>
            </w:pPr>
            <w:r w:rsidRPr="0053780F">
              <w:rPr>
                <w:rFonts w:eastAsia="Calibri" w:cs="Calibri"/>
                <w:b/>
                <w:bCs/>
                <w:sz w:val="16"/>
                <w:szCs w:val="16"/>
              </w:rPr>
              <w:t>Strength – Recognised accredited provision</w:t>
            </w:r>
          </w:p>
        </w:tc>
        <w:tc>
          <w:tcPr>
            <w:tcW w:w="4819" w:type="dxa"/>
          </w:tcPr>
          <w:p w14:paraId="4E1E9E0C" w14:textId="77777777" w:rsidR="00241901" w:rsidRPr="0053780F" w:rsidRDefault="00241901" w:rsidP="00816F65">
            <w:pPr>
              <w:rPr>
                <w:rFonts w:eastAsia="Calibri" w:cs="Calibri"/>
                <w:sz w:val="16"/>
                <w:szCs w:val="16"/>
              </w:rPr>
            </w:pPr>
            <w:r w:rsidRPr="0053780F">
              <w:rPr>
                <w:rFonts w:eastAsia="Calibri" w:cs="Calibri"/>
                <w:sz w:val="16"/>
                <w:szCs w:val="16"/>
              </w:rPr>
              <w:t>Services affiliated with recognised awards and industry bodies enhance reliability and client confidence.</w:t>
            </w:r>
          </w:p>
        </w:tc>
        <w:tc>
          <w:tcPr>
            <w:tcW w:w="7939" w:type="dxa"/>
          </w:tcPr>
          <w:p w14:paraId="07A21724" w14:textId="77777777" w:rsidR="00241901" w:rsidRPr="0053780F" w:rsidRDefault="00241901" w:rsidP="00816F65">
            <w:pPr>
              <w:rPr>
                <w:rFonts w:eastAsia="Calibri" w:cs="Calibri"/>
                <w:sz w:val="16"/>
                <w:szCs w:val="16"/>
              </w:rPr>
            </w:pPr>
            <w:r w:rsidRPr="0053780F">
              <w:rPr>
                <w:rFonts w:eastAsia="Calibri" w:cs="Calibri"/>
                <w:sz w:val="16"/>
                <w:szCs w:val="16"/>
              </w:rPr>
              <w:t>Fosters a significant concentration on quality and compliance, demanding that personnel maintain awareness of standards, documentation, and evolving demands.</w:t>
            </w:r>
          </w:p>
        </w:tc>
      </w:tr>
      <w:tr w:rsidR="00241901" w:rsidRPr="0053780F" w14:paraId="659C2652" w14:textId="77777777" w:rsidTr="00571212">
        <w:trPr>
          <w:trHeight w:val="300"/>
        </w:trPr>
        <w:tc>
          <w:tcPr>
            <w:tcW w:w="2694" w:type="dxa"/>
          </w:tcPr>
          <w:p w14:paraId="74472BF3" w14:textId="77777777" w:rsidR="00241901" w:rsidRPr="0053780F" w:rsidRDefault="00241901" w:rsidP="00816F65">
            <w:pPr>
              <w:rPr>
                <w:rFonts w:eastAsia="Calibri" w:cs="Calibri"/>
                <w:b/>
                <w:bCs/>
                <w:sz w:val="16"/>
                <w:szCs w:val="16"/>
              </w:rPr>
            </w:pPr>
            <w:r w:rsidRPr="0053780F">
              <w:rPr>
                <w:rFonts w:eastAsia="Calibri" w:cs="Calibri"/>
                <w:b/>
                <w:bCs/>
                <w:sz w:val="16"/>
                <w:szCs w:val="16"/>
              </w:rPr>
              <w:t>Strengths – Flexibility delivery methods</w:t>
            </w:r>
          </w:p>
        </w:tc>
        <w:tc>
          <w:tcPr>
            <w:tcW w:w="4819" w:type="dxa"/>
          </w:tcPr>
          <w:p w14:paraId="696E0E46" w14:textId="77777777" w:rsidR="00241901" w:rsidRPr="0053780F" w:rsidRDefault="00241901" w:rsidP="00816F65">
            <w:pPr>
              <w:rPr>
                <w:rFonts w:eastAsia="Calibri" w:cs="Calibri"/>
                <w:sz w:val="16"/>
                <w:szCs w:val="16"/>
              </w:rPr>
            </w:pPr>
            <w:r w:rsidRPr="0053780F">
              <w:rPr>
                <w:rFonts w:eastAsia="Calibri" w:cs="Calibri"/>
                <w:sz w:val="16"/>
                <w:szCs w:val="16"/>
              </w:rPr>
              <w:t>Educational settings, professional environments, remote options, and digital platforms offer adaptability for various client needs.</w:t>
            </w:r>
          </w:p>
        </w:tc>
        <w:tc>
          <w:tcPr>
            <w:tcW w:w="7939" w:type="dxa"/>
          </w:tcPr>
          <w:p w14:paraId="3E267D27" w14:textId="77777777" w:rsidR="00241901" w:rsidRPr="0053780F" w:rsidRDefault="00241901" w:rsidP="00816F65">
            <w:pPr>
              <w:rPr>
                <w:rFonts w:eastAsia="Calibri" w:cs="Calibri"/>
                <w:sz w:val="16"/>
                <w:szCs w:val="16"/>
              </w:rPr>
            </w:pPr>
            <w:r w:rsidRPr="0053780F">
              <w:rPr>
                <w:rFonts w:eastAsia="Calibri" w:cs="Calibri"/>
                <w:sz w:val="16"/>
                <w:szCs w:val="16"/>
              </w:rPr>
              <w:t>Promotes flexibility and customer orientation yet necessitates that staff enhance their digital skills and adjust to various working methodologies.</w:t>
            </w:r>
          </w:p>
        </w:tc>
      </w:tr>
      <w:tr w:rsidR="00241901" w:rsidRPr="0053780F" w14:paraId="5DC3320C" w14:textId="77777777" w:rsidTr="00571212">
        <w:trPr>
          <w:trHeight w:val="300"/>
        </w:trPr>
        <w:tc>
          <w:tcPr>
            <w:tcW w:w="2694" w:type="dxa"/>
          </w:tcPr>
          <w:p w14:paraId="3276F9DF" w14:textId="77777777" w:rsidR="00241901" w:rsidRPr="0053780F" w:rsidRDefault="00241901" w:rsidP="00816F65">
            <w:pPr>
              <w:rPr>
                <w:rFonts w:eastAsia="Calibri" w:cs="Calibri"/>
                <w:b/>
                <w:bCs/>
                <w:sz w:val="16"/>
                <w:szCs w:val="16"/>
              </w:rPr>
            </w:pPr>
            <w:r w:rsidRPr="0053780F">
              <w:rPr>
                <w:rFonts w:eastAsia="Calibri" w:cs="Calibri"/>
                <w:b/>
                <w:bCs/>
                <w:sz w:val="16"/>
                <w:szCs w:val="16"/>
              </w:rPr>
              <w:t>Strength – Established South Wales presence</w:t>
            </w:r>
          </w:p>
        </w:tc>
        <w:tc>
          <w:tcPr>
            <w:tcW w:w="4819" w:type="dxa"/>
          </w:tcPr>
          <w:p w14:paraId="195CB0F0" w14:textId="77777777" w:rsidR="00241901" w:rsidRPr="0053780F" w:rsidRDefault="00241901" w:rsidP="00816F65">
            <w:pPr>
              <w:rPr>
                <w:rFonts w:eastAsia="Calibri" w:cs="Calibri"/>
                <w:sz w:val="16"/>
                <w:szCs w:val="16"/>
              </w:rPr>
            </w:pPr>
            <w:r w:rsidRPr="0053780F">
              <w:rPr>
                <w:rFonts w:eastAsia="Calibri" w:cs="Calibri"/>
                <w:sz w:val="16"/>
                <w:szCs w:val="16"/>
              </w:rPr>
              <w:t>Training amenities and a solid clientele afford Alpha a prominent standing in its local market.</w:t>
            </w:r>
          </w:p>
        </w:tc>
        <w:tc>
          <w:tcPr>
            <w:tcW w:w="7939" w:type="dxa"/>
          </w:tcPr>
          <w:p w14:paraId="13FCA143" w14:textId="77777777" w:rsidR="00241901" w:rsidRPr="0053780F" w:rsidRDefault="00241901" w:rsidP="00816F65">
            <w:pPr>
              <w:rPr>
                <w:rFonts w:eastAsia="Calibri" w:cs="Calibri"/>
                <w:sz w:val="16"/>
                <w:szCs w:val="16"/>
              </w:rPr>
            </w:pPr>
            <w:r w:rsidRPr="0053780F">
              <w:rPr>
                <w:rFonts w:eastAsia="Calibri" w:cs="Calibri"/>
                <w:sz w:val="16"/>
                <w:szCs w:val="16"/>
              </w:rPr>
              <w:t>Pre-existing knowledge and client connections might facilitate transformation; however entrenched operational habits may engender opposition when novel procedures confront established routines.</w:t>
            </w:r>
          </w:p>
        </w:tc>
      </w:tr>
      <w:tr w:rsidR="00241901" w:rsidRPr="0053780F" w14:paraId="0C7EFC28" w14:textId="77777777" w:rsidTr="00571212">
        <w:trPr>
          <w:trHeight w:val="300"/>
        </w:trPr>
        <w:tc>
          <w:tcPr>
            <w:tcW w:w="2694" w:type="dxa"/>
          </w:tcPr>
          <w:p w14:paraId="2463E4BB" w14:textId="77777777" w:rsidR="00241901" w:rsidRPr="0053780F" w:rsidRDefault="00241901" w:rsidP="00816F65">
            <w:pPr>
              <w:rPr>
                <w:rFonts w:eastAsia="Calibri" w:cs="Calibri"/>
                <w:b/>
                <w:bCs/>
                <w:sz w:val="16"/>
                <w:szCs w:val="16"/>
              </w:rPr>
            </w:pPr>
            <w:r w:rsidRPr="0053780F">
              <w:rPr>
                <w:rFonts w:eastAsia="Calibri" w:cs="Calibri"/>
                <w:b/>
                <w:bCs/>
                <w:sz w:val="16"/>
                <w:szCs w:val="16"/>
              </w:rPr>
              <w:t>Weakness – Complexity of a broad training portfolio</w:t>
            </w:r>
          </w:p>
        </w:tc>
        <w:tc>
          <w:tcPr>
            <w:tcW w:w="4819" w:type="dxa"/>
          </w:tcPr>
          <w:p w14:paraId="274AA2C4" w14:textId="77777777" w:rsidR="00241901" w:rsidRPr="0053780F" w:rsidRDefault="00241901" w:rsidP="00816F65">
            <w:pPr>
              <w:rPr>
                <w:rFonts w:eastAsia="Calibri" w:cs="Calibri"/>
                <w:sz w:val="16"/>
                <w:szCs w:val="16"/>
              </w:rPr>
            </w:pPr>
            <w:r w:rsidRPr="0053780F">
              <w:rPr>
                <w:rFonts w:eastAsia="Calibri" w:cs="Calibri"/>
                <w:sz w:val="16"/>
                <w:szCs w:val="16"/>
              </w:rPr>
              <w:t>Overseeing several courses, accreditation standards, instructors, and client demands heightens operational intricacy.</w:t>
            </w:r>
          </w:p>
        </w:tc>
        <w:tc>
          <w:tcPr>
            <w:tcW w:w="7939" w:type="dxa"/>
          </w:tcPr>
          <w:p w14:paraId="755301F5" w14:textId="77777777" w:rsidR="00241901" w:rsidRPr="0053780F" w:rsidRDefault="00241901" w:rsidP="00816F65">
            <w:pPr>
              <w:rPr>
                <w:rFonts w:eastAsia="Calibri" w:cs="Calibri"/>
                <w:sz w:val="16"/>
                <w:szCs w:val="16"/>
              </w:rPr>
            </w:pPr>
            <w:r w:rsidRPr="0053780F">
              <w:rPr>
                <w:rFonts w:eastAsia="Calibri" w:cs="Calibri"/>
                <w:sz w:val="16"/>
                <w:szCs w:val="16"/>
              </w:rPr>
              <w:t>Imposes demands on communication, administration, quality assurance, and personnel expertise, sometimes elevating workload during transitional phases.</w:t>
            </w:r>
          </w:p>
        </w:tc>
      </w:tr>
      <w:tr w:rsidR="00241901" w:rsidRPr="0053780F" w14:paraId="3EA71385" w14:textId="77777777" w:rsidTr="00571212">
        <w:trPr>
          <w:trHeight w:val="300"/>
        </w:trPr>
        <w:tc>
          <w:tcPr>
            <w:tcW w:w="2694" w:type="dxa"/>
          </w:tcPr>
          <w:p w14:paraId="7E9C5070" w14:textId="77777777" w:rsidR="00241901" w:rsidRPr="0053780F" w:rsidRDefault="00241901" w:rsidP="00816F65">
            <w:pPr>
              <w:rPr>
                <w:rFonts w:eastAsia="Calibri" w:cs="Calibri"/>
                <w:b/>
                <w:bCs/>
                <w:sz w:val="16"/>
                <w:szCs w:val="16"/>
              </w:rPr>
            </w:pPr>
            <w:r w:rsidRPr="0053780F">
              <w:rPr>
                <w:rFonts w:eastAsia="Calibri" w:cs="Calibri"/>
                <w:b/>
                <w:bCs/>
                <w:sz w:val="16"/>
                <w:szCs w:val="16"/>
              </w:rPr>
              <w:t>Weakness - Dependence on specialist employee competence</w:t>
            </w:r>
          </w:p>
        </w:tc>
        <w:tc>
          <w:tcPr>
            <w:tcW w:w="4819" w:type="dxa"/>
          </w:tcPr>
          <w:p w14:paraId="4DC6C495" w14:textId="77777777" w:rsidR="00241901" w:rsidRPr="0053780F" w:rsidRDefault="00241901" w:rsidP="00816F65">
            <w:r w:rsidRPr="0053780F">
              <w:rPr>
                <w:rFonts w:eastAsia="Calibri" w:cs="Calibri"/>
                <w:sz w:val="16"/>
                <w:szCs w:val="16"/>
              </w:rPr>
              <w:t>Certified and specialised training necessitates suitably certified and skilled individuals.</w:t>
            </w:r>
          </w:p>
        </w:tc>
        <w:tc>
          <w:tcPr>
            <w:tcW w:w="7939" w:type="dxa"/>
          </w:tcPr>
          <w:p w14:paraId="5D70778C" w14:textId="77777777" w:rsidR="00241901" w:rsidRPr="0053780F" w:rsidRDefault="00241901" w:rsidP="00816F65">
            <w:r w:rsidRPr="0053780F">
              <w:rPr>
                <w:rFonts w:eastAsia="Calibri" w:cs="Calibri"/>
                <w:sz w:val="16"/>
                <w:szCs w:val="16"/>
              </w:rPr>
              <w:t>The acquisition, maintenance, and ongoing professional advancement are essential organisational competencies. The absence of specialised expertise may impact the accessibility of courses and the level of services.</w:t>
            </w:r>
          </w:p>
        </w:tc>
      </w:tr>
      <w:tr w:rsidR="00241901" w:rsidRPr="0053780F" w14:paraId="67F40CA7" w14:textId="77777777" w:rsidTr="00571212">
        <w:trPr>
          <w:trHeight w:val="300"/>
        </w:trPr>
        <w:tc>
          <w:tcPr>
            <w:tcW w:w="2694" w:type="dxa"/>
          </w:tcPr>
          <w:p w14:paraId="2AA4B11B" w14:textId="77777777" w:rsidR="00241901" w:rsidRPr="0053780F" w:rsidRDefault="00241901" w:rsidP="00816F65">
            <w:pPr>
              <w:rPr>
                <w:rFonts w:eastAsia="Calibri" w:cs="Calibri"/>
                <w:b/>
                <w:bCs/>
                <w:sz w:val="16"/>
                <w:szCs w:val="16"/>
              </w:rPr>
            </w:pPr>
            <w:r w:rsidRPr="0053780F">
              <w:rPr>
                <w:rFonts w:eastAsia="Calibri" w:cs="Calibri"/>
                <w:b/>
                <w:bCs/>
                <w:sz w:val="16"/>
                <w:szCs w:val="16"/>
              </w:rPr>
              <w:t>Weakness – Resource demands of multiple delivery methods</w:t>
            </w:r>
          </w:p>
        </w:tc>
        <w:tc>
          <w:tcPr>
            <w:tcW w:w="4819" w:type="dxa"/>
          </w:tcPr>
          <w:p w14:paraId="0B2B1FD8" w14:textId="77777777" w:rsidR="00241901" w:rsidRPr="0053780F" w:rsidRDefault="00241901" w:rsidP="00816F65">
            <w:r w:rsidRPr="0053780F">
              <w:rPr>
                <w:rFonts w:eastAsia="Calibri" w:cs="Calibri"/>
                <w:sz w:val="16"/>
                <w:szCs w:val="16"/>
              </w:rPr>
              <w:t>The upkeep of physical buildings, together with digital and remote offerings, demands allocation of various resources and systems.</w:t>
            </w:r>
          </w:p>
        </w:tc>
        <w:tc>
          <w:tcPr>
            <w:tcW w:w="7939" w:type="dxa"/>
          </w:tcPr>
          <w:p w14:paraId="10715C71" w14:textId="77777777" w:rsidR="00241901" w:rsidRPr="0053780F" w:rsidRDefault="00241901" w:rsidP="00816F65">
            <w:r w:rsidRPr="0053780F">
              <w:rPr>
                <w:rFonts w:eastAsia="Calibri" w:cs="Calibri"/>
                <w:sz w:val="16"/>
                <w:szCs w:val="16"/>
              </w:rPr>
              <w:t>Personnel can want further instruction and assistance, whereas leadership must guarantee that technology advancements do not result in competency deficiencies.</w:t>
            </w:r>
          </w:p>
        </w:tc>
      </w:tr>
      <w:tr w:rsidR="00241901" w:rsidRPr="0053780F" w14:paraId="471773B0" w14:textId="77777777" w:rsidTr="00571212">
        <w:trPr>
          <w:trHeight w:val="300"/>
        </w:trPr>
        <w:tc>
          <w:tcPr>
            <w:tcW w:w="2694" w:type="dxa"/>
          </w:tcPr>
          <w:p w14:paraId="189645F3" w14:textId="77777777" w:rsidR="00241901" w:rsidRPr="0053780F" w:rsidRDefault="00241901" w:rsidP="00816F65">
            <w:pPr>
              <w:rPr>
                <w:rFonts w:eastAsia="Calibri" w:cs="Calibri"/>
                <w:b/>
                <w:bCs/>
                <w:sz w:val="16"/>
                <w:szCs w:val="16"/>
              </w:rPr>
            </w:pPr>
            <w:r w:rsidRPr="0053780F">
              <w:rPr>
                <w:rFonts w:eastAsia="Calibri" w:cs="Calibri"/>
                <w:b/>
                <w:bCs/>
                <w:sz w:val="16"/>
                <w:szCs w:val="16"/>
              </w:rPr>
              <w:t>Weakness – Potential capacity pressures during growth</w:t>
            </w:r>
          </w:p>
        </w:tc>
        <w:tc>
          <w:tcPr>
            <w:tcW w:w="4819" w:type="dxa"/>
          </w:tcPr>
          <w:p w14:paraId="5806489A" w14:textId="77777777" w:rsidR="00241901" w:rsidRPr="0053780F" w:rsidRDefault="00241901" w:rsidP="00816F65">
            <w:r w:rsidRPr="0053780F">
              <w:rPr>
                <w:rFonts w:eastAsia="Calibri" w:cs="Calibri"/>
                <w:sz w:val="16"/>
                <w:szCs w:val="16"/>
              </w:rPr>
              <w:t>Elevating course capacities or extending services could generate additional pressures on trainers, administration, and management.</w:t>
            </w:r>
          </w:p>
        </w:tc>
        <w:tc>
          <w:tcPr>
            <w:tcW w:w="7939" w:type="dxa"/>
          </w:tcPr>
          <w:p w14:paraId="041C272C" w14:textId="77777777" w:rsidR="00241901" w:rsidRPr="0053780F" w:rsidRDefault="00241901" w:rsidP="00816F65">
            <w:r w:rsidRPr="0053780F">
              <w:rPr>
                <w:rFonts w:eastAsia="Calibri" w:cs="Calibri"/>
                <w:sz w:val="16"/>
                <w:szCs w:val="16"/>
              </w:rPr>
              <w:t>Mismanaged development could amplify burden, lessen engagement, and detrimentally influence service quality and workplace environment.</w:t>
            </w:r>
          </w:p>
        </w:tc>
      </w:tr>
      <w:tr w:rsidR="00241901" w:rsidRPr="0053780F" w14:paraId="3FA65E62" w14:textId="77777777" w:rsidTr="00571212">
        <w:trPr>
          <w:trHeight w:val="300"/>
        </w:trPr>
        <w:tc>
          <w:tcPr>
            <w:tcW w:w="2694" w:type="dxa"/>
          </w:tcPr>
          <w:p w14:paraId="69BE0352" w14:textId="77777777" w:rsidR="00241901" w:rsidRPr="0053780F" w:rsidRDefault="00241901" w:rsidP="00816F65">
            <w:pPr>
              <w:rPr>
                <w:rFonts w:eastAsia="Calibri" w:cs="Calibri"/>
                <w:b/>
                <w:bCs/>
                <w:sz w:val="16"/>
                <w:szCs w:val="16"/>
              </w:rPr>
            </w:pPr>
            <w:r w:rsidRPr="0053780F">
              <w:rPr>
                <w:rFonts w:eastAsia="Calibri" w:cs="Calibri"/>
                <w:b/>
                <w:bCs/>
                <w:sz w:val="16"/>
                <w:szCs w:val="16"/>
              </w:rPr>
              <w:t>Opportunity – Growth of digital and blended learning</w:t>
            </w:r>
          </w:p>
        </w:tc>
        <w:tc>
          <w:tcPr>
            <w:tcW w:w="4819" w:type="dxa"/>
          </w:tcPr>
          <w:p w14:paraId="39925F92" w14:textId="77777777" w:rsidR="00241901" w:rsidRPr="0053780F" w:rsidRDefault="00241901" w:rsidP="00816F65">
            <w:r w:rsidRPr="0053780F">
              <w:rPr>
                <w:rFonts w:eastAsia="Calibri" w:cs="Calibri"/>
                <w:sz w:val="16"/>
                <w:szCs w:val="16"/>
              </w:rPr>
              <w:t>Digital and remote distribution can allow Alpha to provide to clients outside the local vicinity.</w:t>
            </w:r>
          </w:p>
        </w:tc>
        <w:tc>
          <w:tcPr>
            <w:tcW w:w="7939" w:type="dxa"/>
          </w:tcPr>
          <w:p w14:paraId="3F692467" w14:textId="77777777" w:rsidR="00241901" w:rsidRPr="0053780F" w:rsidRDefault="00241901" w:rsidP="00816F65">
            <w:r w:rsidRPr="0053780F">
              <w:rPr>
                <w:rFonts w:eastAsia="Calibri" w:cs="Calibri"/>
                <w:sz w:val="16"/>
                <w:szCs w:val="16"/>
              </w:rPr>
              <w:t>Generates prospects for personnel to cultivate fresh abilities and operational techniques yet demands leadership to foster digital assimilation and perpetual learning.</w:t>
            </w:r>
          </w:p>
        </w:tc>
      </w:tr>
      <w:tr w:rsidR="00241901" w:rsidRPr="0053780F" w14:paraId="63589E30" w14:textId="77777777" w:rsidTr="00571212">
        <w:trPr>
          <w:trHeight w:val="300"/>
        </w:trPr>
        <w:tc>
          <w:tcPr>
            <w:tcW w:w="2694" w:type="dxa"/>
          </w:tcPr>
          <w:p w14:paraId="6C7F9CB5" w14:textId="77777777" w:rsidR="00241901" w:rsidRPr="0053780F" w:rsidRDefault="00241901" w:rsidP="00816F65">
            <w:pPr>
              <w:rPr>
                <w:rFonts w:eastAsia="Calibri" w:cs="Calibri"/>
                <w:b/>
                <w:bCs/>
                <w:sz w:val="16"/>
                <w:szCs w:val="16"/>
              </w:rPr>
            </w:pPr>
            <w:r w:rsidRPr="0053780F">
              <w:rPr>
                <w:rFonts w:eastAsia="Calibri" w:cs="Calibri"/>
                <w:b/>
                <w:bCs/>
                <w:sz w:val="16"/>
                <w:szCs w:val="16"/>
              </w:rPr>
              <w:t>Opportunity – Changing workforce training requirements</w:t>
            </w:r>
          </w:p>
        </w:tc>
        <w:tc>
          <w:tcPr>
            <w:tcW w:w="4819" w:type="dxa"/>
          </w:tcPr>
          <w:p w14:paraId="76ABB40D" w14:textId="77777777" w:rsidR="00241901" w:rsidRPr="0053780F" w:rsidRDefault="00241901" w:rsidP="00816F65">
            <w:r w:rsidRPr="0053780F">
              <w:rPr>
                <w:rFonts w:eastAsia="Calibri" w:cs="Calibri"/>
                <w:sz w:val="16"/>
                <w:szCs w:val="16"/>
              </w:rPr>
              <w:t>Continuous regulatory, technical, and occupational changes impose persistent obligations on companies to ensure workforce competency.</w:t>
            </w:r>
          </w:p>
        </w:tc>
        <w:tc>
          <w:tcPr>
            <w:tcW w:w="7939" w:type="dxa"/>
          </w:tcPr>
          <w:p w14:paraId="342750EF" w14:textId="77777777" w:rsidR="00241901" w:rsidRPr="0053780F" w:rsidRDefault="00241901" w:rsidP="00816F65">
            <w:r w:rsidRPr="0053780F">
              <w:rPr>
                <w:rFonts w:eastAsia="Calibri" w:cs="Calibri"/>
                <w:sz w:val="16"/>
                <w:szCs w:val="16"/>
              </w:rPr>
              <w:t>Alpha has the capacity to formulate strategies addressing evolving client demands, necessitating a flexible and market-responsive organisational culture.</w:t>
            </w:r>
          </w:p>
        </w:tc>
      </w:tr>
      <w:tr w:rsidR="00241901" w:rsidRPr="0053780F" w14:paraId="325F6945" w14:textId="77777777" w:rsidTr="00571212">
        <w:trPr>
          <w:trHeight w:val="300"/>
        </w:trPr>
        <w:tc>
          <w:tcPr>
            <w:tcW w:w="2694" w:type="dxa"/>
          </w:tcPr>
          <w:p w14:paraId="59B98E92" w14:textId="77777777" w:rsidR="00241901" w:rsidRPr="0053780F" w:rsidRDefault="00241901" w:rsidP="00816F65">
            <w:pPr>
              <w:rPr>
                <w:rFonts w:eastAsia="Calibri" w:cs="Calibri"/>
                <w:b/>
                <w:bCs/>
                <w:sz w:val="16"/>
                <w:szCs w:val="16"/>
              </w:rPr>
            </w:pPr>
            <w:r w:rsidRPr="0053780F">
              <w:rPr>
                <w:rFonts w:eastAsia="Calibri" w:cs="Calibri"/>
                <w:b/>
                <w:bCs/>
                <w:sz w:val="16"/>
                <w:szCs w:val="16"/>
              </w:rPr>
              <w:t>Opportunity – Development of organisational/client relationships</w:t>
            </w:r>
          </w:p>
        </w:tc>
        <w:tc>
          <w:tcPr>
            <w:tcW w:w="4819" w:type="dxa"/>
          </w:tcPr>
          <w:p w14:paraId="3E9F6FE6" w14:textId="77777777" w:rsidR="00241901" w:rsidRPr="0053780F" w:rsidRDefault="00241901" w:rsidP="00816F65">
            <w:r w:rsidRPr="0053780F">
              <w:rPr>
                <w:rFonts w:eastAsia="Calibri" w:cs="Calibri"/>
                <w:sz w:val="16"/>
                <w:szCs w:val="16"/>
              </w:rPr>
              <w:t>Customised programs and recurring training needs create avenues to enhance enduring corporate partnerships.</w:t>
            </w:r>
          </w:p>
        </w:tc>
        <w:tc>
          <w:tcPr>
            <w:tcW w:w="7939" w:type="dxa"/>
          </w:tcPr>
          <w:p w14:paraId="0594A3E0" w14:textId="77777777" w:rsidR="00241901" w:rsidRPr="0053780F" w:rsidRDefault="00241901" w:rsidP="00816F65">
            <w:r w:rsidRPr="0053780F">
              <w:rPr>
                <w:rFonts w:eastAsia="Calibri" w:cs="Calibri"/>
                <w:sz w:val="16"/>
                <w:szCs w:val="16"/>
              </w:rPr>
              <w:t>Enhanced customer collaboration may foster growth, although it necessitates robust account management, effective communication, and prompt responsiveness among divisions.</w:t>
            </w:r>
          </w:p>
        </w:tc>
      </w:tr>
      <w:tr w:rsidR="00241901" w:rsidRPr="0053780F" w14:paraId="178C7E2B" w14:textId="77777777" w:rsidTr="00571212">
        <w:trPr>
          <w:trHeight w:val="300"/>
        </w:trPr>
        <w:tc>
          <w:tcPr>
            <w:tcW w:w="2694" w:type="dxa"/>
          </w:tcPr>
          <w:p w14:paraId="11564BF1" w14:textId="77777777" w:rsidR="00241901" w:rsidRPr="0053780F" w:rsidRDefault="00241901" w:rsidP="00816F65">
            <w:pPr>
              <w:rPr>
                <w:rFonts w:eastAsia="Calibri" w:cs="Calibri"/>
                <w:b/>
                <w:bCs/>
                <w:sz w:val="16"/>
                <w:szCs w:val="16"/>
              </w:rPr>
            </w:pPr>
            <w:r w:rsidRPr="0053780F">
              <w:rPr>
                <w:rFonts w:eastAsia="Calibri" w:cs="Calibri"/>
                <w:b/>
                <w:bCs/>
                <w:sz w:val="16"/>
                <w:szCs w:val="16"/>
              </w:rPr>
              <w:t>Opportunity – Greater use of technology and data</w:t>
            </w:r>
          </w:p>
        </w:tc>
        <w:tc>
          <w:tcPr>
            <w:tcW w:w="4819" w:type="dxa"/>
          </w:tcPr>
          <w:p w14:paraId="36AC2828" w14:textId="77777777" w:rsidR="00241901" w:rsidRPr="0053780F" w:rsidRDefault="00241901" w:rsidP="00816F65">
            <w:r w:rsidRPr="0053780F">
              <w:rPr>
                <w:rFonts w:eastAsia="Calibri" w:cs="Calibri"/>
                <w:sz w:val="16"/>
                <w:szCs w:val="16"/>
              </w:rPr>
              <w:t>Digital solutions have the capacity to enhance course administration, client management, communication, and performance evaluation.</w:t>
            </w:r>
          </w:p>
        </w:tc>
        <w:tc>
          <w:tcPr>
            <w:tcW w:w="7939" w:type="dxa"/>
          </w:tcPr>
          <w:p w14:paraId="058D4493" w14:textId="77777777" w:rsidR="00241901" w:rsidRPr="0053780F" w:rsidRDefault="00241901" w:rsidP="00816F65">
            <w:r w:rsidRPr="0053780F">
              <w:rPr>
                <w:rFonts w:eastAsia="Calibri" w:cs="Calibri"/>
                <w:sz w:val="16"/>
                <w:szCs w:val="16"/>
              </w:rPr>
              <w:t>The triumph of implementation hinges on employee endorsement, adequate training, and leadership in behavioural modification rather than just technology.</w:t>
            </w:r>
          </w:p>
        </w:tc>
      </w:tr>
      <w:tr w:rsidR="00241901" w:rsidRPr="0053780F" w14:paraId="0762FAAB" w14:textId="77777777" w:rsidTr="00571212">
        <w:trPr>
          <w:trHeight w:val="300"/>
        </w:trPr>
        <w:tc>
          <w:tcPr>
            <w:tcW w:w="2694" w:type="dxa"/>
          </w:tcPr>
          <w:p w14:paraId="03D0E508" w14:textId="77777777" w:rsidR="00241901" w:rsidRPr="0053780F" w:rsidRDefault="00241901" w:rsidP="00816F65">
            <w:pPr>
              <w:rPr>
                <w:rFonts w:eastAsia="Calibri" w:cs="Calibri"/>
                <w:b/>
                <w:bCs/>
                <w:sz w:val="16"/>
                <w:szCs w:val="16"/>
              </w:rPr>
            </w:pPr>
            <w:r w:rsidRPr="0053780F">
              <w:rPr>
                <w:rFonts w:eastAsia="Calibri" w:cs="Calibri"/>
                <w:b/>
                <w:bCs/>
                <w:sz w:val="16"/>
                <w:szCs w:val="16"/>
              </w:rPr>
              <w:t>Threat – Strong training-provider competition</w:t>
            </w:r>
          </w:p>
        </w:tc>
        <w:tc>
          <w:tcPr>
            <w:tcW w:w="4819" w:type="dxa"/>
          </w:tcPr>
          <w:p w14:paraId="7FEF1A3A" w14:textId="77777777" w:rsidR="00241901" w:rsidRPr="0053780F" w:rsidRDefault="00241901" w:rsidP="00816F65">
            <w:r w:rsidRPr="0053780F">
              <w:rPr>
                <w:rFonts w:eastAsia="Calibri" w:cs="Calibri"/>
                <w:sz w:val="16"/>
                <w:szCs w:val="16"/>
              </w:rPr>
              <w:t>Clients have the option to select from local, national, and progressively internet training providers.</w:t>
            </w:r>
          </w:p>
        </w:tc>
        <w:tc>
          <w:tcPr>
            <w:tcW w:w="7939" w:type="dxa"/>
          </w:tcPr>
          <w:p w14:paraId="12CE175D" w14:textId="77777777" w:rsidR="00241901" w:rsidRPr="0053780F" w:rsidRDefault="00241901" w:rsidP="00816F65">
            <w:r w:rsidRPr="0053780F">
              <w:rPr>
                <w:rFonts w:eastAsia="Calibri" w:cs="Calibri"/>
                <w:sz w:val="16"/>
                <w:szCs w:val="16"/>
              </w:rPr>
              <w:t>Imposes a need on Alpha to distinguish itself via quality, customer service, adaptability, and personnel proficiency instead of relying solely on certification.</w:t>
            </w:r>
          </w:p>
        </w:tc>
      </w:tr>
      <w:tr w:rsidR="00241901" w:rsidRPr="0053780F" w14:paraId="702D568E" w14:textId="77777777" w:rsidTr="00571212">
        <w:trPr>
          <w:trHeight w:val="300"/>
        </w:trPr>
        <w:tc>
          <w:tcPr>
            <w:tcW w:w="2694" w:type="dxa"/>
          </w:tcPr>
          <w:p w14:paraId="7B372837" w14:textId="77777777" w:rsidR="00241901" w:rsidRPr="0053780F" w:rsidRDefault="00241901" w:rsidP="00816F65">
            <w:pPr>
              <w:rPr>
                <w:rFonts w:eastAsia="Calibri" w:cs="Calibri"/>
                <w:b/>
                <w:bCs/>
                <w:sz w:val="16"/>
                <w:szCs w:val="16"/>
              </w:rPr>
            </w:pPr>
            <w:r w:rsidRPr="0053780F">
              <w:rPr>
                <w:rFonts w:eastAsia="Calibri" w:cs="Calibri"/>
                <w:b/>
                <w:bCs/>
                <w:sz w:val="16"/>
                <w:szCs w:val="16"/>
              </w:rPr>
              <w:t>Threat – Economic pressures on customers</w:t>
            </w:r>
          </w:p>
        </w:tc>
        <w:tc>
          <w:tcPr>
            <w:tcW w:w="4819" w:type="dxa"/>
          </w:tcPr>
          <w:p w14:paraId="0E0ECBBB" w14:textId="77777777" w:rsidR="00241901" w:rsidRPr="0053780F" w:rsidRDefault="00241901" w:rsidP="00816F65">
            <w:r w:rsidRPr="0053780F">
              <w:rPr>
                <w:rFonts w:eastAsia="Calibri" w:cs="Calibri"/>
                <w:sz w:val="16"/>
                <w:szCs w:val="16"/>
              </w:rPr>
              <w:t>Organisations under budgetary strain might examine training costs or prioritise essential provisions.</w:t>
            </w:r>
          </w:p>
        </w:tc>
        <w:tc>
          <w:tcPr>
            <w:tcW w:w="7939" w:type="dxa"/>
          </w:tcPr>
          <w:p w14:paraId="68AA8140" w14:textId="77777777" w:rsidR="00241901" w:rsidRPr="0053780F" w:rsidRDefault="00241901" w:rsidP="00816F65">
            <w:r w:rsidRPr="0053780F">
              <w:rPr>
                <w:rFonts w:eastAsia="Calibri" w:cs="Calibri"/>
                <w:sz w:val="16"/>
                <w:szCs w:val="16"/>
              </w:rPr>
              <w:t>Alpha might require enhanced commercial adaptability and efficiency while steering clear of cost-cutting measures that compromise personnel competence or service excellence.</w:t>
            </w:r>
          </w:p>
        </w:tc>
      </w:tr>
      <w:tr w:rsidR="00241901" w:rsidRPr="0053780F" w14:paraId="4161CB10" w14:textId="77777777" w:rsidTr="00571212">
        <w:trPr>
          <w:trHeight w:val="300"/>
        </w:trPr>
        <w:tc>
          <w:tcPr>
            <w:tcW w:w="2694" w:type="dxa"/>
          </w:tcPr>
          <w:p w14:paraId="165E6B6B" w14:textId="77777777" w:rsidR="00241901" w:rsidRPr="0053780F" w:rsidRDefault="00241901" w:rsidP="00816F65">
            <w:pPr>
              <w:rPr>
                <w:rFonts w:eastAsia="Calibri" w:cs="Calibri"/>
                <w:b/>
                <w:bCs/>
                <w:sz w:val="16"/>
                <w:szCs w:val="16"/>
              </w:rPr>
            </w:pPr>
            <w:r w:rsidRPr="0053780F">
              <w:rPr>
                <w:rFonts w:eastAsia="Calibri" w:cs="Calibri"/>
                <w:b/>
                <w:bCs/>
                <w:sz w:val="16"/>
                <w:szCs w:val="16"/>
              </w:rPr>
              <w:t>Threat – Changing regulation/accreditation requirements</w:t>
            </w:r>
          </w:p>
        </w:tc>
        <w:tc>
          <w:tcPr>
            <w:tcW w:w="4819" w:type="dxa"/>
          </w:tcPr>
          <w:p w14:paraId="3F4B95A7" w14:textId="77777777" w:rsidR="00241901" w:rsidRPr="0053780F" w:rsidRDefault="00241901" w:rsidP="00816F65">
            <w:r w:rsidRPr="0053780F">
              <w:rPr>
                <w:rFonts w:eastAsia="Calibri" w:cs="Calibri"/>
                <w:sz w:val="16"/>
                <w:szCs w:val="16"/>
              </w:rPr>
              <w:t>Health and safety, as well as qualification and awarding-body stipulations, may evolve, necessitating providers to adapt.</w:t>
            </w:r>
          </w:p>
        </w:tc>
        <w:tc>
          <w:tcPr>
            <w:tcW w:w="7939" w:type="dxa"/>
          </w:tcPr>
          <w:p w14:paraId="51B900D5" w14:textId="77777777" w:rsidR="00241901" w:rsidRPr="0053780F" w:rsidRDefault="00241901" w:rsidP="00816F65">
            <w:r w:rsidRPr="0053780F">
              <w:rPr>
                <w:rFonts w:eastAsia="Calibri" w:cs="Calibri"/>
                <w:sz w:val="16"/>
                <w:szCs w:val="16"/>
              </w:rPr>
              <w:t>Personnel and systems must possess the ability to swiftly adapt, rendering ongoing professional growth, communication, and adherence crucial cultural traits.</w:t>
            </w:r>
          </w:p>
        </w:tc>
      </w:tr>
      <w:tr w:rsidR="00241901" w:rsidRPr="0053780F" w14:paraId="5F817832" w14:textId="77777777" w:rsidTr="00571212">
        <w:trPr>
          <w:trHeight w:val="300"/>
        </w:trPr>
        <w:tc>
          <w:tcPr>
            <w:tcW w:w="2694" w:type="dxa"/>
          </w:tcPr>
          <w:p w14:paraId="5FB7FCED" w14:textId="77777777" w:rsidR="00241901" w:rsidRPr="0053780F" w:rsidRDefault="00241901" w:rsidP="00816F65">
            <w:pPr>
              <w:rPr>
                <w:rFonts w:eastAsia="Calibri" w:cs="Calibri"/>
                <w:b/>
                <w:bCs/>
                <w:sz w:val="16"/>
                <w:szCs w:val="16"/>
              </w:rPr>
            </w:pPr>
            <w:r w:rsidRPr="0053780F">
              <w:rPr>
                <w:rFonts w:eastAsia="Calibri" w:cs="Calibri"/>
                <w:b/>
                <w:bCs/>
                <w:sz w:val="16"/>
                <w:szCs w:val="16"/>
              </w:rPr>
              <w:t>Threat – Increasing digital competition</w:t>
            </w:r>
          </w:p>
        </w:tc>
        <w:tc>
          <w:tcPr>
            <w:tcW w:w="4819" w:type="dxa"/>
          </w:tcPr>
          <w:p w14:paraId="306F0151" w14:textId="77777777" w:rsidR="00241901" w:rsidRPr="0053780F" w:rsidRDefault="00241901" w:rsidP="00816F65">
            <w:r w:rsidRPr="0053780F">
              <w:rPr>
                <w:rFonts w:eastAsia="Calibri" w:cs="Calibri"/>
                <w:sz w:val="16"/>
                <w:szCs w:val="16"/>
              </w:rPr>
              <w:t>Internet-based services eliminate geographical limitations and could expand the array of rivals available to clients.</w:t>
            </w:r>
          </w:p>
        </w:tc>
        <w:tc>
          <w:tcPr>
            <w:tcW w:w="7939" w:type="dxa"/>
          </w:tcPr>
          <w:p w14:paraId="2D924583" w14:textId="77777777" w:rsidR="00241901" w:rsidRPr="0053780F" w:rsidRDefault="00241901" w:rsidP="00816F65">
            <w:r w:rsidRPr="0053780F">
              <w:rPr>
                <w:rFonts w:eastAsia="Calibri" w:cs="Calibri"/>
                <w:sz w:val="16"/>
                <w:szCs w:val="16"/>
              </w:rPr>
              <w:t>Alpha must consistently enhance its digital proficiency while maintaining distinctive elements like practical knowledge, client relationships, and service excellence.</w:t>
            </w:r>
          </w:p>
        </w:tc>
      </w:tr>
    </w:tbl>
    <w:p w14:paraId="6B62B135" w14:textId="7E049899" w:rsidR="6B145540" w:rsidRPr="004C74D2" w:rsidRDefault="6B145540" w:rsidP="46F9D4E4">
      <w:pPr>
        <w:pStyle w:val="Heading1"/>
        <w:rPr>
          <w:rFonts w:asciiTheme="minorHAnsi" w:hAnsiTheme="minorHAnsi"/>
          <w:sz w:val="32"/>
          <w:szCs w:val="32"/>
        </w:rPr>
      </w:pPr>
      <w:bookmarkStart w:id="19" w:name="_Toc242610817"/>
      <w:r w:rsidRPr="004C74D2">
        <w:rPr>
          <w:rFonts w:asciiTheme="minorHAnsi" w:hAnsiTheme="minorHAnsi"/>
          <w:sz w:val="32"/>
          <w:szCs w:val="32"/>
        </w:rPr>
        <w:lastRenderedPageBreak/>
        <w:t>Appendix B</w:t>
      </w:r>
      <w:bookmarkEnd w:id="19"/>
    </w:p>
    <w:p w14:paraId="78B959A9" w14:textId="77777777" w:rsidR="00241901" w:rsidRPr="0053780F" w:rsidRDefault="00241901" w:rsidP="00241901">
      <w:pPr>
        <w:rPr>
          <w:rFonts w:eastAsia="Calibri Light" w:cs="Calibri Light"/>
          <w:b/>
          <w:bCs/>
          <w:sz w:val="20"/>
          <w:szCs w:val="20"/>
          <w:u w:val="single"/>
        </w:rPr>
      </w:pPr>
      <w:r w:rsidRPr="0053780F">
        <w:rPr>
          <w:rFonts w:eastAsia="Calibri Light" w:cs="Calibri Light"/>
          <w:b/>
          <w:bCs/>
          <w:sz w:val="20"/>
          <w:szCs w:val="20"/>
          <w:u w:val="single"/>
        </w:rPr>
        <w:t>SWOT Analysis</w:t>
      </w:r>
    </w:p>
    <w:tbl>
      <w:tblPr>
        <w:tblStyle w:val="TableGrid"/>
        <w:tblW w:w="16019" w:type="dxa"/>
        <w:tblInd w:w="-856" w:type="dxa"/>
        <w:tblLook w:val="06A0" w:firstRow="1" w:lastRow="0" w:firstColumn="1" w:lastColumn="0" w:noHBand="1" w:noVBand="1"/>
      </w:tblPr>
      <w:tblGrid>
        <w:gridCol w:w="3443"/>
        <w:gridCol w:w="4638"/>
        <w:gridCol w:w="7938"/>
      </w:tblGrid>
      <w:tr w:rsidR="00241901" w:rsidRPr="0053780F" w14:paraId="02DF9487" w14:textId="77777777" w:rsidTr="004C74D2">
        <w:trPr>
          <w:trHeight w:val="300"/>
        </w:trPr>
        <w:tc>
          <w:tcPr>
            <w:tcW w:w="3443" w:type="dxa"/>
            <w:shd w:val="clear" w:color="auto" w:fill="D9F2D0" w:themeFill="accent6" w:themeFillTint="33"/>
          </w:tcPr>
          <w:p w14:paraId="79B1A4EC" w14:textId="77777777" w:rsidR="00241901" w:rsidRPr="0053780F" w:rsidRDefault="00241901" w:rsidP="00816F65">
            <w:pPr>
              <w:rPr>
                <w:rFonts w:eastAsia="Calibri" w:cs="Calibri"/>
                <w:b/>
                <w:bCs/>
                <w:sz w:val="20"/>
                <w:szCs w:val="20"/>
              </w:rPr>
            </w:pPr>
            <w:r w:rsidRPr="0053780F">
              <w:rPr>
                <w:rFonts w:eastAsia="Calibri" w:cs="Calibri"/>
                <w:b/>
                <w:bCs/>
                <w:sz w:val="20"/>
                <w:szCs w:val="20"/>
              </w:rPr>
              <w:t>Factor</w:t>
            </w:r>
          </w:p>
        </w:tc>
        <w:tc>
          <w:tcPr>
            <w:tcW w:w="4638" w:type="dxa"/>
            <w:shd w:val="clear" w:color="auto" w:fill="D9F2D0" w:themeFill="accent6" w:themeFillTint="33"/>
          </w:tcPr>
          <w:p w14:paraId="2F10ED98" w14:textId="77777777" w:rsidR="00241901" w:rsidRPr="0053780F" w:rsidRDefault="00241901" w:rsidP="00816F65">
            <w:pPr>
              <w:rPr>
                <w:rFonts w:eastAsia="Calibri" w:cs="Calibri"/>
                <w:b/>
                <w:bCs/>
                <w:sz w:val="20"/>
                <w:szCs w:val="20"/>
              </w:rPr>
            </w:pPr>
            <w:r w:rsidRPr="0053780F">
              <w:rPr>
                <w:rFonts w:eastAsia="Calibri" w:cs="Calibri"/>
                <w:b/>
                <w:bCs/>
                <w:sz w:val="20"/>
                <w:szCs w:val="20"/>
              </w:rPr>
              <w:t>Analysis</w:t>
            </w:r>
          </w:p>
        </w:tc>
        <w:tc>
          <w:tcPr>
            <w:tcW w:w="7938" w:type="dxa"/>
            <w:shd w:val="clear" w:color="auto" w:fill="D9F2D0" w:themeFill="accent6" w:themeFillTint="33"/>
          </w:tcPr>
          <w:p w14:paraId="37779D70" w14:textId="77777777" w:rsidR="00241901" w:rsidRPr="0053780F" w:rsidRDefault="00241901" w:rsidP="00816F65">
            <w:pPr>
              <w:rPr>
                <w:rFonts w:eastAsia="Calibri" w:cs="Calibri"/>
                <w:b/>
                <w:bCs/>
                <w:sz w:val="20"/>
                <w:szCs w:val="20"/>
              </w:rPr>
            </w:pPr>
            <w:r w:rsidRPr="0053780F">
              <w:rPr>
                <w:rFonts w:eastAsia="Calibri" w:cs="Calibri"/>
                <w:b/>
                <w:bCs/>
                <w:sz w:val="20"/>
                <w:szCs w:val="20"/>
              </w:rPr>
              <w:t>Implication for Workplace Culture &amp; Capability</w:t>
            </w:r>
          </w:p>
        </w:tc>
      </w:tr>
      <w:tr w:rsidR="00241901" w:rsidRPr="0053780F" w14:paraId="63E2DAED" w14:textId="77777777" w:rsidTr="004C74D2">
        <w:trPr>
          <w:trHeight w:val="300"/>
        </w:trPr>
        <w:tc>
          <w:tcPr>
            <w:tcW w:w="3443" w:type="dxa"/>
          </w:tcPr>
          <w:p w14:paraId="5651B36B" w14:textId="77777777" w:rsidR="00241901" w:rsidRPr="0053780F" w:rsidRDefault="00241901" w:rsidP="00816F65">
            <w:pPr>
              <w:rPr>
                <w:rFonts w:eastAsia="Calibri" w:cs="Calibri"/>
                <w:b/>
                <w:bCs/>
                <w:sz w:val="16"/>
                <w:szCs w:val="16"/>
              </w:rPr>
            </w:pPr>
            <w:r w:rsidRPr="0053780F">
              <w:rPr>
                <w:rFonts w:eastAsia="Calibri" w:cs="Calibri"/>
                <w:b/>
                <w:bCs/>
                <w:sz w:val="16"/>
                <w:szCs w:val="16"/>
              </w:rPr>
              <w:t>Strength – Diverse training portfolio</w:t>
            </w:r>
          </w:p>
        </w:tc>
        <w:tc>
          <w:tcPr>
            <w:tcW w:w="4638" w:type="dxa"/>
          </w:tcPr>
          <w:p w14:paraId="175CE871" w14:textId="77777777" w:rsidR="00241901" w:rsidRPr="0053780F" w:rsidRDefault="00241901" w:rsidP="00816F65">
            <w:pPr>
              <w:rPr>
                <w:rFonts w:eastAsia="Calibri" w:cs="Calibri"/>
                <w:sz w:val="16"/>
                <w:szCs w:val="16"/>
              </w:rPr>
            </w:pPr>
            <w:r w:rsidRPr="0053780F">
              <w:rPr>
                <w:rFonts w:eastAsia="Calibri" w:cs="Calibri"/>
                <w:sz w:val="16"/>
                <w:szCs w:val="16"/>
              </w:rPr>
              <w:t>Alpha offers an extensive selection of health, safety, and vocational training, allowing it to fulfil diverse client and organisational needs.</w:t>
            </w:r>
          </w:p>
        </w:tc>
        <w:tc>
          <w:tcPr>
            <w:tcW w:w="7938" w:type="dxa"/>
          </w:tcPr>
          <w:p w14:paraId="624DF5FD" w14:textId="77777777" w:rsidR="00241901" w:rsidRPr="0053780F" w:rsidRDefault="00241901" w:rsidP="00816F65">
            <w:pPr>
              <w:rPr>
                <w:rFonts w:eastAsia="Calibri" w:cs="Calibri"/>
                <w:sz w:val="16"/>
                <w:szCs w:val="16"/>
              </w:rPr>
            </w:pPr>
            <w:r w:rsidRPr="0053780F">
              <w:rPr>
                <w:rFonts w:eastAsia="Calibri" w:cs="Calibri"/>
                <w:sz w:val="16"/>
                <w:szCs w:val="16"/>
              </w:rPr>
              <w:t>Demands a versatile workforce and robust collaboration among trainers, management, and business development. A culture of perpetual learning is essential to uphold proficiency throughout the service.</w:t>
            </w:r>
          </w:p>
        </w:tc>
      </w:tr>
      <w:tr w:rsidR="00241901" w:rsidRPr="0053780F" w14:paraId="0B9934AD" w14:textId="77777777" w:rsidTr="004C74D2">
        <w:trPr>
          <w:trHeight w:val="300"/>
        </w:trPr>
        <w:tc>
          <w:tcPr>
            <w:tcW w:w="3443" w:type="dxa"/>
          </w:tcPr>
          <w:p w14:paraId="10F5A525" w14:textId="77777777" w:rsidR="00241901" w:rsidRPr="0053780F" w:rsidRDefault="00241901" w:rsidP="00816F65">
            <w:pPr>
              <w:rPr>
                <w:rFonts w:eastAsia="Calibri" w:cs="Calibri"/>
                <w:b/>
                <w:bCs/>
                <w:sz w:val="16"/>
                <w:szCs w:val="16"/>
              </w:rPr>
            </w:pPr>
            <w:r w:rsidRPr="0053780F">
              <w:rPr>
                <w:rFonts w:eastAsia="Calibri" w:cs="Calibri"/>
                <w:b/>
                <w:bCs/>
                <w:sz w:val="16"/>
                <w:szCs w:val="16"/>
              </w:rPr>
              <w:t>Strength – Recognised accredited provision</w:t>
            </w:r>
          </w:p>
        </w:tc>
        <w:tc>
          <w:tcPr>
            <w:tcW w:w="4638" w:type="dxa"/>
          </w:tcPr>
          <w:p w14:paraId="3ACD3743" w14:textId="77777777" w:rsidR="00241901" w:rsidRPr="0053780F" w:rsidRDefault="00241901" w:rsidP="00816F65">
            <w:pPr>
              <w:rPr>
                <w:rFonts w:eastAsia="Calibri" w:cs="Calibri"/>
                <w:sz w:val="16"/>
                <w:szCs w:val="16"/>
              </w:rPr>
            </w:pPr>
            <w:r w:rsidRPr="0053780F">
              <w:rPr>
                <w:rFonts w:eastAsia="Calibri" w:cs="Calibri"/>
                <w:sz w:val="16"/>
                <w:szCs w:val="16"/>
              </w:rPr>
              <w:t>Services affiliated with recognised awards and industry bodies enhance reliability and client confidence.</w:t>
            </w:r>
          </w:p>
        </w:tc>
        <w:tc>
          <w:tcPr>
            <w:tcW w:w="7938" w:type="dxa"/>
          </w:tcPr>
          <w:p w14:paraId="6DCDCF5E" w14:textId="77777777" w:rsidR="00241901" w:rsidRPr="0053780F" w:rsidRDefault="00241901" w:rsidP="00816F65">
            <w:pPr>
              <w:rPr>
                <w:rFonts w:eastAsia="Calibri" w:cs="Calibri"/>
                <w:sz w:val="16"/>
                <w:szCs w:val="16"/>
              </w:rPr>
            </w:pPr>
            <w:r w:rsidRPr="0053780F">
              <w:rPr>
                <w:rFonts w:eastAsia="Calibri" w:cs="Calibri"/>
                <w:sz w:val="16"/>
                <w:szCs w:val="16"/>
              </w:rPr>
              <w:t>Fosters a significant concentration on quality and compliance, demanding that personnel maintain awareness of standards, documentation, and evolving demands.</w:t>
            </w:r>
          </w:p>
        </w:tc>
      </w:tr>
      <w:tr w:rsidR="00241901" w:rsidRPr="0053780F" w14:paraId="6B208588" w14:textId="77777777" w:rsidTr="004C74D2">
        <w:trPr>
          <w:trHeight w:val="300"/>
        </w:trPr>
        <w:tc>
          <w:tcPr>
            <w:tcW w:w="3443" w:type="dxa"/>
          </w:tcPr>
          <w:p w14:paraId="0F867724" w14:textId="77777777" w:rsidR="00241901" w:rsidRPr="0053780F" w:rsidRDefault="00241901" w:rsidP="00816F65">
            <w:pPr>
              <w:rPr>
                <w:rFonts w:eastAsia="Calibri" w:cs="Calibri"/>
                <w:b/>
                <w:bCs/>
                <w:sz w:val="16"/>
                <w:szCs w:val="16"/>
              </w:rPr>
            </w:pPr>
            <w:r w:rsidRPr="0053780F">
              <w:rPr>
                <w:rFonts w:eastAsia="Calibri" w:cs="Calibri"/>
                <w:b/>
                <w:bCs/>
                <w:sz w:val="16"/>
                <w:szCs w:val="16"/>
              </w:rPr>
              <w:t>Strengths – Flexibility delivery methods</w:t>
            </w:r>
          </w:p>
        </w:tc>
        <w:tc>
          <w:tcPr>
            <w:tcW w:w="4638" w:type="dxa"/>
          </w:tcPr>
          <w:p w14:paraId="34954C96" w14:textId="77777777" w:rsidR="00241901" w:rsidRPr="0053780F" w:rsidRDefault="00241901" w:rsidP="00816F65">
            <w:pPr>
              <w:rPr>
                <w:rFonts w:eastAsia="Calibri" w:cs="Calibri"/>
                <w:sz w:val="16"/>
                <w:szCs w:val="16"/>
              </w:rPr>
            </w:pPr>
            <w:r w:rsidRPr="0053780F">
              <w:rPr>
                <w:rFonts w:eastAsia="Calibri" w:cs="Calibri"/>
                <w:sz w:val="16"/>
                <w:szCs w:val="16"/>
              </w:rPr>
              <w:t>Educational settings, professional environments, remote options, and digital platforms offer adaptability for various client needs.</w:t>
            </w:r>
          </w:p>
        </w:tc>
        <w:tc>
          <w:tcPr>
            <w:tcW w:w="7938" w:type="dxa"/>
          </w:tcPr>
          <w:p w14:paraId="5EA7EC49" w14:textId="77777777" w:rsidR="00241901" w:rsidRPr="0053780F" w:rsidRDefault="00241901" w:rsidP="00816F65">
            <w:pPr>
              <w:rPr>
                <w:rFonts w:eastAsia="Calibri" w:cs="Calibri"/>
                <w:sz w:val="16"/>
                <w:szCs w:val="16"/>
              </w:rPr>
            </w:pPr>
            <w:r w:rsidRPr="0053780F">
              <w:rPr>
                <w:rFonts w:eastAsia="Calibri" w:cs="Calibri"/>
                <w:sz w:val="16"/>
                <w:szCs w:val="16"/>
              </w:rPr>
              <w:t>Promotes flexibility and customer orientation yet necessitates that staff enhance their digital skills and adjust to various working methodologies.</w:t>
            </w:r>
          </w:p>
        </w:tc>
      </w:tr>
      <w:tr w:rsidR="00241901" w:rsidRPr="0053780F" w14:paraId="6ACE2CA3" w14:textId="77777777" w:rsidTr="004C74D2">
        <w:trPr>
          <w:trHeight w:val="300"/>
        </w:trPr>
        <w:tc>
          <w:tcPr>
            <w:tcW w:w="3443" w:type="dxa"/>
          </w:tcPr>
          <w:p w14:paraId="59AFAA84" w14:textId="77777777" w:rsidR="00241901" w:rsidRPr="0053780F" w:rsidRDefault="00241901" w:rsidP="00816F65">
            <w:pPr>
              <w:rPr>
                <w:rFonts w:eastAsia="Calibri" w:cs="Calibri"/>
                <w:b/>
                <w:bCs/>
                <w:sz w:val="16"/>
                <w:szCs w:val="16"/>
              </w:rPr>
            </w:pPr>
            <w:r w:rsidRPr="0053780F">
              <w:rPr>
                <w:rFonts w:eastAsia="Calibri" w:cs="Calibri"/>
                <w:b/>
                <w:bCs/>
                <w:sz w:val="16"/>
                <w:szCs w:val="16"/>
              </w:rPr>
              <w:t>Strength – Established South Wales presence</w:t>
            </w:r>
          </w:p>
        </w:tc>
        <w:tc>
          <w:tcPr>
            <w:tcW w:w="4638" w:type="dxa"/>
          </w:tcPr>
          <w:p w14:paraId="432D6A63" w14:textId="77777777" w:rsidR="00241901" w:rsidRPr="0053780F" w:rsidRDefault="00241901" w:rsidP="00816F65">
            <w:pPr>
              <w:rPr>
                <w:rFonts w:eastAsia="Calibri" w:cs="Calibri"/>
                <w:sz w:val="16"/>
                <w:szCs w:val="16"/>
              </w:rPr>
            </w:pPr>
            <w:r w:rsidRPr="0053780F">
              <w:rPr>
                <w:rFonts w:eastAsia="Calibri" w:cs="Calibri"/>
                <w:sz w:val="16"/>
                <w:szCs w:val="16"/>
              </w:rPr>
              <w:t>Training amenities and a solid clientele afford Alpha a prominent standing in its local market.</w:t>
            </w:r>
          </w:p>
        </w:tc>
        <w:tc>
          <w:tcPr>
            <w:tcW w:w="7938" w:type="dxa"/>
          </w:tcPr>
          <w:p w14:paraId="4057290A" w14:textId="77777777" w:rsidR="00241901" w:rsidRPr="0053780F" w:rsidRDefault="00241901" w:rsidP="00816F65">
            <w:pPr>
              <w:rPr>
                <w:rFonts w:eastAsia="Calibri" w:cs="Calibri"/>
                <w:sz w:val="16"/>
                <w:szCs w:val="16"/>
              </w:rPr>
            </w:pPr>
            <w:r w:rsidRPr="0053780F">
              <w:rPr>
                <w:rFonts w:eastAsia="Calibri" w:cs="Calibri"/>
                <w:sz w:val="16"/>
                <w:szCs w:val="16"/>
              </w:rPr>
              <w:t>Pre-existing knowledge and client connections might facilitate transformation; however entrenched operational habits may engender opposition when novel procedures confront established routines.</w:t>
            </w:r>
          </w:p>
        </w:tc>
      </w:tr>
      <w:tr w:rsidR="00241901" w:rsidRPr="0053780F" w14:paraId="07EFDBAB" w14:textId="77777777" w:rsidTr="004C74D2">
        <w:trPr>
          <w:trHeight w:val="300"/>
        </w:trPr>
        <w:tc>
          <w:tcPr>
            <w:tcW w:w="3443" w:type="dxa"/>
          </w:tcPr>
          <w:p w14:paraId="0293586A" w14:textId="77777777" w:rsidR="00241901" w:rsidRPr="0053780F" w:rsidRDefault="00241901" w:rsidP="00816F65">
            <w:pPr>
              <w:rPr>
                <w:rFonts w:eastAsia="Calibri" w:cs="Calibri"/>
                <w:b/>
                <w:bCs/>
                <w:sz w:val="16"/>
                <w:szCs w:val="16"/>
              </w:rPr>
            </w:pPr>
            <w:r w:rsidRPr="0053780F">
              <w:rPr>
                <w:rFonts w:eastAsia="Calibri" w:cs="Calibri"/>
                <w:b/>
                <w:bCs/>
                <w:sz w:val="16"/>
                <w:szCs w:val="16"/>
              </w:rPr>
              <w:t>Weakness – Complexity of a broad training portfolio</w:t>
            </w:r>
          </w:p>
        </w:tc>
        <w:tc>
          <w:tcPr>
            <w:tcW w:w="4638" w:type="dxa"/>
          </w:tcPr>
          <w:p w14:paraId="69B37CE6" w14:textId="77777777" w:rsidR="00241901" w:rsidRPr="0053780F" w:rsidRDefault="00241901" w:rsidP="00816F65">
            <w:pPr>
              <w:rPr>
                <w:rFonts w:eastAsia="Calibri" w:cs="Calibri"/>
                <w:sz w:val="16"/>
                <w:szCs w:val="16"/>
              </w:rPr>
            </w:pPr>
            <w:r w:rsidRPr="0053780F">
              <w:rPr>
                <w:rFonts w:eastAsia="Calibri" w:cs="Calibri"/>
                <w:sz w:val="16"/>
                <w:szCs w:val="16"/>
              </w:rPr>
              <w:t>Overseeing several courses, accreditation standards, instructors, and client demands heightens operational intricacy.</w:t>
            </w:r>
          </w:p>
        </w:tc>
        <w:tc>
          <w:tcPr>
            <w:tcW w:w="7938" w:type="dxa"/>
          </w:tcPr>
          <w:p w14:paraId="25CB6BB6" w14:textId="77777777" w:rsidR="00241901" w:rsidRPr="0053780F" w:rsidRDefault="00241901" w:rsidP="00816F65">
            <w:pPr>
              <w:rPr>
                <w:rFonts w:eastAsia="Calibri" w:cs="Calibri"/>
                <w:sz w:val="16"/>
                <w:szCs w:val="16"/>
              </w:rPr>
            </w:pPr>
            <w:r w:rsidRPr="0053780F">
              <w:rPr>
                <w:rFonts w:eastAsia="Calibri" w:cs="Calibri"/>
                <w:sz w:val="16"/>
                <w:szCs w:val="16"/>
              </w:rPr>
              <w:t>Imposes demands on communication, administration, quality assurance, and personnel expertise, sometimes elevating workload during transitional phases.</w:t>
            </w:r>
          </w:p>
        </w:tc>
      </w:tr>
      <w:tr w:rsidR="00241901" w:rsidRPr="0053780F" w14:paraId="4A0BC8EC" w14:textId="77777777" w:rsidTr="004C74D2">
        <w:trPr>
          <w:trHeight w:val="300"/>
        </w:trPr>
        <w:tc>
          <w:tcPr>
            <w:tcW w:w="3443" w:type="dxa"/>
          </w:tcPr>
          <w:p w14:paraId="17CAEB97" w14:textId="77777777" w:rsidR="00241901" w:rsidRPr="0053780F" w:rsidRDefault="00241901" w:rsidP="00816F65">
            <w:pPr>
              <w:rPr>
                <w:rFonts w:eastAsia="Calibri" w:cs="Calibri"/>
                <w:b/>
                <w:bCs/>
                <w:sz w:val="16"/>
                <w:szCs w:val="16"/>
              </w:rPr>
            </w:pPr>
            <w:r w:rsidRPr="0053780F">
              <w:rPr>
                <w:rFonts w:eastAsia="Calibri" w:cs="Calibri"/>
                <w:b/>
                <w:bCs/>
                <w:sz w:val="16"/>
                <w:szCs w:val="16"/>
              </w:rPr>
              <w:t>Weakness - Dependence on specialist employee competence</w:t>
            </w:r>
          </w:p>
        </w:tc>
        <w:tc>
          <w:tcPr>
            <w:tcW w:w="4638" w:type="dxa"/>
          </w:tcPr>
          <w:p w14:paraId="5EBCC9BC" w14:textId="77777777" w:rsidR="00241901" w:rsidRPr="0053780F" w:rsidRDefault="00241901" w:rsidP="00816F65">
            <w:r w:rsidRPr="0053780F">
              <w:rPr>
                <w:rFonts w:eastAsia="Calibri" w:cs="Calibri"/>
                <w:sz w:val="16"/>
                <w:szCs w:val="16"/>
              </w:rPr>
              <w:t>Certified and specialised training necessitates suitably certified and skilled individuals.</w:t>
            </w:r>
          </w:p>
        </w:tc>
        <w:tc>
          <w:tcPr>
            <w:tcW w:w="7938" w:type="dxa"/>
          </w:tcPr>
          <w:p w14:paraId="0B940EE3" w14:textId="77777777" w:rsidR="00241901" w:rsidRPr="0053780F" w:rsidRDefault="00241901" w:rsidP="00816F65">
            <w:r w:rsidRPr="0053780F">
              <w:rPr>
                <w:rFonts w:eastAsia="Calibri" w:cs="Calibri"/>
                <w:sz w:val="16"/>
                <w:szCs w:val="16"/>
              </w:rPr>
              <w:t>The acquisition, maintenance, and ongoing professional advancement are essential organisational competencies. The absence of specialised expertise may impact the accessibility of courses and the level of services.</w:t>
            </w:r>
          </w:p>
        </w:tc>
      </w:tr>
      <w:tr w:rsidR="00241901" w:rsidRPr="0053780F" w14:paraId="665B09BA" w14:textId="77777777" w:rsidTr="004C74D2">
        <w:trPr>
          <w:trHeight w:val="300"/>
        </w:trPr>
        <w:tc>
          <w:tcPr>
            <w:tcW w:w="3443" w:type="dxa"/>
          </w:tcPr>
          <w:p w14:paraId="4127D0E3" w14:textId="77777777" w:rsidR="00241901" w:rsidRPr="0053780F" w:rsidRDefault="00241901" w:rsidP="00816F65">
            <w:pPr>
              <w:rPr>
                <w:rFonts w:eastAsia="Calibri" w:cs="Calibri"/>
                <w:b/>
                <w:bCs/>
                <w:sz w:val="16"/>
                <w:szCs w:val="16"/>
              </w:rPr>
            </w:pPr>
            <w:r w:rsidRPr="0053780F">
              <w:rPr>
                <w:rFonts w:eastAsia="Calibri" w:cs="Calibri"/>
                <w:b/>
                <w:bCs/>
                <w:sz w:val="16"/>
                <w:szCs w:val="16"/>
              </w:rPr>
              <w:t>Weakness – Resource demands of multiple delivery methods</w:t>
            </w:r>
          </w:p>
        </w:tc>
        <w:tc>
          <w:tcPr>
            <w:tcW w:w="4638" w:type="dxa"/>
          </w:tcPr>
          <w:p w14:paraId="2F85756C" w14:textId="77777777" w:rsidR="00241901" w:rsidRPr="0053780F" w:rsidRDefault="00241901" w:rsidP="00816F65">
            <w:r w:rsidRPr="0053780F">
              <w:rPr>
                <w:rFonts w:eastAsia="Calibri" w:cs="Calibri"/>
                <w:sz w:val="16"/>
                <w:szCs w:val="16"/>
              </w:rPr>
              <w:t>The upkeep of physical buildings, together with digital and remote offerings, demands allocation of various resources and systems.</w:t>
            </w:r>
          </w:p>
        </w:tc>
        <w:tc>
          <w:tcPr>
            <w:tcW w:w="7938" w:type="dxa"/>
          </w:tcPr>
          <w:p w14:paraId="2DF68BB9" w14:textId="77777777" w:rsidR="00241901" w:rsidRPr="0053780F" w:rsidRDefault="00241901" w:rsidP="00816F65">
            <w:r w:rsidRPr="0053780F">
              <w:rPr>
                <w:rFonts w:eastAsia="Calibri" w:cs="Calibri"/>
                <w:sz w:val="16"/>
                <w:szCs w:val="16"/>
              </w:rPr>
              <w:t>Personnel can want further instruction and assistance, whereas leadership must guarantee that technology advancements do not result in competency deficiencies.</w:t>
            </w:r>
          </w:p>
        </w:tc>
      </w:tr>
      <w:tr w:rsidR="00241901" w:rsidRPr="0053780F" w14:paraId="5CB37C89" w14:textId="77777777" w:rsidTr="004C74D2">
        <w:trPr>
          <w:trHeight w:val="300"/>
        </w:trPr>
        <w:tc>
          <w:tcPr>
            <w:tcW w:w="3443" w:type="dxa"/>
          </w:tcPr>
          <w:p w14:paraId="4D911663" w14:textId="77777777" w:rsidR="00241901" w:rsidRPr="0053780F" w:rsidRDefault="00241901" w:rsidP="00816F65">
            <w:pPr>
              <w:rPr>
                <w:rFonts w:eastAsia="Calibri" w:cs="Calibri"/>
                <w:b/>
                <w:bCs/>
                <w:sz w:val="16"/>
                <w:szCs w:val="16"/>
              </w:rPr>
            </w:pPr>
            <w:r w:rsidRPr="0053780F">
              <w:rPr>
                <w:rFonts w:eastAsia="Calibri" w:cs="Calibri"/>
                <w:b/>
                <w:bCs/>
                <w:sz w:val="16"/>
                <w:szCs w:val="16"/>
              </w:rPr>
              <w:t>Weakness – Potential capacity pressures during growth</w:t>
            </w:r>
          </w:p>
        </w:tc>
        <w:tc>
          <w:tcPr>
            <w:tcW w:w="4638" w:type="dxa"/>
          </w:tcPr>
          <w:p w14:paraId="5214AA6E" w14:textId="77777777" w:rsidR="00241901" w:rsidRPr="0053780F" w:rsidRDefault="00241901" w:rsidP="00816F65">
            <w:r w:rsidRPr="0053780F">
              <w:rPr>
                <w:rFonts w:eastAsia="Calibri" w:cs="Calibri"/>
                <w:sz w:val="16"/>
                <w:szCs w:val="16"/>
              </w:rPr>
              <w:t>Elevating course capacities or extending services could generate additional pressures on trainers, administration, and management.</w:t>
            </w:r>
          </w:p>
        </w:tc>
        <w:tc>
          <w:tcPr>
            <w:tcW w:w="7938" w:type="dxa"/>
          </w:tcPr>
          <w:p w14:paraId="7DDB2F53" w14:textId="77777777" w:rsidR="00241901" w:rsidRPr="0053780F" w:rsidRDefault="00241901" w:rsidP="00816F65">
            <w:r w:rsidRPr="0053780F">
              <w:rPr>
                <w:rFonts w:eastAsia="Calibri" w:cs="Calibri"/>
                <w:sz w:val="16"/>
                <w:szCs w:val="16"/>
              </w:rPr>
              <w:t>Mismanaged development could amplify burden, lessen engagement, and detrimentally influence service quality and workplace environment.</w:t>
            </w:r>
          </w:p>
        </w:tc>
      </w:tr>
      <w:tr w:rsidR="00241901" w:rsidRPr="0053780F" w14:paraId="4E6F9A69" w14:textId="77777777" w:rsidTr="004C74D2">
        <w:trPr>
          <w:trHeight w:val="300"/>
        </w:trPr>
        <w:tc>
          <w:tcPr>
            <w:tcW w:w="3443" w:type="dxa"/>
          </w:tcPr>
          <w:p w14:paraId="6CBD777F" w14:textId="77777777" w:rsidR="00241901" w:rsidRPr="0053780F" w:rsidRDefault="00241901" w:rsidP="00816F65">
            <w:pPr>
              <w:rPr>
                <w:rFonts w:eastAsia="Calibri" w:cs="Calibri"/>
                <w:b/>
                <w:bCs/>
                <w:sz w:val="16"/>
                <w:szCs w:val="16"/>
              </w:rPr>
            </w:pPr>
            <w:r w:rsidRPr="0053780F">
              <w:rPr>
                <w:rFonts w:eastAsia="Calibri" w:cs="Calibri"/>
                <w:b/>
                <w:bCs/>
                <w:sz w:val="16"/>
                <w:szCs w:val="16"/>
              </w:rPr>
              <w:t>Opportunity – Growth of digital and blended learning</w:t>
            </w:r>
          </w:p>
        </w:tc>
        <w:tc>
          <w:tcPr>
            <w:tcW w:w="4638" w:type="dxa"/>
          </w:tcPr>
          <w:p w14:paraId="3B9E3A46" w14:textId="77777777" w:rsidR="00241901" w:rsidRPr="0053780F" w:rsidRDefault="00241901" w:rsidP="00816F65">
            <w:r w:rsidRPr="0053780F">
              <w:rPr>
                <w:rFonts w:eastAsia="Calibri" w:cs="Calibri"/>
                <w:sz w:val="16"/>
                <w:szCs w:val="16"/>
              </w:rPr>
              <w:t>Digital and remote distribution can allow Alpha to provide to clients outside the local vicinity.</w:t>
            </w:r>
          </w:p>
        </w:tc>
        <w:tc>
          <w:tcPr>
            <w:tcW w:w="7938" w:type="dxa"/>
          </w:tcPr>
          <w:p w14:paraId="402E61ED" w14:textId="77777777" w:rsidR="00241901" w:rsidRPr="0053780F" w:rsidRDefault="00241901" w:rsidP="00816F65">
            <w:r w:rsidRPr="0053780F">
              <w:rPr>
                <w:rFonts w:eastAsia="Calibri" w:cs="Calibri"/>
                <w:sz w:val="16"/>
                <w:szCs w:val="16"/>
              </w:rPr>
              <w:t>Generates prospects for personnel to cultivate fresh abilities and operational techniques yet demands leadership to foster digital assimilation and perpetual learning.</w:t>
            </w:r>
          </w:p>
        </w:tc>
      </w:tr>
      <w:tr w:rsidR="00241901" w:rsidRPr="0053780F" w14:paraId="3862790E" w14:textId="77777777" w:rsidTr="004C74D2">
        <w:trPr>
          <w:trHeight w:val="300"/>
        </w:trPr>
        <w:tc>
          <w:tcPr>
            <w:tcW w:w="3443" w:type="dxa"/>
          </w:tcPr>
          <w:p w14:paraId="2A839BC4" w14:textId="77777777" w:rsidR="00241901" w:rsidRPr="0053780F" w:rsidRDefault="00241901" w:rsidP="00816F65">
            <w:pPr>
              <w:rPr>
                <w:rFonts w:eastAsia="Calibri" w:cs="Calibri"/>
                <w:b/>
                <w:bCs/>
                <w:sz w:val="16"/>
                <w:szCs w:val="16"/>
              </w:rPr>
            </w:pPr>
            <w:r w:rsidRPr="0053780F">
              <w:rPr>
                <w:rFonts w:eastAsia="Calibri" w:cs="Calibri"/>
                <w:b/>
                <w:bCs/>
                <w:sz w:val="16"/>
                <w:szCs w:val="16"/>
              </w:rPr>
              <w:t>Opportunity – Changing workforce training requirements</w:t>
            </w:r>
          </w:p>
        </w:tc>
        <w:tc>
          <w:tcPr>
            <w:tcW w:w="4638" w:type="dxa"/>
          </w:tcPr>
          <w:p w14:paraId="15FB7E14" w14:textId="77777777" w:rsidR="00241901" w:rsidRPr="0053780F" w:rsidRDefault="00241901" w:rsidP="00816F65">
            <w:r w:rsidRPr="0053780F">
              <w:rPr>
                <w:rFonts w:eastAsia="Calibri" w:cs="Calibri"/>
                <w:sz w:val="16"/>
                <w:szCs w:val="16"/>
              </w:rPr>
              <w:t>Continuous regulatory, technical, and occupational changes impose persistent obligations on companies to ensure workforce competency.</w:t>
            </w:r>
          </w:p>
        </w:tc>
        <w:tc>
          <w:tcPr>
            <w:tcW w:w="7938" w:type="dxa"/>
          </w:tcPr>
          <w:p w14:paraId="6C2090DE" w14:textId="77777777" w:rsidR="00241901" w:rsidRPr="0053780F" w:rsidRDefault="00241901" w:rsidP="00816F65">
            <w:r w:rsidRPr="0053780F">
              <w:rPr>
                <w:rFonts w:eastAsia="Calibri" w:cs="Calibri"/>
                <w:sz w:val="16"/>
                <w:szCs w:val="16"/>
              </w:rPr>
              <w:t>Alpha has the capacity to formulate strategies addressing evolving client demands, necessitating a flexible and market-responsive organisational culture.</w:t>
            </w:r>
          </w:p>
        </w:tc>
      </w:tr>
      <w:tr w:rsidR="00241901" w:rsidRPr="0053780F" w14:paraId="2FDB6CC7" w14:textId="77777777" w:rsidTr="004C74D2">
        <w:trPr>
          <w:trHeight w:val="300"/>
        </w:trPr>
        <w:tc>
          <w:tcPr>
            <w:tcW w:w="3443" w:type="dxa"/>
          </w:tcPr>
          <w:p w14:paraId="34CAD0D9" w14:textId="77777777" w:rsidR="00241901" w:rsidRPr="0053780F" w:rsidRDefault="00241901" w:rsidP="00816F65">
            <w:pPr>
              <w:rPr>
                <w:rFonts w:eastAsia="Calibri" w:cs="Calibri"/>
                <w:b/>
                <w:bCs/>
                <w:sz w:val="16"/>
                <w:szCs w:val="16"/>
              </w:rPr>
            </w:pPr>
            <w:r w:rsidRPr="0053780F">
              <w:rPr>
                <w:rFonts w:eastAsia="Calibri" w:cs="Calibri"/>
                <w:b/>
                <w:bCs/>
                <w:sz w:val="16"/>
                <w:szCs w:val="16"/>
              </w:rPr>
              <w:t>Opportunity – Development of organisational/client relationships</w:t>
            </w:r>
          </w:p>
        </w:tc>
        <w:tc>
          <w:tcPr>
            <w:tcW w:w="4638" w:type="dxa"/>
          </w:tcPr>
          <w:p w14:paraId="63BAE89A" w14:textId="77777777" w:rsidR="00241901" w:rsidRPr="0053780F" w:rsidRDefault="00241901" w:rsidP="00816F65">
            <w:r w:rsidRPr="0053780F">
              <w:rPr>
                <w:rFonts w:eastAsia="Calibri" w:cs="Calibri"/>
                <w:sz w:val="16"/>
                <w:szCs w:val="16"/>
              </w:rPr>
              <w:t>Customised programs and recurring training needs create avenues to enhance enduring corporate partnerships.</w:t>
            </w:r>
          </w:p>
        </w:tc>
        <w:tc>
          <w:tcPr>
            <w:tcW w:w="7938" w:type="dxa"/>
          </w:tcPr>
          <w:p w14:paraId="147A38A2" w14:textId="77777777" w:rsidR="00241901" w:rsidRPr="0053780F" w:rsidRDefault="00241901" w:rsidP="00816F65">
            <w:r w:rsidRPr="0053780F">
              <w:rPr>
                <w:rFonts w:eastAsia="Calibri" w:cs="Calibri"/>
                <w:sz w:val="16"/>
                <w:szCs w:val="16"/>
              </w:rPr>
              <w:t>Enhanced customer collaboration may foster growth, although it necessitates robust account management, effective communication, and prompt responsiveness among divisions.</w:t>
            </w:r>
          </w:p>
        </w:tc>
      </w:tr>
      <w:tr w:rsidR="00241901" w:rsidRPr="0053780F" w14:paraId="68CB4A9B" w14:textId="77777777" w:rsidTr="004C74D2">
        <w:trPr>
          <w:trHeight w:val="300"/>
        </w:trPr>
        <w:tc>
          <w:tcPr>
            <w:tcW w:w="3443" w:type="dxa"/>
          </w:tcPr>
          <w:p w14:paraId="0FE8E48A" w14:textId="77777777" w:rsidR="00241901" w:rsidRPr="0053780F" w:rsidRDefault="00241901" w:rsidP="00816F65">
            <w:pPr>
              <w:rPr>
                <w:rFonts w:eastAsia="Calibri" w:cs="Calibri"/>
                <w:b/>
                <w:bCs/>
                <w:sz w:val="16"/>
                <w:szCs w:val="16"/>
              </w:rPr>
            </w:pPr>
            <w:r w:rsidRPr="0053780F">
              <w:rPr>
                <w:rFonts w:eastAsia="Calibri" w:cs="Calibri"/>
                <w:b/>
                <w:bCs/>
                <w:sz w:val="16"/>
                <w:szCs w:val="16"/>
              </w:rPr>
              <w:t>Opportunity – Greater use of technology and data</w:t>
            </w:r>
          </w:p>
        </w:tc>
        <w:tc>
          <w:tcPr>
            <w:tcW w:w="4638" w:type="dxa"/>
          </w:tcPr>
          <w:p w14:paraId="7494383A" w14:textId="77777777" w:rsidR="00241901" w:rsidRPr="0053780F" w:rsidRDefault="00241901" w:rsidP="00816F65">
            <w:r w:rsidRPr="0053780F">
              <w:rPr>
                <w:rFonts w:eastAsia="Calibri" w:cs="Calibri"/>
                <w:sz w:val="16"/>
                <w:szCs w:val="16"/>
              </w:rPr>
              <w:t>Digital solutions have the capacity to enhance course administration, client management, communication, and performance evaluation.</w:t>
            </w:r>
          </w:p>
        </w:tc>
        <w:tc>
          <w:tcPr>
            <w:tcW w:w="7938" w:type="dxa"/>
          </w:tcPr>
          <w:p w14:paraId="753E0ED0" w14:textId="77777777" w:rsidR="00241901" w:rsidRPr="0053780F" w:rsidRDefault="00241901" w:rsidP="00816F65">
            <w:r w:rsidRPr="0053780F">
              <w:rPr>
                <w:rFonts w:eastAsia="Calibri" w:cs="Calibri"/>
                <w:sz w:val="16"/>
                <w:szCs w:val="16"/>
              </w:rPr>
              <w:t>The triumph of implementation hinges on employee endorsement, adequate training, and leadership in behavioural modification rather than just technology.</w:t>
            </w:r>
          </w:p>
        </w:tc>
      </w:tr>
      <w:tr w:rsidR="00241901" w:rsidRPr="0053780F" w14:paraId="01AA7176" w14:textId="77777777" w:rsidTr="004C74D2">
        <w:trPr>
          <w:trHeight w:val="300"/>
        </w:trPr>
        <w:tc>
          <w:tcPr>
            <w:tcW w:w="3443" w:type="dxa"/>
          </w:tcPr>
          <w:p w14:paraId="59F9FEB0" w14:textId="77777777" w:rsidR="00241901" w:rsidRPr="0053780F" w:rsidRDefault="00241901" w:rsidP="00816F65">
            <w:pPr>
              <w:rPr>
                <w:rFonts w:eastAsia="Calibri" w:cs="Calibri"/>
                <w:b/>
                <w:bCs/>
                <w:sz w:val="16"/>
                <w:szCs w:val="16"/>
              </w:rPr>
            </w:pPr>
            <w:r w:rsidRPr="0053780F">
              <w:rPr>
                <w:rFonts w:eastAsia="Calibri" w:cs="Calibri"/>
                <w:b/>
                <w:bCs/>
                <w:sz w:val="16"/>
                <w:szCs w:val="16"/>
              </w:rPr>
              <w:t>Threat – Strong training-provider competition</w:t>
            </w:r>
          </w:p>
        </w:tc>
        <w:tc>
          <w:tcPr>
            <w:tcW w:w="4638" w:type="dxa"/>
          </w:tcPr>
          <w:p w14:paraId="66AC92BB" w14:textId="77777777" w:rsidR="00241901" w:rsidRPr="0053780F" w:rsidRDefault="00241901" w:rsidP="00816F65">
            <w:r w:rsidRPr="0053780F">
              <w:rPr>
                <w:rFonts w:eastAsia="Calibri" w:cs="Calibri"/>
                <w:sz w:val="16"/>
                <w:szCs w:val="16"/>
              </w:rPr>
              <w:t>Clients have the option to select from local, national, and progressively internet training providers.</w:t>
            </w:r>
          </w:p>
        </w:tc>
        <w:tc>
          <w:tcPr>
            <w:tcW w:w="7938" w:type="dxa"/>
          </w:tcPr>
          <w:p w14:paraId="05860640" w14:textId="77777777" w:rsidR="00241901" w:rsidRPr="0053780F" w:rsidRDefault="00241901" w:rsidP="00816F65">
            <w:r w:rsidRPr="0053780F">
              <w:rPr>
                <w:rFonts w:eastAsia="Calibri" w:cs="Calibri"/>
                <w:sz w:val="16"/>
                <w:szCs w:val="16"/>
              </w:rPr>
              <w:t>Imposes a need on Alpha to distinguish itself via quality, customer service, adaptability, and personnel proficiency instead of relying solely on certification.</w:t>
            </w:r>
          </w:p>
        </w:tc>
      </w:tr>
      <w:tr w:rsidR="00241901" w:rsidRPr="0053780F" w14:paraId="77D4640B" w14:textId="77777777" w:rsidTr="004C74D2">
        <w:trPr>
          <w:trHeight w:val="300"/>
        </w:trPr>
        <w:tc>
          <w:tcPr>
            <w:tcW w:w="3443" w:type="dxa"/>
          </w:tcPr>
          <w:p w14:paraId="02CF75CA" w14:textId="77777777" w:rsidR="00241901" w:rsidRPr="0053780F" w:rsidRDefault="00241901" w:rsidP="00816F65">
            <w:pPr>
              <w:rPr>
                <w:rFonts w:eastAsia="Calibri" w:cs="Calibri"/>
                <w:b/>
                <w:bCs/>
                <w:sz w:val="16"/>
                <w:szCs w:val="16"/>
              </w:rPr>
            </w:pPr>
            <w:r w:rsidRPr="0053780F">
              <w:rPr>
                <w:rFonts w:eastAsia="Calibri" w:cs="Calibri"/>
                <w:b/>
                <w:bCs/>
                <w:sz w:val="16"/>
                <w:szCs w:val="16"/>
              </w:rPr>
              <w:t>Threat – Economic pressures on customers</w:t>
            </w:r>
          </w:p>
        </w:tc>
        <w:tc>
          <w:tcPr>
            <w:tcW w:w="4638" w:type="dxa"/>
          </w:tcPr>
          <w:p w14:paraId="6BE68985" w14:textId="77777777" w:rsidR="00241901" w:rsidRPr="0053780F" w:rsidRDefault="00241901" w:rsidP="00816F65">
            <w:r w:rsidRPr="0053780F">
              <w:rPr>
                <w:rFonts w:eastAsia="Calibri" w:cs="Calibri"/>
                <w:sz w:val="16"/>
                <w:szCs w:val="16"/>
              </w:rPr>
              <w:t>Organisations under budgetary strain might examine training costs or prioritise essential provisions.</w:t>
            </w:r>
          </w:p>
        </w:tc>
        <w:tc>
          <w:tcPr>
            <w:tcW w:w="7938" w:type="dxa"/>
          </w:tcPr>
          <w:p w14:paraId="06369A91" w14:textId="77777777" w:rsidR="00241901" w:rsidRPr="0053780F" w:rsidRDefault="00241901" w:rsidP="00816F65">
            <w:r w:rsidRPr="0053780F">
              <w:rPr>
                <w:rFonts w:eastAsia="Calibri" w:cs="Calibri"/>
                <w:sz w:val="16"/>
                <w:szCs w:val="16"/>
              </w:rPr>
              <w:t>Alpha might require enhanced commercial adaptability and efficiency while steering clear of cost-cutting measures that compromise personnel competence or service excellence.</w:t>
            </w:r>
          </w:p>
        </w:tc>
      </w:tr>
      <w:tr w:rsidR="00241901" w:rsidRPr="0053780F" w14:paraId="00723EBB" w14:textId="77777777" w:rsidTr="004C74D2">
        <w:trPr>
          <w:trHeight w:val="300"/>
        </w:trPr>
        <w:tc>
          <w:tcPr>
            <w:tcW w:w="3443" w:type="dxa"/>
          </w:tcPr>
          <w:p w14:paraId="2A0F031E" w14:textId="77777777" w:rsidR="00241901" w:rsidRPr="0053780F" w:rsidRDefault="00241901" w:rsidP="00816F65">
            <w:pPr>
              <w:rPr>
                <w:rFonts w:eastAsia="Calibri" w:cs="Calibri"/>
                <w:b/>
                <w:bCs/>
                <w:sz w:val="16"/>
                <w:szCs w:val="16"/>
              </w:rPr>
            </w:pPr>
            <w:r w:rsidRPr="0053780F">
              <w:rPr>
                <w:rFonts w:eastAsia="Calibri" w:cs="Calibri"/>
                <w:b/>
                <w:bCs/>
                <w:sz w:val="16"/>
                <w:szCs w:val="16"/>
              </w:rPr>
              <w:t>Threat – Changing regulation/accreditation requirements</w:t>
            </w:r>
          </w:p>
        </w:tc>
        <w:tc>
          <w:tcPr>
            <w:tcW w:w="4638" w:type="dxa"/>
          </w:tcPr>
          <w:p w14:paraId="1CF758D0" w14:textId="77777777" w:rsidR="00241901" w:rsidRPr="0053780F" w:rsidRDefault="00241901" w:rsidP="00816F65">
            <w:r w:rsidRPr="0053780F">
              <w:rPr>
                <w:rFonts w:eastAsia="Calibri" w:cs="Calibri"/>
                <w:sz w:val="16"/>
                <w:szCs w:val="16"/>
              </w:rPr>
              <w:t>Health and safety, as well as qualification and awarding-body stipulations, may evolve, necessitating providers to adapt.</w:t>
            </w:r>
          </w:p>
        </w:tc>
        <w:tc>
          <w:tcPr>
            <w:tcW w:w="7938" w:type="dxa"/>
          </w:tcPr>
          <w:p w14:paraId="5816DEE8" w14:textId="77777777" w:rsidR="00241901" w:rsidRPr="0053780F" w:rsidRDefault="00241901" w:rsidP="00816F65">
            <w:r w:rsidRPr="0053780F">
              <w:rPr>
                <w:rFonts w:eastAsia="Calibri" w:cs="Calibri"/>
                <w:sz w:val="16"/>
                <w:szCs w:val="16"/>
              </w:rPr>
              <w:t>Personnel and systems must possess the ability to swiftly adapt, rendering ongoing professional growth, communication, and adherence crucial cultural traits.</w:t>
            </w:r>
          </w:p>
        </w:tc>
      </w:tr>
      <w:tr w:rsidR="00241901" w:rsidRPr="0053780F" w14:paraId="16E19EBB" w14:textId="77777777" w:rsidTr="004C74D2">
        <w:trPr>
          <w:trHeight w:val="300"/>
        </w:trPr>
        <w:tc>
          <w:tcPr>
            <w:tcW w:w="3443" w:type="dxa"/>
          </w:tcPr>
          <w:p w14:paraId="39DD343F" w14:textId="77777777" w:rsidR="00241901" w:rsidRPr="0053780F" w:rsidRDefault="00241901" w:rsidP="00816F65">
            <w:pPr>
              <w:rPr>
                <w:rFonts w:eastAsia="Calibri" w:cs="Calibri"/>
                <w:b/>
                <w:bCs/>
                <w:sz w:val="16"/>
                <w:szCs w:val="16"/>
              </w:rPr>
            </w:pPr>
            <w:r w:rsidRPr="0053780F">
              <w:rPr>
                <w:rFonts w:eastAsia="Calibri" w:cs="Calibri"/>
                <w:b/>
                <w:bCs/>
                <w:sz w:val="16"/>
                <w:szCs w:val="16"/>
              </w:rPr>
              <w:t>Threat – Increasing digital competition</w:t>
            </w:r>
          </w:p>
        </w:tc>
        <w:tc>
          <w:tcPr>
            <w:tcW w:w="4638" w:type="dxa"/>
          </w:tcPr>
          <w:p w14:paraId="762A2416" w14:textId="77777777" w:rsidR="00241901" w:rsidRPr="0053780F" w:rsidRDefault="00241901" w:rsidP="00816F65">
            <w:r w:rsidRPr="0053780F">
              <w:rPr>
                <w:rFonts w:eastAsia="Calibri" w:cs="Calibri"/>
                <w:sz w:val="16"/>
                <w:szCs w:val="16"/>
              </w:rPr>
              <w:t>Internet-based services eliminate geographical limitations and could expand the array of rivals available to clients.</w:t>
            </w:r>
          </w:p>
        </w:tc>
        <w:tc>
          <w:tcPr>
            <w:tcW w:w="7938" w:type="dxa"/>
          </w:tcPr>
          <w:p w14:paraId="49B74512" w14:textId="77777777" w:rsidR="00241901" w:rsidRPr="0053780F" w:rsidRDefault="00241901" w:rsidP="00816F65">
            <w:r w:rsidRPr="0053780F">
              <w:rPr>
                <w:rFonts w:eastAsia="Calibri" w:cs="Calibri"/>
                <w:sz w:val="16"/>
                <w:szCs w:val="16"/>
              </w:rPr>
              <w:t>Alpha must consistently enhance its digital proficiency while maintaining distinctive elements like practical knowledge, client relationships, and service excellence.</w:t>
            </w:r>
          </w:p>
        </w:tc>
      </w:tr>
    </w:tbl>
    <w:p w14:paraId="02E9AB67" w14:textId="77777777" w:rsidR="00471337" w:rsidRPr="0053780F" w:rsidRDefault="00471337" w:rsidP="46F9D4E4">
      <w:pPr>
        <w:pStyle w:val="Heading1"/>
        <w:rPr>
          <w:rFonts w:asciiTheme="minorHAnsi" w:hAnsiTheme="minorHAnsi"/>
        </w:rPr>
        <w:sectPr w:rsidR="00471337" w:rsidRPr="0053780F" w:rsidSect="00571212">
          <w:pgSz w:w="16820" w:h="11900" w:orient="landscape"/>
          <w:pgMar w:top="1440" w:right="1440" w:bottom="1440" w:left="1440" w:header="720" w:footer="720" w:gutter="0"/>
          <w:cols w:space="720"/>
          <w:docGrid w:linePitch="360"/>
        </w:sectPr>
      </w:pPr>
    </w:p>
    <w:p w14:paraId="010B710D" w14:textId="33F80C15" w:rsidR="6B145540" w:rsidRPr="004C74D2" w:rsidRDefault="6B145540" w:rsidP="46F9D4E4">
      <w:pPr>
        <w:pStyle w:val="Heading1"/>
        <w:rPr>
          <w:rFonts w:asciiTheme="minorHAnsi" w:hAnsiTheme="minorHAnsi"/>
          <w:sz w:val="32"/>
          <w:szCs w:val="32"/>
        </w:rPr>
      </w:pPr>
      <w:bookmarkStart w:id="20" w:name="_Toc242610818"/>
      <w:r w:rsidRPr="004C74D2">
        <w:rPr>
          <w:rFonts w:asciiTheme="minorHAnsi" w:hAnsiTheme="minorHAnsi"/>
          <w:sz w:val="32"/>
          <w:szCs w:val="32"/>
        </w:rPr>
        <w:lastRenderedPageBreak/>
        <w:t>Appendix C</w:t>
      </w:r>
      <w:bookmarkEnd w:id="20"/>
    </w:p>
    <w:p w14:paraId="1163A66C" w14:textId="77777777" w:rsidR="00241901" w:rsidRPr="0053780F" w:rsidRDefault="00241901" w:rsidP="00241901">
      <w:pPr>
        <w:rPr>
          <w:b/>
          <w:bCs/>
          <w:sz w:val="28"/>
          <w:szCs w:val="28"/>
          <w:u w:val="single"/>
        </w:rPr>
      </w:pPr>
      <w:r w:rsidRPr="0053780F">
        <w:rPr>
          <w:b/>
          <w:bCs/>
          <w:sz w:val="28"/>
          <w:szCs w:val="28"/>
          <w:u w:val="single"/>
        </w:rPr>
        <w:t>Stakeholder Power – Interest Analysis</w:t>
      </w:r>
    </w:p>
    <w:tbl>
      <w:tblPr>
        <w:tblStyle w:val="TableGrid"/>
        <w:tblW w:w="0" w:type="auto"/>
        <w:tblLook w:val="06A0" w:firstRow="1" w:lastRow="0" w:firstColumn="1" w:lastColumn="0" w:noHBand="1" w:noVBand="1"/>
      </w:tblPr>
      <w:tblGrid>
        <w:gridCol w:w="2734"/>
        <w:gridCol w:w="1625"/>
        <w:gridCol w:w="1421"/>
        <w:gridCol w:w="2330"/>
        <w:gridCol w:w="5820"/>
      </w:tblGrid>
      <w:tr w:rsidR="00241901" w:rsidRPr="0053780F" w14:paraId="68502914" w14:textId="77777777" w:rsidTr="00816F65">
        <w:trPr>
          <w:trHeight w:val="300"/>
        </w:trPr>
        <w:tc>
          <w:tcPr>
            <w:tcW w:w="2745" w:type="dxa"/>
            <w:shd w:val="clear" w:color="auto" w:fill="D9F2D0" w:themeFill="accent6" w:themeFillTint="33"/>
          </w:tcPr>
          <w:p w14:paraId="36F43BA7" w14:textId="77777777" w:rsidR="00241901" w:rsidRPr="0053780F" w:rsidRDefault="00241901" w:rsidP="00816F65">
            <w:pPr>
              <w:rPr>
                <w:b/>
                <w:bCs/>
              </w:rPr>
            </w:pPr>
            <w:r w:rsidRPr="0053780F">
              <w:rPr>
                <w:b/>
                <w:bCs/>
              </w:rPr>
              <w:t>Stakeholder</w:t>
            </w:r>
          </w:p>
        </w:tc>
        <w:tc>
          <w:tcPr>
            <w:tcW w:w="1635" w:type="dxa"/>
            <w:shd w:val="clear" w:color="auto" w:fill="D9F2D0" w:themeFill="accent6" w:themeFillTint="33"/>
          </w:tcPr>
          <w:p w14:paraId="52A14068" w14:textId="77777777" w:rsidR="00241901" w:rsidRPr="0053780F" w:rsidRDefault="00241901" w:rsidP="00816F65">
            <w:pPr>
              <w:rPr>
                <w:b/>
                <w:bCs/>
              </w:rPr>
            </w:pPr>
            <w:r w:rsidRPr="0053780F">
              <w:rPr>
                <w:b/>
                <w:bCs/>
              </w:rPr>
              <w:t>Power</w:t>
            </w:r>
          </w:p>
        </w:tc>
        <w:tc>
          <w:tcPr>
            <w:tcW w:w="1185" w:type="dxa"/>
            <w:shd w:val="clear" w:color="auto" w:fill="D9F2D0" w:themeFill="accent6" w:themeFillTint="33"/>
          </w:tcPr>
          <w:p w14:paraId="0F30CA00" w14:textId="77777777" w:rsidR="00241901" w:rsidRPr="0053780F" w:rsidRDefault="00241901" w:rsidP="00816F65">
            <w:pPr>
              <w:rPr>
                <w:b/>
                <w:bCs/>
              </w:rPr>
            </w:pPr>
            <w:r w:rsidRPr="0053780F">
              <w:rPr>
                <w:b/>
                <w:bCs/>
              </w:rPr>
              <w:t>Interest</w:t>
            </w:r>
          </w:p>
        </w:tc>
        <w:tc>
          <w:tcPr>
            <w:tcW w:w="2355" w:type="dxa"/>
            <w:shd w:val="clear" w:color="auto" w:fill="D9F2D0" w:themeFill="accent6" w:themeFillTint="33"/>
          </w:tcPr>
          <w:p w14:paraId="5DC20AE9" w14:textId="77777777" w:rsidR="00241901" w:rsidRPr="0053780F" w:rsidRDefault="00241901" w:rsidP="00816F65">
            <w:pPr>
              <w:rPr>
                <w:b/>
                <w:bCs/>
              </w:rPr>
            </w:pPr>
            <w:r w:rsidRPr="0053780F">
              <w:rPr>
                <w:b/>
                <w:bCs/>
              </w:rPr>
              <w:t>Approach during change</w:t>
            </w:r>
          </w:p>
        </w:tc>
        <w:tc>
          <w:tcPr>
            <w:tcW w:w="6030" w:type="dxa"/>
            <w:shd w:val="clear" w:color="auto" w:fill="D9F2D0" w:themeFill="accent6" w:themeFillTint="33"/>
          </w:tcPr>
          <w:p w14:paraId="78296D39" w14:textId="77777777" w:rsidR="00241901" w:rsidRPr="0053780F" w:rsidRDefault="00241901" w:rsidP="00816F65">
            <w:pPr>
              <w:rPr>
                <w:b/>
                <w:bCs/>
              </w:rPr>
            </w:pPr>
            <w:r w:rsidRPr="0053780F">
              <w:rPr>
                <w:b/>
                <w:bCs/>
              </w:rPr>
              <w:t>Rationale</w:t>
            </w:r>
          </w:p>
        </w:tc>
      </w:tr>
      <w:tr w:rsidR="00241901" w:rsidRPr="0053780F" w14:paraId="67BF0E8C" w14:textId="77777777" w:rsidTr="00816F65">
        <w:trPr>
          <w:trHeight w:val="300"/>
        </w:trPr>
        <w:tc>
          <w:tcPr>
            <w:tcW w:w="2745" w:type="dxa"/>
          </w:tcPr>
          <w:p w14:paraId="6644CA64" w14:textId="77777777" w:rsidR="00241901" w:rsidRPr="0053780F" w:rsidRDefault="00241901" w:rsidP="00816F65">
            <w:pPr>
              <w:rPr>
                <w:b/>
                <w:bCs/>
                <w:sz w:val="20"/>
                <w:szCs w:val="20"/>
              </w:rPr>
            </w:pPr>
            <w:r w:rsidRPr="0053780F">
              <w:rPr>
                <w:b/>
                <w:bCs/>
                <w:sz w:val="20"/>
                <w:szCs w:val="20"/>
              </w:rPr>
              <w:t>Senior management/owners</w:t>
            </w:r>
          </w:p>
        </w:tc>
        <w:tc>
          <w:tcPr>
            <w:tcW w:w="1635" w:type="dxa"/>
          </w:tcPr>
          <w:p w14:paraId="78154E45" w14:textId="77777777" w:rsidR="00241901" w:rsidRPr="0053780F" w:rsidRDefault="00241901" w:rsidP="00816F65">
            <w:pPr>
              <w:rPr>
                <w:sz w:val="20"/>
                <w:szCs w:val="20"/>
              </w:rPr>
            </w:pPr>
            <w:r w:rsidRPr="0053780F">
              <w:rPr>
                <w:sz w:val="20"/>
                <w:szCs w:val="20"/>
              </w:rPr>
              <w:t>High</w:t>
            </w:r>
          </w:p>
        </w:tc>
        <w:tc>
          <w:tcPr>
            <w:tcW w:w="1185" w:type="dxa"/>
          </w:tcPr>
          <w:p w14:paraId="64689524" w14:textId="77777777" w:rsidR="00241901" w:rsidRPr="0053780F" w:rsidRDefault="00241901" w:rsidP="00816F65">
            <w:pPr>
              <w:rPr>
                <w:sz w:val="20"/>
                <w:szCs w:val="20"/>
              </w:rPr>
            </w:pPr>
            <w:r w:rsidRPr="0053780F">
              <w:rPr>
                <w:sz w:val="20"/>
                <w:szCs w:val="20"/>
              </w:rPr>
              <w:t>High</w:t>
            </w:r>
          </w:p>
        </w:tc>
        <w:tc>
          <w:tcPr>
            <w:tcW w:w="2355" w:type="dxa"/>
          </w:tcPr>
          <w:p w14:paraId="1B2E6B75" w14:textId="77777777" w:rsidR="00241901" w:rsidRPr="0053780F" w:rsidRDefault="00241901" w:rsidP="00816F65">
            <w:pPr>
              <w:rPr>
                <w:sz w:val="20"/>
                <w:szCs w:val="20"/>
              </w:rPr>
            </w:pPr>
            <w:r w:rsidRPr="0053780F">
              <w:rPr>
                <w:sz w:val="20"/>
                <w:szCs w:val="20"/>
              </w:rPr>
              <w:t>Manage closely</w:t>
            </w:r>
          </w:p>
        </w:tc>
        <w:tc>
          <w:tcPr>
            <w:tcW w:w="6030" w:type="dxa"/>
          </w:tcPr>
          <w:p w14:paraId="5EDD3820" w14:textId="77777777" w:rsidR="00241901" w:rsidRPr="0053780F" w:rsidRDefault="00241901" w:rsidP="00816F65">
            <w:pPr>
              <w:rPr>
                <w:sz w:val="20"/>
                <w:szCs w:val="20"/>
              </w:rPr>
            </w:pPr>
            <w:r w:rsidRPr="0053780F">
              <w:rPr>
                <w:sz w:val="20"/>
                <w:szCs w:val="20"/>
              </w:rPr>
              <w:t>Accountable for strategic decisions, resource allocation, and effective execution of transformation.</w:t>
            </w:r>
          </w:p>
        </w:tc>
      </w:tr>
      <w:tr w:rsidR="00241901" w:rsidRPr="0053780F" w14:paraId="1CBB7BF5" w14:textId="77777777" w:rsidTr="00816F65">
        <w:trPr>
          <w:trHeight w:val="300"/>
        </w:trPr>
        <w:tc>
          <w:tcPr>
            <w:tcW w:w="2745" w:type="dxa"/>
          </w:tcPr>
          <w:p w14:paraId="279DF26B" w14:textId="77777777" w:rsidR="00241901" w:rsidRPr="0053780F" w:rsidRDefault="00241901" w:rsidP="00816F65">
            <w:pPr>
              <w:rPr>
                <w:b/>
                <w:bCs/>
                <w:sz w:val="20"/>
                <w:szCs w:val="20"/>
              </w:rPr>
            </w:pPr>
            <w:r w:rsidRPr="0053780F">
              <w:rPr>
                <w:b/>
                <w:bCs/>
                <w:sz w:val="20"/>
                <w:szCs w:val="20"/>
              </w:rPr>
              <w:t>Employees – Trainers</w:t>
            </w:r>
          </w:p>
        </w:tc>
        <w:tc>
          <w:tcPr>
            <w:tcW w:w="1635" w:type="dxa"/>
          </w:tcPr>
          <w:p w14:paraId="7169B960" w14:textId="77777777" w:rsidR="00241901" w:rsidRPr="0053780F" w:rsidRDefault="00241901" w:rsidP="00816F65">
            <w:pPr>
              <w:rPr>
                <w:sz w:val="20"/>
                <w:szCs w:val="20"/>
              </w:rPr>
            </w:pPr>
            <w:r w:rsidRPr="0053780F">
              <w:rPr>
                <w:sz w:val="20"/>
                <w:szCs w:val="20"/>
              </w:rPr>
              <w:t>Medium</w:t>
            </w:r>
          </w:p>
        </w:tc>
        <w:tc>
          <w:tcPr>
            <w:tcW w:w="1185" w:type="dxa"/>
          </w:tcPr>
          <w:p w14:paraId="7FF99527" w14:textId="77777777" w:rsidR="00241901" w:rsidRPr="0053780F" w:rsidRDefault="00241901" w:rsidP="00816F65">
            <w:pPr>
              <w:rPr>
                <w:sz w:val="20"/>
                <w:szCs w:val="20"/>
              </w:rPr>
            </w:pPr>
            <w:r w:rsidRPr="0053780F">
              <w:rPr>
                <w:sz w:val="20"/>
                <w:szCs w:val="20"/>
              </w:rPr>
              <w:t>High</w:t>
            </w:r>
          </w:p>
        </w:tc>
        <w:tc>
          <w:tcPr>
            <w:tcW w:w="2355" w:type="dxa"/>
          </w:tcPr>
          <w:p w14:paraId="24DBEDFC" w14:textId="77777777" w:rsidR="00241901" w:rsidRPr="0053780F" w:rsidRDefault="00241901" w:rsidP="00816F65">
            <w:pPr>
              <w:rPr>
                <w:sz w:val="20"/>
                <w:szCs w:val="20"/>
              </w:rPr>
            </w:pPr>
            <w:r w:rsidRPr="0053780F">
              <w:rPr>
                <w:sz w:val="20"/>
                <w:szCs w:val="20"/>
              </w:rPr>
              <w:t>Involve &amp; engage</w:t>
            </w:r>
          </w:p>
        </w:tc>
        <w:tc>
          <w:tcPr>
            <w:tcW w:w="6030" w:type="dxa"/>
          </w:tcPr>
          <w:p w14:paraId="244596EB" w14:textId="77777777" w:rsidR="00241901" w:rsidRPr="0053780F" w:rsidRDefault="00241901" w:rsidP="00816F65">
            <w:pPr>
              <w:rPr>
                <w:rFonts w:eastAsia="Calibri Light" w:cs="Calibri Light"/>
                <w:sz w:val="20"/>
                <w:szCs w:val="20"/>
              </w:rPr>
            </w:pPr>
            <w:r w:rsidRPr="0053780F">
              <w:rPr>
                <w:rFonts w:eastAsia="Calibri Light" w:cs="Calibri Light"/>
                <w:sz w:val="20"/>
                <w:szCs w:val="20"/>
              </w:rPr>
              <w:t>Change may directly affect training delivery, technology, responsibilities and working practices. Their expertise can also inform implementation.</w:t>
            </w:r>
          </w:p>
        </w:tc>
      </w:tr>
      <w:tr w:rsidR="00241901" w:rsidRPr="0053780F" w14:paraId="3DB8FCE6" w14:textId="77777777" w:rsidTr="00816F65">
        <w:trPr>
          <w:trHeight w:val="300"/>
        </w:trPr>
        <w:tc>
          <w:tcPr>
            <w:tcW w:w="2745" w:type="dxa"/>
          </w:tcPr>
          <w:p w14:paraId="5F8F1D86" w14:textId="77777777" w:rsidR="00241901" w:rsidRPr="0053780F" w:rsidRDefault="00241901" w:rsidP="00816F65">
            <w:pPr>
              <w:rPr>
                <w:b/>
                <w:bCs/>
                <w:sz w:val="20"/>
                <w:szCs w:val="20"/>
              </w:rPr>
            </w:pPr>
            <w:r w:rsidRPr="0053780F">
              <w:rPr>
                <w:b/>
                <w:bCs/>
                <w:sz w:val="20"/>
                <w:szCs w:val="20"/>
              </w:rPr>
              <w:t>Administration/business development employees</w:t>
            </w:r>
          </w:p>
        </w:tc>
        <w:tc>
          <w:tcPr>
            <w:tcW w:w="1635" w:type="dxa"/>
          </w:tcPr>
          <w:p w14:paraId="106C8E60" w14:textId="77777777" w:rsidR="00241901" w:rsidRPr="0053780F" w:rsidRDefault="00241901" w:rsidP="00816F65">
            <w:pPr>
              <w:rPr>
                <w:sz w:val="20"/>
                <w:szCs w:val="20"/>
              </w:rPr>
            </w:pPr>
            <w:r w:rsidRPr="0053780F">
              <w:rPr>
                <w:sz w:val="20"/>
                <w:szCs w:val="20"/>
              </w:rPr>
              <w:t>Medium</w:t>
            </w:r>
          </w:p>
        </w:tc>
        <w:tc>
          <w:tcPr>
            <w:tcW w:w="1185" w:type="dxa"/>
          </w:tcPr>
          <w:p w14:paraId="2F9EB38C" w14:textId="77777777" w:rsidR="00241901" w:rsidRPr="0053780F" w:rsidRDefault="00241901" w:rsidP="00816F65">
            <w:pPr>
              <w:rPr>
                <w:sz w:val="20"/>
                <w:szCs w:val="20"/>
              </w:rPr>
            </w:pPr>
            <w:r w:rsidRPr="0053780F">
              <w:rPr>
                <w:sz w:val="20"/>
                <w:szCs w:val="20"/>
              </w:rPr>
              <w:t>High</w:t>
            </w:r>
          </w:p>
        </w:tc>
        <w:tc>
          <w:tcPr>
            <w:tcW w:w="2355" w:type="dxa"/>
          </w:tcPr>
          <w:p w14:paraId="765ABDF3" w14:textId="77777777" w:rsidR="00241901" w:rsidRPr="0053780F" w:rsidRDefault="00241901" w:rsidP="00816F65">
            <w:pPr>
              <w:rPr>
                <w:sz w:val="20"/>
                <w:szCs w:val="20"/>
              </w:rPr>
            </w:pPr>
            <w:r w:rsidRPr="0053780F">
              <w:rPr>
                <w:sz w:val="20"/>
                <w:szCs w:val="20"/>
              </w:rPr>
              <w:t>Involve &amp; engage</w:t>
            </w:r>
          </w:p>
        </w:tc>
        <w:tc>
          <w:tcPr>
            <w:tcW w:w="6030" w:type="dxa"/>
          </w:tcPr>
          <w:p w14:paraId="1236070B" w14:textId="77777777" w:rsidR="00241901" w:rsidRPr="0053780F" w:rsidRDefault="00241901" w:rsidP="00816F65">
            <w:pPr>
              <w:rPr>
                <w:sz w:val="20"/>
                <w:szCs w:val="20"/>
              </w:rPr>
            </w:pPr>
            <w:r w:rsidRPr="0053780F">
              <w:rPr>
                <w:sz w:val="20"/>
                <w:szCs w:val="20"/>
              </w:rPr>
              <w:t>Expected modifications to frameworks, methodologies, and client interactions are vital for effective operational implementation.</w:t>
            </w:r>
          </w:p>
        </w:tc>
      </w:tr>
      <w:tr w:rsidR="00241901" w:rsidRPr="0053780F" w14:paraId="4B19AAB1" w14:textId="77777777" w:rsidTr="00816F65">
        <w:trPr>
          <w:trHeight w:val="300"/>
        </w:trPr>
        <w:tc>
          <w:tcPr>
            <w:tcW w:w="2745" w:type="dxa"/>
          </w:tcPr>
          <w:p w14:paraId="7CCADD77" w14:textId="77777777" w:rsidR="00241901" w:rsidRPr="0053780F" w:rsidRDefault="00241901" w:rsidP="00816F65">
            <w:pPr>
              <w:rPr>
                <w:b/>
                <w:bCs/>
                <w:sz w:val="20"/>
                <w:szCs w:val="20"/>
              </w:rPr>
            </w:pPr>
            <w:r w:rsidRPr="0053780F">
              <w:rPr>
                <w:b/>
                <w:bCs/>
                <w:sz w:val="20"/>
                <w:szCs w:val="20"/>
              </w:rPr>
              <w:t>Accreditation/awarding and relevant industry bodies</w:t>
            </w:r>
          </w:p>
        </w:tc>
        <w:tc>
          <w:tcPr>
            <w:tcW w:w="1635" w:type="dxa"/>
          </w:tcPr>
          <w:p w14:paraId="0D9F1D3D" w14:textId="77777777" w:rsidR="00241901" w:rsidRPr="0053780F" w:rsidRDefault="00241901" w:rsidP="00816F65">
            <w:pPr>
              <w:rPr>
                <w:sz w:val="20"/>
                <w:szCs w:val="20"/>
              </w:rPr>
            </w:pPr>
            <w:r w:rsidRPr="0053780F">
              <w:rPr>
                <w:sz w:val="20"/>
                <w:szCs w:val="20"/>
              </w:rPr>
              <w:t>High</w:t>
            </w:r>
          </w:p>
        </w:tc>
        <w:tc>
          <w:tcPr>
            <w:tcW w:w="1185" w:type="dxa"/>
          </w:tcPr>
          <w:p w14:paraId="2C315C24" w14:textId="77777777" w:rsidR="00241901" w:rsidRPr="0053780F" w:rsidRDefault="00241901" w:rsidP="00816F65">
            <w:pPr>
              <w:rPr>
                <w:sz w:val="20"/>
                <w:szCs w:val="20"/>
              </w:rPr>
            </w:pPr>
            <w:r w:rsidRPr="0053780F">
              <w:rPr>
                <w:sz w:val="20"/>
                <w:szCs w:val="20"/>
              </w:rPr>
              <w:t>Medium/High</w:t>
            </w:r>
          </w:p>
        </w:tc>
        <w:tc>
          <w:tcPr>
            <w:tcW w:w="2355" w:type="dxa"/>
          </w:tcPr>
          <w:p w14:paraId="7CA8A6A5" w14:textId="77777777" w:rsidR="00241901" w:rsidRPr="0053780F" w:rsidRDefault="00241901" w:rsidP="00816F65">
            <w:pPr>
              <w:rPr>
                <w:sz w:val="20"/>
                <w:szCs w:val="20"/>
              </w:rPr>
            </w:pPr>
            <w:r w:rsidRPr="0053780F">
              <w:rPr>
                <w:sz w:val="20"/>
                <w:szCs w:val="20"/>
              </w:rPr>
              <w:t>Manage closely/ keep satisfied</w:t>
            </w:r>
          </w:p>
        </w:tc>
        <w:tc>
          <w:tcPr>
            <w:tcW w:w="6030" w:type="dxa"/>
          </w:tcPr>
          <w:p w14:paraId="6D0DF269" w14:textId="77777777" w:rsidR="00241901" w:rsidRPr="0053780F" w:rsidRDefault="00241901" w:rsidP="00816F65">
            <w:pPr>
              <w:rPr>
                <w:sz w:val="20"/>
                <w:szCs w:val="20"/>
              </w:rPr>
            </w:pPr>
            <w:r w:rsidRPr="0053780F">
              <w:rPr>
                <w:sz w:val="20"/>
                <w:szCs w:val="20"/>
              </w:rPr>
              <w:t>Criteria may have a direct impact on course benchmarks, trainer qualifications, record-keeping, and compliance.</w:t>
            </w:r>
          </w:p>
        </w:tc>
      </w:tr>
      <w:tr w:rsidR="00241901" w:rsidRPr="0053780F" w14:paraId="5BD362CD" w14:textId="77777777" w:rsidTr="00816F65">
        <w:trPr>
          <w:trHeight w:val="300"/>
        </w:trPr>
        <w:tc>
          <w:tcPr>
            <w:tcW w:w="2745" w:type="dxa"/>
          </w:tcPr>
          <w:p w14:paraId="32B62E94" w14:textId="77777777" w:rsidR="00241901" w:rsidRPr="0053780F" w:rsidRDefault="00241901" w:rsidP="00816F65">
            <w:pPr>
              <w:rPr>
                <w:b/>
                <w:bCs/>
                <w:sz w:val="20"/>
                <w:szCs w:val="20"/>
              </w:rPr>
            </w:pPr>
            <w:r w:rsidRPr="0053780F">
              <w:rPr>
                <w:b/>
                <w:bCs/>
                <w:sz w:val="20"/>
                <w:szCs w:val="20"/>
              </w:rPr>
              <w:t>Corporate clients</w:t>
            </w:r>
          </w:p>
        </w:tc>
        <w:tc>
          <w:tcPr>
            <w:tcW w:w="1635" w:type="dxa"/>
          </w:tcPr>
          <w:p w14:paraId="1225BB49" w14:textId="77777777" w:rsidR="00241901" w:rsidRPr="0053780F" w:rsidRDefault="00241901" w:rsidP="00816F65">
            <w:pPr>
              <w:rPr>
                <w:sz w:val="20"/>
                <w:szCs w:val="20"/>
              </w:rPr>
            </w:pPr>
            <w:r w:rsidRPr="0053780F">
              <w:rPr>
                <w:sz w:val="20"/>
                <w:szCs w:val="20"/>
              </w:rPr>
              <w:t>Medium/High</w:t>
            </w:r>
          </w:p>
        </w:tc>
        <w:tc>
          <w:tcPr>
            <w:tcW w:w="1185" w:type="dxa"/>
          </w:tcPr>
          <w:p w14:paraId="4C8E98FD" w14:textId="77777777" w:rsidR="00241901" w:rsidRPr="0053780F" w:rsidRDefault="00241901" w:rsidP="00816F65">
            <w:pPr>
              <w:rPr>
                <w:sz w:val="20"/>
                <w:szCs w:val="20"/>
              </w:rPr>
            </w:pPr>
            <w:r w:rsidRPr="0053780F">
              <w:rPr>
                <w:sz w:val="20"/>
                <w:szCs w:val="20"/>
              </w:rPr>
              <w:t>High</w:t>
            </w:r>
          </w:p>
        </w:tc>
        <w:tc>
          <w:tcPr>
            <w:tcW w:w="2355" w:type="dxa"/>
          </w:tcPr>
          <w:p w14:paraId="159007F7" w14:textId="77777777" w:rsidR="00241901" w:rsidRPr="0053780F" w:rsidRDefault="00241901" w:rsidP="00816F65">
            <w:pPr>
              <w:rPr>
                <w:sz w:val="20"/>
                <w:szCs w:val="20"/>
              </w:rPr>
            </w:pPr>
            <w:r w:rsidRPr="0053780F">
              <w:rPr>
                <w:sz w:val="20"/>
                <w:szCs w:val="20"/>
              </w:rPr>
              <w:t>Manage closely</w:t>
            </w:r>
          </w:p>
        </w:tc>
        <w:tc>
          <w:tcPr>
            <w:tcW w:w="6030" w:type="dxa"/>
          </w:tcPr>
          <w:p w14:paraId="518E5157" w14:textId="77777777" w:rsidR="00241901" w:rsidRPr="0053780F" w:rsidRDefault="00241901" w:rsidP="00816F65">
            <w:pPr>
              <w:rPr>
                <w:sz w:val="20"/>
                <w:szCs w:val="20"/>
              </w:rPr>
            </w:pPr>
            <w:r w:rsidRPr="0053780F">
              <w:rPr>
                <w:sz w:val="20"/>
                <w:szCs w:val="20"/>
              </w:rPr>
              <w:t xml:space="preserve">Ongoing transactions and organisational contracts shape revenue, while modifications in delivery or service quality could </w:t>
            </w:r>
            <w:proofErr w:type="spellStart"/>
            <w:proofErr w:type="gramStart"/>
            <w:r w:rsidRPr="0053780F">
              <w:rPr>
                <w:sz w:val="20"/>
                <w:szCs w:val="20"/>
              </w:rPr>
              <w:t>effect</w:t>
            </w:r>
            <w:proofErr w:type="spellEnd"/>
            <w:proofErr w:type="gramEnd"/>
            <w:r w:rsidRPr="0053780F">
              <w:rPr>
                <w:sz w:val="20"/>
                <w:szCs w:val="20"/>
              </w:rPr>
              <w:t xml:space="preserve"> customer relationships.</w:t>
            </w:r>
          </w:p>
        </w:tc>
      </w:tr>
      <w:tr w:rsidR="00241901" w:rsidRPr="0053780F" w14:paraId="42E8694C" w14:textId="77777777" w:rsidTr="00816F65">
        <w:trPr>
          <w:trHeight w:val="300"/>
        </w:trPr>
        <w:tc>
          <w:tcPr>
            <w:tcW w:w="2745" w:type="dxa"/>
          </w:tcPr>
          <w:p w14:paraId="57823766" w14:textId="77777777" w:rsidR="00241901" w:rsidRPr="0053780F" w:rsidRDefault="00241901" w:rsidP="00816F65">
            <w:pPr>
              <w:rPr>
                <w:b/>
                <w:bCs/>
                <w:sz w:val="20"/>
                <w:szCs w:val="20"/>
              </w:rPr>
            </w:pPr>
            <w:r w:rsidRPr="0053780F">
              <w:rPr>
                <w:b/>
                <w:bCs/>
                <w:sz w:val="20"/>
                <w:szCs w:val="20"/>
              </w:rPr>
              <w:t>Individual learners</w:t>
            </w:r>
          </w:p>
        </w:tc>
        <w:tc>
          <w:tcPr>
            <w:tcW w:w="1635" w:type="dxa"/>
          </w:tcPr>
          <w:p w14:paraId="39943798" w14:textId="77777777" w:rsidR="00241901" w:rsidRPr="0053780F" w:rsidRDefault="00241901" w:rsidP="00816F65">
            <w:pPr>
              <w:rPr>
                <w:sz w:val="20"/>
                <w:szCs w:val="20"/>
              </w:rPr>
            </w:pPr>
            <w:r w:rsidRPr="0053780F">
              <w:rPr>
                <w:sz w:val="20"/>
                <w:szCs w:val="20"/>
              </w:rPr>
              <w:t>Low</w:t>
            </w:r>
          </w:p>
        </w:tc>
        <w:tc>
          <w:tcPr>
            <w:tcW w:w="1185" w:type="dxa"/>
          </w:tcPr>
          <w:p w14:paraId="06259F82" w14:textId="77777777" w:rsidR="00241901" w:rsidRPr="0053780F" w:rsidRDefault="00241901" w:rsidP="00816F65">
            <w:pPr>
              <w:rPr>
                <w:sz w:val="20"/>
                <w:szCs w:val="20"/>
              </w:rPr>
            </w:pPr>
            <w:r w:rsidRPr="0053780F">
              <w:rPr>
                <w:sz w:val="20"/>
                <w:szCs w:val="20"/>
              </w:rPr>
              <w:t>High</w:t>
            </w:r>
          </w:p>
        </w:tc>
        <w:tc>
          <w:tcPr>
            <w:tcW w:w="2355" w:type="dxa"/>
          </w:tcPr>
          <w:p w14:paraId="6C64F72B" w14:textId="77777777" w:rsidR="00241901" w:rsidRPr="0053780F" w:rsidRDefault="00241901" w:rsidP="00816F65">
            <w:pPr>
              <w:rPr>
                <w:sz w:val="20"/>
                <w:szCs w:val="20"/>
              </w:rPr>
            </w:pPr>
            <w:r w:rsidRPr="0053780F">
              <w:rPr>
                <w:sz w:val="20"/>
                <w:szCs w:val="20"/>
              </w:rPr>
              <w:t>Keep informed</w:t>
            </w:r>
          </w:p>
        </w:tc>
        <w:tc>
          <w:tcPr>
            <w:tcW w:w="6030" w:type="dxa"/>
          </w:tcPr>
          <w:p w14:paraId="786B2E9E" w14:textId="77777777" w:rsidR="00241901" w:rsidRPr="0053780F" w:rsidRDefault="00241901" w:rsidP="00816F65">
            <w:pPr>
              <w:rPr>
                <w:sz w:val="20"/>
                <w:szCs w:val="20"/>
              </w:rPr>
            </w:pPr>
            <w:r w:rsidRPr="0053780F">
              <w:rPr>
                <w:sz w:val="20"/>
                <w:szCs w:val="20"/>
              </w:rPr>
              <w:t>Hold minimal strategic leverage independently but are significantly impacted by the calibre of the course, its availability, and the overall client experience.</w:t>
            </w:r>
          </w:p>
        </w:tc>
      </w:tr>
      <w:tr w:rsidR="00241901" w:rsidRPr="0053780F" w14:paraId="3D4C7AC4" w14:textId="77777777" w:rsidTr="00816F65">
        <w:trPr>
          <w:trHeight w:val="300"/>
        </w:trPr>
        <w:tc>
          <w:tcPr>
            <w:tcW w:w="2745" w:type="dxa"/>
          </w:tcPr>
          <w:p w14:paraId="691C52DC" w14:textId="77777777" w:rsidR="00241901" w:rsidRPr="0053780F" w:rsidRDefault="00241901" w:rsidP="00816F65">
            <w:pPr>
              <w:rPr>
                <w:b/>
                <w:bCs/>
                <w:sz w:val="20"/>
                <w:szCs w:val="20"/>
              </w:rPr>
            </w:pPr>
            <w:r w:rsidRPr="0053780F">
              <w:rPr>
                <w:b/>
                <w:bCs/>
                <w:sz w:val="20"/>
                <w:szCs w:val="20"/>
              </w:rPr>
              <w:t>Suppliers/technology providers</w:t>
            </w:r>
          </w:p>
        </w:tc>
        <w:tc>
          <w:tcPr>
            <w:tcW w:w="1635" w:type="dxa"/>
          </w:tcPr>
          <w:p w14:paraId="7EA3C258" w14:textId="77777777" w:rsidR="00241901" w:rsidRPr="0053780F" w:rsidRDefault="00241901" w:rsidP="00816F65">
            <w:pPr>
              <w:rPr>
                <w:sz w:val="20"/>
                <w:szCs w:val="20"/>
              </w:rPr>
            </w:pPr>
            <w:r w:rsidRPr="0053780F">
              <w:rPr>
                <w:sz w:val="20"/>
                <w:szCs w:val="20"/>
              </w:rPr>
              <w:t>Low/Medium</w:t>
            </w:r>
          </w:p>
        </w:tc>
        <w:tc>
          <w:tcPr>
            <w:tcW w:w="1185" w:type="dxa"/>
          </w:tcPr>
          <w:p w14:paraId="6B63B6E8" w14:textId="77777777" w:rsidR="00241901" w:rsidRPr="0053780F" w:rsidRDefault="00241901" w:rsidP="00816F65">
            <w:pPr>
              <w:rPr>
                <w:sz w:val="20"/>
                <w:szCs w:val="20"/>
              </w:rPr>
            </w:pPr>
            <w:r w:rsidRPr="0053780F">
              <w:rPr>
                <w:sz w:val="20"/>
                <w:szCs w:val="20"/>
              </w:rPr>
              <w:t>Medium</w:t>
            </w:r>
          </w:p>
        </w:tc>
        <w:tc>
          <w:tcPr>
            <w:tcW w:w="2355" w:type="dxa"/>
          </w:tcPr>
          <w:p w14:paraId="6B6CD5BE" w14:textId="77777777" w:rsidR="00241901" w:rsidRPr="0053780F" w:rsidRDefault="00241901" w:rsidP="00816F65">
            <w:pPr>
              <w:rPr>
                <w:sz w:val="20"/>
                <w:szCs w:val="20"/>
              </w:rPr>
            </w:pPr>
            <w:r w:rsidRPr="0053780F">
              <w:rPr>
                <w:sz w:val="20"/>
                <w:szCs w:val="20"/>
              </w:rPr>
              <w:t>Keep informed/satisfied</w:t>
            </w:r>
          </w:p>
        </w:tc>
        <w:tc>
          <w:tcPr>
            <w:tcW w:w="6030" w:type="dxa"/>
          </w:tcPr>
          <w:p w14:paraId="4950D6C7" w14:textId="77777777" w:rsidR="00241901" w:rsidRPr="0053780F" w:rsidRDefault="00241901" w:rsidP="00816F65">
            <w:pPr>
              <w:rPr>
                <w:sz w:val="20"/>
                <w:szCs w:val="20"/>
              </w:rPr>
            </w:pPr>
            <w:r w:rsidRPr="0053780F">
              <w:rPr>
                <w:sz w:val="20"/>
                <w:szCs w:val="20"/>
              </w:rPr>
              <w:t xml:space="preserve">Could attain higher priority in scenarios, </w:t>
            </w:r>
            <w:proofErr w:type="gramStart"/>
            <w:r w:rsidRPr="0053780F">
              <w:rPr>
                <w:sz w:val="20"/>
                <w:szCs w:val="20"/>
              </w:rPr>
              <w:t>where</w:t>
            </w:r>
            <w:proofErr w:type="gramEnd"/>
            <w:r w:rsidRPr="0053780F">
              <w:rPr>
                <w:sz w:val="20"/>
                <w:szCs w:val="20"/>
              </w:rPr>
              <w:t xml:space="preserve"> organisational modification hinges on advanced technology, devices, or systems.</w:t>
            </w:r>
          </w:p>
        </w:tc>
      </w:tr>
      <w:tr w:rsidR="00241901" w:rsidRPr="0053780F" w14:paraId="362DA7DB" w14:textId="77777777" w:rsidTr="00816F65">
        <w:trPr>
          <w:trHeight w:val="300"/>
        </w:trPr>
        <w:tc>
          <w:tcPr>
            <w:tcW w:w="2745" w:type="dxa"/>
          </w:tcPr>
          <w:p w14:paraId="3A0E8F50" w14:textId="77777777" w:rsidR="00241901" w:rsidRPr="0053780F" w:rsidRDefault="00241901" w:rsidP="00816F65">
            <w:pPr>
              <w:rPr>
                <w:b/>
                <w:bCs/>
                <w:sz w:val="20"/>
                <w:szCs w:val="20"/>
              </w:rPr>
            </w:pPr>
            <w:r w:rsidRPr="0053780F">
              <w:rPr>
                <w:b/>
                <w:bCs/>
                <w:sz w:val="20"/>
                <w:szCs w:val="20"/>
              </w:rPr>
              <w:t>Regulatory bodies</w:t>
            </w:r>
          </w:p>
        </w:tc>
        <w:tc>
          <w:tcPr>
            <w:tcW w:w="1635" w:type="dxa"/>
          </w:tcPr>
          <w:p w14:paraId="5B9CCF4C" w14:textId="77777777" w:rsidR="00241901" w:rsidRPr="0053780F" w:rsidRDefault="00241901" w:rsidP="00816F65">
            <w:pPr>
              <w:rPr>
                <w:sz w:val="20"/>
                <w:szCs w:val="20"/>
              </w:rPr>
            </w:pPr>
            <w:r w:rsidRPr="0053780F">
              <w:rPr>
                <w:sz w:val="20"/>
                <w:szCs w:val="20"/>
              </w:rPr>
              <w:t>High</w:t>
            </w:r>
          </w:p>
        </w:tc>
        <w:tc>
          <w:tcPr>
            <w:tcW w:w="1185" w:type="dxa"/>
          </w:tcPr>
          <w:p w14:paraId="29C96B48" w14:textId="77777777" w:rsidR="00241901" w:rsidRPr="0053780F" w:rsidRDefault="00241901" w:rsidP="00816F65">
            <w:pPr>
              <w:rPr>
                <w:sz w:val="20"/>
                <w:szCs w:val="20"/>
              </w:rPr>
            </w:pPr>
            <w:r w:rsidRPr="0053780F">
              <w:rPr>
                <w:sz w:val="20"/>
                <w:szCs w:val="20"/>
              </w:rPr>
              <w:t xml:space="preserve">Lower direct interest </w:t>
            </w:r>
          </w:p>
        </w:tc>
        <w:tc>
          <w:tcPr>
            <w:tcW w:w="2355" w:type="dxa"/>
          </w:tcPr>
          <w:p w14:paraId="2F256660" w14:textId="77777777" w:rsidR="00241901" w:rsidRPr="0053780F" w:rsidRDefault="00241901" w:rsidP="00816F65">
            <w:pPr>
              <w:rPr>
                <w:sz w:val="20"/>
                <w:szCs w:val="20"/>
              </w:rPr>
            </w:pPr>
            <w:r w:rsidRPr="0053780F">
              <w:rPr>
                <w:sz w:val="20"/>
                <w:szCs w:val="20"/>
              </w:rPr>
              <w:t>Keep satisfied</w:t>
            </w:r>
          </w:p>
        </w:tc>
        <w:tc>
          <w:tcPr>
            <w:tcW w:w="6030" w:type="dxa"/>
          </w:tcPr>
          <w:p w14:paraId="48D533B6" w14:textId="77777777" w:rsidR="00241901" w:rsidRPr="0053780F" w:rsidRDefault="00241901" w:rsidP="00816F65">
            <w:pPr>
              <w:rPr>
                <w:sz w:val="20"/>
                <w:szCs w:val="20"/>
              </w:rPr>
            </w:pPr>
            <w:r w:rsidRPr="0053780F">
              <w:rPr>
                <w:sz w:val="20"/>
                <w:szCs w:val="20"/>
              </w:rPr>
              <w:t>Alpha is required to adhere to applicable legal and regulatory standards irrespective of the changes being executed.</w:t>
            </w:r>
          </w:p>
        </w:tc>
      </w:tr>
    </w:tbl>
    <w:p w14:paraId="108D5521" w14:textId="77777777" w:rsidR="00241901" w:rsidRPr="0053780F" w:rsidRDefault="00241901" w:rsidP="00241901"/>
    <w:p w14:paraId="5A9D3971" w14:textId="77777777" w:rsidR="00241901" w:rsidRPr="0053780F" w:rsidRDefault="00241901" w:rsidP="00241901"/>
    <w:sectPr w:rsidR="00241901" w:rsidRPr="0053780F" w:rsidSect="00471337">
      <w:pgSz w:w="1682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0B920" w14:textId="77777777" w:rsidR="008C0B36" w:rsidRDefault="008C0B36">
      <w:pPr>
        <w:spacing w:after="0" w:line="240" w:lineRule="auto"/>
      </w:pPr>
      <w:r>
        <w:separator/>
      </w:r>
    </w:p>
  </w:endnote>
  <w:endnote w:type="continuationSeparator" w:id="0">
    <w:p w14:paraId="01E499A0" w14:textId="77777777" w:rsidR="008C0B36" w:rsidRDefault="008C0B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6F9D4E4" w14:paraId="20F6C1DE" w14:textId="77777777" w:rsidTr="46F9D4E4">
      <w:trPr>
        <w:trHeight w:val="300"/>
      </w:trPr>
      <w:tc>
        <w:tcPr>
          <w:tcW w:w="3005" w:type="dxa"/>
        </w:tcPr>
        <w:p w14:paraId="71467407" w14:textId="030B9982" w:rsidR="46F9D4E4" w:rsidRDefault="46F9D4E4" w:rsidP="46F9D4E4">
          <w:pPr>
            <w:pStyle w:val="Header"/>
            <w:ind w:left="-115"/>
          </w:pPr>
        </w:p>
      </w:tc>
      <w:tc>
        <w:tcPr>
          <w:tcW w:w="3005" w:type="dxa"/>
        </w:tcPr>
        <w:p w14:paraId="4EA98227" w14:textId="7B7C8783" w:rsidR="46F9D4E4" w:rsidRDefault="46F9D4E4" w:rsidP="46F9D4E4">
          <w:pPr>
            <w:pStyle w:val="Header"/>
            <w:jc w:val="center"/>
          </w:pPr>
          <w:r>
            <w:fldChar w:fldCharType="begin"/>
          </w:r>
          <w:r>
            <w:instrText>PAGE</w:instrText>
          </w:r>
          <w:r>
            <w:fldChar w:fldCharType="separate"/>
          </w:r>
          <w:r w:rsidR="007015A4">
            <w:rPr>
              <w:noProof/>
            </w:rPr>
            <w:t>1</w:t>
          </w:r>
          <w:r>
            <w:fldChar w:fldCharType="end"/>
          </w:r>
        </w:p>
      </w:tc>
      <w:tc>
        <w:tcPr>
          <w:tcW w:w="3005" w:type="dxa"/>
        </w:tcPr>
        <w:p w14:paraId="376BA553" w14:textId="4EC60461" w:rsidR="46F9D4E4" w:rsidRDefault="46F9D4E4" w:rsidP="46F9D4E4">
          <w:pPr>
            <w:pStyle w:val="Header"/>
            <w:ind w:right="-115"/>
            <w:jc w:val="right"/>
          </w:pPr>
        </w:p>
      </w:tc>
    </w:tr>
  </w:tbl>
  <w:p w14:paraId="2F01D62F" w14:textId="5CE46454" w:rsidR="46F9D4E4" w:rsidRDefault="46F9D4E4" w:rsidP="46F9D4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F34A32" w14:textId="77777777" w:rsidR="008C0B36" w:rsidRDefault="008C0B36">
      <w:pPr>
        <w:spacing w:after="0" w:line="240" w:lineRule="auto"/>
      </w:pPr>
      <w:r>
        <w:separator/>
      </w:r>
    </w:p>
  </w:footnote>
  <w:footnote w:type="continuationSeparator" w:id="0">
    <w:p w14:paraId="6D75D20D" w14:textId="77777777" w:rsidR="008C0B36" w:rsidRDefault="008C0B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6F9D4E4" w14:paraId="24CDB95F" w14:textId="77777777" w:rsidTr="46F9D4E4">
      <w:trPr>
        <w:trHeight w:val="300"/>
      </w:trPr>
      <w:tc>
        <w:tcPr>
          <w:tcW w:w="3005" w:type="dxa"/>
        </w:tcPr>
        <w:p w14:paraId="1061AD97" w14:textId="5BE3FDDF" w:rsidR="46F9D4E4" w:rsidRDefault="46F9D4E4" w:rsidP="46F9D4E4">
          <w:pPr>
            <w:pStyle w:val="Header"/>
            <w:ind w:left="-115"/>
          </w:pPr>
        </w:p>
      </w:tc>
      <w:tc>
        <w:tcPr>
          <w:tcW w:w="3005" w:type="dxa"/>
        </w:tcPr>
        <w:p w14:paraId="6BD8B3A7" w14:textId="22E316BF" w:rsidR="46F9D4E4" w:rsidRDefault="46F9D4E4" w:rsidP="46F9D4E4">
          <w:pPr>
            <w:pStyle w:val="Header"/>
            <w:jc w:val="center"/>
          </w:pPr>
        </w:p>
      </w:tc>
      <w:tc>
        <w:tcPr>
          <w:tcW w:w="3005" w:type="dxa"/>
        </w:tcPr>
        <w:p w14:paraId="06B3DC9F" w14:textId="452022D8" w:rsidR="46F9D4E4" w:rsidRDefault="46F9D4E4" w:rsidP="46F9D4E4">
          <w:pPr>
            <w:pStyle w:val="Header"/>
            <w:ind w:right="-115"/>
            <w:jc w:val="right"/>
          </w:pPr>
        </w:p>
      </w:tc>
    </w:tr>
  </w:tbl>
  <w:p w14:paraId="1874D225" w14:textId="71502893" w:rsidR="46F9D4E4" w:rsidRDefault="46F9D4E4" w:rsidP="46F9D4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551B4B"/>
    <w:rsid w:val="00241901"/>
    <w:rsid w:val="00471337"/>
    <w:rsid w:val="004C74D2"/>
    <w:rsid w:val="0053780F"/>
    <w:rsid w:val="00571212"/>
    <w:rsid w:val="00623976"/>
    <w:rsid w:val="00676058"/>
    <w:rsid w:val="007015A4"/>
    <w:rsid w:val="008C0B36"/>
    <w:rsid w:val="008D0937"/>
    <w:rsid w:val="01B46CE4"/>
    <w:rsid w:val="02A585C9"/>
    <w:rsid w:val="03B927C9"/>
    <w:rsid w:val="03D5F735"/>
    <w:rsid w:val="04BC6B6C"/>
    <w:rsid w:val="05D5690F"/>
    <w:rsid w:val="067CB8F9"/>
    <w:rsid w:val="06DF49F1"/>
    <w:rsid w:val="087BAFD9"/>
    <w:rsid w:val="08B847DC"/>
    <w:rsid w:val="0919804C"/>
    <w:rsid w:val="095AC1C7"/>
    <w:rsid w:val="0B944B7C"/>
    <w:rsid w:val="0C86B4F7"/>
    <w:rsid w:val="0D68359F"/>
    <w:rsid w:val="0D88CC2A"/>
    <w:rsid w:val="0D98A106"/>
    <w:rsid w:val="0DA6F86C"/>
    <w:rsid w:val="0DF89817"/>
    <w:rsid w:val="0EE69076"/>
    <w:rsid w:val="0F0F59A0"/>
    <w:rsid w:val="0F45BBB0"/>
    <w:rsid w:val="0F629D59"/>
    <w:rsid w:val="0FAD0E7B"/>
    <w:rsid w:val="1090F447"/>
    <w:rsid w:val="11226FD3"/>
    <w:rsid w:val="12392E03"/>
    <w:rsid w:val="12B12B04"/>
    <w:rsid w:val="13017FC1"/>
    <w:rsid w:val="146E552B"/>
    <w:rsid w:val="148816B3"/>
    <w:rsid w:val="150189ED"/>
    <w:rsid w:val="15254344"/>
    <w:rsid w:val="153D9BF4"/>
    <w:rsid w:val="15B0D42F"/>
    <w:rsid w:val="1693AA93"/>
    <w:rsid w:val="16A46AEC"/>
    <w:rsid w:val="170F75E8"/>
    <w:rsid w:val="178F2E55"/>
    <w:rsid w:val="17A96861"/>
    <w:rsid w:val="183E2EB0"/>
    <w:rsid w:val="19740E22"/>
    <w:rsid w:val="19B84988"/>
    <w:rsid w:val="1A421D0E"/>
    <w:rsid w:val="1BD5A8D9"/>
    <w:rsid w:val="1C56BE60"/>
    <w:rsid w:val="1CAFCBBB"/>
    <w:rsid w:val="1DA88F23"/>
    <w:rsid w:val="1DC9D3F1"/>
    <w:rsid w:val="1E9835CE"/>
    <w:rsid w:val="1E9EB997"/>
    <w:rsid w:val="1EF41ABF"/>
    <w:rsid w:val="2137C1E7"/>
    <w:rsid w:val="2147BEB9"/>
    <w:rsid w:val="2159263F"/>
    <w:rsid w:val="2195640A"/>
    <w:rsid w:val="21D39ABC"/>
    <w:rsid w:val="21D64842"/>
    <w:rsid w:val="22EFBF48"/>
    <w:rsid w:val="22FF3051"/>
    <w:rsid w:val="230A244D"/>
    <w:rsid w:val="25928FD7"/>
    <w:rsid w:val="25A78D24"/>
    <w:rsid w:val="2625D827"/>
    <w:rsid w:val="2644A753"/>
    <w:rsid w:val="267B4DB6"/>
    <w:rsid w:val="269D4490"/>
    <w:rsid w:val="26ED6864"/>
    <w:rsid w:val="27366C3D"/>
    <w:rsid w:val="273B3ED2"/>
    <w:rsid w:val="275E66D5"/>
    <w:rsid w:val="2794F43C"/>
    <w:rsid w:val="28292249"/>
    <w:rsid w:val="28E29258"/>
    <w:rsid w:val="2ABF9087"/>
    <w:rsid w:val="2D16B79A"/>
    <w:rsid w:val="2DB2A55A"/>
    <w:rsid w:val="2DE646BF"/>
    <w:rsid w:val="2FAA5FCC"/>
    <w:rsid w:val="2FC92412"/>
    <w:rsid w:val="30855DF3"/>
    <w:rsid w:val="30D86886"/>
    <w:rsid w:val="31687017"/>
    <w:rsid w:val="31C03A92"/>
    <w:rsid w:val="334B5DDB"/>
    <w:rsid w:val="334EE11F"/>
    <w:rsid w:val="337C465B"/>
    <w:rsid w:val="33FA50E5"/>
    <w:rsid w:val="34D224AC"/>
    <w:rsid w:val="359CD87A"/>
    <w:rsid w:val="369E9C22"/>
    <w:rsid w:val="36DA0BAA"/>
    <w:rsid w:val="379B138D"/>
    <w:rsid w:val="38B3DB5D"/>
    <w:rsid w:val="38F844DC"/>
    <w:rsid w:val="398C56BE"/>
    <w:rsid w:val="399984B9"/>
    <w:rsid w:val="39B04C4D"/>
    <w:rsid w:val="3AA50A33"/>
    <w:rsid w:val="3B4DFC84"/>
    <w:rsid w:val="3B5BEF51"/>
    <w:rsid w:val="3D8C9DBF"/>
    <w:rsid w:val="3EB2640C"/>
    <w:rsid w:val="3EDBDC52"/>
    <w:rsid w:val="3F1C8B07"/>
    <w:rsid w:val="40169AB6"/>
    <w:rsid w:val="41670B51"/>
    <w:rsid w:val="42825C77"/>
    <w:rsid w:val="4285C528"/>
    <w:rsid w:val="4332D12D"/>
    <w:rsid w:val="448AB5A6"/>
    <w:rsid w:val="45683113"/>
    <w:rsid w:val="45FB68F0"/>
    <w:rsid w:val="4646AB9D"/>
    <w:rsid w:val="4678E870"/>
    <w:rsid w:val="46F9D4E4"/>
    <w:rsid w:val="48899AEF"/>
    <w:rsid w:val="48C5B972"/>
    <w:rsid w:val="4AD36262"/>
    <w:rsid w:val="4ADA7014"/>
    <w:rsid w:val="4B166B80"/>
    <w:rsid w:val="4B74AB29"/>
    <w:rsid w:val="4BF32AE0"/>
    <w:rsid w:val="4C560EAA"/>
    <w:rsid w:val="4DC0E618"/>
    <w:rsid w:val="4E4752D0"/>
    <w:rsid w:val="4EB41D9C"/>
    <w:rsid w:val="4F3DC7B0"/>
    <w:rsid w:val="50AAB13A"/>
    <w:rsid w:val="50EB71F6"/>
    <w:rsid w:val="51E9FEE4"/>
    <w:rsid w:val="52A6D686"/>
    <w:rsid w:val="544B5B00"/>
    <w:rsid w:val="544F6ABB"/>
    <w:rsid w:val="54F0D94B"/>
    <w:rsid w:val="54F542C7"/>
    <w:rsid w:val="55876AD8"/>
    <w:rsid w:val="562E0EB7"/>
    <w:rsid w:val="56F399E3"/>
    <w:rsid w:val="578841D7"/>
    <w:rsid w:val="5794F480"/>
    <w:rsid w:val="57E688BA"/>
    <w:rsid w:val="5861E36D"/>
    <w:rsid w:val="58750120"/>
    <w:rsid w:val="59B74E62"/>
    <w:rsid w:val="5A753F3F"/>
    <w:rsid w:val="5B726F16"/>
    <w:rsid w:val="5C8F2B1A"/>
    <w:rsid w:val="5CF9BC9A"/>
    <w:rsid w:val="5D48CF72"/>
    <w:rsid w:val="5DAEF95E"/>
    <w:rsid w:val="5DC28059"/>
    <w:rsid w:val="5DE9284C"/>
    <w:rsid w:val="5DEC3A33"/>
    <w:rsid w:val="5F0B6CBD"/>
    <w:rsid w:val="5F78D8C2"/>
    <w:rsid w:val="60A79AE9"/>
    <w:rsid w:val="61BA43C6"/>
    <w:rsid w:val="627574BD"/>
    <w:rsid w:val="629D82AE"/>
    <w:rsid w:val="62C61AED"/>
    <w:rsid w:val="6370EA80"/>
    <w:rsid w:val="63849DD0"/>
    <w:rsid w:val="63CBD9D7"/>
    <w:rsid w:val="63EC9EB2"/>
    <w:rsid w:val="653AC030"/>
    <w:rsid w:val="67E76C00"/>
    <w:rsid w:val="6997E4C9"/>
    <w:rsid w:val="69A37877"/>
    <w:rsid w:val="6B145540"/>
    <w:rsid w:val="6CA41873"/>
    <w:rsid w:val="6CCEA85B"/>
    <w:rsid w:val="6CE94DF3"/>
    <w:rsid w:val="6D78DA67"/>
    <w:rsid w:val="6E500DB7"/>
    <w:rsid w:val="6F16E677"/>
    <w:rsid w:val="6F551B4B"/>
    <w:rsid w:val="7015831C"/>
    <w:rsid w:val="70A1DDB6"/>
    <w:rsid w:val="7139E573"/>
    <w:rsid w:val="717CA3FE"/>
    <w:rsid w:val="71E651F2"/>
    <w:rsid w:val="721DC326"/>
    <w:rsid w:val="72D2D2ED"/>
    <w:rsid w:val="7344C03A"/>
    <w:rsid w:val="73704FD0"/>
    <w:rsid w:val="73A68B66"/>
    <w:rsid w:val="73C8EDF4"/>
    <w:rsid w:val="74EBB060"/>
    <w:rsid w:val="75510867"/>
    <w:rsid w:val="762C15D6"/>
    <w:rsid w:val="764C3E75"/>
    <w:rsid w:val="772AD739"/>
    <w:rsid w:val="773FC685"/>
    <w:rsid w:val="781AA844"/>
    <w:rsid w:val="78292384"/>
    <w:rsid w:val="78F05EEC"/>
    <w:rsid w:val="79150294"/>
    <w:rsid w:val="7A101F46"/>
    <w:rsid w:val="7A8D22BF"/>
    <w:rsid w:val="7AC31152"/>
    <w:rsid w:val="7B337B4B"/>
    <w:rsid w:val="7B394F75"/>
    <w:rsid w:val="7B3E70BA"/>
    <w:rsid w:val="7CD953F8"/>
    <w:rsid w:val="7D61E552"/>
    <w:rsid w:val="7DD17728"/>
    <w:rsid w:val="7E19E40C"/>
    <w:rsid w:val="7F638E96"/>
    <w:rsid w:val="7FC3F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C472D"/>
  <w15:chartTrackingRefBased/>
  <w15:docId w15:val="{716B5603-E2F6-41FD-BED3-A2F235F98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6F9D4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6F9D4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6F9D4E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46F9D4E4"/>
    <w:rPr>
      <w:color w:val="467886"/>
      <w:u w:val="single"/>
    </w:rPr>
  </w:style>
  <w:style w:type="paragraph" w:styleId="Header">
    <w:name w:val="header"/>
    <w:basedOn w:val="Normal"/>
    <w:uiPriority w:val="99"/>
    <w:unhideWhenUsed/>
    <w:rsid w:val="46F9D4E4"/>
    <w:pPr>
      <w:tabs>
        <w:tab w:val="center" w:pos="4680"/>
        <w:tab w:val="right" w:pos="9360"/>
      </w:tabs>
      <w:spacing w:after="0" w:line="240" w:lineRule="auto"/>
    </w:pPr>
  </w:style>
  <w:style w:type="paragraph" w:styleId="Footer">
    <w:name w:val="footer"/>
    <w:basedOn w:val="Normal"/>
    <w:uiPriority w:val="99"/>
    <w:unhideWhenUsed/>
    <w:rsid w:val="46F9D4E4"/>
    <w:pPr>
      <w:tabs>
        <w:tab w:val="center" w:pos="4680"/>
        <w:tab w:val="right" w:pos="9360"/>
      </w:tabs>
      <w:spacing w:after="0" w:line="240" w:lineRule="auto"/>
    </w:pPr>
  </w:style>
  <w:style w:type="paragraph" w:styleId="TOCHeading">
    <w:name w:val="TOC Heading"/>
    <w:basedOn w:val="Heading1"/>
    <w:next w:val="Normal"/>
    <w:uiPriority w:val="39"/>
    <w:unhideWhenUsed/>
    <w:qFormat/>
    <w:rsid w:val="0053780F"/>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53780F"/>
    <w:pPr>
      <w:spacing w:before="120" w:after="0"/>
    </w:pPr>
    <w:rPr>
      <w:b/>
      <w:bCs/>
      <w:i/>
      <w:iCs/>
    </w:rPr>
  </w:style>
  <w:style w:type="paragraph" w:styleId="TOC2">
    <w:name w:val="toc 2"/>
    <w:basedOn w:val="Normal"/>
    <w:next w:val="Normal"/>
    <w:autoRedefine/>
    <w:uiPriority w:val="39"/>
    <w:unhideWhenUsed/>
    <w:rsid w:val="0053780F"/>
    <w:pPr>
      <w:spacing w:before="120" w:after="0"/>
      <w:ind w:left="240"/>
    </w:pPr>
    <w:rPr>
      <w:b/>
      <w:bCs/>
      <w:sz w:val="22"/>
      <w:szCs w:val="22"/>
    </w:rPr>
  </w:style>
  <w:style w:type="paragraph" w:styleId="TOC3">
    <w:name w:val="toc 3"/>
    <w:basedOn w:val="Normal"/>
    <w:next w:val="Normal"/>
    <w:autoRedefine/>
    <w:uiPriority w:val="39"/>
    <w:semiHidden/>
    <w:unhideWhenUsed/>
    <w:rsid w:val="0053780F"/>
    <w:pPr>
      <w:spacing w:after="0"/>
      <w:ind w:left="480"/>
    </w:pPr>
    <w:rPr>
      <w:sz w:val="20"/>
      <w:szCs w:val="20"/>
    </w:rPr>
  </w:style>
  <w:style w:type="paragraph" w:styleId="TOC4">
    <w:name w:val="toc 4"/>
    <w:basedOn w:val="Normal"/>
    <w:next w:val="Normal"/>
    <w:autoRedefine/>
    <w:uiPriority w:val="39"/>
    <w:semiHidden/>
    <w:unhideWhenUsed/>
    <w:rsid w:val="0053780F"/>
    <w:pPr>
      <w:spacing w:after="0"/>
      <w:ind w:left="720"/>
    </w:pPr>
    <w:rPr>
      <w:sz w:val="20"/>
      <w:szCs w:val="20"/>
    </w:rPr>
  </w:style>
  <w:style w:type="paragraph" w:styleId="TOC5">
    <w:name w:val="toc 5"/>
    <w:basedOn w:val="Normal"/>
    <w:next w:val="Normal"/>
    <w:autoRedefine/>
    <w:uiPriority w:val="39"/>
    <w:semiHidden/>
    <w:unhideWhenUsed/>
    <w:rsid w:val="0053780F"/>
    <w:pPr>
      <w:spacing w:after="0"/>
      <w:ind w:left="960"/>
    </w:pPr>
    <w:rPr>
      <w:sz w:val="20"/>
      <w:szCs w:val="20"/>
    </w:rPr>
  </w:style>
  <w:style w:type="paragraph" w:styleId="TOC6">
    <w:name w:val="toc 6"/>
    <w:basedOn w:val="Normal"/>
    <w:next w:val="Normal"/>
    <w:autoRedefine/>
    <w:uiPriority w:val="39"/>
    <w:semiHidden/>
    <w:unhideWhenUsed/>
    <w:rsid w:val="0053780F"/>
    <w:pPr>
      <w:spacing w:after="0"/>
      <w:ind w:left="1200"/>
    </w:pPr>
    <w:rPr>
      <w:sz w:val="20"/>
      <w:szCs w:val="20"/>
    </w:rPr>
  </w:style>
  <w:style w:type="paragraph" w:styleId="TOC7">
    <w:name w:val="toc 7"/>
    <w:basedOn w:val="Normal"/>
    <w:next w:val="Normal"/>
    <w:autoRedefine/>
    <w:uiPriority w:val="39"/>
    <w:semiHidden/>
    <w:unhideWhenUsed/>
    <w:rsid w:val="0053780F"/>
    <w:pPr>
      <w:spacing w:after="0"/>
      <w:ind w:left="1440"/>
    </w:pPr>
    <w:rPr>
      <w:sz w:val="20"/>
      <w:szCs w:val="20"/>
    </w:rPr>
  </w:style>
  <w:style w:type="paragraph" w:styleId="TOC8">
    <w:name w:val="toc 8"/>
    <w:basedOn w:val="Normal"/>
    <w:next w:val="Normal"/>
    <w:autoRedefine/>
    <w:uiPriority w:val="39"/>
    <w:semiHidden/>
    <w:unhideWhenUsed/>
    <w:rsid w:val="0053780F"/>
    <w:pPr>
      <w:spacing w:after="0"/>
      <w:ind w:left="1680"/>
    </w:pPr>
    <w:rPr>
      <w:sz w:val="20"/>
      <w:szCs w:val="20"/>
    </w:rPr>
  </w:style>
  <w:style w:type="paragraph" w:styleId="TOC9">
    <w:name w:val="toc 9"/>
    <w:basedOn w:val="Normal"/>
    <w:next w:val="Normal"/>
    <w:autoRedefine/>
    <w:uiPriority w:val="39"/>
    <w:semiHidden/>
    <w:unhideWhenUsed/>
    <w:rsid w:val="0053780F"/>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0207540802146130" TargetMode="External"/><Relationship Id="rId18" Type="http://schemas.openxmlformats.org/officeDocument/2006/relationships/hyperlink" Target="https://research-ebsco-com.uwtsd.idm.oclc.org/c/onvpsy/viewer/pdf/cgbsf2zilv?route=details" TargetMode="External"/><Relationship Id="rId26" Type="http://schemas.openxmlformats.org/officeDocument/2006/relationships/hyperlink" Target="https://doi.org/10.1177/1742715015571393" TargetMode="External"/><Relationship Id="rId39" Type="http://schemas.openxmlformats.org/officeDocument/2006/relationships/hyperlink" Target="https://doi.org/10.1146/annurev.psych.50.1.361" TargetMode="External"/><Relationship Id="rId21" Type="http://schemas.openxmlformats.org/officeDocument/2006/relationships/hyperlink" Target="https://doi.org/10.2307/258594" TargetMode="External"/><Relationship Id="rId34" Type="http://schemas.openxmlformats.org/officeDocument/2006/relationships/hyperlink" Target="https://doi.org/10.2307/258322"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https://doi.org/10.1287/orsc.6.2.204" TargetMode="External"/><Relationship Id="rId20" Type="http://schemas.openxmlformats.org/officeDocument/2006/relationships/hyperlink" Target="https://doi.org/10.17719/jisr.2017.1832" TargetMode="External"/><Relationship Id="rId29" Type="http://schemas.openxmlformats.org/officeDocument/2006/relationships/hyperlink" Target="https://books.google.co.uk/books?hl=en&amp;lr=&amp;id=SYVqDwAAQBAJ&amp;oi=fnd&amp;pg=PR11&amp;dq=Kunc+(2018)+is+published+by+Wiley+in+Strategic+Analytics.+The+Wiley+page+specifically+states+that+external+factors+can+affect+organisational+choices+and+performance+and+identifies+political,+economic,+social,+technological+and+environmental+factors+within+the+general+external+environment.&amp;ots=yBugqccFxU&amp;sig=hH-lKI2UCmqrI3_pbMB3SSgYDO4"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j.1467-6486.2004.00463.x" TargetMode="External"/><Relationship Id="rId24" Type="http://schemas.openxmlformats.org/officeDocument/2006/relationships/hyperlink" Target="https://doi.org/10.1016/s0024-6301(96)00095-7" TargetMode="External"/><Relationship Id="rId32" Type="http://schemas.openxmlformats.org/officeDocument/2006/relationships/hyperlink" Target="https://doi.org/10.1080/13594320500451247" TargetMode="External"/><Relationship Id="rId37" Type="http://schemas.openxmlformats.org/officeDocument/2006/relationships/hyperlink" Target="https://doi.org/10.1146/annurev.psych.50.1.361" TargetMode="External"/><Relationship Id="rId40" Type="http://schemas.openxmlformats.org/officeDocument/2006/relationships/hyperlink" Target="https://doi.org/10.5539/ijbm.v7n24p52" TargetMode="External"/><Relationship Id="rId5" Type="http://schemas.openxmlformats.org/officeDocument/2006/relationships/footnotes" Target="footnotes.xml"/><Relationship Id="rId15" Type="http://schemas.openxmlformats.org/officeDocument/2006/relationships/hyperlink" Target="https://doi.org/https://doi.org/10.1287/orsc.6.2.204" TargetMode="External"/><Relationship Id="rId23" Type="http://schemas.openxmlformats.org/officeDocument/2006/relationships/hyperlink" Target="https://research-ebsco-com.uwtsd.idm.oclc.org/c/onvpsy/viewer/pdf/b36z22umzz?route=details" TargetMode="External"/><Relationship Id="rId28" Type="http://schemas.openxmlformats.org/officeDocument/2006/relationships/hyperlink" Target="https://heeoe.hee.nhs.uk/sites/default/files/leading_change_why_transformation_efforts_fail.pdf" TargetMode="External"/><Relationship Id="rId36" Type="http://schemas.openxmlformats.org/officeDocument/2006/relationships/hyperlink" Target="https://www.jstor.org/stable/3088148" TargetMode="External"/><Relationship Id="rId10" Type="http://schemas.openxmlformats.org/officeDocument/2006/relationships/hyperlink" Target="https://doi.org/10.1080/14719030410001675722" TargetMode="External"/><Relationship Id="rId19" Type="http://schemas.openxmlformats.org/officeDocument/2006/relationships/hyperlink" Target="https://doi.org/10.37725/mgmt.v25.8519" TargetMode="External"/><Relationship Id="rId31" Type="http://schemas.openxmlformats.org/officeDocument/2006/relationships/hyperlink" Target="https://doi.org/10.2307/259247"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https://doi.org/10.1177/001872679304600601" TargetMode="External"/><Relationship Id="rId14" Type="http://schemas.openxmlformats.org/officeDocument/2006/relationships/hyperlink" Target="https://www-tandfonline-com.uwtsd.idm.oclc.org/doi/pdf/10.1207/S15327965PLI1104_01?needAccess=true" TargetMode="External"/><Relationship Id="rId22" Type="http://schemas.openxmlformats.org/officeDocument/2006/relationships/hyperlink" Target="https://doi.org/10.1108/17554251011064837" TargetMode="External"/><Relationship Id="rId27" Type="http://schemas.openxmlformats.org/officeDocument/2006/relationships/hyperlink" Target="https://heeoe.hee.nhs.uk/sites/default/files/leading_change_why_transformation_efforts_fail.pdf" TargetMode="External"/><Relationship Id="rId30" Type="http://schemas.openxmlformats.org/officeDocument/2006/relationships/hyperlink" Target="https://doi.org/10.1080/1469701042000221696" TargetMode="External"/><Relationship Id="rId35" Type="http://schemas.openxmlformats.org/officeDocument/2006/relationships/hyperlink" Target="https://www.jstor.org/stable/3088148" TargetMode="External"/><Relationship Id="rId43" Type="http://schemas.openxmlformats.org/officeDocument/2006/relationships/fontTable" Target="fontTable.xml"/><Relationship Id="rId8" Type="http://schemas.openxmlformats.org/officeDocument/2006/relationships/hyperlink" Target="https://doi.org/https://doi.org/10.1177/001872679304600601" TargetMode="External"/><Relationship Id="rId3" Type="http://schemas.openxmlformats.org/officeDocument/2006/relationships/settings" Target="settings.xml"/><Relationship Id="rId12" Type="http://schemas.openxmlformats.org/officeDocument/2006/relationships/hyperlink" Target="https://www.citb.co.uk/cwo/reports/cwo_report_wales_english.pdf" TargetMode="External"/><Relationship Id="rId17" Type="http://schemas.openxmlformats.org/officeDocument/2006/relationships/hyperlink" Target="https://doi.org/https://doi.org/10.1002/1097-0266(200010/11)21:10/11%3C1105::AID-SMJ133%3E3.0.CO;2-E" TargetMode="External"/><Relationship Id="rId25" Type="http://schemas.openxmlformats.org/officeDocument/2006/relationships/hyperlink" Target="https://www.hse.gov.uk/statistics/assets/docs/hssh2425.pdf" TargetMode="External"/><Relationship Id="rId33" Type="http://schemas.openxmlformats.org/officeDocument/2006/relationships/hyperlink" Target="https://doi.org/https://doi.org/10.1002/(SICI)1099-1697(199803/04)7:2%3c101::AID-JSC332%3e3.0.CO;2-6" TargetMode="External"/><Relationship Id="rId38" Type="http://schemas.openxmlformats.org/officeDocument/2006/relationships/hyperlink" Target="https://doi.org/10.1146/annurev.psych.50.1.3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56BC7C-1DE1-E54A-A70A-839E931B5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22</Pages>
  <Words>8787</Words>
  <Characters>50088</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Williams (2309068)</dc:creator>
  <cp:keywords/>
  <dc:description/>
  <cp:lastModifiedBy>Nicholas Lloyd</cp:lastModifiedBy>
  <cp:revision>5</cp:revision>
  <dcterms:created xsi:type="dcterms:W3CDTF">2026-09-23T16:50:00Z</dcterms:created>
  <dcterms:modified xsi:type="dcterms:W3CDTF">2026-10-11T10:46:00Z</dcterms:modified>
</cp:coreProperties>
</file>