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7D95" w:rsidRPr="00F11A58" w:rsidRDefault="008B7D95">
      <w:pPr>
        <w:rPr>
          <w:rFonts w:ascii="Arial" w:hAnsi="Arial" w:cs="Arial"/>
        </w:rPr>
      </w:pPr>
      <w:r w:rsidRPr="00F11A58">
        <w:rPr>
          <w:rFonts w:ascii="Arial" w:hAnsi="Arial" w:cs="Arial"/>
        </w:rPr>
        <w:t xml:space="preserve"> </w:t>
      </w:r>
      <w:proofErr w:type="spellStart"/>
      <w:r w:rsidRPr="00F11A58">
        <w:rPr>
          <w:rFonts w:ascii="Arial" w:hAnsi="Arial" w:cs="Arial"/>
        </w:rPr>
        <w:t>Saira</w:t>
      </w:r>
      <w:proofErr w:type="spellEnd"/>
      <w:r w:rsidRPr="00F11A58">
        <w:rPr>
          <w:rFonts w:ascii="Arial" w:hAnsi="Arial" w:cs="Arial"/>
        </w:rPr>
        <w:t xml:space="preserve"> </w:t>
      </w:r>
      <w:r w:rsidR="00431B45" w:rsidRPr="00F11A58">
        <w:rPr>
          <w:rFonts w:ascii="Arial" w:hAnsi="Arial" w:cs="Arial"/>
        </w:rPr>
        <w:t>Arshad -</w:t>
      </w:r>
      <w:r w:rsidRPr="00F11A58">
        <w:rPr>
          <w:rFonts w:ascii="Arial" w:hAnsi="Arial" w:cs="Arial"/>
        </w:rPr>
        <w:t>2125447</w:t>
      </w:r>
    </w:p>
    <w:p w:rsidR="00431B45" w:rsidRPr="00F11A58" w:rsidRDefault="008B7D95" w:rsidP="00431B45">
      <w:pPr>
        <w:rPr>
          <w:rFonts w:ascii="Arial" w:hAnsi="Arial" w:cs="Arial"/>
        </w:rPr>
      </w:pPr>
      <w:r w:rsidRPr="00F11A58">
        <w:rPr>
          <w:rFonts w:ascii="Arial" w:hAnsi="Arial" w:cs="Arial"/>
        </w:rPr>
        <w:t xml:space="preserve"> Module code LCHS4004</w:t>
      </w:r>
      <w:r w:rsidR="00431B45" w:rsidRPr="00F11A58">
        <w:rPr>
          <w:rFonts w:ascii="Arial" w:hAnsi="Arial" w:cs="Arial"/>
        </w:rPr>
        <w:t xml:space="preserve">                                               </w:t>
      </w:r>
      <w:r w:rsidRPr="00F11A58">
        <w:rPr>
          <w:rFonts w:ascii="Arial" w:hAnsi="Arial" w:cs="Arial"/>
        </w:rPr>
        <w:t xml:space="preserve">  Lecturer</w:t>
      </w:r>
      <w:r w:rsidR="00431B45" w:rsidRPr="00F11A58">
        <w:rPr>
          <w:rFonts w:ascii="Arial" w:hAnsi="Arial" w:cs="Arial"/>
        </w:rPr>
        <w:t xml:space="preserve">-Dr </w:t>
      </w:r>
      <w:r w:rsidR="00431B45" w:rsidRPr="00F11A58">
        <w:rPr>
          <w:rFonts w:ascii="Arial" w:hAnsi="Arial" w:cs="Arial"/>
        </w:rPr>
        <w:t>Nazmu</w:t>
      </w:r>
      <w:r w:rsidR="00F11A58">
        <w:rPr>
          <w:rFonts w:ascii="Arial" w:hAnsi="Arial" w:cs="Arial"/>
        </w:rPr>
        <w:t xml:space="preserve">l </w:t>
      </w:r>
      <w:r w:rsidR="00431B45" w:rsidRPr="00F11A58">
        <w:rPr>
          <w:rFonts w:ascii="Arial" w:hAnsi="Arial" w:cs="Arial"/>
        </w:rPr>
        <w:t>Hasan</w:t>
      </w:r>
    </w:p>
    <w:p w:rsidR="008B7D95" w:rsidRPr="00F11A58" w:rsidRDefault="008B7D95">
      <w:pPr>
        <w:rPr>
          <w:rFonts w:ascii="Arial" w:hAnsi="Arial" w:cs="Arial"/>
        </w:rPr>
      </w:pPr>
    </w:p>
    <w:p w:rsidR="008B7D95" w:rsidRPr="00F11A58" w:rsidRDefault="008B7D95">
      <w:pPr>
        <w:rPr>
          <w:rFonts w:ascii="Arial" w:hAnsi="Arial" w:cs="Arial"/>
        </w:rPr>
      </w:pPr>
      <w:r w:rsidRPr="00F11A58">
        <w:rPr>
          <w:rFonts w:ascii="Arial" w:hAnsi="Arial" w:cs="Arial"/>
        </w:rPr>
        <w:t xml:space="preserve"> Assignment title</w:t>
      </w:r>
      <w:r w:rsidR="00431B45" w:rsidRPr="00F11A58">
        <w:rPr>
          <w:rFonts w:ascii="Arial" w:hAnsi="Arial" w:cs="Arial"/>
        </w:rPr>
        <w:t>-</w:t>
      </w:r>
      <w:r w:rsidRPr="00F11A58">
        <w:rPr>
          <w:rFonts w:ascii="Arial" w:hAnsi="Arial" w:cs="Arial"/>
        </w:rPr>
        <w:t xml:space="preserve"> Major health issue </w:t>
      </w:r>
    </w:p>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8B7D95" w:rsidRDefault="008B7D95"/>
    <w:p w:rsidR="00431B45" w:rsidRPr="00431B45" w:rsidRDefault="00431B45">
      <w:pPr>
        <w:rPr>
          <w:rFonts w:ascii="Arial" w:hAnsi="Arial" w:cs="Arial"/>
        </w:rPr>
      </w:pPr>
    </w:p>
    <w:p w:rsidR="00431B45" w:rsidRDefault="00431B45"/>
    <w:p w:rsidR="00431B45" w:rsidRDefault="00431B45"/>
    <w:p w:rsidR="00431B45" w:rsidRDefault="00431B45"/>
    <w:p w:rsidR="00431B45" w:rsidRDefault="00431B45"/>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r>
        <w:rPr>
          <w:rFonts w:ascii="Arial" w:hAnsi="Arial" w:cs="Arial"/>
        </w:rPr>
        <w:lastRenderedPageBreak/>
        <w:t>Introduction …………………………………………………………………………….3,4,5</w:t>
      </w:r>
    </w:p>
    <w:p w:rsidR="006B6AC6" w:rsidRDefault="006B6AC6" w:rsidP="00F11A58">
      <w:pPr>
        <w:spacing w:line="360" w:lineRule="auto"/>
        <w:jc w:val="both"/>
        <w:rPr>
          <w:rFonts w:ascii="Arial" w:hAnsi="Arial" w:cs="Arial"/>
        </w:rPr>
      </w:pPr>
      <w:r>
        <w:rPr>
          <w:rFonts w:ascii="Arial" w:hAnsi="Arial" w:cs="Arial"/>
        </w:rPr>
        <w:t>Main body ………………………………………………………………………………5,6</w:t>
      </w:r>
    </w:p>
    <w:p w:rsidR="006B6AC6" w:rsidRDefault="006B6AC6" w:rsidP="00F11A58">
      <w:pPr>
        <w:spacing w:line="360" w:lineRule="auto"/>
        <w:jc w:val="both"/>
        <w:rPr>
          <w:rFonts w:ascii="Arial" w:hAnsi="Arial" w:cs="Arial"/>
        </w:rPr>
      </w:pPr>
      <w:r>
        <w:rPr>
          <w:rFonts w:ascii="Arial" w:hAnsi="Arial" w:cs="Arial"/>
        </w:rPr>
        <w:t>Conclusion …………………………………………………………………………</w:t>
      </w:r>
      <w:proofErr w:type="gramStart"/>
      <w:r>
        <w:rPr>
          <w:rFonts w:ascii="Arial" w:hAnsi="Arial" w:cs="Arial"/>
        </w:rPr>
        <w:t>…..</w:t>
      </w:r>
      <w:proofErr w:type="gramEnd"/>
      <w:r>
        <w:rPr>
          <w:rFonts w:ascii="Arial" w:hAnsi="Arial" w:cs="Arial"/>
        </w:rPr>
        <w:t>6</w:t>
      </w: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6B6AC6" w:rsidRDefault="006B6AC6" w:rsidP="00F11A58">
      <w:pPr>
        <w:spacing w:line="360" w:lineRule="auto"/>
        <w:jc w:val="both"/>
        <w:rPr>
          <w:rFonts w:ascii="Arial" w:hAnsi="Arial" w:cs="Arial"/>
        </w:rPr>
      </w:pPr>
    </w:p>
    <w:p w:rsidR="00F11A58" w:rsidRDefault="00F11A58" w:rsidP="006B6AC6">
      <w:pPr>
        <w:spacing w:line="360" w:lineRule="auto"/>
        <w:jc w:val="both"/>
        <w:rPr>
          <w:rFonts w:ascii="Arial" w:hAnsi="Arial" w:cs="Arial"/>
        </w:rPr>
      </w:pPr>
      <w:bookmarkStart w:id="0" w:name="_GoBack"/>
      <w:r>
        <w:rPr>
          <w:rFonts w:ascii="Arial" w:hAnsi="Arial" w:cs="Arial"/>
        </w:rPr>
        <w:t>Introduction-</w:t>
      </w:r>
    </w:p>
    <w:p w:rsidR="00364FC8" w:rsidRPr="0019457B" w:rsidRDefault="00D64984" w:rsidP="006B6AC6">
      <w:pPr>
        <w:spacing w:line="360" w:lineRule="auto"/>
        <w:jc w:val="both"/>
        <w:rPr>
          <w:rFonts w:ascii="Arial" w:hAnsi="Arial" w:cs="Arial"/>
        </w:rPr>
      </w:pPr>
      <w:r w:rsidRPr="0019457B">
        <w:rPr>
          <w:rFonts w:ascii="Arial" w:hAnsi="Arial" w:cs="Arial"/>
        </w:rPr>
        <w:t>Tetanus is an infectious disease</w:t>
      </w:r>
      <w:r w:rsidR="00EC060B" w:rsidRPr="0019457B">
        <w:rPr>
          <w:rFonts w:ascii="Arial" w:hAnsi="Arial" w:cs="Arial"/>
        </w:rPr>
        <w:t xml:space="preserve"> and is serious which is caused by bacteria entering the body by cuts and wounds. </w:t>
      </w:r>
      <w:r w:rsidR="00AB059D" w:rsidRPr="0019457B">
        <w:rPr>
          <w:rFonts w:ascii="Arial" w:hAnsi="Arial" w:cs="Arial"/>
        </w:rPr>
        <w:t>These bacteria</w:t>
      </w:r>
      <w:r w:rsidR="00EC060B" w:rsidRPr="0019457B">
        <w:rPr>
          <w:rFonts w:ascii="Arial" w:hAnsi="Arial" w:cs="Arial"/>
        </w:rPr>
        <w:t xml:space="preserve"> can remain alive outside the body for a very long time and mostly found in soil and </w:t>
      </w:r>
      <w:r w:rsidR="00AB059D" w:rsidRPr="0019457B">
        <w:rPr>
          <w:rFonts w:ascii="Arial" w:hAnsi="Arial" w:cs="Arial"/>
        </w:rPr>
        <w:t>animals’</w:t>
      </w:r>
      <w:r w:rsidR="00EC060B" w:rsidRPr="0019457B">
        <w:rPr>
          <w:rFonts w:ascii="Arial" w:hAnsi="Arial" w:cs="Arial"/>
        </w:rPr>
        <w:t xml:space="preserve"> manure.  If Tetanus bacteria enters the body through wound or graze it accumulates really fast and </w:t>
      </w:r>
      <w:r w:rsidR="00AB059D" w:rsidRPr="0019457B">
        <w:rPr>
          <w:rFonts w:ascii="Arial" w:hAnsi="Arial" w:cs="Arial"/>
        </w:rPr>
        <w:t>releases</w:t>
      </w:r>
      <w:r w:rsidR="00EC060B" w:rsidRPr="0019457B">
        <w:rPr>
          <w:rFonts w:ascii="Arial" w:hAnsi="Arial" w:cs="Arial"/>
        </w:rPr>
        <w:t xml:space="preserve"> virus that causes the pain in nerves and musc</w:t>
      </w:r>
      <w:r w:rsidR="00AB059D" w:rsidRPr="0019457B">
        <w:rPr>
          <w:rFonts w:ascii="Arial" w:hAnsi="Arial" w:cs="Arial"/>
        </w:rPr>
        <w:t>les become stiff.</w:t>
      </w:r>
    </w:p>
    <w:p w:rsidR="00364FC8" w:rsidRPr="0019457B" w:rsidRDefault="00364FC8" w:rsidP="006B6AC6">
      <w:pPr>
        <w:spacing w:line="360" w:lineRule="auto"/>
        <w:ind w:firstLine="57"/>
        <w:jc w:val="both"/>
        <w:rPr>
          <w:rFonts w:ascii="Arial" w:hAnsi="Arial" w:cs="Arial"/>
          <w:color w:val="2A2A2A"/>
          <w:shd w:val="clear" w:color="auto" w:fill="FFFFFF"/>
        </w:rPr>
      </w:pPr>
      <w:r w:rsidRPr="0019457B">
        <w:rPr>
          <w:rFonts w:ascii="Arial" w:hAnsi="Arial" w:cs="Arial"/>
          <w:color w:val="555555"/>
          <w:shd w:val="clear" w:color="auto" w:fill="FFFFFF"/>
        </w:rPr>
        <w:t xml:space="preserve">Approximately 95% to 97% people who were being diagnosed with this disease were aged 24 to 25 .France and united kingdom schedules 5 doses recommended for both countries as they both are quite similar in </w:t>
      </w:r>
      <w:r w:rsidRPr="0019457B">
        <w:rPr>
          <w:rFonts w:ascii="Arial" w:hAnsi="Arial" w:cs="Arial"/>
          <w:color w:val="2A2A2A"/>
          <w:shd w:val="clear" w:color="auto" w:fill="FFFFFF"/>
        </w:rPr>
        <w:t>socioeconomic status, geographical location (33 kilometres/21 miles apart), population (67 million vs 66 million people in 2016),the only difference between both countries is France recommended 10 years booster until 2012 for adults  with 79% document-verified tetanus vaccination coverage before  they changed it to  a 20-year booster  for adults aged  60 years by 2014.on the other hand united kingdom has never put forward booster for adults who had 5 doses vaccination in their childhood. Analysis of 1.7 billion person-years of data collected from 2001 through 2016 indicates that both countries maintain low incidence rates of tetanus (0.2 cases/million in France and 0.1 cases/million in the United Kingdom. Canada,</w:t>
      </w:r>
      <w:r w:rsidR="004677BD" w:rsidRPr="0019457B">
        <w:rPr>
          <w:rFonts w:ascii="Arial" w:hAnsi="Arial" w:cs="Arial"/>
          <w:color w:val="2A2A2A"/>
          <w:shd w:val="clear" w:color="auto" w:fill="FFFFFF"/>
        </w:rPr>
        <w:t xml:space="preserve"> Mexico</w:t>
      </w:r>
      <w:r w:rsidRPr="0019457B">
        <w:rPr>
          <w:rFonts w:ascii="Arial" w:hAnsi="Arial" w:cs="Arial"/>
          <w:color w:val="2A2A2A"/>
          <w:shd w:val="clear" w:color="auto" w:fill="FFFFFF"/>
        </w:rPr>
        <w:t>, United</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states,</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Range,</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Austria,</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Belgium,</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Bulgaria,</w:t>
      </w:r>
      <w:r w:rsidR="004677BD" w:rsidRPr="0019457B">
        <w:rPr>
          <w:rFonts w:ascii="Arial" w:hAnsi="Arial" w:cs="Arial"/>
          <w:color w:val="2A2A2A"/>
          <w:shd w:val="clear" w:color="auto" w:fill="FFFFFF"/>
        </w:rPr>
        <w:t xml:space="preserve"> Cyprus</w:t>
      </w:r>
      <w:r w:rsidRPr="0019457B">
        <w:rPr>
          <w:rFonts w:ascii="Arial" w:hAnsi="Arial" w:cs="Arial"/>
          <w:color w:val="2A2A2A"/>
          <w:shd w:val="clear" w:color="auto" w:fill="FFFFFF"/>
        </w:rPr>
        <w:t>,</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Estonia,</w:t>
      </w:r>
      <w:r w:rsidR="004677BD" w:rsidRPr="0019457B">
        <w:rPr>
          <w:rFonts w:ascii="Arial" w:hAnsi="Arial" w:cs="Arial"/>
          <w:color w:val="2A2A2A"/>
          <w:shd w:val="clear" w:color="auto" w:fill="FFFFFF"/>
        </w:rPr>
        <w:t xml:space="preserve"> Finland</w:t>
      </w:r>
      <w:r w:rsidRPr="0019457B">
        <w:rPr>
          <w:rFonts w:ascii="Arial" w:hAnsi="Arial" w:cs="Arial"/>
          <w:color w:val="2A2A2A"/>
          <w:shd w:val="clear" w:color="auto" w:fill="FFFFFF"/>
        </w:rPr>
        <w:t>,</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Germany,</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Greece,</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Italy</w:t>
      </w:r>
      <w:r w:rsidR="004677BD" w:rsidRPr="0019457B">
        <w:rPr>
          <w:rFonts w:ascii="Arial" w:hAnsi="Arial" w:cs="Arial"/>
          <w:color w:val="2A2A2A"/>
          <w:shd w:val="clear" w:color="auto" w:fill="FFFFFF"/>
        </w:rPr>
        <w:t xml:space="preserve">, </w:t>
      </w:r>
      <w:r w:rsidRPr="0019457B">
        <w:rPr>
          <w:rFonts w:ascii="Arial" w:hAnsi="Arial" w:cs="Arial"/>
          <w:color w:val="2A2A2A"/>
          <w:shd w:val="clear" w:color="auto" w:fill="FFFFFF"/>
        </w:rPr>
        <w:t>Latvia, Luxembourg, Portugal, Rumania, Slovenia recommend adult vaccination after 10 years.</w:t>
      </w:r>
      <w:sdt>
        <w:sdtPr>
          <w:rPr>
            <w:rFonts w:ascii="Arial" w:hAnsi="Arial" w:cs="Arial"/>
            <w:color w:val="2A2A2A"/>
            <w:shd w:val="clear" w:color="auto" w:fill="FFFFFF"/>
          </w:rPr>
          <w:id w:val="907727578"/>
          <w:citation/>
        </w:sdtPr>
        <w:sdtContent>
          <w:r w:rsidRPr="0019457B">
            <w:rPr>
              <w:rFonts w:ascii="Arial" w:hAnsi="Arial" w:cs="Arial"/>
              <w:color w:val="2A2A2A"/>
              <w:shd w:val="clear" w:color="auto" w:fill="FFFFFF"/>
            </w:rPr>
            <w:fldChar w:fldCharType="begin"/>
          </w:r>
          <w:r w:rsidRPr="0019457B">
            <w:rPr>
              <w:rFonts w:ascii="Arial" w:hAnsi="Arial" w:cs="Arial"/>
              <w:color w:val="2A2A2A"/>
              <w:shd w:val="clear" w:color="auto" w:fill="FFFFFF"/>
            </w:rPr>
            <w:instrText xml:space="preserve"> CITATION Ari21 \l 2057 </w:instrText>
          </w:r>
          <w:r w:rsidRPr="0019457B">
            <w:rPr>
              <w:rFonts w:ascii="Arial" w:hAnsi="Arial" w:cs="Arial"/>
              <w:color w:val="2A2A2A"/>
              <w:shd w:val="clear" w:color="auto" w:fill="FFFFFF"/>
            </w:rPr>
            <w:fldChar w:fldCharType="separate"/>
          </w:r>
          <w:r w:rsidRPr="0019457B">
            <w:rPr>
              <w:rFonts w:ascii="Arial" w:hAnsi="Arial" w:cs="Arial"/>
              <w:noProof/>
              <w:color w:val="2A2A2A"/>
              <w:shd w:val="clear" w:color="auto" w:fill="FFFFFF"/>
            </w:rPr>
            <w:t xml:space="preserve"> (Ariel M slifka, 2021)</w:t>
          </w:r>
          <w:r w:rsidRPr="0019457B">
            <w:rPr>
              <w:rFonts w:ascii="Arial" w:hAnsi="Arial" w:cs="Arial"/>
              <w:color w:val="2A2A2A"/>
              <w:shd w:val="clear" w:color="auto" w:fill="FFFFFF"/>
            </w:rPr>
            <w:fldChar w:fldCharType="end"/>
          </w:r>
        </w:sdtContent>
      </w:sdt>
    </w:p>
    <w:p w:rsidR="00364FC8" w:rsidRPr="0019457B" w:rsidRDefault="005E0794" w:rsidP="006B6AC6">
      <w:pPr>
        <w:spacing w:line="360" w:lineRule="auto"/>
        <w:ind w:firstLine="57"/>
        <w:jc w:val="both"/>
        <w:rPr>
          <w:rFonts w:ascii="Arial" w:hAnsi="Arial" w:cs="Arial"/>
          <w:color w:val="2A2A2A"/>
          <w:shd w:val="clear" w:color="auto" w:fill="FFFFFF"/>
        </w:rPr>
      </w:pPr>
      <w:r w:rsidRPr="0019457B">
        <w:rPr>
          <w:rFonts w:ascii="Arial" w:hAnsi="Arial" w:cs="Arial"/>
          <w:color w:val="2A2A2A"/>
          <w:shd w:val="clear" w:color="auto" w:fill="FFFFFF"/>
        </w:rPr>
        <w:t xml:space="preserve">Public health measures available in </w:t>
      </w:r>
      <w:r w:rsidR="004677BD" w:rsidRPr="0019457B">
        <w:rPr>
          <w:rFonts w:ascii="Arial" w:hAnsi="Arial" w:cs="Arial"/>
          <w:color w:val="2A2A2A"/>
          <w:shd w:val="clear" w:color="auto" w:fill="FFFFFF"/>
        </w:rPr>
        <w:t>United Kingdom</w:t>
      </w:r>
      <w:r w:rsidRPr="0019457B">
        <w:rPr>
          <w:rFonts w:ascii="Arial" w:hAnsi="Arial" w:cs="Arial"/>
          <w:color w:val="2A2A2A"/>
          <w:shd w:val="clear" w:color="auto" w:fill="FFFFFF"/>
        </w:rPr>
        <w:t xml:space="preserve"> to tackle this tetanus. To prevent having this disease childhood vaccine programmes is available but if you have not had it in your childhood one can contact the GP to get the vaccine. (</w:t>
      </w:r>
      <w:proofErr w:type="spellStart"/>
      <w:r w:rsidRPr="0019457B">
        <w:rPr>
          <w:rFonts w:ascii="Arial" w:hAnsi="Arial" w:cs="Arial"/>
          <w:color w:val="2A2A2A"/>
          <w:shd w:val="clear" w:color="auto" w:fill="FFFFFF"/>
        </w:rPr>
        <w:t>nhs</w:t>
      </w:r>
      <w:proofErr w:type="spellEnd"/>
      <w:r w:rsidRPr="0019457B">
        <w:rPr>
          <w:rFonts w:ascii="Arial" w:hAnsi="Arial" w:cs="Arial"/>
          <w:color w:val="2A2A2A"/>
          <w:shd w:val="clear" w:color="auto" w:fill="FFFFFF"/>
        </w:rPr>
        <w:t xml:space="preserve"> health a to z).</w:t>
      </w:r>
      <w:sdt>
        <w:sdtPr>
          <w:rPr>
            <w:rFonts w:ascii="Arial" w:hAnsi="Arial" w:cs="Arial"/>
            <w:color w:val="2A2A2A"/>
            <w:shd w:val="clear" w:color="auto" w:fill="FFFFFF"/>
          </w:rPr>
          <w:id w:val="-1126314878"/>
          <w:citation/>
        </w:sdtPr>
        <w:sdtContent>
          <w:r w:rsidR="002B5E1D" w:rsidRPr="0019457B">
            <w:rPr>
              <w:rFonts w:ascii="Arial" w:hAnsi="Arial" w:cs="Arial"/>
              <w:color w:val="2A2A2A"/>
              <w:shd w:val="clear" w:color="auto" w:fill="FFFFFF"/>
            </w:rPr>
            <w:fldChar w:fldCharType="begin"/>
          </w:r>
          <w:r w:rsidR="002B5E1D" w:rsidRPr="0019457B">
            <w:rPr>
              <w:rFonts w:ascii="Arial" w:hAnsi="Arial" w:cs="Arial"/>
              <w:color w:val="2A2A2A"/>
              <w:shd w:val="clear" w:color="auto" w:fill="FFFFFF"/>
            </w:rPr>
            <w:instrText xml:space="preserve"> CITATION NHS22 \l 2057 </w:instrText>
          </w:r>
          <w:r w:rsidR="002B5E1D" w:rsidRPr="0019457B">
            <w:rPr>
              <w:rFonts w:ascii="Arial" w:hAnsi="Arial" w:cs="Arial"/>
              <w:color w:val="2A2A2A"/>
              <w:shd w:val="clear" w:color="auto" w:fill="FFFFFF"/>
            </w:rPr>
            <w:fldChar w:fldCharType="separate"/>
          </w:r>
          <w:r w:rsidR="002B5E1D" w:rsidRPr="0019457B">
            <w:rPr>
              <w:rFonts w:ascii="Arial" w:hAnsi="Arial" w:cs="Arial"/>
              <w:noProof/>
              <w:color w:val="2A2A2A"/>
              <w:shd w:val="clear" w:color="auto" w:fill="FFFFFF"/>
            </w:rPr>
            <w:t xml:space="preserve"> (Anon., n.d.)</w:t>
          </w:r>
          <w:r w:rsidR="002B5E1D" w:rsidRPr="0019457B">
            <w:rPr>
              <w:rFonts w:ascii="Arial" w:hAnsi="Arial" w:cs="Arial"/>
              <w:color w:val="2A2A2A"/>
              <w:shd w:val="clear" w:color="auto" w:fill="FFFFFF"/>
            </w:rPr>
            <w:fldChar w:fldCharType="end"/>
          </w:r>
        </w:sdtContent>
      </w:sdt>
    </w:p>
    <w:p w:rsidR="002B5E1D" w:rsidRPr="0019457B" w:rsidRDefault="00B2681C" w:rsidP="006B6AC6">
      <w:pPr>
        <w:spacing w:line="360" w:lineRule="auto"/>
        <w:ind w:firstLine="57"/>
        <w:jc w:val="both"/>
        <w:rPr>
          <w:rFonts w:ascii="Arial" w:hAnsi="Arial" w:cs="Arial"/>
          <w:color w:val="3A3A3A"/>
          <w:shd w:val="clear" w:color="auto" w:fill="FFFFFF"/>
        </w:rPr>
      </w:pPr>
      <w:r w:rsidRPr="0019457B">
        <w:rPr>
          <w:rFonts w:ascii="Arial" w:hAnsi="Arial" w:cs="Arial"/>
          <w:color w:val="2A2A2A"/>
          <w:shd w:val="clear" w:color="auto" w:fill="FFFFFF"/>
        </w:rPr>
        <w:t>“</w:t>
      </w:r>
      <w:r w:rsidR="002C108C" w:rsidRPr="0019457B">
        <w:rPr>
          <w:rFonts w:ascii="Arial" w:hAnsi="Arial" w:cs="Arial"/>
          <w:color w:val="2A2A2A"/>
          <w:shd w:val="clear" w:color="auto" w:fill="FFFFFF"/>
        </w:rPr>
        <w:t xml:space="preserve">The </w:t>
      </w:r>
      <w:r w:rsidRPr="0019457B">
        <w:rPr>
          <w:rFonts w:ascii="Arial" w:hAnsi="Arial" w:cs="Arial"/>
          <w:color w:val="2A2A2A"/>
          <w:shd w:val="clear" w:color="auto" w:fill="FFFFFF"/>
        </w:rPr>
        <w:t>contemporary tetanus vaccine schedule in</w:t>
      </w:r>
      <w:r w:rsidR="00A8415F" w:rsidRPr="0019457B">
        <w:rPr>
          <w:rFonts w:ascii="Arial" w:hAnsi="Arial" w:cs="Arial"/>
          <w:color w:val="2A2A2A"/>
          <w:shd w:val="clear" w:color="auto" w:fill="FFFFFF"/>
        </w:rPr>
        <w:t xml:space="preserve"> the UK</w:t>
      </w:r>
      <w:r w:rsidRPr="0019457B">
        <w:rPr>
          <w:rFonts w:ascii="Arial" w:hAnsi="Arial" w:cs="Arial"/>
          <w:color w:val="2A2A2A"/>
          <w:shd w:val="clear" w:color="auto" w:fill="FFFFFF"/>
        </w:rPr>
        <w:t xml:space="preserve"> is working quite efficiently”. This statement is supported by the data that shows only fewer cases were logged in a year.</w:t>
      </w:r>
      <w:r w:rsidR="00A8415F" w:rsidRPr="0019457B">
        <w:rPr>
          <w:rFonts w:ascii="Arial" w:hAnsi="Arial" w:cs="Arial"/>
          <w:color w:val="2A2A2A"/>
          <w:shd w:val="clear" w:color="auto" w:fill="FFFFFF"/>
        </w:rPr>
        <w:t xml:space="preserve"> </w:t>
      </w:r>
      <w:proofErr w:type="spellStart"/>
      <w:r w:rsidR="00F11A58">
        <w:rPr>
          <w:rFonts w:ascii="Arial" w:hAnsi="Arial" w:cs="Arial"/>
          <w:color w:val="2A2A2A"/>
          <w:shd w:val="clear" w:color="auto" w:fill="FFFFFF"/>
        </w:rPr>
        <w:t>S</w:t>
      </w:r>
      <w:r w:rsidR="00F11A58" w:rsidRPr="0019457B">
        <w:rPr>
          <w:rFonts w:ascii="Arial" w:hAnsi="Arial" w:cs="Arial"/>
          <w:color w:val="2A2A2A"/>
          <w:shd w:val="clear" w:color="auto" w:fill="FFFFFF"/>
        </w:rPr>
        <w:t>ero</w:t>
      </w:r>
      <w:proofErr w:type="spellEnd"/>
      <w:r w:rsidRPr="0019457B">
        <w:rPr>
          <w:rFonts w:ascii="Arial" w:hAnsi="Arial" w:cs="Arial"/>
          <w:color w:val="2A2A2A"/>
          <w:shd w:val="clear" w:color="auto" w:fill="FFFFFF"/>
        </w:rPr>
        <w:t xml:space="preserve">-survey was taken in the </w:t>
      </w:r>
      <w:r w:rsidR="00A8415F" w:rsidRPr="0019457B">
        <w:rPr>
          <w:rFonts w:ascii="Arial" w:hAnsi="Arial" w:cs="Arial"/>
          <w:color w:val="2A2A2A"/>
          <w:shd w:val="clear" w:color="auto" w:fill="FFFFFF"/>
        </w:rPr>
        <w:t>United Kingdom</w:t>
      </w:r>
      <w:r w:rsidRPr="0019457B">
        <w:rPr>
          <w:rFonts w:ascii="Arial" w:hAnsi="Arial" w:cs="Arial"/>
          <w:color w:val="2A2A2A"/>
          <w:shd w:val="clear" w:color="auto" w:fill="FFFFFF"/>
        </w:rPr>
        <w:t xml:space="preserve"> to estimate immunity of the population. The basic research for this study </w:t>
      </w:r>
      <w:r w:rsidR="00A1176C" w:rsidRPr="0019457B">
        <w:rPr>
          <w:rFonts w:ascii="Arial" w:hAnsi="Arial" w:cs="Arial"/>
          <w:color w:val="2A2A2A"/>
          <w:shd w:val="clear" w:color="auto" w:fill="FFFFFF"/>
        </w:rPr>
        <w:t>shows rise between 1996 and 2009 for diphtheria and tetanus. the realisation of tetanus higher level was in males, a decrease in tetanus in teen bodies and young adults in 2009 compared to 1996. As national vaccination for tetanus was introduced in 1956 to 19</w:t>
      </w:r>
      <w:r w:rsidR="00A8415F" w:rsidRPr="0019457B">
        <w:rPr>
          <w:rFonts w:ascii="Arial" w:hAnsi="Arial" w:cs="Arial"/>
          <w:color w:val="2A2A2A"/>
          <w:shd w:val="clear" w:color="auto" w:fill="FFFFFF"/>
        </w:rPr>
        <w:t>61 in some areas as specific vaccine and national in 1956 as part of the DTP vaccine and coverage was collectively improved. Adults aged 35 to 69 in a great number received vaccine in 1996</w:t>
      </w:r>
      <w:r w:rsidR="009D4AC6" w:rsidRPr="0019457B">
        <w:rPr>
          <w:rFonts w:ascii="Arial" w:hAnsi="Arial" w:cs="Arial"/>
          <w:color w:val="2A2A2A"/>
          <w:shd w:val="clear" w:color="auto" w:fill="FFFFFF"/>
        </w:rPr>
        <w:t>.higher tetanus immunity is more commonly to males</w:t>
      </w:r>
      <w:r w:rsidR="007B78C0" w:rsidRPr="0019457B">
        <w:rPr>
          <w:rFonts w:ascii="Arial" w:hAnsi="Arial" w:cs="Arial"/>
          <w:color w:val="2A2A2A"/>
          <w:shd w:val="clear" w:color="auto" w:fill="FFFFFF"/>
        </w:rPr>
        <w:t xml:space="preserve"> who suffer from </w:t>
      </w:r>
      <w:r w:rsidR="007B78C0" w:rsidRPr="0019457B">
        <w:rPr>
          <w:rFonts w:ascii="Arial" w:hAnsi="Arial" w:cs="Arial"/>
          <w:color w:val="2A2A2A"/>
          <w:shd w:val="clear" w:color="auto" w:fill="FFFFFF"/>
        </w:rPr>
        <w:lastRenderedPageBreak/>
        <w:t xml:space="preserve">injuries and </w:t>
      </w:r>
      <w:r w:rsidR="004677BD" w:rsidRPr="0019457B">
        <w:rPr>
          <w:rFonts w:ascii="Arial" w:hAnsi="Arial" w:cs="Arial"/>
          <w:color w:val="2A2A2A"/>
          <w:shd w:val="clear" w:color="auto" w:fill="FFFFFF"/>
        </w:rPr>
        <w:t>received</w:t>
      </w:r>
      <w:r w:rsidR="007B78C0" w:rsidRPr="0019457B">
        <w:rPr>
          <w:rFonts w:ascii="Arial" w:hAnsi="Arial" w:cs="Arial"/>
          <w:color w:val="2A2A2A"/>
          <w:shd w:val="clear" w:color="auto" w:fill="FFFFFF"/>
        </w:rPr>
        <w:t xml:space="preserve"> tetanus toxoid due to injuries. Males in military services </w:t>
      </w:r>
      <w:r w:rsidR="004677BD" w:rsidRPr="0019457B">
        <w:rPr>
          <w:rFonts w:ascii="Arial" w:hAnsi="Arial" w:cs="Arial"/>
          <w:color w:val="2A2A2A"/>
          <w:shd w:val="clear" w:color="auto" w:fill="FFFFFF"/>
        </w:rPr>
        <w:t>received</w:t>
      </w:r>
      <w:r w:rsidR="007B78C0" w:rsidRPr="0019457B">
        <w:rPr>
          <w:rFonts w:ascii="Arial" w:hAnsi="Arial" w:cs="Arial"/>
          <w:color w:val="2A2A2A"/>
          <w:shd w:val="clear" w:color="auto" w:fill="FFFFFF"/>
        </w:rPr>
        <w:t xml:space="preserve"> an active </w:t>
      </w:r>
      <w:r w:rsidR="004677BD" w:rsidRPr="0019457B">
        <w:rPr>
          <w:rFonts w:ascii="Arial" w:hAnsi="Arial" w:cs="Arial"/>
          <w:color w:val="2A2A2A"/>
          <w:shd w:val="clear" w:color="auto" w:fill="FFFFFF"/>
        </w:rPr>
        <w:t>immunisation</w:t>
      </w:r>
      <w:r w:rsidR="007B78C0" w:rsidRPr="0019457B">
        <w:rPr>
          <w:rFonts w:ascii="Arial" w:hAnsi="Arial" w:cs="Arial"/>
          <w:color w:val="2A2A2A"/>
          <w:shd w:val="clear" w:color="auto" w:fill="FFFFFF"/>
        </w:rPr>
        <w:t xml:space="preserve"> until enrolment was finished in 1960 in </w:t>
      </w:r>
      <w:r w:rsidR="004677BD" w:rsidRPr="0019457B">
        <w:rPr>
          <w:rFonts w:ascii="Arial" w:hAnsi="Arial" w:cs="Arial"/>
          <w:color w:val="2A2A2A"/>
          <w:shd w:val="clear" w:color="auto" w:fill="FFFFFF"/>
        </w:rPr>
        <w:t>UK</w:t>
      </w:r>
      <w:r w:rsidR="007B78C0" w:rsidRPr="0019457B">
        <w:rPr>
          <w:rFonts w:ascii="Arial" w:hAnsi="Arial" w:cs="Arial"/>
          <w:color w:val="2A2A2A"/>
          <w:shd w:val="clear" w:color="auto" w:fill="FFFFFF"/>
        </w:rPr>
        <w:t>.</w:t>
      </w:r>
      <w:r w:rsidR="002B5E1D" w:rsidRPr="0019457B">
        <w:rPr>
          <w:rFonts w:ascii="Arial" w:hAnsi="Arial" w:cs="Arial"/>
          <w:color w:val="3A3A3A"/>
          <w:shd w:val="clear" w:color="auto" w:fill="FFFFFF"/>
        </w:rPr>
        <w:t xml:space="preserve"> Wagner, K.S. </w:t>
      </w:r>
      <w:r w:rsidR="002B5E1D" w:rsidRPr="0019457B">
        <w:rPr>
          <w:rFonts w:ascii="Arial" w:hAnsi="Arial" w:cs="Arial"/>
          <w:i/>
          <w:iCs/>
          <w:color w:val="3A3A3A"/>
          <w:shd w:val="clear" w:color="auto" w:fill="FFFFFF"/>
        </w:rPr>
        <w:t>et al.</w:t>
      </w:r>
      <w:r w:rsidR="002B5E1D" w:rsidRPr="0019457B">
        <w:rPr>
          <w:rFonts w:ascii="Arial" w:hAnsi="Arial" w:cs="Arial"/>
          <w:color w:val="3A3A3A"/>
          <w:shd w:val="clear" w:color="auto" w:fill="FFFFFF"/>
        </w:rPr>
        <w:t> (2012)</w:t>
      </w:r>
    </w:p>
    <w:p w:rsidR="00793292" w:rsidRPr="0019457B" w:rsidRDefault="00C422B7" w:rsidP="006B6AC6">
      <w:pPr>
        <w:spacing w:line="360" w:lineRule="auto"/>
        <w:ind w:firstLine="57"/>
        <w:jc w:val="both"/>
        <w:rPr>
          <w:rFonts w:ascii="Arial" w:hAnsi="Arial" w:cs="Arial"/>
          <w:color w:val="3A3A3A"/>
          <w:shd w:val="clear" w:color="auto" w:fill="FFFFFF"/>
        </w:rPr>
      </w:pPr>
      <w:r w:rsidRPr="0019457B">
        <w:rPr>
          <w:rFonts w:ascii="Arial" w:hAnsi="Arial" w:cs="Arial"/>
          <w:color w:val="3A3A3A"/>
          <w:shd w:val="clear" w:color="auto" w:fill="FFFFFF"/>
        </w:rPr>
        <w:t xml:space="preserve">Neonatal tetanus </w:t>
      </w:r>
      <w:r w:rsidR="00A01AD7" w:rsidRPr="0019457B">
        <w:rPr>
          <w:rFonts w:ascii="Arial" w:hAnsi="Arial" w:cs="Arial"/>
          <w:color w:val="3A3A3A"/>
          <w:shd w:val="clear" w:color="auto" w:fill="FFFFFF"/>
        </w:rPr>
        <w:t xml:space="preserve">NT in Kenya 2013  </w:t>
      </w:r>
      <w:r w:rsidR="0019111F" w:rsidRPr="0019457B">
        <w:rPr>
          <w:rFonts w:ascii="Arial" w:hAnsi="Arial" w:cs="Arial"/>
          <w:color w:val="3A3A3A"/>
          <w:shd w:val="clear" w:color="auto" w:fill="FFFFFF"/>
        </w:rPr>
        <w:t xml:space="preserve"> </w:t>
      </w:r>
      <w:r w:rsidR="00A01AD7" w:rsidRPr="0019457B">
        <w:rPr>
          <w:rFonts w:ascii="Arial" w:hAnsi="Arial" w:cs="Arial"/>
          <w:color w:val="3A3A3A"/>
          <w:shd w:val="clear" w:color="auto" w:fill="FFFFFF"/>
        </w:rPr>
        <w:t xml:space="preserve">49,000 deaths were recorded mostly in rural areas where mothers were delivering at home without the right help and the midwives weren’t professional to carry </w:t>
      </w:r>
      <w:r w:rsidR="0019111F" w:rsidRPr="0019457B">
        <w:rPr>
          <w:rFonts w:ascii="Arial" w:hAnsi="Arial" w:cs="Arial"/>
          <w:color w:val="3A3A3A"/>
          <w:shd w:val="clear" w:color="auto" w:fill="FFFFFF"/>
        </w:rPr>
        <w:t>hygienic</w:t>
      </w:r>
      <w:r w:rsidR="00A01AD7" w:rsidRPr="0019457B">
        <w:rPr>
          <w:rFonts w:ascii="Arial" w:hAnsi="Arial" w:cs="Arial"/>
          <w:color w:val="3A3A3A"/>
          <w:shd w:val="clear" w:color="auto" w:fill="FFFFFF"/>
        </w:rPr>
        <w:t xml:space="preserve"> and the right care to the mother right</w:t>
      </w:r>
      <w:r w:rsidR="0019111F" w:rsidRPr="0019457B">
        <w:rPr>
          <w:rFonts w:ascii="Arial" w:hAnsi="Arial" w:cs="Arial"/>
          <w:color w:val="3A3A3A"/>
          <w:shd w:val="clear" w:color="auto" w:fill="FFFFFF"/>
        </w:rPr>
        <w:t xml:space="preserve"> Afterbirth Unborn</w:t>
      </w:r>
      <w:r w:rsidR="00A01AD7" w:rsidRPr="0019457B">
        <w:rPr>
          <w:rFonts w:ascii="Arial" w:hAnsi="Arial" w:cs="Arial"/>
          <w:color w:val="3A3A3A"/>
          <w:shd w:val="clear" w:color="auto" w:fill="FFFFFF"/>
        </w:rPr>
        <w:t xml:space="preserve"> child gets natural immunity if the mothers in vaccin</w:t>
      </w:r>
      <w:r w:rsidR="00BB793E" w:rsidRPr="0019457B">
        <w:rPr>
          <w:rFonts w:ascii="Arial" w:hAnsi="Arial" w:cs="Arial"/>
          <w:color w:val="3A3A3A"/>
          <w:shd w:val="clear" w:color="auto" w:fill="FFFFFF"/>
        </w:rPr>
        <w:t xml:space="preserve">ated .however if the mother was not immunised before pregnancy then during </w:t>
      </w:r>
      <w:r w:rsidR="0019111F" w:rsidRPr="0019457B">
        <w:rPr>
          <w:rFonts w:ascii="Arial" w:hAnsi="Arial" w:cs="Arial"/>
          <w:color w:val="3A3A3A"/>
          <w:shd w:val="clear" w:color="auto" w:fill="FFFFFF"/>
        </w:rPr>
        <w:t>pregnancy</w:t>
      </w:r>
      <w:r w:rsidR="00BB793E" w:rsidRPr="0019457B">
        <w:rPr>
          <w:rFonts w:ascii="Arial" w:hAnsi="Arial" w:cs="Arial"/>
          <w:color w:val="3A3A3A"/>
          <w:shd w:val="clear" w:color="auto" w:fill="FFFFFF"/>
        </w:rPr>
        <w:t xml:space="preserve"> in that rural area they don’t get the facility to get immunised or afterbirth those women don’t get the right care after delivery or sometime they are quite at the end of the pregnancy to get immunised which is not good option.</w:t>
      </w:r>
      <w:r w:rsidR="0019111F" w:rsidRPr="0019457B">
        <w:rPr>
          <w:rFonts w:ascii="Arial" w:hAnsi="Arial" w:cs="Arial"/>
          <w:color w:val="3A3A3A"/>
          <w:shd w:val="clear" w:color="auto" w:fill="FFFFFF"/>
        </w:rPr>
        <w:t xml:space="preserve"> Neonatal tetanus studies</w:t>
      </w:r>
      <w:r w:rsidR="00BB793E" w:rsidRPr="0019457B">
        <w:rPr>
          <w:rFonts w:ascii="Arial" w:hAnsi="Arial" w:cs="Arial"/>
          <w:color w:val="3A3A3A"/>
          <w:shd w:val="clear" w:color="auto" w:fill="FFFFFF"/>
        </w:rPr>
        <w:t xml:space="preserve"> have shown that proportion of recorded ones are only 5% because mostly in those rural areas those mothers don’t get registered with the GP.</w:t>
      </w:r>
      <w:r w:rsidR="0019111F" w:rsidRPr="0019457B">
        <w:rPr>
          <w:rFonts w:ascii="Arial" w:hAnsi="Arial" w:cs="Arial"/>
          <w:color w:val="3A3A3A"/>
          <w:shd w:val="clear" w:color="auto" w:fill="FFFFFF"/>
        </w:rPr>
        <w:t xml:space="preserve"> N</w:t>
      </w:r>
      <w:r w:rsidR="00BB793E" w:rsidRPr="0019457B">
        <w:rPr>
          <w:rFonts w:ascii="Arial" w:hAnsi="Arial" w:cs="Arial"/>
          <w:color w:val="3A3A3A"/>
          <w:shd w:val="clear" w:color="auto" w:fill="FFFFFF"/>
        </w:rPr>
        <w:t xml:space="preserve">umbers of incidence was </w:t>
      </w:r>
      <w:r w:rsidR="0019111F" w:rsidRPr="0019457B">
        <w:rPr>
          <w:rFonts w:ascii="Arial" w:hAnsi="Arial" w:cs="Arial"/>
          <w:color w:val="3A3A3A"/>
          <w:shd w:val="clear" w:color="auto" w:fill="FFFFFF"/>
        </w:rPr>
        <w:t>measured</w:t>
      </w:r>
      <w:r w:rsidR="00BB793E" w:rsidRPr="0019457B">
        <w:rPr>
          <w:rFonts w:ascii="Arial" w:hAnsi="Arial" w:cs="Arial"/>
          <w:color w:val="3A3A3A"/>
          <w:shd w:val="clear" w:color="auto" w:fill="FFFFFF"/>
        </w:rPr>
        <w:t xml:space="preserve"> </w:t>
      </w:r>
      <w:r w:rsidR="0019111F" w:rsidRPr="0019457B">
        <w:rPr>
          <w:rFonts w:ascii="Arial" w:hAnsi="Arial" w:cs="Arial"/>
          <w:color w:val="3A3A3A"/>
          <w:shd w:val="clear" w:color="auto" w:fill="FFFFFF"/>
        </w:rPr>
        <w:t xml:space="preserve">for neonatal tetanus were every 1000 births a year. in this study it shows they were not sure if unregistered cases were identified in KHDSS </w:t>
      </w:r>
      <w:r w:rsidR="00224643" w:rsidRPr="0019457B">
        <w:rPr>
          <w:rFonts w:ascii="Arial" w:hAnsi="Arial" w:cs="Arial"/>
          <w:color w:val="3A3A3A"/>
          <w:shd w:val="clear" w:color="auto" w:fill="FFFFFF"/>
        </w:rPr>
        <w:t>system. When this study was conducted four hundred cases were hospitalised for neonatal cases in KHC where patients were randomly selected from the database to study for control study. Place of birth data was collected and before admitting weight and oxygen level were checked at the time of admitting the patient. Many more models were used to monitor the difference between the neonatal cases than other cases.</w:t>
      </w:r>
      <w:sdt>
        <w:sdtPr>
          <w:rPr>
            <w:rFonts w:ascii="Arial" w:hAnsi="Arial" w:cs="Arial"/>
            <w:color w:val="3A3A3A"/>
            <w:shd w:val="clear" w:color="auto" w:fill="FFFFFF"/>
          </w:rPr>
          <w:id w:val="1884367319"/>
          <w:citation/>
        </w:sdtPr>
        <w:sdtContent>
          <w:r w:rsidR="003379E8" w:rsidRPr="0019457B">
            <w:rPr>
              <w:rFonts w:ascii="Arial" w:hAnsi="Arial" w:cs="Arial"/>
              <w:color w:val="3A3A3A"/>
              <w:shd w:val="clear" w:color="auto" w:fill="FFFFFF"/>
            </w:rPr>
            <w:fldChar w:fldCharType="begin"/>
          </w:r>
          <w:r w:rsidR="003379E8" w:rsidRPr="0019457B">
            <w:rPr>
              <w:rFonts w:ascii="Arial" w:hAnsi="Arial" w:cs="Arial"/>
              <w:color w:val="3A3A3A"/>
              <w:shd w:val="clear" w:color="auto" w:fill="FFFFFF"/>
            </w:rPr>
            <w:instrText xml:space="preserve"> CITATION Ibi15 \l 2057 </w:instrText>
          </w:r>
          <w:r w:rsidR="003379E8" w:rsidRPr="0019457B">
            <w:rPr>
              <w:rFonts w:ascii="Arial" w:hAnsi="Arial" w:cs="Arial"/>
              <w:color w:val="3A3A3A"/>
              <w:shd w:val="clear" w:color="auto" w:fill="FFFFFF"/>
            </w:rPr>
            <w:fldChar w:fldCharType="separate"/>
          </w:r>
          <w:r w:rsidR="003379E8" w:rsidRPr="0019457B">
            <w:rPr>
              <w:rFonts w:ascii="Arial" w:hAnsi="Arial" w:cs="Arial"/>
              <w:noProof/>
              <w:color w:val="3A3A3A"/>
              <w:shd w:val="clear" w:color="auto" w:fill="FFFFFF"/>
            </w:rPr>
            <w:t xml:space="preserve"> (Ibinda, et al., 2015)</w:t>
          </w:r>
          <w:r w:rsidR="003379E8" w:rsidRPr="0019457B">
            <w:rPr>
              <w:rFonts w:ascii="Arial" w:hAnsi="Arial" w:cs="Arial"/>
              <w:color w:val="3A3A3A"/>
              <w:shd w:val="clear" w:color="auto" w:fill="FFFFFF"/>
            </w:rPr>
            <w:fldChar w:fldCharType="end"/>
          </w:r>
        </w:sdtContent>
      </w:sdt>
    </w:p>
    <w:p w:rsidR="00C733C2" w:rsidRPr="0019457B" w:rsidRDefault="00C733C2" w:rsidP="006B6AC6">
      <w:pPr>
        <w:spacing w:line="360" w:lineRule="auto"/>
        <w:ind w:firstLine="57"/>
        <w:jc w:val="both"/>
        <w:rPr>
          <w:rFonts w:ascii="Arial" w:hAnsi="Arial" w:cs="Arial"/>
          <w:color w:val="3A3A3A"/>
          <w:shd w:val="clear" w:color="auto" w:fill="FFFFFF"/>
        </w:rPr>
      </w:pPr>
      <w:r w:rsidRPr="0019457B">
        <w:rPr>
          <w:rFonts w:ascii="Arial" w:hAnsi="Arial" w:cs="Arial"/>
          <w:color w:val="3A3A3A"/>
          <w:shd w:val="clear" w:color="auto" w:fill="FFFFFF"/>
        </w:rPr>
        <w:t xml:space="preserve">Tetanus mostly occurs when the wound is quite deep </w:t>
      </w:r>
      <w:r w:rsidR="00F11A58" w:rsidRPr="0019457B">
        <w:rPr>
          <w:rFonts w:ascii="Arial" w:hAnsi="Arial" w:cs="Arial"/>
          <w:color w:val="3A3A3A"/>
          <w:shd w:val="clear" w:color="auto" w:fill="FFFFFF"/>
        </w:rPr>
        <w:t>and bacteria</w:t>
      </w:r>
      <w:r w:rsidRPr="0019457B">
        <w:rPr>
          <w:rFonts w:ascii="Arial" w:hAnsi="Arial" w:cs="Arial"/>
          <w:color w:val="3A3A3A"/>
          <w:shd w:val="clear" w:color="auto" w:fill="FFFFFF"/>
        </w:rPr>
        <w:t xml:space="preserve"> grows quite fast. The development after the first symptom of tetanus can be quite less time as 24 hours or sometimes months. Time of the first symptom to become worse shows the severity of the disease.it shows the less time the first symptom to get into second stage of disease shows how severe the toxin become. One of the first symptoms is to be able to open the lockjaw fully and quite wide. When local tetanus goes through face and head wounds it becomes quite   worse in head. Normal form of tetanus is quite common form which mostly appears with pain, headaches and stiffness which can lead to having difficulties in breathing. This can be treated through simple medical nursing procedure. sometimes the pain is so intense and can lead to death. in most cases when it reaches the highest peak of the disease it can leave one paralyse. antibiotics penicillin is mostly used and the course is for 7 days, alternatively metronidazole is quite safe compare to penicillin and now it considered as first option to treat the tetanus. Ahmed</w:t>
      </w:r>
      <w:r w:rsidR="00F11A58">
        <w:rPr>
          <w:rFonts w:ascii="Arial" w:hAnsi="Arial" w:cs="Arial"/>
          <w:color w:val="3A3A3A"/>
          <w:shd w:val="clear" w:color="auto" w:fill="FFFFFF"/>
        </w:rPr>
        <w:t xml:space="preserve"> </w:t>
      </w:r>
      <w:r w:rsidRPr="0019457B">
        <w:rPr>
          <w:rFonts w:ascii="Arial" w:hAnsi="Arial" w:cs="Arial"/>
          <w:color w:val="3A3A3A"/>
          <w:shd w:val="clear" w:color="auto" w:fill="FFFFFF"/>
        </w:rPr>
        <w:t>s</w:t>
      </w:r>
      <w:r w:rsidR="00F11A58">
        <w:rPr>
          <w:rFonts w:ascii="Arial" w:hAnsi="Arial" w:cs="Arial"/>
          <w:color w:val="3A3A3A"/>
          <w:shd w:val="clear" w:color="auto" w:fill="FFFFFF"/>
        </w:rPr>
        <w:t>hah</w:t>
      </w:r>
      <w:r w:rsidRPr="0019457B">
        <w:rPr>
          <w:rFonts w:ascii="Arial" w:hAnsi="Arial" w:cs="Arial"/>
          <w:color w:val="3A3A3A"/>
          <w:shd w:val="clear" w:color="auto" w:fill="FFFFFF"/>
        </w:rPr>
        <w:t xml:space="preserve"> and Salim were the first people who did the comparison between these two antibiotics.</w:t>
      </w:r>
      <w:sdt>
        <w:sdtPr>
          <w:rPr>
            <w:rFonts w:ascii="Arial" w:hAnsi="Arial" w:cs="Arial"/>
            <w:color w:val="3A3A3A"/>
            <w:shd w:val="clear" w:color="auto" w:fill="FFFFFF"/>
          </w:rPr>
          <w:id w:val="868963105"/>
          <w:citation/>
        </w:sdtPr>
        <w:sdtContent>
          <w:r w:rsidRPr="0019457B">
            <w:rPr>
              <w:rFonts w:ascii="Arial" w:hAnsi="Arial" w:cs="Arial"/>
              <w:color w:val="3A3A3A"/>
              <w:shd w:val="clear" w:color="auto" w:fill="FFFFFF"/>
            </w:rPr>
            <w:fldChar w:fldCharType="begin"/>
          </w:r>
          <w:r w:rsidRPr="0019457B">
            <w:rPr>
              <w:rFonts w:ascii="Arial" w:hAnsi="Arial" w:cs="Arial"/>
              <w:color w:val="3A3A3A"/>
              <w:shd w:val="clear" w:color="auto" w:fill="FFFFFF"/>
            </w:rPr>
            <w:instrText xml:space="preserve"> CITATION Far00 \l 2057 </w:instrText>
          </w:r>
          <w:r w:rsidRPr="0019457B">
            <w:rPr>
              <w:rFonts w:ascii="Arial" w:hAnsi="Arial" w:cs="Arial"/>
              <w:color w:val="3A3A3A"/>
              <w:shd w:val="clear" w:color="auto" w:fill="FFFFFF"/>
            </w:rPr>
            <w:fldChar w:fldCharType="separate"/>
          </w:r>
          <w:r w:rsidRPr="0019457B">
            <w:rPr>
              <w:rFonts w:ascii="Arial" w:hAnsi="Arial" w:cs="Arial"/>
              <w:noProof/>
              <w:color w:val="3A3A3A"/>
              <w:shd w:val="clear" w:color="auto" w:fill="FFFFFF"/>
            </w:rPr>
            <w:t xml:space="preserve"> (Farrar, et al., 2000)</w:t>
          </w:r>
          <w:r w:rsidRPr="0019457B">
            <w:rPr>
              <w:rFonts w:ascii="Arial" w:hAnsi="Arial" w:cs="Arial"/>
              <w:color w:val="3A3A3A"/>
              <w:shd w:val="clear" w:color="auto" w:fill="FFFFFF"/>
            </w:rPr>
            <w:fldChar w:fldCharType="end"/>
          </w:r>
        </w:sdtContent>
      </w:sdt>
    </w:p>
    <w:p w:rsidR="00FA3C36" w:rsidRPr="0019457B" w:rsidRDefault="00826EB1" w:rsidP="006B6AC6">
      <w:pPr>
        <w:spacing w:line="360" w:lineRule="auto"/>
        <w:ind w:firstLine="57"/>
        <w:jc w:val="both"/>
        <w:rPr>
          <w:rFonts w:ascii="Arial" w:hAnsi="Arial" w:cs="Arial"/>
          <w:color w:val="3A3A3A"/>
          <w:shd w:val="clear" w:color="auto" w:fill="FFFFFF"/>
        </w:rPr>
      </w:pPr>
      <w:r w:rsidRPr="0019457B">
        <w:rPr>
          <w:rFonts w:ascii="Arial" w:hAnsi="Arial" w:cs="Arial"/>
          <w:color w:val="3A3A3A"/>
          <w:shd w:val="clear" w:color="auto" w:fill="FFFFFF"/>
        </w:rPr>
        <w:t xml:space="preserve">The changeable results </w:t>
      </w:r>
      <w:r w:rsidR="000439F4" w:rsidRPr="0019457B">
        <w:rPr>
          <w:rFonts w:ascii="Arial" w:hAnsi="Arial" w:cs="Arial"/>
          <w:color w:val="3A3A3A"/>
          <w:shd w:val="clear" w:color="auto" w:fill="FFFFFF"/>
        </w:rPr>
        <w:t>are</w:t>
      </w:r>
      <w:r w:rsidRPr="0019457B">
        <w:rPr>
          <w:rFonts w:ascii="Arial" w:hAnsi="Arial" w:cs="Arial"/>
          <w:color w:val="3A3A3A"/>
          <w:shd w:val="clear" w:color="auto" w:fill="FFFFFF"/>
        </w:rPr>
        <w:t xml:space="preserve"> rejected as it shows in this study weather pregnant women received the immunisation in the last </w:t>
      </w:r>
      <w:r w:rsidR="006661CF" w:rsidRPr="0019457B">
        <w:rPr>
          <w:rFonts w:ascii="Arial" w:hAnsi="Arial" w:cs="Arial"/>
          <w:color w:val="3A3A3A"/>
          <w:shd w:val="clear" w:color="auto" w:fill="FFFFFF"/>
        </w:rPr>
        <w:t>trimester. If</w:t>
      </w:r>
      <w:r w:rsidRPr="0019457B">
        <w:rPr>
          <w:rFonts w:ascii="Arial" w:hAnsi="Arial" w:cs="Arial"/>
          <w:color w:val="3A3A3A"/>
          <w:shd w:val="clear" w:color="auto" w:fill="FFFFFF"/>
        </w:rPr>
        <w:t xml:space="preserve"> pregnant </w:t>
      </w:r>
      <w:r w:rsidR="006661CF" w:rsidRPr="0019457B">
        <w:rPr>
          <w:rFonts w:ascii="Arial" w:hAnsi="Arial" w:cs="Arial"/>
          <w:color w:val="3A3A3A"/>
          <w:shd w:val="clear" w:color="auto" w:fill="FFFFFF"/>
        </w:rPr>
        <w:t>woman’s</w:t>
      </w:r>
      <w:r w:rsidRPr="0019457B">
        <w:rPr>
          <w:rFonts w:ascii="Arial" w:hAnsi="Arial" w:cs="Arial"/>
          <w:color w:val="3A3A3A"/>
          <w:shd w:val="clear" w:color="auto" w:fill="FFFFFF"/>
        </w:rPr>
        <w:t xml:space="preserve"> status matches the WHO guidelines then </w:t>
      </w:r>
      <w:r w:rsidR="00B81B90" w:rsidRPr="0019457B">
        <w:rPr>
          <w:rFonts w:ascii="Arial" w:hAnsi="Arial" w:cs="Arial"/>
          <w:color w:val="3A3A3A"/>
          <w:shd w:val="clear" w:color="auto" w:fill="FFFFFF"/>
        </w:rPr>
        <w:t xml:space="preserve">she can receive the TT </w:t>
      </w:r>
      <w:r w:rsidR="006661CF" w:rsidRPr="0019457B">
        <w:rPr>
          <w:rFonts w:ascii="Arial" w:hAnsi="Arial" w:cs="Arial"/>
          <w:color w:val="3A3A3A"/>
          <w:shd w:val="clear" w:color="auto" w:fill="FFFFFF"/>
        </w:rPr>
        <w:t>vaccine. Independent</w:t>
      </w:r>
      <w:r w:rsidR="00B81B90" w:rsidRPr="0019457B">
        <w:rPr>
          <w:rFonts w:ascii="Arial" w:hAnsi="Arial" w:cs="Arial"/>
          <w:color w:val="3A3A3A"/>
          <w:shd w:val="clear" w:color="auto" w:fill="FFFFFF"/>
        </w:rPr>
        <w:t xml:space="preserve"> variable was taken from the </w:t>
      </w:r>
      <w:r w:rsidR="00B81B90" w:rsidRPr="0019457B">
        <w:rPr>
          <w:rFonts w:ascii="Arial" w:hAnsi="Arial" w:cs="Arial"/>
          <w:color w:val="3A3A3A"/>
          <w:shd w:val="clear" w:color="auto" w:fill="FFFFFF"/>
        </w:rPr>
        <w:lastRenderedPageBreak/>
        <w:t xml:space="preserve">study where they measured the maternal services in </w:t>
      </w:r>
      <w:r w:rsidR="006661CF" w:rsidRPr="0019457B">
        <w:rPr>
          <w:rFonts w:ascii="Arial" w:hAnsi="Arial" w:cs="Arial"/>
          <w:color w:val="3A3A3A"/>
          <w:shd w:val="clear" w:color="auto" w:fill="FFFFFF"/>
        </w:rPr>
        <w:t>Kenya. Services</w:t>
      </w:r>
      <w:r w:rsidR="000963DD" w:rsidRPr="0019457B">
        <w:rPr>
          <w:rFonts w:ascii="Arial" w:hAnsi="Arial" w:cs="Arial"/>
          <w:color w:val="3A3A3A"/>
          <w:shd w:val="clear" w:color="auto" w:fill="FFFFFF"/>
        </w:rPr>
        <w:t xml:space="preserve"> were provided at that time were mothers age at the time of </w:t>
      </w:r>
      <w:r w:rsidR="006661CF" w:rsidRPr="0019457B">
        <w:rPr>
          <w:rFonts w:ascii="Arial" w:hAnsi="Arial" w:cs="Arial"/>
          <w:color w:val="3A3A3A"/>
          <w:shd w:val="clear" w:color="auto" w:fill="FFFFFF"/>
        </w:rPr>
        <w:t>delivery, marital</w:t>
      </w:r>
      <w:r w:rsidR="000963DD" w:rsidRPr="0019457B">
        <w:rPr>
          <w:rFonts w:ascii="Arial" w:hAnsi="Arial" w:cs="Arial"/>
          <w:color w:val="3A3A3A"/>
          <w:shd w:val="clear" w:color="auto" w:fill="FFFFFF"/>
        </w:rPr>
        <w:t xml:space="preserve"> </w:t>
      </w:r>
      <w:r w:rsidR="000439F4" w:rsidRPr="0019457B">
        <w:rPr>
          <w:rFonts w:ascii="Arial" w:hAnsi="Arial" w:cs="Arial"/>
          <w:color w:val="3A3A3A"/>
          <w:shd w:val="clear" w:color="auto" w:fill="FFFFFF"/>
        </w:rPr>
        <w:t>status, living</w:t>
      </w:r>
      <w:r w:rsidR="000963DD" w:rsidRPr="0019457B">
        <w:rPr>
          <w:rFonts w:ascii="Arial" w:hAnsi="Arial" w:cs="Arial"/>
          <w:color w:val="3A3A3A"/>
          <w:shd w:val="clear" w:color="auto" w:fill="FFFFFF"/>
        </w:rPr>
        <w:t xml:space="preserve"> status, education status, income, </w:t>
      </w:r>
      <w:r w:rsidR="006661CF" w:rsidRPr="0019457B">
        <w:rPr>
          <w:rFonts w:ascii="Arial" w:hAnsi="Arial" w:cs="Arial"/>
          <w:color w:val="3A3A3A"/>
          <w:shd w:val="clear" w:color="auto" w:fill="FFFFFF"/>
        </w:rPr>
        <w:t>self-support</w:t>
      </w:r>
      <w:r w:rsidR="000963DD" w:rsidRPr="0019457B">
        <w:rPr>
          <w:rFonts w:ascii="Arial" w:hAnsi="Arial" w:cs="Arial"/>
          <w:color w:val="3A3A3A"/>
          <w:shd w:val="clear" w:color="auto" w:fill="FFFFFF"/>
        </w:rPr>
        <w:t xml:space="preserve"> or partners help was assessed .</w:t>
      </w:r>
      <w:r w:rsidR="006661CF" w:rsidRPr="0019457B">
        <w:rPr>
          <w:rFonts w:ascii="Arial" w:hAnsi="Arial" w:cs="Arial"/>
          <w:color w:val="3A3A3A"/>
          <w:shd w:val="clear" w:color="auto" w:fill="FFFFFF"/>
        </w:rPr>
        <w:t>Measures</w:t>
      </w:r>
      <w:r w:rsidR="000963DD" w:rsidRPr="0019457B">
        <w:rPr>
          <w:rFonts w:ascii="Arial" w:hAnsi="Arial" w:cs="Arial"/>
          <w:color w:val="3A3A3A"/>
          <w:shd w:val="clear" w:color="auto" w:fill="FFFFFF"/>
        </w:rPr>
        <w:t xml:space="preserve"> of central </w:t>
      </w:r>
      <w:r w:rsidR="00535A6D" w:rsidRPr="0019457B">
        <w:rPr>
          <w:rFonts w:ascii="Arial" w:hAnsi="Arial" w:cs="Arial"/>
          <w:color w:val="3A3A3A"/>
          <w:shd w:val="clear" w:color="auto" w:fill="FFFFFF"/>
        </w:rPr>
        <w:t>tendency and measures of spread as well as figures of the current situation at the time of the delivery for the right TT vaccination.</w:t>
      </w:r>
      <w:sdt>
        <w:sdtPr>
          <w:rPr>
            <w:rFonts w:ascii="Arial" w:hAnsi="Arial" w:cs="Arial"/>
            <w:color w:val="3A3A3A"/>
            <w:shd w:val="clear" w:color="auto" w:fill="FFFFFF"/>
          </w:rPr>
          <w:id w:val="1088971458"/>
          <w:citation/>
        </w:sdtPr>
        <w:sdtContent>
          <w:r w:rsidR="00535A6D" w:rsidRPr="0019457B">
            <w:rPr>
              <w:rFonts w:ascii="Arial" w:hAnsi="Arial" w:cs="Arial"/>
              <w:color w:val="3A3A3A"/>
              <w:shd w:val="clear" w:color="auto" w:fill="FFFFFF"/>
            </w:rPr>
            <w:fldChar w:fldCharType="begin"/>
          </w:r>
          <w:r w:rsidR="00535A6D" w:rsidRPr="0019457B">
            <w:rPr>
              <w:rFonts w:ascii="Arial" w:hAnsi="Arial" w:cs="Arial"/>
              <w:color w:val="3A3A3A"/>
              <w:shd w:val="clear" w:color="auto" w:fill="FFFFFF"/>
            </w:rPr>
            <w:instrText xml:space="preserve"> CITATION Hai13 \l 2057 </w:instrText>
          </w:r>
          <w:r w:rsidR="00535A6D" w:rsidRPr="0019457B">
            <w:rPr>
              <w:rFonts w:ascii="Arial" w:hAnsi="Arial" w:cs="Arial"/>
              <w:color w:val="3A3A3A"/>
              <w:shd w:val="clear" w:color="auto" w:fill="FFFFFF"/>
            </w:rPr>
            <w:fldChar w:fldCharType="separate"/>
          </w:r>
          <w:r w:rsidR="00535A6D" w:rsidRPr="0019457B">
            <w:rPr>
              <w:rFonts w:ascii="Arial" w:hAnsi="Arial" w:cs="Arial"/>
              <w:noProof/>
              <w:color w:val="3A3A3A"/>
              <w:shd w:val="clear" w:color="auto" w:fill="FFFFFF"/>
            </w:rPr>
            <w:t xml:space="preserve"> (Haile, et al., 2013)</w:t>
          </w:r>
          <w:r w:rsidR="00535A6D" w:rsidRPr="0019457B">
            <w:rPr>
              <w:rFonts w:ascii="Arial" w:hAnsi="Arial" w:cs="Arial"/>
              <w:color w:val="3A3A3A"/>
              <w:shd w:val="clear" w:color="auto" w:fill="FFFFFF"/>
            </w:rPr>
            <w:fldChar w:fldCharType="end"/>
          </w:r>
        </w:sdtContent>
      </w:sdt>
      <w:r w:rsidR="0032062F" w:rsidRPr="0019457B">
        <w:rPr>
          <w:rFonts w:ascii="Arial" w:hAnsi="Arial" w:cs="Arial"/>
          <w:color w:val="3A3A3A"/>
          <w:shd w:val="clear" w:color="auto" w:fill="FFFFFF"/>
        </w:rPr>
        <w:t xml:space="preserve">.short term consequences were measure in the study which the university of </w:t>
      </w:r>
      <w:r w:rsidR="000439F4" w:rsidRPr="0019457B">
        <w:rPr>
          <w:rFonts w:ascii="Arial" w:hAnsi="Arial" w:cs="Arial"/>
          <w:color w:val="3A3A3A"/>
          <w:shd w:val="clear" w:color="auto" w:fill="FFFFFF"/>
        </w:rPr>
        <w:t>Florida</w:t>
      </w:r>
      <w:r w:rsidR="0032062F" w:rsidRPr="0019457B">
        <w:rPr>
          <w:rFonts w:ascii="Arial" w:hAnsi="Arial" w:cs="Arial"/>
          <w:color w:val="3A3A3A"/>
          <w:shd w:val="clear" w:color="auto" w:fill="FFFFFF"/>
        </w:rPr>
        <w:t xml:space="preserve"> institutional review board approved of  all the protocols and 20 volunteers were on board to conduct this study. Participants were given 10</w:t>
      </w:r>
      <w:r w:rsidR="000439F4" w:rsidRPr="0019457B">
        <w:rPr>
          <w:rFonts w:ascii="Arial" w:hAnsi="Arial" w:cs="Arial"/>
          <w:color w:val="3A3A3A"/>
          <w:shd w:val="clear" w:color="auto" w:fill="FFFFFF"/>
        </w:rPr>
        <w:t>-</w:t>
      </w:r>
      <w:r w:rsidR="0032062F" w:rsidRPr="0019457B">
        <w:rPr>
          <w:rFonts w:ascii="Arial" w:hAnsi="Arial" w:cs="Arial"/>
          <w:color w:val="3A3A3A"/>
          <w:shd w:val="clear" w:color="auto" w:fill="FFFFFF"/>
        </w:rPr>
        <w:t xml:space="preserve">day course with atorvastatin 40mg or placebo same amount. The code </w:t>
      </w:r>
      <w:r w:rsidR="002168A0" w:rsidRPr="0019457B">
        <w:rPr>
          <w:rFonts w:ascii="Arial" w:hAnsi="Arial" w:cs="Arial"/>
          <w:color w:val="3A3A3A"/>
          <w:shd w:val="clear" w:color="auto" w:fill="FFFFFF"/>
        </w:rPr>
        <w:t>was arranged and produced by the GCRC data services lab.</w:t>
      </w:r>
      <w:r w:rsidR="000439F4" w:rsidRPr="0019457B">
        <w:rPr>
          <w:rFonts w:ascii="Arial" w:hAnsi="Arial" w:cs="Arial"/>
          <w:color w:val="3A3A3A"/>
          <w:shd w:val="clear" w:color="auto" w:fill="FFFFFF"/>
        </w:rPr>
        <w:t xml:space="preserve"> T</w:t>
      </w:r>
      <w:r w:rsidR="00BF7D0E" w:rsidRPr="0019457B">
        <w:rPr>
          <w:rFonts w:ascii="Arial" w:hAnsi="Arial" w:cs="Arial"/>
          <w:color w:val="3A3A3A"/>
          <w:shd w:val="clear" w:color="auto" w:fill="FFFFFF"/>
        </w:rPr>
        <w:t>etanus toxoid was given to all the participants on the fifth day.</w:t>
      </w:r>
      <w:r w:rsidR="000439F4" w:rsidRPr="0019457B">
        <w:rPr>
          <w:rFonts w:ascii="Arial" w:hAnsi="Arial" w:cs="Arial"/>
          <w:color w:val="3A3A3A"/>
          <w:shd w:val="clear" w:color="auto" w:fill="FFFFFF"/>
        </w:rPr>
        <w:t xml:space="preserve"> B</w:t>
      </w:r>
      <w:r w:rsidR="00BF7D0E" w:rsidRPr="0019457B">
        <w:rPr>
          <w:rFonts w:ascii="Arial" w:hAnsi="Arial" w:cs="Arial"/>
          <w:color w:val="3A3A3A"/>
          <w:shd w:val="clear" w:color="auto" w:fill="FFFFFF"/>
        </w:rPr>
        <w:t>lood samples were taken on the first day on empty stomach and in between day 5,6 and 8. And after the 11</w:t>
      </w:r>
      <w:r w:rsidR="00BF7D0E" w:rsidRPr="0019457B">
        <w:rPr>
          <w:rFonts w:ascii="Arial" w:hAnsi="Arial" w:cs="Arial"/>
          <w:color w:val="3A3A3A"/>
          <w:shd w:val="clear" w:color="auto" w:fill="FFFFFF"/>
          <w:vertAlign w:val="superscript"/>
        </w:rPr>
        <w:t>th</w:t>
      </w:r>
      <w:r w:rsidR="00BF7D0E" w:rsidRPr="0019457B">
        <w:rPr>
          <w:rFonts w:ascii="Arial" w:hAnsi="Arial" w:cs="Arial"/>
          <w:color w:val="3A3A3A"/>
          <w:shd w:val="clear" w:color="auto" w:fill="FFFFFF"/>
        </w:rPr>
        <w:t xml:space="preserve"> day and 21 blood samples were taken after the treatment and blood samples were sent to </w:t>
      </w:r>
      <w:r w:rsidR="000439F4" w:rsidRPr="0019457B">
        <w:rPr>
          <w:rFonts w:ascii="Arial" w:hAnsi="Arial" w:cs="Arial"/>
          <w:color w:val="3A3A3A"/>
          <w:shd w:val="clear" w:color="auto" w:fill="FFFFFF"/>
        </w:rPr>
        <w:t>Shand’s</w:t>
      </w:r>
      <w:r w:rsidR="006544D4" w:rsidRPr="0019457B">
        <w:rPr>
          <w:rFonts w:ascii="Arial" w:hAnsi="Arial" w:cs="Arial"/>
          <w:color w:val="3A3A3A"/>
          <w:shd w:val="clear" w:color="auto" w:fill="FFFFFF"/>
        </w:rPr>
        <w:t xml:space="preserve"> hospital </w:t>
      </w:r>
      <w:r w:rsidR="000439F4" w:rsidRPr="0019457B">
        <w:rPr>
          <w:rFonts w:ascii="Arial" w:hAnsi="Arial" w:cs="Arial"/>
          <w:color w:val="3A3A3A"/>
          <w:shd w:val="clear" w:color="auto" w:fill="FFFFFF"/>
        </w:rPr>
        <w:t>laboratory</w:t>
      </w:r>
      <w:r w:rsidR="006544D4" w:rsidRPr="0019457B">
        <w:rPr>
          <w:rFonts w:ascii="Arial" w:hAnsi="Arial" w:cs="Arial"/>
          <w:color w:val="3A3A3A"/>
          <w:shd w:val="clear" w:color="auto" w:fill="FFFFFF"/>
        </w:rPr>
        <w:t>. All the samples were collected and se</w:t>
      </w:r>
      <w:r w:rsidR="000439F4" w:rsidRPr="0019457B">
        <w:rPr>
          <w:rFonts w:ascii="Arial" w:hAnsi="Arial" w:cs="Arial"/>
          <w:color w:val="3A3A3A"/>
          <w:shd w:val="clear" w:color="auto" w:fill="FFFFFF"/>
        </w:rPr>
        <w:t>nt</w:t>
      </w:r>
      <w:r w:rsidR="006544D4" w:rsidRPr="0019457B">
        <w:rPr>
          <w:rFonts w:ascii="Arial" w:hAnsi="Arial" w:cs="Arial"/>
          <w:color w:val="3A3A3A"/>
          <w:shd w:val="clear" w:color="auto" w:fill="FFFFFF"/>
        </w:rPr>
        <w:t xml:space="preserve"> for results except for one </w:t>
      </w:r>
      <w:r w:rsidR="000439F4" w:rsidRPr="0019457B">
        <w:rPr>
          <w:rFonts w:ascii="Arial" w:hAnsi="Arial" w:cs="Arial"/>
          <w:color w:val="3A3A3A"/>
          <w:shd w:val="clear" w:color="auto" w:fill="FFFFFF"/>
        </w:rPr>
        <w:t>participant</w:t>
      </w:r>
      <w:r w:rsidR="006544D4" w:rsidRPr="0019457B">
        <w:rPr>
          <w:rFonts w:ascii="Arial" w:hAnsi="Arial" w:cs="Arial"/>
          <w:color w:val="3A3A3A"/>
          <w:shd w:val="clear" w:color="auto" w:fill="FFFFFF"/>
        </w:rPr>
        <w:t xml:space="preserve"> which wasn’t collected during the colle</w:t>
      </w:r>
      <w:r w:rsidR="000439F4" w:rsidRPr="0019457B">
        <w:rPr>
          <w:rFonts w:ascii="Arial" w:hAnsi="Arial" w:cs="Arial"/>
          <w:color w:val="3A3A3A"/>
          <w:shd w:val="clear" w:color="auto" w:fill="FFFFFF"/>
        </w:rPr>
        <w:t>c</w:t>
      </w:r>
      <w:r w:rsidR="006544D4" w:rsidRPr="0019457B">
        <w:rPr>
          <w:rFonts w:ascii="Arial" w:hAnsi="Arial" w:cs="Arial"/>
          <w:color w:val="3A3A3A"/>
          <w:shd w:val="clear" w:color="auto" w:fill="FFFFFF"/>
        </w:rPr>
        <w:t>tion ther</w:t>
      </w:r>
      <w:r w:rsidR="000439F4" w:rsidRPr="0019457B">
        <w:rPr>
          <w:rFonts w:ascii="Arial" w:hAnsi="Arial" w:cs="Arial"/>
          <w:color w:val="3A3A3A"/>
          <w:shd w:val="clear" w:color="auto" w:fill="FFFFFF"/>
        </w:rPr>
        <w:t xml:space="preserve">e </w:t>
      </w:r>
      <w:r w:rsidR="006544D4" w:rsidRPr="0019457B">
        <w:rPr>
          <w:rFonts w:ascii="Arial" w:hAnsi="Arial" w:cs="Arial"/>
          <w:color w:val="3A3A3A"/>
          <w:shd w:val="clear" w:color="auto" w:fill="FFFFFF"/>
        </w:rPr>
        <w:t>was no other major event occurred. Following the participant atorvastatin groups results showed less in numbers versus the placebo group. In the results all participants level showed anti-</w:t>
      </w:r>
      <w:r w:rsidR="000439F4" w:rsidRPr="0019457B">
        <w:rPr>
          <w:rFonts w:ascii="Arial" w:hAnsi="Arial" w:cs="Arial"/>
          <w:color w:val="3A3A3A"/>
          <w:shd w:val="clear" w:color="auto" w:fill="FFFFFF"/>
        </w:rPr>
        <w:t>TT</w:t>
      </w:r>
      <w:r w:rsidR="006544D4" w:rsidRPr="0019457B">
        <w:rPr>
          <w:rFonts w:ascii="Arial" w:hAnsi="Arial" w:cs="Arial"/>
          <w:color w:val="3A3A3A"/>
          <w:shd w:val="clear" w:color="auto" w:fill="FFFFFF"/>
        </w:rPr>
        <w:t xml:space="preserve"> on the baseline. </w:t>
      </w:r>
      <w:r w:rsidR="000439F4" w:rsidRPr="0019457B">
        <w:rPr>
          <w:rFonts w:ascii="Arial" w:hAnsi="Arial" w:cs="Arial"/>
          <w:color w:val="3A3A3A"/>
          <w:shd w:val="clear" w:color="auto" w:fill="FFFFFF"/>
        </w:rPr>
        <w:t>This result</w:t>
      </w:r>
      <w:r w:rsidR="006661CF" w:rsidRPr="0019457B">
        <w:rPr>
          <w:rFonts w:ascii="Arial" w:hAnsi="Arial" w:cs="Arial"/>
          <w:color w:val="3A3A3A"/>
          <w:shd w:val="clear" w:color="auto" w:fill="FFFFFF"/>
        </w:rPr>
        <w:t xml:space="preserve"> was according to all the participants who were already vaccinated against tetanus </w:t>
      </w:r>
      <w:sdt>
        <w:sdtPr>
          <w:rPr>
            <w:rFonts w:ascii="Arial" w:hAnsi="Arial" w:cs="Arial"/>
            <w:color w:val="3A3A3A"/>
            <w:shd w:val="clear" w:color="auto" w:fill="FFFFFF"/>
          </w:rPr>
          <w:id w:val="893315799"/>
          <w:citation/>
        </w:sdtPr>
        <w:sdtContent>
          <w:r w:rsidR="006661CF" w:rsidRPr="0019457B">
            <w:rPr>
              <w:rFonts w:ascii="Arial" w:hAnsi="Arial" w:cs="Arial"/>
              <w:color w:val="3A3A3A"/>
              <w:shd w:val="clear" w:color="auto" w:fill="FFFFFF"/>
            </w:rPr>
            <w:fldChar w:fldCharType="begin"/>
          </w:r>
          <w:r w:rsidR="006661CF" w:rsidRPr="0019457B">
            <w:rPr>
              <w:rFonts w:ascii="Arial" w:hAnsi="Arial" w:cs="Arial"/>
              <w:color w:val="3A3A3A"/>
              <w:shd w:val="clear" w:color="auto" w:fill="FFFFFF"/>
            </w:rPr>
            <w:instrText xml:space="preserve"> CITATION Lee06 \l 2057 </w:instrText>
          </w:r>
          <w:r w:rsidR="006661CF" w:rsidRPr="0019457B">
            <w:rPr>
              <w:rFonts w:ascii="Arial" w:hAnsi="Arial" w:cs="Arial"/>
              <w:color w:val="3A3A3A"/>
              <w:shd w:val="clear" w:color="auto" w:fill="FFFFFF"/>
            </w:rPr>
            <w:fldChar w:fldCharType="separate"/>
          </w:r>
          <w:r w:rsidR="006661CF" w:rsidRPr="0019457B">
            <w:rPr>
              <w:rFonts w:ascii="Arial" w:hAnsi="Arial" w:cs="Arial"/>
              <w:noProof/>
              <w:color w:val="3A3A3A"/>
              <w:shd w:val="clear" w:color="auto" w:fill="FFFFFF"/>
            </w:rPr>
            <w:t>(Lee, et al., 2006)</w:t>
          </w:r>
          <w:r w:rsidR="006661CF" w:rsidRPr="0019457B">
            <w:rPr>
              <w:rFonts w:ascii="Arial" w:hAnsi="Arial" w:cs="Arial"/>
              <w:color w:val="3A3A3A"/>
              <w:shd w:val="clear" w:color="auto" w:fill="FFFFFF"/>
            </w:rPr>
            <w:fldChar w:fldCharType="end"/>
          </w:r>
        </w:sdtContent>
      </w:sdt>
    </w:p>
    <w:p w:rsidR="00367CB8" w:rsidRPr="0019457B" w:rsidRDefault="002B0354" w:rsidP="006B6AC6">
      <w:pPr>
        <w:spacing w:line="360" w:lineRule="auto"/>
        <w:ind w:firstLine="57"/>
        <w:jc w:val="both"/>
        <w:rPr>
          <w:rFonts w:ascii="Arial" w:hAnsi="Arial" w:cs="Arial"/>
          <w:color w:val="3A3A3A"/>
          <w:shd w:val="clear" w:color="auto" w:fill="FFFFFF"/>
        </w:rPr>
      </w:pPr>
      <w:r w:rsidRPr="0019457B">
        <w:rPr>
          <w:rFonts w:ascii="Arial" w:hAnsi="Arial" w:cs="Arial"/>
          <w:color w:val="3A3A3A"/>
          <w:shd w:val="clear" w:color="auto" w:fill="FFFFFF"/>
        </w:rPr>
        <w:t xml:space="preserve">For long term effects of tetanus two programmes were set to study with the help of pre TTI and post TTI periods. Data was conducted from annual </w:t>
      </w:r>
      <w:r w:rsidR="00367CB8" w:rsidRPr="0019457B">
        <w:rPr>
          <w:rFonts w:ascii="Arial" w:hAnsi="Arial" w:cs="Arial"/>
          <w:color w:val="3A3A3A"/>
          <w:shd w:val="clear" w:color="auto" w:fill="FFFFFF"/>
        </w:rPr>
        <w:t>censuses, gathered</w:t>
      </w:r>
      <w:r w:rsidRPr="0019457B">
        <w:rPr>
          <w:rFonts w:ascii="Arial" w:hAnsi="Arial" w:cs="Arial"/>
          <w:color w:val="3A3A3A"/>
          <w:shd w:val="clear" w:color="auto" w:fill="FFFFFF"/>
        </w:rPr>
        <w:t xml:space="preserve"> the data from </w:t>
      </w:r>
      <w:r w:rsidR="00BF1497" w:rsidRPr="0019457B">
        <w:rPr>
          <w:rFonts w:ascii="Arial" w:hAnsi="Arial" w:cs="Arial"/>
          <w:color w:val="3A3A3A"/>
          <w:shd w:val="clear" w:color="auto" w:fill="FFFFFF"/>
        </w:rPr>
        <w:t xml:space="preserve">the daily data of </w:t>
      </w:r>
      <w:r w:rsidR="00367CB8" w:rsidRPr="0019457B">
        <w:rPr>
          <w:rFonts w:ascii="Arial" w:hAnsi="Arial" w:cs="Arial"/>
          <w:color w:val="3A3A3A"/>
          <w:shd w:val="clear" w:color="auto" w:fill="FFFFFF"/>
        </w:rPr>
        <w:t xml:space="preserve">females. </w:t>
      </w:r>
      <w:r w:rsidR="00BF1497" w:rsidRPr="0019457B">
        <w:rPr>
          <w:rFonts w:ascii="Arial" w:hAnsi="Arial" w:cs="Arial"/>
          <w:color w:val="3A3A3A"/>
          <w:shd w:val="clear" w:color="auto" w:fill="FFFFFF"/>
        </w:rPr>
        <w:t xml:space="preserve"> </w:t>
      </w:r>
    </w:p>
    <w:p w:rsidR="0019457B" w:rsidRDefault="00F11A58" w:rsidP="006B6AC6">
      <w:pPr>
        <w:jc w:val="both"/>
        <w:rPr>
          <w:rFonts w:ascii="Arial" w:hAnsi="Arial" w:cs="Arial"/>
        </w:rPr>
      </w:pPr>
      <w:r>
        <w:rPr>
          <w:rFonts w:ascii="Arial" w:hAnsi="Arial" w:cs="Arial"/>
        </w:rPr>
        <w:t xml:space="preserve">There was not much difference between </w:t>
      </w:r>
      <w:r w:rsidR="00D05018">
        <w:rPr>
          <w:rFonts w:ascii="Arial" w:hAnsi="Arial" w:cs="Arial"/>
        </w:rPr>
        <w:t xml:space="preserve">individuals, 4 year or older. To separate the long-term effects statistics data was set to carry out to control fitness for population. To carry this data test participants were chosen randomly and conducting the sample with the original size. This study conducted numerical data and calculated from the sample. This procedure was repeated thousand times. In this study data was not conducted from the male as assumption was made their female life schedule determines more than the male (Mathew </w:t>
      </w:r>
      <w:proofErr w:type="gramStart"/>
      <w:r w:rsidR="00D05018">
        <w:rPr>
          <w:rFonts w:ascii="Arial" w:hAnsi="Arial" w:cs="Arial"/>
        </w:rPr>
        <w:t>J.Kessler</w:t>
      </w:r>
      <w:proofErr w:type="gramEnd"/>
      <w:r w:rsidR="00D05018">
        <w:rPr>
          <w:rFonts w:ascii="Arial" w:hAnsi="Arial" w:cs="Arial"/>
        </w:rPr>
        <w:t>,2015)</w:t>
      </w:r>
    </w:p>
    <w:p w:rsidR="00D05018" w:rsidRPr="00F11A58" w:rsidRDefault="00D05018" w:rsidP="006B6AC6">
      <w:pPr>
        <w:jc w:val="both"/>
        <w:rPr>
          <w:rFonts w:ascii="Arial" w:hAnsi="Arial" w:cs="Arial"/>
        </w:rPr>
      </w:pPr>
      <w:r>
        <w:rPr>
          <w:rFonts w:ascii="Arial" w:hAnsi="Arial" w:cs="Arial"/>
        </w:rPr>
        <w:t xml:space="preserve">In conclusion, the definition of disease is covered. Where it is mentioned how bacteria enter the body, some time it is through wound, injury or unhygienic reasons. Where care wasn’t the </w:t>
      </w:r>
      <w:r w:rsidR="006B6AC6">
        <w:rPr>
          <w:rFonts w:ascii="Arial" w:hAnsi="Arial" w:cs="Arial"/>
        </w:rPr>
        <w:t>priority. Study</w:t>
      </w:r>
      <w:r>
        <w:rPr>
          <w:rFonts w:ascii="Arial" w:hAnsi="Arial" w:cs="Arial"/>
        </w:rPr>
        <w:t xml:space="preserve"> in Kenya showed mothers didn’t get the right after birth care or practice place was </w:t>
      </w:r>
      <w:r w:rsidR="006B6AC6">
        <w:rPr>
          <w:rFonts w:ascii="Arial" w:hAnsi="Arial" w:cs="Arial"/>
        </w:rPr>
        <w:t>unhygienic. Mostly</w:t>
      </w:r>
      <w:r>
        <w:rPr>
          <w:rFonts w:ascii="Arial" w:hAnsi="Arial" w:cs="Arial"/>
        </w:rPr>
        <w:t xml:space="preserve"> mothers only had the option to deliver the baby at home with the help of </w:t>
      </w:r>
      <w:r w:rsidR="006B6AC6">
        <w:rPr>
          <w:rFonts w:ascii="Arial" w:hAnsi="Arial" w:cs="Arial"/>
        </w:rPr>
        <w:t>unprofessional. Which</w:t>
      </w:r>
      <w:r>
        <w:rPr>
          <w:rFonts w:ascii="Arial" w:hAnsi="Arial" w:cs="Arial"/>
        </w:rPr>
        <w:t xml:space="preserve"> lead to getting infected by this disease.in this report it also mentioned that risk of not being immunised before having a </w:t>
      </w:r>
      <w:r w:rsidR="006B6AC6">
        <w:rPr>
          <w:rFonts w:ascii="Arial" w:hAnsi="Arial" w:cs="Arial"/>
        </w:rPr>
        <w:t>child, result</w:t>
      </w:r>
      <w:r>
        <w:rPr>
          <w:rFonts w:ascii="Arial" w:hAnsi="Arial" w:cs="Arial"/>
        </w:rPr>
        <w:t xml:space="preserve"> of not being immunised lead to different </w:t>
      </w:r>
      <w:r w:rsidR="006B6AC6">
        <w:rPr>
          <w:rFonts w:ascii="Arial" w:hAnsi="Arial" w:cs="Arial"/>
        </w:rPr>
        <w:t>risk</w:t>
      </w:r>
      <w:r>
        <w:rPr>
          <w:rFonts w:ascii="Arial" w:hAnsi="Arial" w:cs="Arial"/>
        </w:rPr>
        <w:t xml:space="preserve"> of protecting the </w:t>
      </w:r>
      <w:r w:rsidR="006B6AC6">
        <w:rPr>
          <w:rFonts w:ascii="Arial" w:hAnsi="Arial" w:cs="Arial"/>
        </w:rPr>
        <w:t>unborn. Vaccination</w:t>
      </w:r>
      <w:r>
        <w:rPr>
          <w:rFonts w:ascii="Arial" w:hAnsi="Arial" w:cs="Arial"/>
        </w:rPr>
        <w:t xml:space="preserve"> was set for certain </w:t>
      </w:r>
      <w:r w:rsidR="006B6AC6">
        <w:rPr>
          <w:rFonts w:ascii="Arial" w:hAnsi="Arial" w:cs="Arial"/>
        </w:rPr>
        <w:t>period. If</w:t>
      </w:r>
      <w:r>
        <w:rPr>
          <w:rFonts w:ascii="Arial" w:hAnsi="Arial" w:cs="Arial"/>
        </w:rPr>
        <w:t xml:space="preserve"> </w:t>
      </w:r>
      <w:r w:rsidR="006C3795">
        <w:rPr>
          <w:rFonts w:ascii="Arial" w:hAnsi="Arial" w:cs="Arial"/>
        </w:rPr>
        <w:t xml:space="preserve">mother was in last trimester it wasn’t good option for them to get immunised as it wasn’t good enough for protection in this period of pregnancy.in the beginning I added that these bacteria can be found in </w:t>
      </w:r>
      <w:r w:rsidR="006B6AC6">
        <w:rPr>
          <w:rFonts w:ascii="Arial" w:hAnsi="Arial" w:cs="Arial"/>
        </w:rPr>
        <w:t>animals’</w:t>
      </w:r>
      <w:r w:rsidR="006C3795">
        <w:rPr>
          <w:rFonts w:ascii="Arial" w:hAnsi="Arial" w:cs="Arial"/>
        </w:rPr>
        <w:t xml:space="preserve"> manure. Bacteria multiplies really fast if it enters through unclean </w:t>
      </w:r>
      <w:r w:rsidR="006B6AC6">
        <w:rPr>
          <w:rFonts w:ascii="Arial" w:hAnsi="Arial" w:cs="Arial"/>
        </w:rPr>
        <w:t>wounds. First</w:t>
      </w:r>
      <w:r w:rsidR="006C3795">
        <w:rPr>
          <w:rFonts w:ascii="Arial" w:hAnsi="Arial" w:cs="Arial"/>
        </w:rPr>
        <w:t xml:space="preserve"> attack bacteria do is that it hits the nerve system and causes pain which leads muscle to </w:t>
      </w:r>
      <w:r w:rsidR="006B6AC6">
        <w:rPr>
          <w:rFonts w:ascii="Arial" w:hAnsi="Arial" w:cs="Arial"/>
        </w:rPr>
        <w:t>stiff. Next</w:t>
      </w:r>
      <w:r w:rsidR="006C3795">
        <w:rPr>
          <w:rFonts w:ascii="Arial" w:hAnsi="Arial" w:cs="Arial"/>
        </w:rPr>
        <w:t xml:space="preserve"> in this report I added the age number in </w:t>
      </w:r>
      <w:r w:rsidR="006B6AC6">
        <w:rPr>
          <w:rFonts w:ascii="Arial" w:hAnsi="Arial" w:cs="Arial"/>
        </w:rPr>
        <w:t>France</w:t>
      </w:r>
      <w:r w:rsidR="006C3795">
        <w:rPr>
          <w:rFonts w:ascii="Arial" w:hAnsi="Arial" w:cs="Arial"/>
        </w:rPr>
        <w:t xml:space="preserve"> and </w:t>
      </w:r>
      <w:r w:rsidR="006B6AC6">
        <w:rPr>
          <w:rFonts w:ascii="Arial" w:hAnsi="Arial" w:cs="Arial"/>
        </w:rPr>
        <w:t>United Kingdom</w:t>
      </w:r>
      <w:r w:rsidR="006C3795">
        <w:rPr>
          <w:rFonts w:ascii="Arial" w:hAnsi="Arial" w:cs="Arial"/>
        </w:rPr>
        <w:t xml:space="preserve"> which were affected by this </w:t>
      </w:r>
      <w:r w:rsidR="006B6AC6">
        <w:rPr>
          <w:rFonts w:ascii="Arial" w:hAnsi="Arial" w:cs="Arial"/>
        </w:rPr>
        <w:t>age. France</w:t>
      </w:r>
      <w:r w:rsidR="006C3795">
        <w:rPr>
          <w:rFonts w:ascii="Arial" w:hAnsi="Arial" w:cs="Arial"/>
        </w:rPr>
        <w:t xml:space="preserve"> and </w:t>
      </w:r>
      <w:r w:rsidR="006B6AC6">
        <w:rPr>
          <w:rFonts w:ascii="Arial" w:hAnsi="Arial" w:cs="Arial"/>
        </w:rPr>
        <w:t>United Kingdom</w:t>
      </w:r>
      <w:r w:rsidR="006C3795">
        <w:rPr>
          <w:rFonts w:ascii="Arial" w:hAnsi="Arial" w:cs="Arial"/>
        </w:rPr>
        <w:t xml:space="preserve"> recommended 5 doses of tetanus as they both are quite similar overall.as we seen the only difference was that </w:t>
      </w:r>
      <w:r w:rsidR="006B6AC6">
        <w:rPr>
          <w:rFonts w:ascii="Arial" w:hAnsi="Arial" w:cs="Arial"/>
        </w:rPr>
        <w:t>France</w:t>
      </w:r>
      <w:r w:rsidR="006C3795">
        <w:rPr>
          <w:rFonts w:ascii="Arial" w:hAnsi="Arial" w:cs="Arial"/>
        </w:rPr>
        <w:t xml:space="preserve"> recommended 10 years booster till 2012.then it was changed to 20 years up till the age of 60 in 2014. Whereas </w:t>
      </w:r>
      <w:r w:rsidR="006B6AC6">
        <w:rPr>
          <w:rFonts w:ascii="Arial" w:hAnsi="Arial" w:cs="Arial"/>
        </w:rPr>
        <w:t xml:space="preserve">United </w:t>
      </w:r>
      <w:r w:rsidR="006B6AC6">
        <w:rPr>
          <w:rFonts w:ascii="Arial" w:hAnsi="Arial" w:cs="Arial"/>
        </w:rPr>
        <w:lastRenderedPageBreak/>
        <w:t>Kingdom</w:t>
      </w:r>
      <w:r w:rsidR="006C3795">
        <w:rPr>
          <w:rFonts w:ascii="Arial" w:hAnsi="Arial" w:cs="Arial"/>
        </w:rPr>
        <w:t xml:space="preserve"> has never set this rule for adults who were immunised and up to date 5 doses in their </w:t>
      </w:r>
      <w:r w:rsidR="006B6AC6">
        <w:rPr>
          <w:rFonts w:ascii="Arial" w:hAnsi="Arial" w:cs="Arial"/>
        </w:rPr>
        <w:t>childhood. Public</w:t>
      </w:r>
      <w:r w:rsidR="006C3795">
        <w:rPr>
          <w:rFonts w:ascii="Arial" w:hAnsi="Arial" w:cs="Arial"/>
        </w:rPr>
        <w:t xml:space="preserve"> health measur</w:t>
      </w:r>
      <w:r w:rsidR="00296A7E">
        <w:rPr>
          <w:rFonts w:ascii="Arial" w:hAnsi="Arial" w:cs="Arial"/>
        </w:rPr>
        <w:t xml:space="preserve">es are also in the same line as 5 doses for child to prevent from this disease. Clean environment and hygienic practices are in place. Further down I added some data in the </w:t>
      </w:r>
      <w:r w:rsidR="006B6AC6">
        <w:rPr>
          <w:rFonts w:ascii="Arial" w:hAnsi="Arial" w:cs="Arial"/>
        </w:rPr>
        <w:t>United Kingdom</w:t>
      </w:r>
      <w:r w:rsidR="00296A7E">
        <w:rPr>
          <w:rFonts w:ascii="Arial" w:hAnsi="Arial" w:cs="Arial"/>
        </w:rPr>
        <w:t xml:space="preserve"> which was conducted through surveys that showed vaccination of tetanus is quite efficient. This report also includes report which was conducted in Kenya’s rural area. Where facilities are not provided and culture of delivering the child at home with unprofessional. Then the severity of the disease occurs when the wound is not been dealt with properly and it gives the chance to bacteria to work fast within 24 hours then body shows severe reaction to it symptoms are stiffness and may lead to being paralysed. Then further in the report added about guidelines from WHO. Short term effects and long-term effects of tetanus are mentioned in this report right at the end.</w:t>
      </w:r>
    </w:p>
    <w:bookmarkEnd w:id="0"/>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F11A58" w:rsidRDefault="00F11A58" w:rsidP="00C41B56">
      <w:pPr>
        <w:rPr>
          <w:rFonts w:ascii="Arial" w:hAnsi="Arial" w:cs="Arial"/>
        </w:rPr>
      </w:pPr>
    </w:p>
    <w:p w:rsidR="006B6AC6" w:rsidRDefault="006B6AC6" w:rsidP="00C41B56">
      <w:pPr>
        <w:rPr>
          <w:rFonts w:ascii="Arial" w:hAnsi="Arial" w:cs="Arial"/>
        </w:rPr>
      </w:pPr>
    </w:p>
    <w:p w:rsidR="00C41B56" w:rsidRPr="0019457B" w:rsidRDefault="00C41B56" w:rsidP="00C41B56">
      <w:pPr>
        <w:rPr>
          <w:rFonts w:ascii="Arial" w:hAnsi="Arial" w:cs="Arial"/>
        </w:rPr>
      </w:pPr>
      <w:r w:rsidRPr="0019457B">
        <w:rPr>
          <w:rFonts w:ascii="Arial" w:hAnsi="Arial" w:cs="Arial"/>
        </w:rPr>
        <w:t>References</w:t>
      </w:r>
    </w:p>
    <w:p w:rsidR="0019457B" w:rsidRDefault="0019457B" w:rsidP="00C12FF9">
      <w:pPr>
        <w:rPr>
          <w:rFonts w:ascii="Arial" w:hAnsi="Arial" w:cs="Arial"/>
          <w:color w:val="2A2A2A"/>
          <w:shd w:val="clear" w:color="auto" w:fill="FFFFFF"/>
        </w:rPr>
      </w:pPr>
      <w:r w:rsidRPr="0019457B">
        <w:rPr>
          <w:rFonts w:ascii="Arial" w:hAnsi="Arial" w:cs="Arial"/>
          <w:color w:val="2A2A2A"/>
          <w:shd w:val="clear" w:color="auto" w:fill="FFFFFF"/>
        </w:rPr>
        <w:t xml:space="preserve"> NHS (2020). Tetanus. Available at: </w:t>
      </w:r>
      <w:hyperlink r:id="rId7" w:history="1">
        <w:r w:rsidRPr="0019457B">
          <w:rPr>
            <w:rStyle w:val="Hyperlink"/>
            <w:rFonts w:ascii="Arial" w:hAnsi="Arial" w:cs="Arial"/>
            <w:shd w:val="clear" w:color="auto" w:fill="FFFFFF"/>
          </w:rPr>
          <w:t>https://www.nhs.uk/conditions/tetanus/</w:t>
        </w:r>
      </w:hyperlink>
      <w:r w:rsidRPr="0019457B">
        <w:rPr>
          <w:rFonts w:ascii="Arial" w:hAnsi="Arial" w:cs="Arial"/>
          <w:color w:val="2A2A2A"/>
          <w:shd w:val="clear" w:color="auto" w:fill="FFFFFF"/>
        </w:rPr>
        <w:t xml:space="preserve"> (accessed on 11.11.22)</w:t>
      </w:r>
    </w:p>
    <w:p w:rsidR="002B5E1D" w:rsidRPr="0019457B" w:rsidRDefault="00C12FF9" w:rsidP="002B5E1D">
      <w:pPr>
        <w:rPr>
          <w:rFonts w:ascii="Arial" w:hAnsi="Arial" w:cs="Arial"/>
          <w:color w:val="2A2A2A"/>
          <w:shd w:val="clear" w:color="auto" w:fill="FFFFFF"/>
        </w:rPr>
      </w:pPr>
      <w:proofErr w:type="spellStart"/>
      <w:r w:rsidRPr="0019457B">
        <w:rPr>
          <w:rFonts w:ascii="Arial" w:hAnsi="Arial" w:cs="Arial"/>
        </w:rPr>
        <w:t>Slifka</w:t>
      </w:r>
      <w:proofErr w:type="spellEnd"/>
      <w:r w:rsidRPr="0019457B">
        <w:rPr>
          <w:rFonts w:ascii="Arial" w:hAnsi="Arial" w:cs="Arial"/>
        </w:rPr>
        <w:t xml:space="preserve">, A.M. et al. (2021) ‘Incidence of Tetanus and Diphtheria in Relation to Adult Vaccination Schedules’, Clinical infectious diseases, 72(2), pp. 285–292. </w:t>
      </w:r>
    </w:p>
    <w:p w:rsidR="000F1DAB" w:rsidRPr="0019457B" w:rsidRDefault="002B5E1D" w:rsidP="000F1DAB">
      <w:pPr>
        <w:rPr>
          <w:rFonts w:ascii="Arial" w:hAnsi="Arial" w:cs="Arial"/>
          <w:color w:val="555555"/>
          <w:shd w:val="clear" w:color="auto" w:fill="FFFFFF"/>
        </w:rPr>
      </w:pPr>
      <w:r w:rsidRPr="0019457B">
        <w:rPr>
          <w:rFonts w:ascii="Arial" w:hAnsi="Arial" w:cs="Arial"/>
          <w:color w:val="555555"/>
          <w:shd w:val="clear" w:color="auto" w:fill="FFFFFF"/>
        </w:rPr>
        <w:t xml:space="preserve">Wagner, K.S., White, J.M., Andrews, N.J., Borrow, R., Stanford, E., Newton, E. &amp; </w:t>
      </w:r>
      <w:proofErr w:type="spellStart"/>
      <w:r w:rsidRPr="0019457B">
        <w:rPr>
          <w:rFonts w:ascii="Arial" w:hAnsi="Arial" w:cs="Arial"/>
          <w:color w:val="555555"/>
          <w:shd w:val="clear" w:color="auto" w:fill="FFFFFF"/>
        </w:rPr>
        <w:t>Pebody</w:t>
      </w:r>
      <w:proofErr w:type="spellEnd"/>
      <w:r w:rsidRPr="0019457B">
        <w:rPr>
          <w:rFonts w:ascii="Arial" w:hAnsi="Arial" w:cs="Arial"/>
          <w:color w:val="555555"/>
          <w:shd w:val="clear" w:color="auto" w:fill="FFFFFF"/>
        </w:rPr>
        <w:t>, R.G. 2012, "Immunity to tetanus and diphtheria in the UK in 2009", </w:t>
      </w:r>
      <w:r w:rsidRPr="0019457B">
        <w:rPr>
          <w:rFonts w:ascii="Arial" w:hAnsi="Arial" w:cs="Arial"/>
          <w:i/>
          <w:iCs/>
          <w:color w:val="555555"/>
          <w:shd w:val="clear" w:color="auto" w:fill="FFFFFF"/>
        </w:rPr>
        <w:t>Vaccine, </w:t>
      </w:r>
      <w:r w:rsidRPr="0019457B">
        <w:rPr>
          <w:rFonts w:ascii="Arial" w:hAnsi="Arial" w:cs="Arial"/>
          <w:color w:val="555555"/>
          <w:shd w:val="clear" w:color="auto" w:fill="FFFFFF"/>
        </w:rPr>
        <w:t>vol. 30, no. 49, pp. 7111-7117.</w:t>
      </w:r>
    </w:p>
    <w:p w:rsidR="00C12FF9" w:rsidRPr="0019457B" w:rsidRDefault="000F1DAB" w:rsidP="000F1DAB">
      <w:pPr>
        <w:rPr>
          <w:rFonts w:ascii="Arial" w:hAnsi="Arial" w:cs="Arial"/>
          <w:color w:val="555555"/>
          <w:shd w:val="clear" w:color="auto" w:fill="FFFFFF"/>
        </w:rPr>
      </w:pPr>
      <w:r w:rsidRPr="0019457B">
        <w:rPr>
          <w:rFonts w:ascii="Arial" w:hAnsi="Arial" w:cs="Arial"/>
          <w:color w:val="555555"/>
          <w:shd w:val="clear" w:color="auto" w:fill="FFFFFF"/>
        </w:rPr>
        <w:t xml:space="preserve">  </w:t>
      </w:r>
      <w:proofErr w:type="spellStart"/>
      <w:r w:rsidRPr="0019457B">
        <w:rPr>
          <w:rFonts w:ascii="Arial" w:hAnsi="Arial" w:cs="Arial"/>
          <w:color w:val="555555"/>
          <w:shd w:val="clear" w:color="auto" w:fill="FFFFFF"/>
        </w:rPr>
        <w:t>Ibinda</w:t>
      </w:r>
      <w:proofErr w:type="spellEnd"/>
      <w:r w:rsidRPr="0019457B">
        <w:rPr>
          <w:rFonts w:ascii="Arial" w:hAnsi="Arial" w:cs="Arial"/>
          <w:color w:val="555555"/>
          <w:shd w:val="clear" w:color="auto" w:fill="FFFFFF"/>
        </w:rPr>
        <w:t xml:space="preserve">, F. et al. (2015) ‘Incidence and risk factors for neonatal tetanus in admissions to Kilifi County Hospital, Kenya’, </w:t>
      </w:r>
      <w:proofErr w:type="spellStart"/>
      <w:r w:rsidRPr="0019457B">
        <w:rPr>
          <w:rFonts w:ascii="Arial" w:hAnsi="Arial" w:cs="Arial"/>
          <w:color w:val="555555"/>
          <w:shd w:val="clear" w:color="auto" w:fill="FFFFFF"/>
        </w:rPr>
        <w:t>PloS</w:t>
      </w:r>
      <w:proofErr w:type="spellEnd"/>
      <w:r w:rsidRPr="0019457B">
        <w:rPr>
          <w:rFonts w:ascii="Arial" w:hAnsi="Arial" w:cs="Arial"/>
          <w:color w:val="555555"/>
          <w:shd w:val="clear" w:color="auto" w:fill="FFFFFF"/>
        </w:rPr>
        <w:t xml:space="preserve"> one, 10(4), pp. e0122606–e0122606. Available at: </w:t>
      </w:r>
      <w:hyperlink r:id="rId8" w:history="1">
        <w:r w:rsidR="00C733C2" w:rsidRPr="0019457B">
          <w:rPr>
            <w:rStyle w:val="Hyperlink"/>
            <w:rFonts w:ascii="Arial" w:hAnsi="Arial" w:cs="Arial"/>
            <w:shd w:val="clear" w:color="auto" w:fill="FFFFFF"/>
          </w:rPr>
          <w:t>https://doi.org/10.1371/journal.pone.0122606</w:t>
        </w:r>
      </w:hyperlink>
      <w:r w:rsidRPr="0019457B">
        <w:rPr>
          <w:rFonts w:ascii="Arial" w:hAnsi="Arial" w:cs="Arial"/>
          <w:color w:val="555555"/>
          <w:shd w:val="clear" w:color="auto" w:fill="FFFFFF"/>
        </w:rPr>
        <w:t>.</w:t>
      </w:r>
    </w:p>
    <w:p w:rsidR="00C733C2" w:rsidRPr="0019457B" w:rsidRDefault="00C733C2" w:rsidP="00C733C2">
      <w:pPr>
        <w:rPr>
          <w:rFonts w:ascii="Arial" w:hAnsi="Arial" w:cs="Arial"/>
        </w:rPr>
      </w:pPr>
      <w:r w:rsidRPr="0019457B">
        <w:rPr>
          <w:rFonts w:ascii="Arial" w:hAnsi="Arial" w:cs="Arial"/>
        </w:rPr>
        <w:t xml:space="preserve"> Farrar, J.J. et al. (2000) ‘Tetanus’, Journal of neurology, neurosurgery and psychiatry, 69(3), pp. 292–301. Available at: </w:t>
      </w:r>
      <w:hyperlink r:id="rId9" w:history="1">
        <w:r w:rsidRPr="0019457B">
          <w:rPr>
            <w:rStyle w:val="Hyperlink"/>
            <w:rFonts w:ascii="Arial" w:hAnsi="Arial" w:cs="Arial"/>
          </w:rPr>
          <w:t>https://doi.org/10.1136/jnnp.69.3.292</w:t>
        </w:r>
      </w:hyperlink>
      <w:r w:rsidRPr="0019457B">
        <w:rPr>
          <w:rFonts w:ascii="Arial" w:hAnsi="Arial" w:cs="Arial"/>
        </w:rPr>
        <w:t>.</w:t>
      </w:r>
    </w:p>
    <w:p w:rsidR="006661CF" w:rsidRPr="0019457B" w:rsidRDefault="0084795D" w:rsidP="0084795D">
      <w:pPr>
        <w:rPr>
          <w:rFonts w:ascii="Arial" w:hAnsi="Arial" w:cs="Arial"/>
        </w:rPr>
      </w:pPr>
      <w:r w:rsidRPr="0019457B">
        <w:rPr>
          <w:rFonts w:ascii="Arial" w:hAnsi="Arial" w:cs="Arial"/>
        </w:rPr>
        <w:t xml:space="preserve"> Haile, Z.T., </w:t>
      </w:r>
      <w:proofErr w:type="spellStart"/>
      <w:r w:rsidRPr="0019457B">
        <w:rPr>
          <w:rFonts w:ascii="Arial" w:hAnsi="Arial" w:cs="Arial"/>
        </w:rPr>
        <w:t>Chertok</w:t>
      </w:r>
      <w:proofErr w:type="spellEnd"/>
      <w:r w:rsidRPr="0019457B">
        <w:rPr>
          <w:rFonts w:ascii="Arial" w:hAnsi="Arial" w:cs="Arial"/>
        </w:rPr>
        <w:t xml:space="preserve">, I.R.A. and </w:t>
      </w:r>
      <w:proofErr w:type="spellStart"/>
      <w:r w:rsidRPr="0019457B">
        <w:rPr>
          <w:rFonts w:ascii="Arial" w:hAnsi="Arial" w:cs="Arial"/>
        </w:rPr>
        <w:t>Teweldeberhan</w:t>
      </w:r>
      <w:proofErr w:type="spellEnd"/>
      <w:r w:rsidRPr="0019457B">
        <w:rPr>
          <w:rFonts w:ascii="Arial" w:hAnsi="Arial" w:cs="Arial"/>
        </w:rPr>
        <w:t xml:space="preserve">, A.K. (2013) ‘Determinants of Utilization of Sufficient Tetanus Toxoid Immunization During Pregnancy: Evidence from the Kenya Demographic and Health </w:t>
      </w:r>
    </w:p>
    <w:p w:rsidR="0019457B" w:rsidRDefault="0084795D" w:rsidP="006661CF">
      <w:pPr>
        <w:rPr>
          <w:rFonts w:ascii="Arial" w:hAnsi="Arial" w:cs="Arial"/>
        </w:rPr>
      </w:pPr>
      <w:r w:rsidRPr="0019457B">
        <w:rPr>
          <w:rFonts w:ascii="Arial" w:hAnsi="Arial" w:cs="Arial"/>
        </w:rPr>
        <w:t xml:space="preserve">Survey, 2008–2009’, Journal of community health, 38(3), pp. 492–499. Available at: </w:t>
      </w:r>
      <w:hyperlink r:id="rId10" w:history="1">
        <w:r w:rsidRPr="0019457B">
          <w:rPr>
            <w:rStyle w:val="Hyperlink"/>
            <w:rFonts w:ascii="Arial" w:hAnsi="Arial" w:cs="Arial"/>
          </w:rPr>
          <w:t>https://doi.org/10.1007/s10900-012-9638-9</w:t>
        </w:r>
      </w:hyperlink>
      <w:r w:rsidRPr="0019457B">
        <w:rPr>
          <w:rFonts w:ascii="Arial" w:hAnsi="Arial" w:cs="Arial"/>
        </w:rPr>
        <w:t>.</w:t>
      </w:r>
    </w:p>
    <w:p w:rsidR="0084795D" w:rsidRPr="0019457B" w:rsidRDefault="006661CF" w:rsidP="006661CF">
      <w:pPr>
        <w:rPr>
          <w:rFonts w:ascii="Arial" w:hAnsi="Arial" w:cs="Arial"/>
        </w:rPr>
      </w:pPr>
      <w:r w:rsidRPr="0019457B">
        <w:rPr>
          <w:rFonts w:ascii="Arial" w:hAnsi="Arial" w:cs="Arial"/>
        </w:rPr>
        <w:t xml:space="preserve"> Lee, P.Y. et al. (2006) ‘Short-term atorvastatin treatment enhances specific antibody production following tetanus toxoid vaccination in healthy volunteers’, Vaccine, 24(19), pp. 4035–4040. Available at: </w:t>
      </w:r>
      <w:hyperlink r:id="rId11" w:history="1">
        <w:r w:rsidRPr="0019457B">
          <w:rPr>
            <w:rStyle w:val="Hyperlink"/>
            <w:rFonts w:ascii="Arial" w:hAnsi="Arial" w:cs="Arial"/>
          </w:rPr>
          <w:t>https://doi.org/10.1016/j.vaccine.2005.12.042</w:t>
        </w:r>
      </w:hyperlink>
      <w:r w:rsidRPr="0019457B">
        <w:rPr>
          <w:rFonts w:ascii="Arial" w:hAnsi="Arial" w:cs="Arial"/>
        </w:rPr>
        <w:t>.</w:t>
      </w:r>
    </w:p>
    <w:p w:rsidR="00367CB8" w:rsidRPr="0019457B" w:rsidRDefault="00367CB8" w:rsidP="006661CF">
      <w:pPr>
        <w:rPr>
          <w:rFonts w:ascii="Arial" w:hAnsi="Arial" w:cs="Arial"/>
          <w:color w:val="222222"/>
          <w:shd w:val="clear" w:color="auto" w:fill="FFFFFF"/>
        </w:rPr>
      </w:pPr>
      <w:r w:rsidRPr="0019457B">
        <w:rPr>
          <w:rFonts w:ascii="Arial" w:hAnsi="Arial" w:cs="Arial"/>
          <w:color w:val="222222"/>
          <w:shd w:val="clear" w:color="auto" w:fill="FFFFFF"/>
        </w:rPr>
        <w:t>Kessler, M.J., Hernández Pacheco, R., Rawlins, R.G., Ruiz</w:t>
      </w:r>
      <w:r w:rsidRPr="0019457B">
        <w:rPr>
          <w:rFonts w:ascii="Cambria Math" w:hAnsi="Cambria Math" w:cs="Cambria Math"/>
          <w:color w:val="222222"/>
          <w:shd w:val="clear" w:color="auto" w:fill="FFFFFF"/>
        </w:rPr>
        <w:t>‐</w:t>
      </w:r>
      <w:proofErr w:type="spellStart"/>
      <w:r w:rsidRPr="0019457B">
        <w:rPr>
          <w:rFonts w:ascii="Arial" w:hAnsi="Arial" w:cs="Arial"/>
          <w:color w:val="222222"/>
          <w:shd w:val="clear" w:color="auto" w:fill="FFFFFF"/>
        </w:rPr>
        <w:t>Lambrides</w:t>
      </w:r>
      <w:proofErr w:type="spellEnd"/>
      <w:r w:rsidRPr="0019457B">
        <w:rPr>
          <w:rFonts w:ascii="Arial" w:hAnsi="Arial" w:cs="Arial"/>
          <w:color w:val="222222"/>
          <w:shd w:val="clear" w:color="auto" w:fill="FFFFFF"/>
        </w:rPr>
        <w:t xml:space="preserve">, A., Delgado, D.L. and </w:t>
      </w:r>
      <w:proofErr w:type="spellStart"/>
      <w:r w:rsidRPr="0019457B">
        <w:rPr>
          <w:rFonts w:ascii="Arial" w:hAnsi="Arial" w:cs="Arial"/>
          <w:color w:val="222222"/>
          <w:shd w:val="clear" w:color="auto" w:fill="FFFFFF"/>
        </w:rPr>
        <w:t>Sabat</w:t>
      </w:r>
      <w:proofErr w:type="spellEnd"/>
      <w:r w:rsidRPr="0019457B">
        <w:rPr>
          <w:rFonts w:ascii="Arial" w:hAnsi="Arial" w:cs="Arial"/>
          <w:color w:val="222222"/>
          <w:shd w:val="clear" w:color="auto" w:fill="FFFFFF"/>
        </w:rPr>
        <w:t>, A.M., 2015. Long</w:t>
      </w:r>
      <w:r w:rsidRPr="0019457B">
        <w:rPr>
          <w:rFonts w:ascii="Cambria Math" w:hAnsi="Cambria Math" w:cs="Cambria Math"/>
          <w:color w:val="222222"/>
          <w:shd w:val="clear" w:color="auto" w:fill="FFFFFF"/>
        </w:rPr>
        <w:t>‐</w:t>
      </w:r>
      <w:r w:rsidRPr="0019457B">
        <w:rPr>
          <w:rFonts w:ascii="Arial" w:hAnsi="Arial" w:cs="Arial"/>
          <w:color w:val="222222"/>
          <w:shd w:val="clear" w:color="auto" w:fill="FFFFFF"/>
        </w:rPr>
        <w:t xml:space="preserve">term effects of tetanus toxoid inoculation on the demography and life expectancy of the </w:t>
      </w:r>
      <w:proofErr w:type="spellStart"/>
      <w:r w:rsidRPr="0019457B">
        <w:rPr>
          <w:rFonts w:ascii="Arial" w:hAnsi="Arial" w:cs="Arial"/>
          <w:color w:val="222222"/>
          <w:shd w:val="clear" w:color="auto" w:fill="FFFFFF"/>
        </w:rPr>
        <w:t>Cayo</w:t>
      </w:r>
      <w:proofErr w:type="spellEnd"/>
      <w:r w:rsidRPr="0019457B">
        <w:rPr>
          <w:rFonts w:ascii="Arial" w:hAnsi="Arial" w:cs="Arial"/>
          <w:color w:val="222222"/>
          <w:shd w:val="clear" w:color="auto" w:fill="FFFFFF"/>
        </w:rPr>
        <w:t xml:space="preserve"> Santiago rhesus macaques. </w:t>
      </w:r>
      <w:r w:rsidRPr="0019457B">
        <w:rPr>
          <w:rFonts w:ascii="Arial" w:hAnsi="Arial" w:cs="Arial"/>
          <w:i/>
          <w:iCs/>
          <w:color w:val="222222"/>
          <w:shd w:val="clear" w:color="auto" w:fill="FFFFFF"/>
        </w:rPr>
        <w:t>American Journal of Primatology</w:t>
      </w:r>
      <w:r w:rsidRPr="0019457B">
        <w:rPr>
          <w:rFonts w:ascii="Arial" w:hAnsi="Arial" w:cs="Arial"/>
          <w:color w:val="222222"/>
          <w:shd w:val="clear" w:color="auto" w:fill="FFFFFF"/>
        </w:rPr>
        <w:t>, </w:t>
      </w:r>
      <w:r w:rsidRPr="0019457B">
        <w:rPr>
          <w:rFonts w:ascii="Arial" w:hAnsi="Arial" w:cs="Arial"/>
          <w:i/>
          <w:iCs/>
          <w:color w:val="222222"/>
          <w:shd w:val="clear" w:color="auto" w:fill="FFFFFF"/>
        </w:rPr>
        <w:t>77</w:t>
      </w:r>
      <w:r w:rsidRPr="0019457B">
        <w:rPr>
          <w:rFonts w:ascii="Arial" w:hAnsi="Arial" w:cs="Arial"/>
          <w:color w:val="222222"/>
          <w:shd w:val="clear" w:color="auto" w:fill="FFFFFF"/>
        </w:rPr>
        <w:t>(2), pp.211-221.</w:t>
      </w:r>
    </w:p>
    <w:p w:rsidR="00367CB8" w:rsidRDefault="00367CB8" w:rsidP="006661CF"/>
    <w:p w:rsidR="006661CF" w:rsidRDefault="006661CF" w:rsidP="006661CF"/>
    <w:p w:rsidR="00C733C2" w:rsidRDefault="00C733C2" w:rsidP="00C733C2"/>
    <w:sectPr w:rsidR="00C733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03F1" w:rsidRDefault="00E203F1" w:rsidP="003050A4">
      <w:pPr>
        <w:spacing w:after="0" w:line="240" w:lineRule="auto"/>
      </w:pPr>
      <w:r>
        <w:separator/>
      </w:r>
    </w:p>
  </w:endnote>
  <w:endnote w:type="continuationSeparator" w:id="0">
    <w:p w:rsidR="00E203F1" w:rsidRDefault="00E203F1" w:rsidP="00305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03F1" w:rsidRDefault="00E203F1" w:rsidP="003050A4">
      <w:pPr>
        <w:spacing w:after="0" w:line="240" w:lineRule="auto"/>
      </w:pPr>
      <w:r>
        <w:separator/>
      </w:r>
    </w:p>
  </w:footnote>
  <w:footnote w:type="continuationSeparator" w:id="0">
    <w:p w:rsidR="00E203F1" w:rsidRDefault="00E203F1" w:rsidP="003050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CB2"/>
    <w:rsid w:val="00037465"/>
    <w:rsid w:val="000439F4"/>
    <w:rsid w:val="000963DD"/>
    <w:rsid w:val="000F1DAB"/>
    <w:rsid w:val="0019111F"/>
    <w:rsid w:val="0019457B"/>
    <w:rsid w:val="001B4CFB"/>
    <w:rsid w:val="002168A0"/>
    <w:rsid w:val="00216F7C"/>
    <w:rsid w:val="00224643"/>
    <w:rsid w:val="00247456"/>
    <w:rsid w:val="00296A7E"/>
    <w:rsid w:val="002B0354"/>
    <w:rsid w:val="002B36CB"/>
    <w:rsid w:val="002B5E1D"/>
    <w:rsid w:val="002C108C"/>
    <w:rsid w:val="003050A4"/>
    <w:rsid w:val="0032062F"/>
    <w:rsid w:val="003379E8"/>
    <w:rsid w:val="00364FC8"/>
    <w:rsid w:val="00367CB8"/>
    <w:rsid w:val="003A3056"/>
    <w:rsid w:val="003E635C"/>
    <w:rsid w:val="00431B45"/>
    <w:rsid w:val="00456CB2"/>
    <w:rsid w:val="004677BD"/>
    <w:rsid w:val="00535A6D"/>
    <w:rsid w:val="005E0794"/>
    <w:rsid w:val="005E5B37"/>
    <w:rsid w:val="006544D4"/>
    <w:rsid w:val="006661CF"/>
    <w:rsid w:val="00672DA1"/>
    <w:rsid w:val="006B6AC6"/>
    <w:rsid w:val="006C3795"/>
    <w:rsid w:val="00793292"/>
    <w:rsid w:val="007B78C0"/>
    <w:rsid w:val="00806315"/>
    <w:rsid w:val="008108EF"/>
    <w:rsid w:val="00826EB1"/>
    <w:rsid w:val="0084795D"/>
    <w:rsid w:val="0087046B"/>
    <w:rsid w:val="008B54FB"/>
    <w:rsid w:val="008B7D95"/>
    <w:rsid w:val="008E1E77"/>
    <w:rsid w:val="0090093E"/>
    <w:rsid w:val="009D4AC6"/>
    <w:rsid w:val="00A01AD7"/>
    <w:rsid w:val="00A0293E"/>
    <w:rsid w:val="00A1176C"/>
    <w:rsid w:val="00A8415F"/>
    <w:rsid w:val="00AB059D"/>
    <w:rsid w:val="00AC5530"/>
    <w:rsid w:val="00B06016"/>
    <w:rsid w:val="00B2681C"/>
    <w:rsid w:val="00B51ED4"/>
    <w:rsid w:val="00B53679"/>
    <w:rsid w:val="00B81B90"/>
    <w:rsid w:val="00B95BF1"/>
    <w:rsid w:val="00BB793E"/>
    <w:rsid w:val="00BF1497"/>
    <w:rsid w:val="00BF7D0E"/>
    <w:rsid w:val="00C12FF9"/>
    <w:rsid w:val="00C41B56"/>
    <w:rsid w:val="00C422B7"/>
    <w:rsid w:val="00C733C2"/>
    <w:rsid w:val="00CE1105"/>
    <w:rsid w:val="00CE1881"/>
    <w:rsid w:val="00D05018"/>
    <w:rsid w:val="00D64984"/>
    <w:rsid w:val="00DB1438"/>
    <w:rsid w:val="00DF4438"/>
    <w:rsid w:val="00E05682"/>
    <w:rsid w:val="00E203F1"/>
    <w:rsid w:val="00EC060B"/>
    <w:rsid w:val="00F11A58"/>
    <w:rsid w:val="00F839AD"/>
    <w:rsid w:val="00F861B3"/>
    <w:rsid w:val="00F966DB"/>
    <w:rsid w:val="00FA3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D82F6"/>
  <w15:chartTrackingRefBased/>
  <w15:docId w15:val="{8EA0F1AF-38CC-4F90-B0C3-52A93F02B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CB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08EF"/>
    <w:rPr>
      <w:color w:val="0000FF"/>
      <w:u w:val="single"/>
    </w:rPr>
  </w:style>
  <w:style w:type="character" w:styleId="UnresolvedMention">
    <w:name w:val="Unresolved Mention"/>
    <w:basedOn w:val="DefaultParagraphFont"/>
    <w:uiPriority w:val="99"/>
    <w:semiHidden/>
    <w:unhideWhenUsed/>
    <w:rsid w:val="00C12FF9"/>
    <w:rPr>
      <w:color w:val="605E5C"/>
      <w:shd w:val="clear" w:color="auto" w:fill="E1DFDD"/>
    </w:rPr>
  </w:style>
  <w:style w:type="paragraph" w:styleId="Header">
    <w:name w:val="header"/>
    <w:basedOn w:val="Normal"/>
    <w:link w:val="HeaderChar"/>
    <w:uiPriority w:val="99"/>
    <w:unhideWhenUsed/>
    <w:rsid w:val="00305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0A4"/>
  </w:style>
  <w:style w:type="paragraph" w:styleId="Footer">
    <w:name w:val="footer"/>
    <w:basedOn w:val="Normal"/>
    <w:link w:val="FooterChar"/>
    <w:uiPriority w:val="99"/>
    <w:unhideWhenUsed/>
    <w:rsid w:val="00305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0A4"/>
  </w:style>
  <w:style w:type="character" w:customStyle="1" w:styleId="Heading1Char">
    <w:name w:val="Heading 1 Char"/>
    <w:basedOn w:val="DefaultParagraphFont"/>
    <w:link w:val="Heading1"/>
    <w:uiPriority w:val="9"/>
    <w:rsid w:val="00367CB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67C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26994">
      <w:bodyDiv w:val="1"/>
      <w:marLeft w:val="0"/>
      <w:marRight w:val="0"/>
      <w:marTop w:val="0"/>
      <w:marBottom w:val="0"/>
      <w:divBdr>
        <w:top w:val="none" w:sz="0" w:space="0" w:color="auto"/>
        <w:left w:val="none" w:sz="0" w:space="0" w:color="auto"/>
        <w:bottom w:val="none" w:sz="0" w:space="0" w:color="auto"/>
        <w:right w:val="none" w:sz="0" w:space="0" w:color="auto"/>
      </w:divBdr>
    </w:div>
    <w:div w:id="37510713">
      <w:bodyDiv w:val="1"/>
      <w:marLeft w:val="0"/>
      <w:marRight w:val="0"/>
      <w:marTop w:val="0"/>
      <w:marBottom w:val="0"/>
      <w:divBdr>
        <w:top w:val="none" w:sz="0" w:space="0" w:color="auto"/>
        <w:left w:val="none" w:sz="0" w:space="0" w:color="auto"/>
        <w:bottom w:val="none" w:sz="0" w:space="0" w:color="auto"/>
        <w:right w:val="none" w:sz="0" w:space="0" w:color="auto"/>
      </w:divBdr>
    </w:div>
    <w:div w:id="74940340">
      <w:bodyDiv w:val="1"/>
      <w:marLeft w:val="0"/>
      <w:marRight w:val="0"/>
      <w:marTop w:val="0"/>
      <w:marBottom w:val="0"/>
      <w:divBdr>
        <w:top w:val="none" w:sz="0" w:space="0" w:color="auto"/>
        <w:left w:val="none" w:sz="0" w:space="0" w:color="auto"/>
        <w:bottom w:val="none" w:sz="0" w:space="0" w:color="auto"/>
        <w:right w:val="none" w:sz="0" w:space="0" w:color="auto"/>
      </w:divBdr>
    </w:div>
    <w:div w:id="228732237">
      <w:bodyDiv w:val="1"/>
      <w:marLeft w:val="0"/>
      <w:marRight w:val="0"/>
      <w:marTop w:val="0"/>
      <w:marBottom w:val="0"/>
      <w:divBdr>
        <w:top w:val="none" w:sz="0" w:space="0" w:color="auto"/>
        <w:left w:val="none" w:sz="0" w:space="0" w:color="auto"/>
        <w:bottom w:val="none" w:sz="0" w:space="0" w:color="auto"/>
        <w:right w:val="none" w:sz="0" w:space="0" w:color="auto"/>
      </w:divBdr>
    </w:div>
    <w:div w:id="385227896">
      <w:bodyDiv w:val="1"/>
      <w:marLeft w:val="0"/>
      <w:marRight w:val="0"/>
      <w:marTop w:val="0"/>
      <w:marBottom w:val="0"/>
      <w:divBdr>
        <w:top w:val="none" w:sz="0" w:space="0" w:color="auto"/>
        <w:left w:val="none" w:sz="0" w:space="0" w:color="auto"/>
        <w:bottom w:val="none" w:sz="0" w:space="0" w:color="auto"/>
        <w:right w:val="none" w:sz="0" w:space="0" w:color="auto"/>
      </w:divBdr>
    </w:div>
    <w:div w:id="409428500">
      <w:bodyDiv w:val="1"/>
      <w:marLeft w:val="0"/>
      <w:marRight w:val="0"/>
      <w:marTop w:val="0"/>
      <w:marBottom w:val="0"/>
      <w:divBdr>
        <w:top w:val="none" w:sz="0" w:space="0" w:color="auto"/>
        <w:left w:val="none" w:sz="0" w:space="0" w:color="auto"/>
        <w:bottom w:val="none" w:sz="0" w:space="0" w:color="auto"/>
        <w:right w:val="none" w:sz="0" w:space="0" w:color="auto"/>
      </w:divBdr>
    </w:div>
    <w:div w:id="431584079">
      <w:bodyDiv w:val="1"/>
      <w:marLeft w:val="0"/>
      <w:marRight w:val="0"/>
      <w:marTop w:val="0"/>
      <w:marBottom w:val="0"/>
      <w:divBdr>
        <w:top w:val="none" w:sz="0" w:space="0" w:color="auto"/>
        <w:left w:val="none" w:sz="0" w:space="0" w:color="auto"/>
        <w:bottom w:val="none" w:sz="0" w:space="0" w:color="auto"/>
        <w:right w:val="none" w:sz="0" w:space="0" w:color="auto"/>
      </w:divBdr>
    </w:div>
    <w:div w:id="544560730">
      <w:bodyDiv w:val="1"/>
      <w:marLeft w:val="0"/>
      <w:marRight w:val="0"/>
      <w:marTop w:val="0"/>
      <w:marBottom w:val="0"/>
      <w:divBdr>
        <w:top w:val="none" w:sz="0" w:space="0" w:color="auto"/>
        <w:left w:val="none" w:sz="0" w:space="0" w:color="auto"/>
        <w:bottom w:val="none" w:sz="0" w:space="0" w:color="auto"/>
        <w:right w:val="none" w:sz="0" w:space="0" w:color="auto"/>
      </w:divBdr>
    </w:div>
    <w:div w:id="731199303">
      <w:bodyDiv w:val="1"/>
      <w:marLeft w:val="0"/>
      <w:marRight w:val="0"/>
      <w:marTop w:val="0"/>
      <w:marBottom w:val="0"/>
      <w:divBdr>
        <w:top w:val="none" w:sz="0" w:space="0" w:color="auto"/>
        <w:left w:val="none" w:sz="0" w:space="0" w:color="auto"/>
        <w:bottom w:val="none" w:sz="0" w:space="0" w:color="auto"/>
        <w:right w:val="none" w:sz="0" w:space="0" w:color="auto"/>
      </w:divBdr>
    </w:div>
    <w:div w:id="776371681">
      <w:bodyDiv w:val="1"/>
      <w:marLeft w:val="0"/>
      <w:marRight w:val="0"/>
      <w:marTop w:val="0"/>
      <w:marBottom w:val="0"/>
      <w:divBdr>
        <w:top w:val="none" w:sz="0" w:space="0" w:color="auto"/>
        <w:left w:val="none" w:sz="0" w:space="0" w:color="auto"/>
        <w:bottom w:val="none" w:sz="0" w:space="0" w:color="auto"/>
        <w:right w:val="none" w:sz="0" w:space="0" w:color="auto"/>
      </w:divBdr>
    </w:div>
    <w:div w:id="801658469">
      <w:bodyDiv w:val="1"/>
      <w:marLeft w:val="0"/>
      <w:marRight w:val="0"/>
      <w:marTop w:val="0"/>
      <w:marBottom w:val="0"/>
      <w:divBdr>
        <w:top w:val="none" w:sz="0" w:space="0" w:color="auto"/>
        <w:left w:val="none" w:sz="0" w:space="0" w:color="auto"/>
        <w:bottom w:val="none" w:sz="0" w:space="0" w:color="auto"/>
        <w:right w:val="none" w:sz="0" w:space="0" w:color="auto"/>
      </w:divBdr>
    </w:div>
    <w:div w:id="871647920">
      <w:bodyDiv w:val="1"/>
      <w:marLeft w:val="0"/>
      <w:marRight w:val="0"/>
      <w:marTop w:val="0"/>
      <w:marBottom w:val="0"/>
      <w:divBdr>
        <w:top w:val="none" w:sz="0" w:space="0" w:color="auto"/>
        <w:left w:val="none" w:sz="0" w:space="0" w:color="auto"/>
        <w:bottom w:val="none" w:sz="0" w:space="0" w:color="auto"/>
        <w:right w:val="none" w:sz="0" w:space="0" w:color="auto"/>
      </w:divBdr>
    </w:div>
    <w:div w:id="978462964">
      <w:bodyDiv w:val="1"/>
      <w:marLeft w:val="0"/>
      <w:marRight w:val="0"/>
      <w:marTop w:val="0"/>
      <w:marBottom w:val="0"/>
      <w:divBdr>
        <w:top w:val="none" w:sz="0" w:space="0" w:color="auto"/>
        <w:left w:val="none" w:sz="0" w:space="0" w:color="auto"/>
        <w:bottom w:val="none" w:sz="0" w:space="0" w:color="auto"/>
        <w:right w:val="none" w:sz="0" w:space="0" w:color="auto"/>
      </w:divBdr>
    </w:div>
    <w:div w:id="1109811999">
      <w:bodyDiv w:val="1"/>
      <w:marLeft w:val="0"/>
      <w:marRight w:val="0"/>
      <w:marTop w:val="0"/>
      <w:marBottom w:val="0"/>
      <w:divBdr>
        <w:top w:val="none" w:sz="0" w:space="0" w:color="auto"/>
        <w:left w:val="none" w:sz="0" w:space="0" w:color="auto"/>
        <w:bottom w:val="none" w:sz="0" w:space="0" w:color="auto"/>
        <w:right w:val="none" w:sz="0" w:space="0" w:color="auto"/>
      </w:divBdr>
    </w:div>
    <w:div w:id="1182009799">
      <w:bodyDiv w:val="1"/>
      <w:marLeft w:val="0"/>
      <w:marRight w:val="0"/>
      <w:marTop w:val="0"/>
      <w:marBottom w:val="0"/>
      <w:divBdr>
        <w:top w:val="none" w:sz="0" w:space="0" w:color="auto"/>
        <w:left w:val="none" w:sz="0" w:space="0" w:color="auto"/>
        <w:bottom w:val="none" w:sz="0" w:space="0" w:color="auto"/>
        <w:right w:val="none" w:sz="0" w:space="0" w:color="auto"/>
      </w:divBdr>
    </w:div>
    <w:div w:id="1364096443">
      <w:bodyDiv w:val="1"/>
      <w:marLeft w:val="0"/>
      <w:marRight w:val="0"/>
      <w:marTop w:val="0"/>
      <w:marBottom w:val="0"/>
      <w:divBdr>
        <w:top w:val="none" w:sz="0" w:space="0" w:color="auto"/>
        <w:left w:val="none" w:sz="0" w:space="0" w:color="auto"/>
        <w:bottom w:val="none" w:sz="0" w:space="0" w:color="auto"/>
        <w:right w:val="none" w:sz="0" w:space="0" w:color="auto"/>
      </w:divBdr>
    </w:div>
    <w:div w:id="1420639293">
      <w:bodyDiv w:val="1"/>
      <w:marLeft w:val="0"/>
      <w:marRight w:val="0"/>
      <w:marTop w:val="0"/>
      <w:marBottom w:val="0"/>
      <w:divBdr>
        <w:top w:val="none" w:sz="0" w:space="0" w:color="auto"/>
        <w:left w:val="none" w:sz="0" w:space="0" w:color="auto"/>
        <w:bottom w:val="none" w:sz="0" w:space="0" w:color="auto"/>
        <w:right w:val="none" w:sz="0" w:space="0" w:color="auto"/>
      </w:divBdr>
    </w:div>
    <w:div w:id="1551458840">
      <w:bodyDiv w:val="1"/>
      <w:marLeft w:val="0"/>
      <w:marRight w:val="0"/>
      <w:marTop w:val="0"/>
      <w:marBottom w:val="0"/>
      <w:divBdr>
        <w:top w:val="none" w:sz="0" w:space="0" w:color="auto"/>
        <w:left w:val="none" w:sz="0" w:space="0" w:color="auto"/>
        <w:bottom w:val="none" w:sz="0" w:space="0" w:color="auto"/>
        <w:right w:val="none" w:sz="0" w:space="0" w:color="auto"/>
      </w:divBdr>
    </w:div>
    <w:div w:id="1580552681">
      <w:bodyDiv w:val="1"/>
      <w:marLeft w:val="0"/>
      <w:marRight w:val="0"/>
      <w:marTop w:val="0"/>
      <w:marBottom w:val="0"/>
      <w:divBdr>
        <w:top w:val="none" w:sz="0" w:space="0" w:color="auto"/>
        <w:left w:val="none" w:sz="0" w:space="0" w:color="auto"/>
        <w:bottom w:val="none" w:sz="0" w:space="0" w:color="auto"/>
        <w:right w:val="none" w:sz="0" w:space="0" w:color="auto"/>
      </w:divBdr>
    </w:div>
    <w:div w:id="1685863061">
      <w:bodyDiv w:val="1"/>
      <w:marLeft w:val="0"/>
      <w:marRight w:val="0"/>
      <w:marTop w:val="0"/>
      <w:marBottom w:val="0"/>
      <w:divBdr>
        <w:top w:val="none" w:sz="0" w:space="0" w:color="auto"/>
        <w:left w:val="none" w:sz="0" w:space="0" w:color="auto"/>
        <w:bottom w:val="none" w:sz="0" w:space="0" w:color="auto"/>
        <w:right w:val="none" w:sz="0" w:space="0" w:color="auto"/>
      </w:divBdr>
    </w:div>
    <w:div w:id="1698581902">
      <w:bodyDiv w:val="1"/>
      <w:marLeft w:val="0"/>
      <w:marRight w:val="0"/>
      <w:marTop w:val="0"/>
      <w:marBottom w:val="0"/>
      <w:divBdr>
        <w:top w:val="none" w:sz="0" w:space="0" w:color="auto"/>
        <w:left w:val="none" w:sz="0" w:space="0" w:color="auto"/>
        <w:bottom w:val="none" w:sz="0" w:space="0" w:color="auto"/>
        <w:right w:val="none" w:sz="0" w:space="0" w:color="auto"/>
      </w:divBdr>
    </w:div>
    <w:div w:id="1722627573">
      <w:bodyDiv w:val="1"/>
      <w:marLeft w:val="0"/>
      <w:marRight w:val="0"/>
      <w:marTop w:val="0"/>
      <w:marBottom w:val="0"/>
      <w:divBdr>
        <w:top w:val="none" w:sz="0" w:space="0" w:color="auto"/>
        <w:left w:val="none" w:sz="0" w:space="0" w:color="auto"/>
        <w:bottom w:val="none" w:sz="0" w:space="0" w:color="auto"/>
        <w:right w:val="none" w:sz="0" w:space="0" w:color="auto"/>
      </w:divBdr>
    </w:div>
    <w:div w:id="1788232922">
      <w:bodyDiv w:val="1"/>
      <w:marLeft w:val="0"/>
      <w:marRight w:val="0"/>
      <w:marTop w:val="0"/>
      <w:marBottom w:val="0"/>
      <w:divBdr>
        <w:top w:val="none" w:sz="0" w:space="0" w:color="auto"/>
        <w:left w:val="none" w:sz="0" w:space="0" w:color="auto"/>
        <w:bottom w:val="none" w:sz="0" w:space="0" w:color="auto"/>
        <w:right w:val="none" w:sz="0" w:space="0" w:color="auto"/>
      </w:divBdr>
    </w:div>
    <w:div w:id="1853062013">
      <w:bodyDiv w:val="1"/>
      <w:marLeft w:val="0"/>
      <w:marRight w:val="0"/>
      <w:marTop w:val="0"/>
      <w:marBottom w:val="0"/>
      <w:divBdr>
        <w:top w:val="none" w:sz="0" w:space="0" w:color="auto"/>
        <w:left w:val="none" w:sz="0" w:space="0" w:color="auto"/>
        <w:bottom w:val="none" w:sz="0" w:space="0" w:color="auto"/>
        <w:right w:val="none" w:sz="0" w:space="0" w:color="auto"/>
      </w:divBdr>
    </w:div>
    <w:div w:id="1918435996">
      <w:bodyDiv w:val="1"/>
      <w:marLeft w:val="0"/>
      <w:marRight w:val="0"/>
      <w:marTop w:val="0"/>
      <w:marBottom w:val="0"/>
      <w:divBdr>
        <w:top w:val="none" w:sz="0" w:space="0" w:color="auto"/>
        <w:left w:val="none" w:sz="0" w:space="0" w:color="auto"/>
        <w:bottom w:val="none" w:sz="0" w:space="0" w:color="auto"/>
        <w:right w:val="none" w:sz="0" w:space="0" w:color="auto"/>
      </w:divBdr>
    </w:div>
    <w:div w:id="2012485493">
      <w:bodyDiv w:val="1"/>
      <w:marLeft w:val="0"/>
      <w:marRight w:val="0"/>
      <w:marTop w:val="0"/>
      <w:marBottom w:val="0"/>
      <w:divBdr>
        <w:top w:val="none" w:sz="0" w:space="0" w:color="auto"/>
        <w:left w:val="none" w:sz="0" w:space="0" w:color="auto"/>
        <w:bottom w:val="none" w:sz="0" w:space="0" w:color="auto"/>
        <w:right w:val="none" w:sz="0" w:space="0" w:color="auto"/>
      </w:divBdr>
    </w:div>
    <w:div w:id="2037122480">
      <w:bodyDiv w:val="1"/>
      <w:marLeft w:val="0"/>
      <w:marRight w:val="0"/>
      <w:marTop w:val="0"/>
      <w:marBottom w:val="0"/>
      <w:divBdr>
        <w:top w:val="none" w:sz="0" w:space="0" w:color="auto"/>
        <w:left w:val="none" w:sz="0" w:space="0" w:color="auto"/>
        <w:bottom w:val="none" w:sz="0" w:space="0" w:color="auto"/>
        <w:right w:val="none" w:sz="0" w:space="0" w:color="auto"/>
      </w:divBdr>
    </w:div>
    <w:div w:id="2061854208">
      <w:bodyDiv w:val="1"/>
      <w:marLeft w:val="0"/>
      <w:marRight w:val="0"/>
      <w:marTop w:val="0"/>
      <w:marBottom w:val="0"/>
      <w:divBdr>
        <w:top w:val="none" w:sz="0" w:space="0" w:color="auto"/>
        <w:left w:val="none" w:sz="0" w:space="0" w:color="auto"/>
        <w:bottom w:val="none" w:sz="0" w:space="0" w:color="auto"/>
        <w:right w:val="none" w:sz="0" w:space="0" w:color="auto"/>
      </w:divBdr>
    </w:div>
    <w:div w:id="2090498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12260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hs.uk/conditions/tetanu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vaccine.2005.12.042" TargetMode="External"/><Relationship Id="rId5" Type="http://schemas.openxmlformats.org/officeDocument/2006/relationships/footnotes" Target="footnotes.xml"/><Relationship Id="rId10" Type="http://schemas.openxmlformats.org/officeDocument/2006/relationships/hyperlink" Target="https://doi.org/10.1007/s10900-012-9638-9" TargetMode="External"/><Relationship Id="rId4" Type="http://schemas.openxmlformats.org/officeDocument/2006/relationships/webSettings" Target="webSettings.xml"/><Relationship Id="rId9" Type="http://schemas.openxmlformats.org/officeDocument/2006/relationships/hyperlink" Target="https://doi.org/10.1136/jnnp.69.3.2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fil14</b:Tag>
    <b:SourceType>InternetSite</b:SourceType>
    <b:Guid>{4E921443-5B9B-4C5E-990B-8F9039A83974}</b:Guid>
    <b:Author>
      <b:Author>
        <b:NameList>
          <b:Person>
            <b:Last>filia</b:Last>
            <b:First>Antonietta</b:First>
          </b:Person>
          <b:Person>
            <b:Last>Antonino</b:Last>
          </b:Person>
          <b:Person>
            <b:Last>von Hunolstein</b:Last>
            <b:First>Christina</b:First>
          </b:Person>
          <b:Person>
            <b:Last>Pinto</b:Last>
            <b:First>Antonella</b:First>
          </b:Person>
          <b:Person>
            <b:Last>Alfarone</b:Last>
            <b:First>Giovan</b:First>
            <b:Middle>na</b:Middle>
          </b:Person>
          <b:Person>
            <b:Last>al</b:Last>
            <b:First>et</b:First>
          </b:Person>
        </b:NameList>
      </b:Author>
    </b:Author>
    <b:Title>tetanus in italy 2001-2010:a continuing threat in older adults</b:Title>
    <b:Year>2014</b:Year>
    <b:YearAccessed>2022</b:YearAccessed>
    <b:MonthAccessed>november</b:MonthAccessed>
    <b:DayAccessed>6</b:DayAccessed>
    <b:RefOrder>8</b:RefOrder>
  </b:Source>
  <b:Source>
    <b:Tag>Ari21</b:Tag>
    <b:SourceType>JournalArticle</b:SourceType>
    <b:Guid>{5B1FF542-00C5-4608-9B4B-F4D0D791EE37}</b:Guid>
    <b:Title>Incidence of Tetanus and Diphtheria in Relation to Adult Vaccination Schedules</b:Title>
    <b:Year>2021</b:Year>
    <b:Author>
      <b:Author>
        <b:NameList>
          <b:Person>
            <b:Last>Ariel M slifka</b:Last>
            <b:First>byung</b:First>
            <b:Middle>Park,Lina gao,Mark K slifka</b:Middle>
          </b:Person>
        </b:NameList>
      </b:Author>
    </b:Author>
    <b:JournalName>clinical infectious disease </b:JournalName>
    <b:Pages>285 to 292</b:Pages>
    <b:Volume>72</b:Volume>
    <b:Issue>2</b:Issue>
    <b:RefOrder>1</b:RefOrder>
  </b:Source>
  <b:Source>
    <b:Tag>Ari211</b:Tag>
    <b:SourceType>JournalArticle</b:SourceType>
    <b:Guid>{3E7D01B8-C448-448A-8D9D-7866977367F7}</b:Guid>
    <b:Author>
      <b:Author>
        <b:NameList>
          <b:Person>
            <b:Last>Ariel M slifka</b:Last>
            <b:First>Byung</b:First>
            <b:Middle>park,Lina gao,Mark K slifka</b:Middle>
          </b:Person>
        </b:NameList>
      </b:Author>
    </b:Author>
    <b:Title>incidence of tetanus and dephtheria in relation to adult vaccination schedules</b:Title>
    <b:JournalName>clinical infectious disesase</b:JournalName>
    <b:Year>2021</b:Year>
    <b:Pages>285 to 292</b:Pages>
    <b:Volume>72</b:Volume>
    <b:Issue>2</b:Issue>
    <b:RefOrder>9</b:RefOrder>
  </b:Source>
  <b:Source>
    <b:Tag>tet22</b:Tag>
    <b:SourceType>InternetSite</b:SourceType>
    <b:Guid>{B0ED5B5E-E195-4A17-BE46-009AFA74F620}</b:Guid>
    <b:Title>tetanus</b:Title>
    <b:YearAccessed>2022</b:YearAccessed>
    <b:MonthAccessed>november</b:MonthAccessed>
    <b:DayAccessed>11</b:DayAccessed>
    <b:URL>www.nhs.uk</b:URL>
    <b:RefOrder>10</b:RefOrder>
  </b:Source>
  <b:Source>
    <b:Tag>nhs22</b:Tag>
    <b:SourceType>InternetSite</b:SourceType>
    <b:Guid>{E0509D63-4D13-4022-B51E-468BFFA238DF}</b:Guid>
    <b:Title>nhs health A to Z tetanus</b:Title>
    <b:YearAccessed>2022</b:YearAccessed>
    <b:MonthAccessed>november</b:MonthAccessed>
    <b:DayAccessed>19</b:DayAccessed>
    <b:URL>www.nhs.uk-NHS</b:URL>
    <b:RefOrder>11</b:RefOrder>
  </b:Source>
  <b:Source>
    <b:Tag>nhs221</b:Tag>
    <b:SourceType>InternetSite</b:SourceType>
    <b:Guid>{C7C4FEBF-1481-41ED-852C-359211AC6C37}</b:Guid>
    <b:Title>nhs uk </b:Title>
    <b:YearAccessed>2022</b:YearAccessed>
    <b:MonthAccessed>november</b:MonthAccessed>
    <b:DayAccessed>19</b:DayAccessed>
    <b:RefOrder>12</b:RefOrder>
  </b:Source>
  <b:Source>
    <b:Tag>hea22</b:Tag>
    <b:SourceType>DocumentFromInternetSite</b:SourceType>
    <b:Guid>{9DA26DE0-A43D-4C70-8226-B8662E19E905}</b:Guid>
    <b:Title>health A TO z</b:Title>
    <b:YearAccessed>2022</b:YearAccessed>
    <b:MonthAccessed>NOVEMBER</b:MonthAccessed>
    <b:DayAccessed>19</b:DayAccessed>
    <b:URL>www.nhs.uk</b:URL>
    <b:RefOrder>13</b:RefOrder>
  </b:Source>
  <b:Source>
    <b:Tag>hea221</b:Tag>
    <b:SourceType>InternetSite</b:SourceType>
    <b:Guid>{4F653D43-B1CA-4F4A-89A5-D520338C98C1}</b:Guid>
    <b:Title>health A TO Z</b:Title>
    <b:YearAccessed>2022</b:YearAccessed>
    <b:MonthAccessed>november</b:MonthAccessed>
    <b:DayAccessed>11</b:DayAccessed>
    <b:URL>nhs</b:URL>
    <b:RefOrder>14</b:RefOrder>
  </b:Source>
  <b:Source>
    <b:Tag>NHS22</b:Tag>
    <b:SourceType>InternetSite</b:SourceType>
    <b:Guid>{F5956A71-AA7A-4072-8E5A-F013E894768F}</b:Guid>
    <b:Title>NHS</b:Title>
    <b:YearAccessed>2022</b:YearAccessed>
    <b:MonthAccessed>november</b:MonthAccessed>
    <b:DayAccessed>15</b:DayAccessed>
    <b:URL>www.nhs.com</b:URL>
    <b:RefOrder>2</b:RefOrder>
  </b:Source>
  <b:Source>
    <b:Tag>Ibi15</b:Tag>
    <b:SourceType>JournalArticle</b:SourceType>
    <b:Guid>{4C708472-7FD0-4A23-B64A-8638E4E64DBD}</b:Guid>
    <b:Title>Incidence and Risk Factors for Neonatal Tetanus in Admissions to Kilifi County Hospital, Kenya</b:Title>
    <b:Year>2015</b:Year>
    <b:Volume>10</b:Volume>
    <b:Issue>4</b:Issue>
    <b:Author>
      <b:Author>
        <b:NameList>
          <b:Person>
            <b:Last>Ibinda</b:Last>
            <b:First>Fredrick</b:First>
          </b:Person>
          <b:Person>
            <b:Last>Bauni</b:Last>
            <b:First>Evasius</b:First>
          </b:Person>
          <b:Person>
            <b:Last>Kariuki</b:Last>
            <b:First>Symon</b:First>
            <b:Middle>M</b:Middle>
          </b:Person>
          <b:Person>
            <b:Last>Fegan</b:Last>
            <b:First>Greg</b:First>
          </b:Person>
          <b:Person>
            <b:Last>Lewa</b:Last>
            <b:First>Joy</b:First>
          </b:Person>
        </b:NameList>
      </b:Author>
    </b:Author>
    <b:RefOrder>3</b:RefOrder>
  </b:Source>
  <b:Source>
    <b:Tag>Far00</b:Tag>
    <b:SourceType>JournalArticle</b:SourceType>
    <b:Guid>{60DE9952-2B39-41B7-8AD0-F4AAA8DCE8BD}</b:Guid>
    <b:Title>tetanus</b:Title>
    <b:Year>2000</b:Year>
    <b:Author>
      <b:Author>
        <b:NameList>
          <b:Person>
            <b:Last>Farrar</b:Last>
            <b:First>J</b:First>
            <b:Middle>J</b:Middle>
          </b:Person>
          <b:Person>
            <b:Last>Yen</b:Last>
            <b:First>L</b:First>
            <b:Middle>M</b:Middle>
          </b:Person>
          <b:Person>
            <b:Last>Cook</b:Last>
            <b:First>T</b:First>
          </b:Person>
          <b:Person>
            <b:Last>Fairweather</b:Last>
            <b:First>N</b:First>
          </b:Person>
          <b:Person>
            <b:Last>Binh</b:Last>
            <b:First>N</b:First>
          </b:Person>
        </b:NameList>
      </b:Author>
    </b:Author>
    <b:JournalName>Journal of neurology, neurosurgery and psychiatry,</b:JournalName>
    <b:Pages>292-301</b:Pages>
    <b:Volume>69</b:Volume>
    <b:Issue>3</b:Issue>
    <b:RefOrder>4</b:RefOrder>
  </b:Source>
  <b:Source>
    <b:Tag>Det13</b:Tag>
    <b:SourceType>JournalArticle</b:SourceType>
    <b:Guid>{3AC8B2EC-1578-4B33-AFEC-DF8F370C0677}</b:Guid>
    <b:Author>
      <b:Author>
        <b:NameList>
          <b:Person>
            <b:Last>Determinants of Utilization of Sufficient Tetanus Toxoid Immunization During Pregnancy: Evidence from the Kenya Demographic and Health Survey</b:Last>
          </b:Person>
        </b:NameList>
      </b:Author>
    </b:Author>
    <b:JournalName>journal of community health</b:JournalName>
    <b:Year>2013</b:Year>
    <b:Pages>492-9</b:Pages>
    <b:Volume>38</b:Volume>
    <b:Issue>3</b:Issue>
    <b:RefOrder>15</b:RefOrder>
  </b:Source>
  <b:Source>
    <b:Tag>Hai13</b:Tag>
    <b:SourceType>JournalArticle</b:SourceType>
    <b:Guid>{57F90F4D-7F70-4B75-83F1-65C7E8FF8F42}</b:Guid>
    <b:Author>
      <b:Author>
        <b:NameList>
          <b:Person>
            <b:Last>Haile</b:Last>
            <b:First>Zelalem</b:First>
            <b:Middle>T</b:Middle>
          </b:Person>
          <b:Person>
            <b:Last>Chertok</b:Last>
            <b:First>Ilana</b:First>
            <b:Middle>R</b:Middle>
          </b:Person>
          <b:Person>
            <b:Last>Azulay</b:Last>
          </b:Person>
          <b:Person>
            <b:Last>Teweldeberhan</b:Last>
            <b:First>Asli</b:First>
            <b:Middle>K</b:Middle>
          </b:Person>
        </b:NameList>
      </b:Author>
    </b:Author>
    <b:Title>Determinants of Utilization of Sufficient Tetanus Toxoid Immunization During Pregnancy: Evidence from the Kenya Demographic and Health Survey,</b:Title>
    <b:JournalName>journal of community health</b:JournalName>
    <b:Year>2013</b:Year>
    <b:Pages>492-9</b:Pages>
    <b:Volume>38</b:Volume>
    <b:Issue>3</b:Issue>
    <b:RefOrder>5</b:RefOrder>
  </b:Source>
  <b:Source>
    <b:Tag>Lee06</b:Tag>
    <b:SourceType>JournalArticle</b:SourceType>
    <b:Guid>{D500EAE3-4F22-41E2-B444-C493AE54029F}</b:Guid>
    <b:Author>
      <b:Author>
        <b:NameList>
          <b:Person>
            <b:Last>Lee</b:Last>
            <b:First>Pui</b:First>
            <b:Middle>Y.</b:Middle>
          </b:Person>
          <b:Person>
            <b:Last>Scumpia</b:Last>
            <b:First>Philip</b:First>
            <b:Middle>O.</b:Middle>
          </b:Person>
          <b:Person>
            <b:Last>Byars</b:Last>
            <b:First>Joanne</b:First>
            <b:Middle>A.</b:Middle>
          </b:Person>
          <b:Person>
            <b:Last>Kelly</b:Last>
            <b:First>Kindra</b:First>
            <b:Middle>M.</b:Middle>
          </b:Person>
          <b:Person>
            <b:Last>Zhuang</b:Last>
            <b:First>Haoyang</b:First>
          </b:Person>
          <b:Person>
            <b:Last>Shuster</b:Last>
            <b:First>Jonathan</b:First>
            <b:Middle>S.</b:Middle>
          </b:Person>
          <b:Person>
            <b:Last>Theriaque</b:Last>
            <b:First>Douglas</b:First>
            <b:Middle>W.</b:Middle>
          </b:Person>
          <b:Person>
            <b:Last>Segal</b:Last>
            <b:First>Mark</b:First>
            <b:Middle>S.</b:Middle>
          </b:Person>
          <b:Person>
            <b:Last>Reeves</b:Last>
            <b:First>Westley</b:First>
            <b:Middle>H.</b:Middle>
          </b:Person>
          <b:Person>
            <b:Last>Brantly</b:Last>
            <b:First>Mark</b:First>
            <b:Middle>L.</b:Middle>
          </b:Person>
        </b:NameList>
      </b:Author>
    </b:Author>
    <b:JournalName>Short-term atorvastatin treatment enhances specific antibody production following tetanus toxoid vaccination in healthy volunteers</b:JournalName>
    <b:Year>2006</b:Year>
    <b:Pages>4035-4040</b:Pages>
    <b:Volume>24</b:Volume>
    <b:Issue>19</b:Issue>
    <b:RefOrder>6</b:RefOrder>
  </b:Source>
  <b:Source>
    <b:Tag>Mat14</b:Tag>
    <b:SourceType>ElectronicSource</b:SourceType>
    <b:Guid>{BB529D11-DEFF-454E-85F4-8849382CA8D7}</b:Guid>
    <b:Author>
      <b:Author>
        <b:NameList>
          <b:Person>
            <b:Last>Matthew J. Kessler</b:Last>
            <b:First>Raisa</b:First>
            <b:Middle>Hernández Pacheco,Richard G. Rawlins,Angelina Ruiz-Lambrides,Diana L. Delgado,Alberto M. Sabat</b:Middle>
          </b:Person>
        </b:NameList>
      </b:Author>
    </b:Author>
    <b:Title>Long-term effects of tetanus toxoid inoculation on the demography and life expectancy of the Cayo Santiago rhesus macaques</b:Title>
    <b:JournalName>american journal of primatology</b:JournalName>
    <b:Year>2014</b:Year>
    <b:Publisher>Wiley Research DE&amp;I Statement and Publishing Policies</b:Publisher>
    <b:RefOrder>16</b:RefOrder>
  </b:Source>
  <b:Source>
    <b:Tag>Mat141</b:Tag>
    <b:SourceType>JournalArticle</b:SourceType>
    <b:Guid>{7BEB3172-A742-488E-BE93-4ABB675C572F}</b:Guid>
    <b:Title>Long-term effects of tetanus toxoid inoculation on the demography and life expectancy of the Cayo Santiago rhesus macaques</b:Title>
    <b:Year>2014</b:Year>
    <b:Author>
      <b:Author>
        <b:NameList>
          <b:Person>
            <b:Last>Matthew J. Kessler</b:Last>
            <b:First>Raisa</b:First>
            <b:Middle>Hernández Pacheco,Richard G. Rawlins,Angelina Ruiz-Lambrides,Diana L. Delgado,Alberto M. Sabat</b:Middle>
          </b:Person>
        </b:NameList>
      </b:Author>
    </b:Author>
    <b:JournalName>american journal of primatology</b:JournalName>
    <b:RefOrder>17</b:RefOrder>
  </b:Source>
  <b:Source>
    <b:Tag>Mat15</b:Tag>
    <b:SourceType>JournalArticle</b:SourceType>
    <b:Guid>{A973BA13-5AAA-4E07-9CEC-DC1FB33528E3}</b:Guid>
    <b:Author>
      <b:Author>
        <b:NameList>
          <b:Person>
            <b:Last>Matthew J. Kessler</b:Last>
            <b:First>Raisa</b:First>
            <b:Middle>Hernández Pacheco,Richard G. Rawlins,Angelina Ruiz-Lambrides,Diana L. Delgado,Alberto M. Sabat</b:Middle>
          </b:Person>
        </b:NameList>
      </b:Author>
    </b:Author>
    <b:Title>Long-term effects of tetanus toxoid inoculation on the demography and life expectancy of the Cayo Santiago rhesus macaques</b:Title>
    <b:JournalName>american jouranl of primatology</b:JournalName>
    <b:Year>2015</b:Year>
    <b:Pages>211-221</b:Pages>
    <b:Volume>77</b:Volume>
    <b:Issue>2</b:Issue>
    <b:RefOrder>7</b:RefOrder>
  </b:Source>
</b:Sources>
</file>

<file path=customXml/itemProps1.xml><?xml version="1.0" encoding="utf-8"?>
<ds:datastoreItem xmlns:ds="http://schemas.openxmlformats.org/officeDocument/2006/customXml" ds:itemID="{9E11512F-54E3-4FFB-8A69-A6FC6C133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1927</Words>
  <Characters>10987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2</cp:revision>
  <dcterms:created xsi:type="dcterms:W3CDTF">2022-11-22T19:11:00Z</dcterms:created>
  <dcterms:modified xsi:type="dcterms:W3CDTF">2022-11-22T19:11:00Z</dcterms:modified>
</cp:coreProperties>
</file>