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B7801" w:rsidP="228E9535" w:rsidRDefault="00DB7801" w14:paraId="7EDAA2BD" w14:textId="0C7F7566">
      <w:pPr>
        <w:rPr>
          <w:rFonts w:ascii="Arial" w:hAnsi="Arial" w:eastAsia="Arial" w:cs="Arial"/>
          <w:sz w:val="24"/>
          <w:szCs w:val="24"/>
        </w:rPr>
      </w:pPr>
      <w:r w:rsidRPr="228E9535" w:rsidR="5812ECE3">
        <w:rPr>
          <w:rFonts w:ascii="Arial" w:hAnsi="Arial" w:eastAsia="Arial" w:cs="Arial"/>
          <w:sz w:val="24"/>
          <w:szCs w:val="24"/>
        </w:rPr>
        <w:t>Student Name: Adrian Merisan</w:t>
      </w:r>
    </w:p>
    <w:p w:rsidR="00DB7801" w:rsidRDefault="00DB7801" w14:paraId="7F4CF459" w14:textId="239A869E">
      <w:pPr>
        <w:rPr>
          <w:rFonts w:ascii="Arial" w:hAnsi="Arial" w:cs="Arial"/>
          <w:sz w:val="24"/>
          <w:szCs w:val="24"/>
        </w:rPr>
      </w:pPr>
      <w:r>
        <w:rPr>
          <w:rFonts w:ascii="Arial" w:hAnsi="Arial" w:cs="Arial"/>
          <w:sz w:val="24"/>
          <w:szCs w:val="24"/>
        </w:rPr>
        <w:t>Student Number: 2226309</w:t>
      </w:r>
    </w:p>
    <w:p w:rsidR="00DB7801" w:rsidRDefault="00DB7801" w14:paraId="68F21362" w14:textId="333A1323">
      <w:pPr>
        <w:rPr>
          <w:rFonts w:ascii="Arial" w:hAnsi="Arial" w:cs="Arial"/>
          <w:sz w:val="24"/>
          <w:szCs w:val="24"/>
        </w:rPr>
      </w:pPr>
      <w:r>
        <w:rPr>
          <w:rFonts w:ascii="Arial" w:hAnsi="Arial" w:cs="Arial"/>
          <w:sz w:val="24"/>
          <w:szCs w:val="24"/>
        </w:rPr>
        <w:t>Module Name: Stakeholder Engagement</w:t>
      </w:r>
    </w:p>
    <w:p w:rsidR="00DB7801" w:rsidRDefault="00DB7801" w14:paraId="66D63164" w14:textId="03C0C56B">
      <w:pPr>
        <w:rPr>
          <w:rFonts w:ascii="Arial" w:hAnsi="Arial" w:cs="Arial"/>
          <w:sz w:val="24"/>
          <w:szCs w:val="24"/>
        </w:rPr>
      </w:pPr>
      <w:r>
        <w:rPr>
          <w:rFonts w:ascii="Arial" w:hAnsi="Arial" w:cs="Arial"/>
          <w:sz w:val="24"/>
          <w:szCs w:val="24"/>
        </w:rPr>
        <w:t>Module Code: LCBB4013</w:t>
      </w:r>
    </w:p>
    <w:p w:rsidRPr="00DB7801" w:rsidR="00DB7801" w:rsidP="00DB7801" w:rsidRDefault="00DB7801" w14:paraId="4342459E" w14:textId="77777777">
      <w:pPr>
        <w:rPr>
          <w:rFonts w:ascii="Arial" w:hAnsi="Arial" w:cs="Arial"/>
          <w:sz w:val="24"/>
          <w:szCs w:val="24"/>
        </w:rPr>
      </w:pPr>
      <w:r w:rsidRPr="00DB7801">
        <w:rPr>
          <w:rFonts w:ascii="Arial" w:hAnsi="Arial" w:cs="Arial"/>
          <w:sz w:val="24"/>
          <w:szCs w:val="24"/>
        </w:rPr>
        <w:t>Element 1: Introduction</w:t>
      </w:r>
    </w:p>
    <w:p w:rsidRPr="00DB7801" w:rsidR="00DB7801" w:rsidP="00DB7801" w:rsidRDefault="00DB7801" w14:paraId="6075A726" w14:textId="77777777">
      <w:pPr>
        <w:rPr>
          <w:rFonts w:ascii="Arial" w:hAnsi="Arial" w:cs="Arial"/>
          <w:sz w:val="24"/>
          <w:szCs w:val="24"/>
        </w:rPr>
      </w:pPr>
      <w:r w:rsidRPr="00DB7801">
        <w:rPr>
          <w:rFonts w:ascii="Arial" w:hAnsi="Arial" w:cs="Arial"/>
          <w:sz w:val="24"/>
          <w:szCs w:val="24"/>
        </w:rPr>
        <w:t xml:space="preserve">Stakeholder management is a critical component of effective project management, particularly in projects that have a direct impact on local communities. Stakeholders are individuals or groups who can influence, or </w:t>
      </w:r>
      <w:proofErr w:type="gramStart"/>
      <w:r w:rsidRPr="00DB7801">
        <w:rPr>
          <w:rFonts w:ascii="Arial" w:hAnsi="Arial" w:cs="Arial"/>
          <w:sz w:val="24"/>
          <w:szCs w:val="24"/>
        </w:rPr>
        <w:t>are influenced</w:t>
      </w:r>
      <w:proofErr w:type="gramEnd"/>
      <w:r w:rsidRPr="00DB7801">
        <w:rPr>
          <w:rFonts w:ascii="Arial" w:hAnsi="Arial" w:cs="Arial"/>
          <w:sz w:val="24"/>
          <w:szCs w:val="24"/>
        </w:rPr>
        <w:t xml:space="preserve"> by, the outcomes of a project, and their expectations, interests, and concerns must be carefully managed to ensure project success. Effective stakeholder management involves identifying key stakeholders, understanding their level of influence and interest, and developing appropriate engagement strategies to maintain support and minimise conflict throughout the project lifecycle.</w:t>
      </w:r>
    </w:p>
    <w:p w:rsidRPr="00DB7801" w:rsidR="00DB7801" w:rsidP="00DB7801" w:rsidRDefault="00DB7801" w14:paraId="1C9A3419" w14:textId="77777777">
      <w:pPr>
        <w:rPr>
          <w:rFonts w:ascii="Arial" w:hAnsi="Arial" w:cs="Arial"/>
          <w:sz w:val="24"/>
          <w:szCs w:val="24"/>
        </w:rPr>
      </w:pPr>
      <w:r w:rsidRPr="00DB7801">
        <w:rPr>
          <w:rFonts w:ascii="Arial" w:hAnsi="Arial" w:cs="Arial"/>
          <w:sz w:val="24"/>
          <w:szCs w:val="24"/>
        </w:rPr>
        <w:t>In community-based projects, such as housing developments, stakeholder management plays a vital role in promoting collaboration, transparency, and trust between project organisations and the local population. Housing projects often affect residents’ quality of life, the local environment, and access to community resources, making stakeholder engagement essential for achieving social acceptance and long-term sustainability. Poor stakeholder management can result in resistance, delays, reputational damage, and ethical concerns, whereas effective engagement can enhance decision-making and support benefit realisation.</w:t>
      </w:r>
    </w:p>
    <w:p w:rsidRPr="00DB7801" w:rsidR="00DB7801" w:rsidP="00DB7801" w:rsidRDefault="00DB7801" w14:paraId="62CD6E02" w14:textId="77777777">
      <w:pPr>
        <w:rPr>
          <w:rFonts w:ascii="Arial" w:hAnsi="Arial" w:cs="Arial"/>
          <w:sz w:val="24"/>
          <w:szCs w:val="24"/>
        </w:rPr>
      </w:pPr>
      <w:r w:rsidRPr="00DB7801">
        <w:rPr>
          <w:rFonts w:ascii="Arial" w:hAnsi="Arial" w:cs="Arial"/>
          <w:sz w:val="24"/>
          <w:szCs w:val="24"/>
        </w:rPr>
        <w:t>The chosen project for this portfolio is a local housing development project involving the construction of new residential apartments within a local community. The project aims to address increasing housing demand by providing affordable and modern living spaces while contributing to local economic development. The project is of medium-to-large scale and involves multiple stakeholders, including local authorities, developers, construction firms, existing residents, future occupants, and community interest groups.</w:t>
      </w:r>
    </w:p>
    <w:p w:rsidR="00DB7801" w:rsidP="00DB7801" w:rsidRDefault="00DB7801" w14:paraId="786ED34B" w14:textId="7E023523">
      <w:pPr>
        <w:rPr>
          <w:rFonts w:ascii="Arial" w:hAnsi="Arial" w:cs="Arial"/>
          <w:sz w:val="24"/>
          <w:szCs w:val="24"/>
        </w:rPr>
      </w:pPr>
      <w:r w:rsidRPr="00DB7801">
        <w:rPr>
          <w:rFonts w:ascii="Arial" w:hAnsi="Arial" w:cs="Arial"/>
          <w:sz w:val="24"/>
          <w:szCs w:val="24"/>
        </w:rPr>
        <w:t>This portfolio will analyse the stakeholder management approach used in the housing development project, focusing on stakeholder identification, engagement strategies, and communication methods. It will also critically examine ethical considerations, including community interests, transparency, fairness, and corporate social responsibility, while reflecting on the skills and knowledge developed through the analysis of stakeholder management in a real-world project context.</w:t>
      </w:r>
    </w:p>
    <w:p w:rsidRPr="00DB7801" w:rsidR="00DB7801" w:rsidP="00DB7801" w:rsidRDefault="00DB7801" w14:paraId="7421E822" w14:textId="77777777">
      <w:pPr>
        <w:rPr>
          <w:rFonts w:ascii="Arial" w:hAnsi="Arial" w:cs="Arial"/>
          <w:sz w:val="24"/>
          <w:szCs w:val="24"/>
        </w:rPr>
      </w:pPr>
      <w:r w:rsidRPr="00DB7801">
        <w:rPr>
          <w:rFonts w:ascii="Arial" w:hAnsi="Arial" w:cs="Arial"/>
          <w:sz w:val="24"/>
          <w:szCs w:val="24"/>
        </w:rPr>
        <w:t>Element 2: Depth of Analysis &amp; Application – Stakeholder Engagement Strategies</w:t>
      </w:r>
    </w:p>
    <w:p w:rsidRPr="00DB7801" w:rsidR="00DB7801" w:rsidP="00DB7801" w:rsidRDefault="00664536" w14:paraId="53D345E1" w14:textId="0A9F25F4">
      <w:pPr>
        <w:rPr>
          <w:rFonts w:ascii="Arial" w:hAnsi="Arial" w:cs="Arial"/>
          <w:sz w:val="24"/>
          <w:szCs w:val="24"/>
        </w:rPr>
      </w:pPr>
      <w:r w:rsidRPr="00DB7801">
        <w:rPr>
          <w:rFonts w:ascii="Arial" w:hAnsi="Arial" w:cs="Arial"/>
          <w:sz w:val="24"/>
          <w:szCs w:val="24"/>
        </w:rPr>
        <w:t>I will</w:t>
      </w:r>
      <w:r w:rsidRPr="00DB7801" w:rsidR="00DB7801">
        <w:rPr>
          <w:rFonts w:ascii="Arial" w:hAnsi="Arial" w:cs="Arial"/>
          <w:sz w:val="24"/>
          <w:szCs w:val="24"/>
        </w:rPr>
        <w:t xml:space="preserve"> start with:</w:t>
      </w:r>
    </w:p>
    <w:p w:rsidRPr="00DB7801" w:rsidR="00DB7801" w:rsidP="00DB7801" w:rsidRDefault="00DB7801" w14:paraId="6B2CA75F" w14:textId="77777777">
      <w:pPr>
        <w:rPr>
          <w:rFonts w:ascii="Arial" w:hAnsi="Arial" w:cs="Arial"/>
          <w:sz w:val="24"/>
          <w:szCs w:val="24"/>
        </w:rPr>
      </w:pPr>
      <w:r w:rsidRPr="00DB7801">
        <w:rPr>
          <w:rFonts w:ascii="Arial" w:hAnsi="Arial" w:cs="Arial"/>
          <w:sz w:val="24"/>
          <w:szCs w:val="24"/>
        </w:rPr>
        <w:t>Stakeholder identification</w:t>
      </w:r>
    </w:p>
    <w:p w:rsidRPr="00DB7801" w:rsidR="00DB7801" w:rsidP="00DB7801" w:rsidRDefault="00DB7801" w14:paraId="2B1DD12A" w14:textId="77777777">
      <w:pPr>
        <w:rPr>
          <w:rFonts w:ascii="Arial" w:hAnsi="Arial" w:cs="Arial"/>
          <w:sz w:val="24"/>
          <w:szCs w:val="24"/>
        </w:rPr>
      </w:pPr>
      <w:r w:rsidRPr="00DB7801">
        <w:rPr>
          <w:rFonts w:ascii="Arial" w:hAnsi="Arial" w:cs="Arial"/>
          <w:sz w:val="24"/>
          <w:szCs w:val="24"/>
        </w:rPr>
        <w:t>Power–Interest Matrix explanation</w:t>
      </w:r>
    </w:p>
    <w:p w:rsidRPr="00DB7801" w:rsidR="00DB7801" w:rsidP="00DB7801" w:rsidRDefault="00DB7801" w14:paraId="31EDF03B" w14:textId="77777777">
      <w:pPr>
        <w:rPr>
          <w:rFonts w:ascii="Arial" w:hAnsi="Arial" w:cs="Arial"/>
          <w:sz w:val="24"/>
          <w:szCs w:val="24"/>
        </w:rPr>
      </w:pPr>
      <w:r w:rsidRPr="00DB7801">
        <w:rPr>
          <w:rFonts w:ascii="Arial" w:hAnsi="Arial" w:cs="Arial"/>
          <w:sz w:val="24"/>
          <w:szCs w:val="24"/>
        </w:rPr>
        <w:t>Analysis of each stakeholder group</w:t>
      </w:r>
    </w:p>
    <w:p w:rsidRPr="00DB7801" w:rsidR="00DB7801" w:rsidP="00DB7801" w:rsidRDefault="00DB7801" w14:paraId="1025D536" w14:textId="77777777">
      <w:pPr>
        <w:rPr>
          <w:rFonts w:ascii="Arial" w:hAnsi="Arial" w:cs="Arial"/>
          <w:sz w:val="24"/>
          <w:szCs w:val="24"/>
        </w:rPr>
      </w:pPr>
      <w:r w:rsidRPr="00DB7801">
        <w:rPr>
          <w:rFonts w:ascii="Arial" w:hAnsi="Arial" w:cs="Arial"/>
          <w:sz w:val="24"/>
          <w:szCs w:val="24"/>
        </w:rPr>
        <w:t>Engagement strategies + communication channels</w:t>
      </w:r>
    </w:p>
    <w:p w:rsidRPr="00DB7801" w:rsidR="00DB7801" w:rsidP="00DB7801" w:rsidRDefault="00DB7801" w14:paraId="167140ED" w14:textId="77777777">
      <w:pPr>
        <w:rPr>
          <w:rFonts w:ascii="Arial" w:hAnsi="Arial" w:cs="Arial"/>
          <w:sz w:val="24"/>
          <w:szCs w:val="24"/>
        </w:rPr>
      </w:pPr>
      <w:r w:rsidRPr="00DB7801">
        <w:rPr>
          <w:rFonts w:ascii="Arial" w:hAnsi="Arial" w:cs="Arial"/>
          <w:sz w:val="24"/>
          <w:szCs w:val="24"/>
        </w:rPr>
        <w:t>Challenges and effectiveness</w:t>
      </w:r>
    </w:p>
    <w:p w:rsidRPr="00DB7801" w:rsidR="00DB7801" w:rsidP="00DB7801" w:rsidRDefault="00DB7801" w14:paraId="11D48271" w14:textId="77777777">
      <w:pPr>
        <w:rPr>
          <w:rFonts w:ascii="Arial" w:hAnsi="Arial" w:cs="Arial"/>
          <w:sz w:val="24"/>
          <w:szCs w:val="24"/>
        </w:rPr>
      </w:pPr>
      <w:r w:rsidRPr="00DB7801">
        <w:rPr>
          <w:rFonts w:ascii="Arial" w:hAnsi="Arial" w:cs="Arial"/>
          <w:sz w:val="24"/>
          <w:szCs w:val="24"/>
        </w:rPr>
        <w:t xml:space="preserve">Below is a strong academic draft for Element 2. This </w:t>
      </w:r>
      <w:proofErr w:type="gramStart"/>
      <w:r w:rsidRPr="00DB7801">
        <w:rPr>
          <w:rFonts w:ascii="Arial" w:hAnsi="Arial" w:cs="Arial"/>
          <w:sz w:val="24"/>
          <w:szCs w:val="24"/>
        </w:rPr>
        <w:t>is written</w:t>
      </w:r>
      <w:proofErr w:type="gramEnd"/>
      <w:r w:rsidRPr="00DB7801">
        <w:rPr>
          <w:rFonts w:ascii="Arial" w:hAnsi="Arial" w:cs="Arial"/>
          <w:sz w:val="24"/>
          <w:szCs w:val="24"/>
        </w:rPr>
        <w:t xml:space="preserve"> to hit analysis + application, not just description.</w:t>
      </w:r>
    </w:p>
    <w:p w:rsidRPr="00DB7801" w:rsidR="00DB7801" w:rsidP="00DB7801" w:rsidRDefault="00DB7801" w14:paraId="209CE153" w14:textId="77777777">
      <w:pPr>
        <w:rPr>
          <w:rFonts w:ascii="Arial" w:hAnsi="Arial" w:cs="Arial"/>
          <w:sz w:val="24"/>
          <w:szCs w:val="24"/>
        </w:rPr>
      </w:pPr>
      <w:r w:rsidRPr="00DB7801">
        <w:rPr>
          <w:rFonts w:ascii="Arial" w:hAnsi="Arial" w:cs="Arial"/>
          <w:sz w:val="24"/>
          <w:szCs w:val="24"/>
        </w:rPr>
        <w:t>Element 2: Depth of Analysis and Application to Stakeholder Engagement Strategies</w:t>
      </w:r>
    </w:p>
    <w:p w:rsidRPr="00DB7801" w:rsidR="00DB7801" w:rsidP="00DB7801" w:rsidRDefault="00DB7801" w14:paraId="3D7CF070" w14:textId="77777777">
      <w:pPr>
        <w:rPr>
          <w:rFonts w:ascii="Arial" w:hAnsi="Arial" w:cs="Arial"/>
          <w:sz w:val="24"/>
          <w:szCs w:val="24"/>
        </w:rPr>
      </w:pPr>
      <w:r w:rsidRPr="00DB7801">
        <w:rPr>
          <w:rFonts w:ascii="Arial" w:hAnsi="Arial" w:cs="Arial"/>
          <w:sz w:val="24"/>
          <w:szCs w:val="24"/>
        </w:rPr>
        <w:t>Effective stakeholder management requires a systematic approach to identifying stakeholders, assessing their influence and interests, and implementing tailored engagement strategies. In a local housing development project, the diversity of stakeholders and the direct impact on the community make stakeholder engagement particularly complex and essential for project success.</w:t>
      </w:r>
    </w:p>
    <w:p w:rsidRPr="00DB7801" w:rsidR="00DB7801" w:rsidP="00DB7801" w:rsidRDefault="00DB7801" w14:paraId="7D20D6DE" w14:textId="77777777">
      <w:pPr>
        <w:rPr>
          <w:rFonts w:ascii="Arial" w:hAnsi="Arial" w:cs="Arial"/>
          <w:sz w:val="24"/>
          <w:szCs w:val="24"/>
        </w:rPr>
      </w:pPr>
      <w:r w:rsidRPr="00DB7801">
        <w:rPr>
          <w:rFonts w:ascii="Arial" w:hAnsi="Arial" w:cs="Arial"/>
          <w:sz w:val="24"/>
          <w:szCs w:val="24"/>
        </w:rPr>
        <w:t>Stakeholder Identification</w:t>
      </w:r>
    </w:p>
    <w:p w:rsidRPr="00DB7801" w:rsidR="00DB7801" w:rsidP="00DB7801" w:rsidRDefault="00DB7801" w14:paraId="6FE00F36" w14:textId="3B851AE2">
      <w:pPr>
        <w:rPr>
          <w:rFonts w:ascii="Arial" w:hAnsi="Arial" w:cs="Arial"/>
          <w:sz w:val="24"/>
          <w:szCs w:val="24"/>
        </w:rPr>
      </w:pPr>
      <w:r w:rsidRPr="00DB7801">
        <w:rPr>
          <w:rFonts w:ascii="Arial" w:hAnsi="Arial" w:cs="Arial"/>
          <w:sz w:val="24"/>
          <w:szCs w:val="24"/>
        </w:rPr>
        <w:t xml:space="preserve">The first step in stakeholder management is identifying all individuals and groups who may affect or </w:t>
      </w:r>
      <w:proofErr w:type="gramStart"/>
      <w:r w:rsidRPr="00DB7801">
        <w:rPr>
          <w:rFonts w:ascii="Arial" w:hAnsi="Arial" w:cs="Arial"/>
          <w:sz w:val="24"/>
          <w:szCs w:val="24"/>
        </w:rPr>
        <w:t>be affected</w:t>
      </w:r>
      <w:proofErr w:type="gramEnd"/>
      <w:r w:rsidRPr="00DB7801">
        <w:rPr>
          <w:rFonts w:ascii="Arial" w:hAnsi="Arial" w:cs="Arial"/>
          <w:sz w:val="24"/>
          <w:szCs w:val="24"/>
        </w:rPr>
        <w:t xml:space="preserve"> by the housing development project. Key stakeholders identified in this project include local authorities, the project developer, construction contractors, existing </w:t>
      </w:r>
      <w:r w:rsidRPr="00DB7801" w:rsidR="00664536">
        <w:rPr>
          <w:rFonts w:ascii="Arial" w:hAnsi="Arial" w:cs="Arial"/>
          <w:sz w:val="24"/>
          <w:szCs w:val="24"/>
        </w:rPr>
        <w:t>residents</w:t>
      </w:r>
      <w:r w:rsidRPr="00DB7801">
        <w:rPr>
          <w:rFonts w:ascii="Arial" w:hAnsi="Arial" w:cs="Arial"/>
          <w:sz w:val="24"/>
          <w:szCs w:val="24"/>
        </w:rPr>
        <w:t>, future residents, community organisations, environmental groups, utility providers, and funding bodies. Each of these stakeholders holds differing levels of power, interest, and influence over the project, requiring distinct engagement approaches.</w:t>
      </w:r>
    </w:p>
    <w:p w:rsidRPr="00DB7801" w:rsidR="00DB7801" w:rsidP="00DB7801" w:rsidRDefault="00DB7801" w14:paraId="01B48188" w14:textId="77777777">
      <w:pPr>
        <w:rPr>
          <w:rFonts w:ascii="Arial" w:hAnsi="Arial" w:cs="Arial"/>
          <w:sz w:val="24"/>
          <w:szCs w:val="24"/>
        </w:rPr>
      </w:pPr>
      <w:r w:rsidRPr="00DB7801">
        <w:rPr>
          <w:rFonts w:ascii="Arial" w:hAnsi="Arial" w:cs="Arial"/>
          <w:sz w:val="24"/>
          <w:szCs w:val="24"/>
        </w:rPr>
        <w:t xml:space="preserve">Local authorities play a regulatory and decision-making role by granting planning permission and ensuring compliance with housing, safety, and environmental regulations. The project developer is responsible for financing, planning, and overseeing the project, while construction contractors manage day-to-day construction activities. Existing residents </w:t>
      </w:r>
      <w:proofErr w:type="gramStart"/>
      <w:r w:rsidRPr="00DB7801">
        <w:rPr>
          <w:rFonts w:ascii="Arial" w:hAnsi="Arial" w:cs="Arial"/>
          <w:sz w:val="24"/>
          <w:szCs w:val="24"/>
        </w:rPr>
        <w:t>are directly affected</w:t>
      </w:r>
      <w:proofErr w:type="gramEnd"/>
      <w:r w:rsidRPr="00DB7801">
        <w:rPr>
          <w:rFonts w:ascii="Arial" w:hAnsi="Arial" w:cs="Arial"/>
          <w:sz w:val="24"/>
          <w:szCs w:val="24"/>
        </w:rPr>
        <w:t xml:space="preserve"> by the project due to potential noise, traffic, and environmental disruption, whereas future residents have a strong interest in the quality, affordability, and sustainability of the housing. Community and environmental groups represent broader social and environmental concerns, while utility providers support infrastructure requirements such as water, electricity, and waste management.</w:t>
      </w:r>
    </w:p>
    <w:p w:rsidRPr="00DB7801" w:rsidR="00DB7801" w:rsidP="00DB7801" w:rsidRDefault="00DB7801" w14:paraId="04D9FC14" w14:textId="77777777">
      <w:pPr>
        <w:rPr>
          <w:rFonts w:ascii="Arial" w:hAnsi="Arial" w:cs="Arial"/>
          <w:sz w:val="24"/>
          <w:szCs w:val="24"/>
        </w:rPr>
      </w:pPr>
      <w:r w:rsidRPr="00DB7801">
        <w:rPr>
          <w:rFonts w:ascii="Arial" w:hAnsi="Arial" w:cs="Arial"/>
          <w:sz w:val="24"/>
          <w:szCs w:val="24"/>
        </w:rPr>
        <w:t>Power–Interest Matrix Application</w:t>
      </w:r>
    </w:p>
    <w:p w:rsidRPr="00DB7801" w:rsidR="00DB7801" w:rsidP="00DB7801" w:rsidRDefault="00DB7801" w14:paraId="39A82B30" w14:textId="77777777">
      <w:pPr>
        <w:rPr>
          <w:rFonts w:ascii="Arial" w:hAnsi="Arial" w:cs="Arial"/>
          <w:sz w:val="24"/>
          <w:szCs w:val="24"/>
        </w:rPr>
      </w:pPr>
      <w:r w:rsidRPr="00DB7801">
        <w:rPr>
          <w:rFonts w:ascii="Arial" w:hAnsi="Arial" w:cs="Arial"/>
          <w:sz w:val="24"/>
          <w:szCs w:val="24"/>
        </w:rPr>
        <w:t xml:space="preserve">To prioritise stakeholder engagement, a Power–Interest Matrix </w:t>
      </w:r>
      <w:proofErr w:type="gramStart"/>
      <w:r w:rsidRPr="00DB7801">
        <w:rPr>
          <w:rFonts w:ascii="Arial" w:hAnsi="Arial" w:cs="Arial"/>
          <w:sz w:val="24"/>
          <w:szCs w:val="24"/>
        </w:rPr>
        <w:t>was used</w:t>
      </w:r>
      <w:proofErr w:type="gramEnd"/>
      <w:r w:rsidRPr="00DB7801">
        <w:rPr>
          <w:rFonts w:ascii="Arial" w:hAnsi="Arial" w:cs="Arial"/>
          <w:sz w:val="24"/>
          <w:szCs w:val="24"/>
        </w:rPr>
        <w:t xml:space="preserve"> to categorise stakeholders based on their level of authority and their interest in the project outcomes. This framework enables project managers to allocate resources effectively and tailor engagement strategies to stakeholder needs.</w:t>
      </w:r>
    </w:p>
    <w:p w:rsidRPr="00DB7801" w:rsidR="00DB7801" w:rsidP="00DB7801" w:rsidRDefault="00DB7801" w14:paraId="038DA972" w14:textId="6774AB76">
      <w:pPr>
        <w:rPr>
          <w:rFonts w:ascii="Arial" w:hAnsi="Arial" w:cs="Arial"/>
          <w:sz w:val="24"/>
          <w:szCs w:val="24"/>
        </w:rPr>
      </w:pPr>
      <w:r w:rsidRPr="228E9535" w:rsidR="05AECE3F">
        <w:rPr>
          <w:rFonts w:ascii="Arial" w:hAnsi="Arial" w:eastAsia="Arial" w:cs="Arial"/>
          <w:sz w:val="24"/>
          <w:szCs w:val="24"/>
        </w:rPr>
        <w:t>Stakeholders with high power and high interest, such as local authorities and the project developer, require close management and continuous engagement. High power but low interest stakeholders, including some regulatory bodies and funding institutions, should be kept satisfied through formal reporting and compliance updates. Low power but high interest stakeholders, such as existing residents and community groups, require regular communication and consultation to ensure their concerns are addressed. Finally, low power and low interest stakeholders, such as external suppliers, require minimal monitoring.</w:t>
      </w:r>
    </w:p>
    <w:p w:rsidRPr="00DB7801" w:rsidR="00DB7801" w:rsidP="00DB7801" w:rsidRDefault="00DB7801" w14:paraId="6CAA3CE0" w14:textId="77777777">
      <w:pPr>
        <w:rPr>
          <w:rFonts w:ascii="Arial" w:hAnsi="Arial" w:cs="Arial"/>
          <w:sz w:val="24"/>
          <w:szCs w:val="24"/>
        </w:rPr>
      </w:pPr>
      <w:r w:rsidRPr="00DB7801">
        <w:rPr>
          <w:rFonts w:ascii="Arial" w:hAnsi="Arial" w:cs="Arial"/>
          <w:sz w:val="24"/>
          <w:szCs w:val="24"/>
        </w:rPr>
        <w:t xml:space="preserve">The application of the Power–Interest Matrix ensured that engagement efforts </w:t>
      </w:r>
      <w:proofErr w:type="gramStart"/>
      <w:r w:rsidRPr="00DB7801">
        <w:rPr>
          <w:rFonts w:ascii="Arial" w:hAnsi="Arial" w:cs="Arial"/>
          <w:sz w:val="24"/>
          <w:szCs w:val="24"/>
        </w:rPr>
        <w:t>were focused</w:t>
      </w:r>
      <w:proofErr w:type="gramEnd"/>
      <w:r w:rsidRPr="00DB7801">
        <w:rPr>
          <w:rFonts w:ascii="Arial" w:hAnsi="Arial" w:cs="Arial"/>
          <w:sz w:val="24"/>
          <w:szCs w:val="24"/>
        </w:rPr>
        <w:t xml:space="preserve"> on stakeholders most capable of influencing project success, while still maintaining transparency and inclusivity.</w:t>
      </w:r>
    </w:p>
    <w:p w:rsidRPr="00DB7801" w:rsidR="00DB7801" w:rsidP="00DB7801" w:rsidRDefault="00DB7801" w14:paraId="59EE3BA2" w14:textId="77777777">
      <w:pPr>
        <w:rPr>
          <w:rFonts w:ascii="Arial" w:hAnsi="Arial" w:cs="Arial"/>
          <w:sz w:val="24"/>
          <w:szCs w:val="24"/>
        </w:rPr>
      </w:pPr>
      <w:r w:rsidRPr="00DB7801">
        <w:rPr>
          <w:rFonts w:ascii="Arial" w:hAnsi="Arial" w:cs="Arial"/>
          <w:sz w:val="24"/>
          <w:szCs w:val="24"/>
        </w:rPr>
        <w:t>Stakeholder Engagement Strategies and Communication Channels</w:t>
      </w:r>
    </w:p>
    <w:p w:rsidRPr="00DB7801" w:rsidR="00DB7801" w:rsidP="00DB7801" w:rsidRDefault="00DB7801" w14:paraId="2372A32D" w14:textId="77777777">
      <w:pPr>
        <w:rPr>
          <w:rFonts w:ascii="Arial" w:hAnsi="Arial" w:cs="Arial"/>
          <w:sz w:val="24"/>
          <w:szCs w:val="24"/>
        </w:rPr>
      </w:pPr>
      <w:r w:rsidRPr="00DB7801">
        <w:rPr>
          <w:rFonts w:ascii="Arial" w:hAnsi="Arial" w:cs="Arial"/>
          <w:sz w:val="24"/>
          <w:szCs w:val="24"/>
        </w:rPr>
        <w:t xml:space="preserve">Different engagement strategies </w:t>
      </w:r>
      <w:proofErr w:type="gramStart"/>
      <w:r w:rsidRPr="00DB7801">
        <w:rPr>
          <w:rFonts w:ascii="Arial" w:hAnsi="Arial" w:cs="Arial"/>
          <w:sz w:val="24"/>
          <w:szCs w:val="24"/>
        </w:rPr>
        <w:t>were adopted</w:t>
      </w:r>
      <w:proofErr w:type="gramEnd"/>
      <w:r w:rsidRPr="00DB7801">
        <w:rPr>
          <w:rFonts w:ascii="Arial" w:hAnsi="Arial" w:cs="Arial"/>
          <w:sz w:val="24"/>
          <w:szCs w:val="24"/>
        </w:rPr>
        <w:t xml:space="preserve"> to reflect stakeholder expectations and influence. Local authorities were engaged through formal planning applications, progress reports, and scheduled meetings to ensure regulatory compliance and timely approvals. This structured communication approach proved effective in minimising delays and ensuring alignment with planning requirements.</w:t>
      </w:r>
    </w:p>
    <w:p w:rsidRPr="00DB7801" w:rsidR="00DB7801" w:rsidP="00DB7801" w:rsidRDefault="00DB7801" w14:paraId="7FEAA958" w14:textId="77777777">
      <w:pPr>
        <w:rPr>
          <w:rFonts w:ascii="Arial" w:hAnsi="Arial" w:cs="Arial"/>
          <w:sz w:val="24"/>
          <w:szCs w:val="24"/>
        </w:rPr>
      </w:pPr>
      <w:r w:rsidRPr="00DB7801">
        <w:rPr>
          <w:rFonts w:ascii="Arial" w:hAnsi="Arial" w:cs="Arial"/>
          <w:sz w:val="24"/>
          <w:szCs w:val="24"/>
        </w:rPr>
        <w:t xml:space="preserve">Existing residents and community groups were engaged through public consultations, community meetings, newsletters, and online platforms. These channels allowed residents to express concerns regarding noise pollution, traffic congestion, and environmental impact. Two-way communication helped build trust and reduced opposition by demonstrating that community feedback </w:t>
      </w:r>
      <w:proofErr w:type="gramStart"/>
      <w:r w:rsidRPr="00DB7801">
        <w:rPr>
          <w:rFonts w:ascii="Arial" w:hAnsi="Arial" w:cs="Arial"/>
          <w:sz w:val="24"/>
          <w:szCs w:val="24"/>
        </w:rPr>
        <w:t>was considered</w:t>
      </w:r>
      <w:proofErr w:type="gramEnd"/>
      <w:r w:rsidRPr="00DB7801">
        <w:rPr>
          <w:rFonts w:ascii="Arial" w:hAnsi="Arial" w:cs="Arial"/>
          <w:sz w:val="24"/>
          <w:szCs w:val="24"/>
        </w:rPr>
        <w:t xml:space="preserve"> in decision-making processes.</w:t>
      </w:r>
    </w:p>
    <w:p w:rsidRPr="00DB7801" w:rsidR="00DB7801" w:rsidP="00DB7801" w:rsidRDefault="00DB7801" w14:paraId="686F976B" w14:textId="77777777">
      <w:pPr>
        <w:rPr>
          <w:rFonts w:ascii="Arial" w:hAnsi="Arial" w:cs="Arial"/>
          <w:sz w:val="24"/>
          <w:szCs w:val="24"/>
        </w:rPr>
      </w:pPr>
      <w:r w:rsidRPr="00DB7801">
        <w:rPr>
          <w:rFonts w:ascii="Arial" w:hAnsi="Arial" w:cs="Arial"/>
          <w:sz w:val="24"/>
          <w:szCs w:val="24"/>
        </w:rPr>
        <w:t xml:space="preserve">Construction contractors and suppliers </w:t>
      </w:r>
      <w:proofErr w:type="gramStart"/>
      <w:r w:rsidRPr="00DB7801">
        <w:rPr>
          <w:rFonts w:ascii="Arial" w:hAnsi="Arial" w:cs="Arial"/>
          <w:sz w:val="24"/>
          <w:szCs w:val="24"/>
        </w:rPr>
        <w:t>were managed</w:t>
      </w:r>
      <w:proofErr w:type="gramEnd"/>
      <w:r w:rsidRPr="00DB7801">
        <w:rPr>
          <w:rFonts w:ascii="Arial" w:hAnsi="Arial" w:cs="Arial"/>
          <w:sz w:val="24"/>
          <w:szCs w:val="24"/>
        </w:rPr>
        <w:t xml:space="preserve"> through contractual agreements, regular site meetings, and performance reviews. Clear communication channels improved coordination, health and safety compliance, and project efficiency. Future residents were engaged through marketing materials, information sessions, and digital communication platforms to manage expectations regarding timelines, design features, and sustainability initiatives.</w:t>
      </w:r>
    </w:p>
    <w:p w:rsidRPr="00DB7801" w:rsidR="00DB7801" w:rsidP="00DB7801" w:rsidRDefault="00DB7801" w14:paraId="1C10C6DB" w14:textId="77777777">
      <w:pPr>
        <w:rPr>
          <w:rFonts w:ascii="Arial" w:hAnsi="Arial" w:cs="Arial"/>
          <w:sz w:val="24"/>
          <w:szCs w:val="24"/>
        </w:rPr>
      </w:pPr>
      <w:r w:rsidRPr="00DB7801">
        <w:rPr>
          <w:rFonts w:ascii="Arial" w:hAnsi="Arial" w:cs="Arial"/>
          <w:sz w:val="24"/>
          <w:szCs w:val="24"/>
        </w:rPr>
        <w:t>Challenges in Stakeholder Engagement</w:t>
      </w:r>
    </w:p>
    <w:p w:rsidRPr="00DB7801" w:rsidR="00DB7801" w:rsidP="00DB7801" w:rsidRDefault="00DB7801" w14:paraId="4AA97103" w14:textId="0E1BA10E">
      <w:pPr>
        <w:rPr>
          <w:rFonts w:ascii="Arial" w:hAnsi="Arial" w:cs="Arial"/>
          <w:sz w:val="24"/>
          <w:szCs w:val="24"/>
        </w:rPr>
      </w:pPr>
      <w:r w:rsidRPr="00DB7801">
        <w:rPr>
          <w:rFonts w:ascii="Arial" w:hAnsi="Arial" w:cs="Arial"/>
          <w:sz w:val="24"/>
          <w:szCs w:val="24"/>
        </w:rPr>
        <w:t xml:space="preserve">Despite the use of structured engagement strategies, </w:t>
      </w:r>
      <w:proofErr w:type="gramStart"/>
      <w:r w:rsidRPr="00DB7801">
        <w:rPr>
          <w:rFonts w:ascii="Arial" w:hAnsi="Arial" w:cs="Arial"/>
          <w:sz w:val="24"/>
          <w:szCs w:val="24"/>
        </w:rPr>
        <w:t>several</w:t>
      </w:r>
      <w:proofErr w:type="gramEnd"/>
      <w:r w:rsidRPr="00DB7801">
        <w:rPr>
          <w:rFonts w:ascii="Arial" w:hAnsi="Arial" w:cs="Arial"/>
          <w:sz w:val="24"/>
          <w:szCs w:val="24"/>
        </w:rPr>
        <w:t xml:space="preserve"> challenges were encountered. Conflicting stakeholder interests emerged between the project developer’s objectives to minimise costs and community expectations for environmental protection and minimal disruption. Resistance from some </w:t>
      </w:r>
      <w:proofErr w:type="gramStart"/>
      <w:r w:rsidRPr="00DB7801">
        <w:rPr>
          <w:rFonts w:ascii="Arial" w:hAnsi="Arial" w:cs="Arial"/>
          <w:sz w:val="24"/>
          <w:szCs w:val="24"/>
        </w:rPr>
        <w:t>local residents</w:t>
      </w:r>
      <w:proofErr w:type="gramEnd"/>
      <w:r w:rsidRPr="00DB7801">
        <w:rPr>
          <w:rFonts w:ascii="Arial" w:hAnsi="Arial" w:cs="Arial"/>
          <w:sz w:val="24"/>
          <w:szCs w:val="24"/>
        </w:rPr>
        <w:t xml:space="preserve"> highlighted the difficulty of balancing commercial objectives with social responsibility. Additionally, maintaining consistent communication across diverse stakeholder groups required </w:t>
      </w:r>
      <w:r w:rsidRPr="00DB7801">
        <w:rPr>
          <w:rFonts w:ascii="Arial" w:hAnsi="Arial" w:cs="Arial"/>
          <w:sz w:val="24"/>
          <w:szCs w:val="24"/>
        </w:rPr>
        <w:t>considerable time</w:t>
      </w:r>
      <w:r w:rsidRPr="00DB7801">
        <w:rPr>
          <w:rFonts w:ascii="Arial" w:hAnsi="Arial" w:cs="Arial"/>
          <w:sz w:val="24"/>
          <w:szCs w:val="24"/>
        </w:rPr>
        <w:t xml:space="preserve"> and resources.</w:t>
      </w:r>
    </w:p>
    <w:p w:rsidRPr="00DB7801" w:rsidR="00DB7801" w:rsidP="00DB7801" w:rsidRDefault="00DB7801" w14:paraId="6161556E" w14:textId="77777777">
      <w:pPr>
        <w:rPr>
          <w:rFonts w:ascii="Arial" w:hAnsi="Arial" w:cs="Arial"/>
          <w:sz w:val="24"/>
          <w:szCs w:val="24"/>
        </w:rPr>
      </w:pPr>
      <w:r w:rsidRPr="00DB7801">
        <w:rPr>
          <w:rFonts w:ascii="Arial" w:hAnsi="Arial" w:cs="Arial"/>
          <w:sz w:val="24"/>
          <w:szCs w:val="24"/>
        </w:rPr>
        <w:t>Effectiveness of Engagement Strategies</w:t>
      </w:r>
    </w:p>
    <w:p w:rsidR="00DB7801" w:rsidP="00DB7801" w:rsidRDefault="00DB7801" w14:paraId="43FAB402" w14:textId="6E1758E4">
      <w:pPr>
        <w:rPr>
          <w:rFonts w:ascii="Arial" w:hAnsi="Arial" w:cs="Arial"/>
          <w:sz w:val="24"/>
          <w:szCs w:val="24"/>
        </w:rPr>
      </w:pPr>
      <w:r w:rsidRPr="00DB7801">
        <w:rPr>
          <w:rFonts w:ascii="Arial" w:hAnsi="Arial" w:cs="Arial"/>
          <w:sz w:val="24"/>
          <w:szCs w:val="24"/>
        </w:rPr>
        <w:t xml:space="preserve">Overall, the stakeholder engagement strategies implemented in the housing development project were effective in supporting project progression and reducing conflict. The use of the Power–Interest Matrix enabled prioritisation of key stakeholders, while varied communication channels ensured inclusivity. Although challenges remained, particularly in managing community concerns, </w:t>
      </w:r>
      <w:proofErr w:type="gramStart"/>
      <w:r w:rsidRPr="00DB7801">
        <w:rPr>
          <w:rFonts w:ascii="Arial" w:hAnsi="Arial" w:cs="Arial"/>
          <w:sz w:val="24"/>
          <w:szCs w:val="24"/>
        </w:rPr>
        <w:t>proactive</w:t>
      </w:r>
      <w:proofErr w:type="gramEnd"/>
      <w:r w:rsidRPr="00DB7801">
        <w:rPr>
          <w:rFonts w:ascii="Arial" w:hAnsi="Arial" w:cs="Arial"/>
          <w:sz w:val="24"/>
          <w:szCs w:val="24"/>
        </w:rPr>
        <w:t xml:space="preserve"> engagement contributed to improved stakeholder relationships, enhanced trust, and increased likelihood of project success.</w:t>
      </w:r>
    </w:p>
    <w:p w:rsidRPr="00DB7801" w:rsidR="00DB7801" w:rsidP="00DB7801" w:rsidRDefault="00DB7801" w14:paraId="617A9F51" w14:textId="77777777">
      <w:pPr>
        <w:rPr>
          <w:rFonts w:ascii="Arial" w:hAnsi="Arial" w:cs="Arial"/>
          <w:sz w:val="24"/>
          <w:szCs w:val="24"/>
        </w:rPr>
      </w:pPr>
      <w:r w:rsidRPr="00DB7801">
        <w:rPr>
          <w:rFonts w:ascii="Arial" w:hAnsi="Arial" w:cs="Arial"/>
          <w:sz w:val="24"/>
          <w:szCs w:val="24"/>
        </w:rPr>
        <w:t>Element 3: Ethical Considerations, Awareness, and Reflective Insight</w:t>
      </w:r>
    </w:p>
    <w:p w:rsidRPr="00DB7801" w:rsidR="00DB7801" w:rsidP="00DB7801" w:rsidRDefault="00DB7801" w14:paraId="383EBE05" w14:textId="77777777">
      <w:pPr>
        <w:rPr>
          <w:rFonts w:ascii="Arial" w:hAnsi="Arial" w:cs="Arial"/>
          <w:sz w:val="24"/>
          <w:szCs w:val="24"/>
        </w:rPr>
      </w:pPr>
      <w:r w:rsidRPr="00DB7801">
        <w:rPr>
          <w:rFonts w:ascii="Arial" w:hAnsi="Arial" w:cs="Arial"/>
          <w:sz w:val="24"/>
          <w:szCs w:val="24"/>
        </w:rPr>
        <w:t xml:space="preserve">Ethical considerations play a fundamental role in stakeholder engagement, particularly in projects that directly affect local communities, such as housing development projects. Ethical stakeholder management requires project </w:t>
      </w:r>
      <w:r w:rsidRPr="00DB7801">
        <w:rPr>
          <w:rFonts w:ascii="Arial" w:hAnsi="Arial" w:cs="Arial"/>
          <w:sz w:val="24"/>
          <w:szCs w:val="24"/>
        </w:rPr>
        <w:t xml:space="preserve">organisations to act responsibly, transparently, and fairly while balancing competing interests. In the context of the local housing development project, </w:t>
      </w:r>
      <w:proofErr w:type="gramStart"/>
      <w:r w:rsidRPr="00DB7801">
        <w:rPr>
          <w:rFonts w:ascii="Arial" w:hAnsi="Arial" w:cs="Arial"/>
          <w:sz w:val="24"/>
          <w:szCs w:val="24"/>
        </w:rPr>
        <w:t>several</w:t>
      </w:r>
      <w:proofErr w:type="gramEnd"/>
      <w:r w:rsidRPr="00DB7801">
        <w:rPr>
          <w:rFonts w:ascii="Arial" w:hAnsi="Arial" w:cs="Arial"/>
          <w:sz w:val="24"/>
          <w:szCs w:val="24"/>
        </w:rPr>
        <w:t xml:space="preserve"> ethical issues emerged in relation to community interests, decision-making processes, and the long-term social and environmental impact of the project.</w:t>
      </w:r>
    </w:p>
    <w:p w:rsidRPr="00DB7801" w:rsidR="00DB7801" w:rsidP="00DB7801" w:rsidRDefault="00DB7801" w14:paraId="5A0C8641" w14:textId="77777777">
      <w:pPr>
        <w:rPr>
          <w:rFonts w:ascii="Arial" w:hAnsi="Arial" w:cs="Arial"/>
          <w:sz w:val="24"/>
          <w:szCs w:val="24"/>
        </w:rPr>
      </w:pPr>
      <w:r w:rsidRPr="00DB7801">
        <w:rPr>
          <w:rFonts w:ascii="Arial" w:hAnsi="Arial" w:cs="Arial"/>
          <w:sz w:val="24"/>
          <w:szCs w:val="24"/>
        </w:rPr>
        <w:t>One of the key ethical considerations in stakeholder engagement is the protection of community interests. Housing development projects can significantly alter the social and physical environment of a community, affecting residents’ quality of life, access to services, and sense of belonging. Ethical practice requires project managers to recognise the legitimate concerns of existing residents, particularly in relation to noise, traffic disruption, environmental impact, and housing affordability. Failure to adequately consider these concerns may result in social exclusion and loss of trust, highlighting the moral responsibility of project organisations to engage meaningfully with affected communities rather than adopting a purely profit-driven approach.</w:t>
      </w:r>
    </w:p>
    <w:p w:rsidRPr="00DB7801" w:rsidR="00DB7801" w:rsidP="00DB7801" w:rsidRDefault="00DB7801" w14:paraId="2D874D8C" w14:textId="77777777">
      <w:pPr>
        <w:rPr>
          <w:rFonts w:ascii="Arial" w:hAnsi="Arial" w:cs="Arial"/>
          <w:sz w:val="24"/>
          <w:szCs w:val="24"/>
        </w:rPr>
      </w:pPr>
      <w:r w:rsidRPr="00DB7801">
        <w:rPr>
          <w:rFonts w:ascii="Arial" w:hAnsi="Arial" w:cs="Arial"/>
          <w:sz w:val="24"/>
          <w:szCs w:val="24"/>
        </w:rPr>
        <w:t xml:space="preserve">Transparency is another critical ethical issue in stakeholder engagement. Transparent communication involves providing accurate, timely, and accessible information to stakeholders regarding project objectives, timelines, risks, and potential impacts. In the housing development project, transparency was essential in maintaining stakeholder trust, particularly during the planning and construction phases. Ethical challenges arise when information </w:t>
      </w:r>
      <w:proofErr w:type="gramStart"/>
      <w:r w:rsidRPr="00DB7801">
        <w:rPr>
          <w:rFonts w:ascii="Arial" w:hAnsi="Arial" w:cs="Arial"/>
          <w:sz w:val="24"/>
          <w:szCs w:val="24"/>
        </w:rPr>
        <w:t>is withheld</w:t>
      </w:r>
      <w:proofErr w:type="gramEnd"/>
      <w:r w:rsidRPr="00DB7801">
        <w:rPr>
          <w:rFonts w:ascii="Arial" w:hAnsi="Arial" w:cs="Arial"/>
          <w:sz w:val="24"/>
          <w:szCs w:val="24"/>
        </w:rPr>
        <w:t>, selectively disclosed, or presented in a misleading manner, as this can undermine informed stakeholder participation. Open consultation meetings, public notices, and clear communication materials were therefore vital in supporting ethical decision-making and accountability.</w:t>
      </w:r>
    </w:p>
    <w:p w:rsidRPr="00DB7801" w:rsidR="00DB7801" w:rsidP="00DB7801" w:rsidRDefault="00DB7801" w14:paraId="3AB6B6D9" w14:textId="77777777">
      <w:pPr>
        <w:rPr>
          <w:rFonts w:ascii="Arial" w:hAnsi="Arial" w:cs="Arial"/>
          <w:sz w:val="24"/>
          <w:szCs w:val="24"/>
        </w:rPr>
      </w:pPr>
      <w:r w:rsidRPr="00DB7801">
        <w:rPr>
          <w:rFonts w:ascii="Arial" w:hAnsi="Arial" w:cs="Arial"/>
          <w:sz w:val="24"/>
          <w:szCs w:val="24"/>
        </w:rPr>
        <w:t xml:space="preserve">Fairness and equity also underpin ethical stakeholder management. Different stakeholder groups often possess unequal levels of power and influence, which can result in marginalisation of less powerful voices, such as </w:t>
      </w:r>
      <w:proofErr w:type="gramStart"/>
      <w:r w:rsidRPr="00DB7801">
        <w:rPr>
          <w:rFonts w:ascii="Arial" w:hAnsi="Arial" w:cs="Arial"/>
          <w:sz w:val="24"/>
          <w:szCs w:val="24"/>
        </w:rPr>
        <w:t>local residents</w:t>
      </w:r>
      <w:proofErr w:type="gramEnd"/>
      <w:r w:rsidRPr="00DB7801">
        <w:rPr>
          <w:rFonts w:ascii="Arial" w:hAnsi="Arial" w:cs="Arial"/>
          <w:sz w:val="24"/>
          <w:szCs w:val="24"/>
        </w:rPr>
        <w:t xml:space="preserve"> or community organisations. Ethical engagement requires project managers to ensure that all stakeholders </w:t>
      </w:r>
      <w:proofErr w:type="gramStart"/>
      <w:r w:rsidRPr="00DB7801">
        <w:rPr>
          <w:rFonts w:ascii="Arial" w:hAnsi="Arial" w:cs="Arial"/>
          <w:sz w:val="24"/>
          <w:szCs w:val="24"/>
        </w:rPr>
        <w:t>are given</w:t>
      </w:r>
      <w:proofErr w:type="gramEnd"/>
      <w:r w:rsidRPr="00DB7801">
        <w:rPr>
          <w:rFonts w:ascii="Arial" w:hAnsi="Arial" w:cs="Arial"/>
          <w:sz w:val="24"/>
          <w:szCs w:val="24"/>
        </w:rPr>
        <w:t xml:space="preserve"> an opportunity to express their views and that decision-making processes do not disproportionately favour powerful actors, such as developers or investors. In this project, efforts to ensure fairness included public consultations and feedback mechanisms designed to capture community perspectives and address concerns where feasible.</w:t>
      </w:r>
    </w:p>
    <w:p w:rsidRPr="00DB7801" w:rsidR="00DB7801" w:rsidP="00DB7801" w:rsidRDefault="00DB7801" w14:paraId="0E916526" w14:textId="3B7A64C7">
      <w:pPr>
        <w:rPr>
          <w:rFonts w:ascii="Arial" w:hAnsi="Arial" w:cs="Arial"/>
          <w:sz w:val="24"/>
          <w:szCs w:val="24"/>
        </w:rPr>
      </w:pPr>
      <w:r w:rsidRPr="00DB7801">
        <w:rPr>
          <w:rFonts w:ascii="Arial" w:hAnsi="Arial" w:cs="Arial"/>
          <w:sz w:val="24"/>
          <w:szCs w:val="24"/>
        </w:rPr>
        <w:t xml:space="preserve">Corporate Social Responsibility (CSR) </w:t>
      </w:r>
      <w:proofErr w:type="gramStart"/>
      <w:r w:rsidRPr="00DB7801">
        <w:rPr>
          <w:rFonts w:ascii="Arial" w:hAnsi="Arial" w:cs="Arial"/>
          <w:sz w:val="24"/>
          <w:szCs w:val="24"/>
        </w:rPr>
        <w:t xml:space="preserve">is </w:t>
      </w:r>
      <w:r w:rsidRPr="00DB7801">
        <w:rPr>
          <w:rFonts w:ascii="Arial" w:hAnsi="Arial" w:cs="Arial"/>
          <w:sz w:val="24"/>
          <w:szCs w:val="24"/>
        </w:rPr>
        <w:t>intricately linked</w:t>
      </w:r>
      <w:proofErr w:type="gramEnd"/>
      <w:r w:rsidRPr="00DB7801">
        <w:rPr>
          <w:rFonts w:ascii="Arial" w:hAnsi="Arial" w:cs="Arial"/>
          <w:sz w:val="24"/>
          <w:szCs w:val="24"/>
        </w:rPr>
        <w:t xml:space="preserve"> to ethical stakeholder management and emphasises the responsibility of organisations to contribute positively to society beyond financial performance. In the housing development project, CSR principles </w:t>
      </w:r>
      <w:proofErr w:type="gramStart"/>
      <w:r w:rsidRPr="00DB7801">
        <w:rPr>
          <w:rFonts w:ascii="Arial" w:hAnsi="Arial" w:cs="Arial"/>
          <w:sz w:val="24"/>
          <w:szCs w:val="24"/>
        </w:rPr>
        <w:t>were reflected</w:t>
      </w:r>
      <w:proofErr w:type="gramEnd"/>
      <w:r w:rsidRPr="00DB7801">
        <w:rPr>
          <w:rFonts w:ascii="Arial" w:hAnsi="Arial" w:cs="Arial"/>
          <w:sz w:val="24"/>
          <w:szCs w:val="24"/>
        </w:rPr>
        <w:t xml:space="preserve"> in commitments to environmental sustainability, social inclusion, and community wellbeing. For example, the incorporation of energy-efficient building designs, waste reduction practices, and green spaces demonstrated an awareness of environmental responsibility. Additionally, efforts to provide affordable housing options aligned with the social dimension of CSR by addressing local housing needs and promoting social equity.</w:t>
      </w:r>
    </w:p>
    <w:p w:rsidRPr="00DB7801" w:rsidR="00DB7801" w:rsidP="00DB7801" w:rsidRDefault="00DB7801" w14:paraId="7AE20CC3" w14:textId="73DFDD33">
      <w:pPr>
        <w:rPr>
          <w:rFonts w:ascii="Arial" w:hAnsi="Arial" w:cs="Arial"/>
          <w:sz w:val="24"/>
          <w:szCs w:val="24"/>
        </w:rPr>
      </w:pPr>
      <w:r w:rsidRPr="228E9535" w:rsidR="05AECE3F">
        <w:rPr>
          <w:rFonts w:ascii="Arial" w:hAnsi="Arial" w:cs="Arial"/>
          <w:sz w:val="24"/>
          <w:szCs w:val="24"/>
        </w:rPr>
        <w:t xml:space="preserve">Sustainability is a key </w:t>
      </w:r>
      <w:r w:rsidRPr="228E9535" w:rsidR="05AECE3F">
        <w:rPr>
          <w:rFonts w:ascii="Arial" w:hAnsi="Arial" w:cs="Arial"/>
          <w:sz w:val="24"/>
          <w:szCs w:val="24"/>
        </w:rPr>
        <w:t>component</w:t>
      </w:r>
      <w:r w:rsidRPr="228E9535" w:rsidR="05AECE3F">
        <w:rPr>
          <w:rFonts w:ascii="Arial" w:hAnsi="Arial" w:cs="Arial"/>
          <w:sz w:val="24"/>
          <w:szCs w:val="24"/>
        </w:rPr>
        <w:t xml:space="preserve"> of ethical stakeholder engagement and </w:t>
      </w:r>
      <w:r w:rsidRPr="228E9535" w:rsidR="05AECE3F">
        <w:rPr>
          <w:rFonts w:ascii="Arial" w:hAnsi="Arial" w:cs="Arial"/>
          <w:sz w:val="24"/>
          <w:szCs w:val="24"/>
        </w:rPr>
        <w:t xml:space="preserve">is </w:t>
      </w:r>
      <w:r w:rsidRPr="228E9535" w:rsidR="05AECE3F">
        <w:rPr>
          <w:rFonts w:ascii="Arial" w:hAnsi="Arial" w:cs="Arial"/>
          <w:sz w:val="24"/>
          <w:szCs w:val="24"/>
        </w:rPr>
        <w:t>intricately connected</w:t>
      </w:r>
      <w:r w:rsidRPr="228E9535" w:rsidR="05AECE3F">
        <w:rPr>
          <w:rFonts w:ascii="Arial" w:hAnsi="Arial" w:cs="Arial"/>
          <w:sz w:val="24"/>
          <w:szCs w:val="24"/>
        </w:rPr>
        <w:t xml:space="preserve"> to CSR. </w:t>
      </w:r>
      <w:bookmarkStart w:name="_Int_HqSH4RDq" w:id="1614137699"/>
      <w:r w:rsidRPr="228E9535" w:rsidR="05AECE3F">
        <w:rPr>
          <w:rFonts w:ascii="Arial" w:hAnsi="Arial" w:cs="Arial"/>
          <w:sz w:val="24"/>
          <w:szCs w:val="24"/>
        </w:rPr>
        <w:t xml:space="preserve">Sustainable development </w:t>
      </w:r>
      <w:r w:rsidRPr="228E9535" w:rsidR="05AECE3F">
        <w:rPr>
          <w:rFonts w:ascii="Arial" w:hAnsi="Arial" w:cs="Arial"/>
          <w:sz w:val="24"/>
          <w:szCs w:val="24"/>
        </w:rPr>
        <w:t>seeks</w:t>
      </w:r>
      <w:r w:rsidRPr="228E9535" w:rsidR="05AECE3F">
        <w:rPr>
          <w:rFonts w:ascii="Arial" w:hAnsi="Arial" w:cs="Arial"/>
          <w:sz w:val="24"/>
          <w:szCs w:val="24"/>
        </w:rPr>
        <w:t xml:space="preserve"> to balance economic growth with social and environmental protection to meet the needs of present and </w:t>
      </w:r>
      <w:r w:rsidRPr="228E9535" w:rsidR="05AECE3F">
        <w:rPr>
          <w:rFonts w:ascii="Arial" w:hAnsi="Arial" w:cs="Arial"/>
          <w:sz w:val="24"/>
          <w:szCs w:val="24"/>
        </w:rPr>
        <w:t>future generations.</w:t>
      </w:r>
      <w:bookmarkEnd w:id="1614137699"/>
      <w:r w:rsidRPr="228E9535" w:rsidR="05AECE3F">
        <w:rPr>
          <w:rFonts w:ascii="Arial" w:hAnsi="Arial" w:cs="Arial"/>
          <w:sz w:val="24"/>
          <w:szCs w:val="24"/>
        </w:rPr>
        <w:t xml:space="preserve"> In this project, sustainability considerations influenced stakeholder engagement by requiring long-term thinking and collaboration with environmental groups, local authorities, and residents. Ethical tensions arose when short-term project costs conflicted with sustainable design features, such as renewable energy installations. Addressing these tensions required project managers to justify sustainability investments by highlighting long-term benefits for both stakeholders and the wider community.</w:t>
      </w:r>
    </w:p>
    <w:p w:rsidRPr="00DB7801" w:rsidR="00DB7801" w:rsidP="00DB7801" w:rsidRDefault="00DB7801" w14:paraId="4D108A41" w14:textId="77777777">
      <w:pPr>
        <w:rPr>
          <w:rFonts w:ascii="Arial" w:hAnsi="Arial" w:cs="Arial"/>
          <w:sz w:val="24"/>
          <w:szCs w:val="24"/>
        </w:rPr>
      </w:pPr>
      <w:r w:rsidRPr="00DB7801">
        <w:rPr>
          <w:rFonts w:ascii="Arial" w:hAnsi="Arial" w:cs="Arial"/>
          <w:sz w:val="24"/>
          <w:szCs w:val="24"/>
        </w:rPr>
        <w:t xml:space="preserve">Reflection on the stakeholder engagement process highlights the complexity involved in balancing competing interests and ethical responsibilities. </w:t>
      </w:r>
      <w:proofErr w:type="gramStart"/>
      <w:r w:rsidRPr="00DB7801">
        <w:rPr>
          <w:rFonts w:ascii="Arial" w:hAnsi="Arial" w:cs="Arial"/>
          <w:sz w:val="24"/>
          <w:szCs w:val="24"/>
        </w:rPr>
        <w:t>Through analysing this project, it</w:t>
      </w:r>
      <w:proofErr w:type="gramEnd"/>
      <w:r w:rsidRPr="00DB7801">
        <w:rPr>
          <w:rFonts w:ascii="Arial" w:hAnsi="Arial" w:cs="Arial"/>
          <w:sz w:val="24"/>
          <w:szCs w:val="24"/>
        </w:rPr>
        <w:t xml:space="preserve"> became evident that effective stakeholder management extends beyond technical planning and requires strong interpersonal, ethical, and communication skills. The application of stakeholder theories, such as the Power–Interest Matrix, enhanced understanding of how power dynamics influence engagement strategies and ethical outcomes. This theoretical framework helped to identify stakeholders who required greater attention and enabled more informed and ethical decision-making.</w:t>
      </w:r>
    </w:p>
    <w:p w:rsidRPr="00DB7801" w:rsidR="00DB7801" w:rsidP="00DB7801" w:rsidRDefault="00DB7801" w14:paraId="0E94AB5E" w14:textId="77777777">
      <w:pPr>
        <w:rPr>
          <w:rFonts w:ascii="Arial" w:hAnsi="Arial" w:cs="Arial"/>
          <w:sz w:val="24"/>
          <w:szCs w:val="24"/>
        </w:rPr>
      </w:pPr>
      <w:r w:rsidRPr="00DB7801">
        <w:rPr>
          <w:rFonts w:ascii="Arial" w:hAnsi="Arial" w:cs="Arial"/>
          <w:sz w:val="24"/>
          <w:szCs w:val="24"/>
        </w:rPr>
        <w:t>From a personal perspective, the analysis of this housing development project contributed to the development of key professional skills, including communication, negotiation, and ethical awareness. Engaging with diverse stakeholder perspectives highlighted the importance of active listening and empathy in managing conflict and building trust. These skills are directly relevant to future career aspirations within project management or leadership roles, where stakeholder engagement and ethical decision-making are critical to organisational success.</w:t>
      </w:r>
    </w:p>
    <w:p w:rsidRPr="00DB7801" w:rsidR="00DB7801" w:rsidP="00DB7801" w:rsidRDefault="00DB7801" w14:paraId="787F011F" w14:textId="77777777">
      <w:pPr>
        <w:rPr>
          <w:rFonts w:ascii="Arial" w:hAnsi="Arial" w:cs="Arial"/>
          <w:sz w:val="24"/>
          <w:szCs w:val="24"/>
        </w:rPr>
      </w:pPr>
      <w:r w:rsidRPr="00DB7801">
        <w:rPr>
          <w:rFonts w:ascii="Arial" w:hAnsi="Arial" w:cs="Arial"/>
          <w:sz w:val="24"/>
          <w:szCs w:val="24"/>
        </w:rPr>
        <w:t xml:space="preserve">Academic development </w:t>
      </w:r>
      <w:proofErr w:type="gramStart"/>
      <w:r w:rsidRPr="00DB7801">
        <w:rPr>
          <w:rFonts w:ascii="Arial" w:hAnsi="Arial" w:cs="Arial"/>
          <w:sz w:val="24"/>
          <w:szCs w:val="24"/>
        </w:rPr>
        <w:t>was also enhanced</w:t>
      </w:r>
      <w:proofErr w:type="gramEnd"/>
      <w:r w:rsidRPr="00DB7801">
        <w:rPr>
          <w:rFonts w:ascii="Arial" w:hAnsi="Arial" w:cs="Arial"/>
          <w:sz w:val="24"/>
          <w:szCs w:val="24"/>
        </w:rPr>
        <w:t xml:space="preserve"> through the integration of theory and practice. Applying stakeholder management theories to a real-world project improved critical thinking and analytical skills, enabling a deeper understanding of how theoretical concepts operate in complex project environments. Reflective practice encouraged a more nuanced appreciation of ethical challenges and reinforced the importance of continuous learning and self-awareness in professional development.</w:t>
      </w:r>
    </w:p>
    <w:p w:rsidR="00DB7801" w:rsidP="00DB7801" w:rsidRDefault="00DB7801" w14:paraId="4C9D2128" w14:textId="3B5B0982">
      <w:pPr>
        <w:rPr>
          <w:rFonts w:ascii="Arial" w:hAnsi="Arial" w:cs="Arial"/>
          <w:sz w:val="24"/>
          <w:szCs w:val="24"/>
        </w:rPr>
      </w:pPr>
      <w:r w:rsidRPr="00DB7801">
        <w:rPr>
          <w:rFonts w:ascii="Arial" w:hAnsi="Arial" w:cs="Arial"/>
          <w:sz w:val="24"/>
          <w:szCs w:val="24"/>
        </w:rPr>
        <w:t>In conclusion, ethical considerations, CSR, and reflective insight are central to effective stakeholder engagement in housing development projects. Ethical engagement promotes transparency, fairness, and sustainability while strengthening stakeholder relationships and supporting long-term project success. Reflecting on this project has demonstrated that ethical stakeholder management is not only a professional obligation but also a key driver of personal and academic growth.</w:t>
      </w:r>
    </w:p>
    <w:p w:rsidRPr="00DB7801" w:rsidR="00DB7801" w:rsidP="00DB7801" w:rsidRDefault="00DB7801" w14:paraId="08021F1D" w14:textId="77777777">
      <w:pPr>
        <w:rPr>
          <w:rFonts w:ascii="Arial" w:hAnsi="Arial" w:cs="Arial"/>
          <w:sz w:val="24"/>
          <w:szCs w:val="24"/>
        </w:rPr>
      </w:pPr>
      <w:r w:rsidRPr="00DB7801">
        <w:rPr>
          <w:rFonts w:ascii="Arial" w:hAnsi="Arial" w:cs="Arial"/>
          <w:sz w:val="24"/>
          <w:szCs w:val="24"/>
        </w:rPr>
        <w:t>Element 4: Conclusion and Recommendations</w:t>
      </w:r>
    </w:p>
    <w:p w:rsidRPr="00DB7801" w:rsidR="00DB7801" w:rsidP="00DB7801" w:rsidRDefault="00DB7801" w14:paraId="5470433F" w14:textId="77777777">
      <w:pPr>
        <w:rPr>
          <w:rFonts w:ascii="Arial" w:hAnsi="Arial" w:cs="Arial"/>
          <w:sz w:val="24"/>
          <w:szCs w:val="24"/>
        </w:rPr>
      </w:pPr>
      <w:r w:rsidRPr="00DB7801">
        <w:rPr>
          <w:rFonts w:ascii="Arial" w:hAnsi="Arial" w:cs="Arial"/>
          <w:sz w:val="24"/>
          <w:szCs w:val="24"/>
        </w:rPr>
        <w:t xml:space="preserve">This portfolio has examined stakeholder management within a local housing development project, highlighting the importance of effective stakeholder engagement for achieving project success and long-term sustainability. The analysis demonstrated that housing development projects involve a wide range of stakeholders with differing levels of power, interest, and expectations, making structured stakeholder management essential. The application of stakeholder management frameworks, such as the Power–Interest Matrix, enabled the </w:t>
      </w:r>
      <w:r w:rsidRPr="00DB7801">
        <w:rPr>
          <w:rFonts w:ascii="Arial" w:hAnsi="Arial" w:cs="Arial"/>
          <w:sz w:val="24"/>
          <w:szCs w:val="24"/>
        </w:rPr>
        <w:t>identification and prioritisation of key stakeholders, supporting more targeted and effective engagement strategies.</w:t>
      </w:r>
    </w:p>
    <w:p w:rsidRPr="00DB7801" w:rsidR="00DB7801" w:rsidP="228E9535" w:rsidRDefault="00DB7801" w14:paraId="71D0AC10" w14:textId="66B849BC">
      <w:pPr>
        <w:rPr>
          <w:rFonts w:ascii="Arial" w:hAnsi="Arial" w:eastAsia="Arial" w:cs="Arial"/>
          <w:sz w:val="24"/>
          <w:szCs w:val="24"/>
        </w:rPr>
      </w:pPr>
      <w:r w:rsidRPr="228E9535" w:rsidR="05AECE3F">
        <w:rPr>
          <w:rFonts w:ascii="Arial" w:hAnsi="Arial" w:eastAsia="Arial" w:cs="Arial"/>
          <w:sz w:val="24"/>
          <w:szCs w:val="24"/>
        </w:rPr>
        <w:t xml:space="preserve">The findings </w:t>
      </w:r>
      <w:r w:rsidRPr="228E9535" w:rsidR="05AECE3F">
        <w:rPr>
          <w:rFonts w:ascii="Arial" w:hAnsi="Arial" w:eastAsia="Arial" w:cs="Arial"/>
          <w:sz w:val="24"/>
          <w:szCs w:val="24"/>
        </w:rPr>
        <w:t>indicate</w:t>
      </w:r>
      <w:r w:rsidRPr="228E9535" w:rsidR="05AECE3F">
        <w:rPr>
          <w:rFonts w:ascii="Arial" w:hAnsi="Arial" w:eastAsia="Arial" w:cs="Arial"/>
          <w:sz w:val="24"/>
          <w:szCs w:val="24"/>
        </w:rPr>
        <w:t xml:space="preserve"> that proactive and transparent stakeholder engagement contributed positively to the progression of the project by reducing conflict, improving trust, and supporting informed decision-making. Engagement strategies such as public consultations, formal meetings, and digital communication channels allowed diverse stakeholder voices to be considered, particularly those of </w:t>
      </w:r>
      <w:r w:rsidRPr="228E9535" w:rsidR="05AECE3F">
        <w:rPr>
          <w:rFonts w:ascii="Arial" w:hAnsi="Arial" w:eastAsia="Arial" w:cs="Arial"/>
          <w:sz w:val="24"/>
          <w:szCs w:val="24"/>
        </w:rPr>
        <w:t>local residents</w:t>
      </w:r>
      <w:r w:rsidRPr="228E9535" w:rsidR="05AECE3F">
        <w:rPr>
          <w:rFonts w:ascii="Arial" w:hAnsi="Arial" w:eastAsia="Arial" w:cs="Arial"/>
          <w:sz w:val="24"/>
          <w:szCs w:val="24"/>
        </w:rPr>
        <w:t xml:space="preserve"> and community groups. However, the portfolio also </w:t>
      </w:r>
      <w:r w:rsidRPr="228E9535" w:rsidR="05AECE3F">
        <w:rPr>
          <w:rFonts w:ascii="Arial" w:hAnsi="Arial" w:eastAsia="Arial" w:cs="Arial"/>
          <w:sz w:val="24"/>
          <w:szCs w:val="24"/>
        </w:rPr>
        <w:t>identified</w:t>
      </w:r>
      <w:r w:rsidRPr="228E9535" w:rsidR="05AECE3F">
        <w:rPr>
          <w:rFonts w:ascii="Arial" w:hAnsi="Arial" w:eastAsia="Arial" w:cs="Arial"/>
          <w:sz w:val="24"/>
          <w:szCs w:val="24"/>
        </w:rPr>
        <w:t xml:space="preserve"> challenges, including conflicting stakeholder interests, ethical tensions between commercial </w:t>
      </w:r>
      <w:r w:rsidRPr="228E9535" w:rsidR="05AECE3F">
        <w:rPr>
          <w:rFonts w:ascii="Arial" w:hAnsi="Arial" w:eastAsia="Arial" w:cs="Arial"/>
          <w:sz w:val="24"/>
          <w:szCs w:val="24"/>
        </w:rPr>
        <w:t>objectives</w:t>
      </w:r>
      <w:r w:rsidRPr="228E9535" w:rsidR="05AECE3F">
        <w:rPr>
          <w:rFonts w:ascii="Arial" w:hAnsi="Arial" w:eastAsia="Arial" w:cs="Arial"/>
          <w:sz w:val="24"/>
          <w:szCs w:val="24"/>
        </w:rPr>
        <w:t xml:space="preserve"> and community wellbeing, and the resource-intensive nature of stakeholder engagement.</w:t>
      </w:r>
    </w:p>
    <w:p w:rsidRPr="00DB7801" w:rsidR="00DB7801" w:rsidP="00DB7801" w:rsidRDefault="00DB7801" w14:paraId="6D65DC65" w14:textId="77777777">
      <w:pPr>
        <w:rPr>
          <w:rFonts w:ascii="Arial" w:hAnsi="Arial" w:cs="Arial"/>
          <w:sz w:val="24"/>
          <w:szCs w:val="24"/>
        </w:rPr>
      </w:pPr>
      <w:r w:rsidRPr="228E9535" w:rsidR="05AECE3F">
        <w:rPr>
          <w:rFonts w:ascii="Arial" w:hAnsi="Arial" w:cs="Arial"/>
          <w:sz w:val="24"/>
          <w:szCs w:val="24"/>
        </w:rPr>
        <w:t xml:space="preserve">Based on the analysis, </w:t>
      </w:r>
      <w:r w:rsidRPr="228E9535" w:rsidR="05AECE3F">
        <w:rPr>
          <w:rFonts w:ascii="Arial" w:hAnsi="Arial" w:cs="Arial"/>
          <w:sz w:val="24"/>
          <w:szCs w:val="24"/>
        </w:rPr>
        <w:t>several</w:t>
      </w:r>
      <w:r w:rsidRPr="228E9535" w:rsidR="05AECE3F">
        <w:rPr>
          <w:rFonts w:ascii="Arial" w:hAnsi="Arial" w:cs="Arial"/>
          <w:sz w:val="24"/>
          <w:szCs w:val="24"/>
        </w:rPr>
        <w:t xml:space="preserve"> recommendations can be made to enhance stakeholder engagement in future housing development projects. Firstly, stakeholder engagement should begin at the earliest stages of project planning to ensure that community concerns and ethical considerations </w:t>
      </w:r>
      <w:r w:rsidRPr="228E9535" w:rsidR="05AECE3F">
        <w:rPr>
          <w:rFonts w:ascii="Arial" w:hAnsi="Arial" w:cs="Arial"/>
          <w:sz w:val="24"/>
          <w:szCs w:val="24"/>
        </w:rPr>
        <w:t>are integrated</w:t>
      </w:r>
      <w:r w:rsidRPr="228E9535" w:rsidR="05AECE3F">
        <w:rPr>
          <w:rFonts w:ascii="Arial" w:hAnsi="Arial" w:cs="Arial"/>
          <w:sz w:val="24"/>
          <w:szCs w:val="24"/>
        </w:rPr>
        <w:t xml:space="preserve"> into decision-making from the outset. Early engagement can reduce resistance and improve stakeholder buy-in. Secondly, project managers should adopt a more inclusive approach by </w:t>
      </w:r>
      <w:r w:rsidRPr="228E9535" w:rsidR="05AECE3F">
        <w:rPr>
          <w:rFonts w:ascii="Arial" w:hAnsi="Arial" w:cs="Arial"/>
          <w:b w:val="0"/>
          <w:bCs w:val="0"/>
          <w:sz w:val="24"/>
          <w:szCs w:val="24"/>
        </w:rPr>
        <w:t xml:space="preserve">strengthening </w:t>
      </w:r>
      <w:r w:rsidRPr="228E9535" w:rsidR="05AECE3F">
        <w:rPr>
          <w:rFonts w:ascii="Arial" w:hAnsi="Arial" w:cs="Arial"/>
          <w:sz w:val="24"/>
          <w:szCs w:val="24"/>
        </w:rPr>
        <w:t xml:space="preserve">two-way communication mechanisms, such as continuous feedback platforms, to ensure ongoing dialogue rather than one-off consultations. Thirdly, greater emphasis should </w:t>
      </w:r>
      <w:r w:rsidRPr="228E9535" w:rsidR="05AECE3F">
        <w:rPr>
          <w:rFonts w:ascii="Arial" w:hAnsi="Arial" w:cs="Arial"/>
          <w:sz w:val="24"/>
          <w:szCs w:val="24"/>
        </w:rPr>
        <w:t>be placed</w:t>
      </w:r>
      <w:r w:rsidRPr="228E9535" w:rsidR="05AECE3F">
        <w:rPr>
          <w:rFonts w:ascii="Arial" w:hAnsi="Arial" w:cs="Arial"/>
          <w:sz w:val="24"/>
          <w:szCs w:val="24"/>
        </w:rPr>
        <w:t xml:space="preserve"> on ethical decision-making and corporate social responsibility by embedding sustainability and social value </w:t>
      </w:r>
      <w:r w:rsidRPr="228E9535" w:rsidR="05AECE3F">
        <w:rPr>
          <w:rFonts w:ascii="Arial" w:hAnsi="Arial" w:cs="Arial"/>
          <w:sz w:val="24"/>
          <w:szCs w:val="24"/>
        </w:rPr>
        <w:t>objectives</w:t>
      </w:r>
      <w:r w:rsidRPr="228E9535" w:rsidR="05AECE3F">
        <w:rPr>
          <w:rFonts w:ascii="Arial" w:hAnsi="Arial" w:cs="Arial"/>
          <w:sz w:val="24"/>
          <w:szCs w:val="24"/>
        </w:rPr>
        <w:t xml:space="preserve"> into project strategies and performance measures.</w:t>
      </w:r>
    </w:p>
    <w:p w:rsidR="00DB7801" w:rsidP="00DB7801" w:rsidRDefault="00DB7801" w14:paraId="48C218E6" w14:textId="77C4EED2">
      <w:pPr>
        <w:rPr>
          <w:rFonts w:ascii="Arial" w:hAnsi="Arial" w:cs="Arial"/>
          <w:sz w:val="24"/>
          <w:szCs w:val="24"/>
        </w:rPr>
      </w:pPr>
      <w:r w:rsidRPr="00DB7801">
        <w:rPr>
          <w:rFonts w:ascii="Arial" w:hAnsi="Arial" w:cs="Arial"/>
          <w:sz w:val="24"/>
          <w:szCs w:val="24"/>
        </w:rPr>
        <w:t>In conclusion, effective stakeholder management is a critical success factor in housing development projects. By adopting structured engagement frameworks, promoting ethical and transparent practices, and prioritising sustainability, project organisations can enhance stakeholder relationships, maximise benefit realisation, and contribute positively to community development.</w:t>
      </w:r>
    </w:p>
    <w:p w:rsidRPr="00DB7801" w:rsidR="00DB7801" w:rsidRDefault="00DB7801" w14:paraId="24410833" w14:textId="77777777">
      <w:pPr>
        <w:rPr>
          <w:rFonts w:ascii="Arial" w:hAnsi="Arial" w:cs="Arial"/>
          <w:sz w:val="24"/>
          <w:szCs w:val="24"/>
        </w:rPr>
      </w:pPr>
    </w:p>
    <w:p xmlns:wp14="http://schemas.microsoft.com/office/word/2010/wordml" w:rsidP="228E9535" w14:paraId="5A668E9A" wp14:textId="77777777">
      <w:pPr>
        <w:rPr>
          <w:rFonts w:ascii="Arial" w:hAnsi="Arial" w:eastAsia="Arial" w:cs="Arial"/>
          <w:sz w:val="24"/>
          <w:szCs w:val="24"/>
        </w:rPr>
      </w:pPr>
      <w:r>
        <w:br/>
      </w:r>
      <w:r w:rsidRPr="228E9535" w:rsidR="228E9535">
        <w:rPr>
          <w:rFonts w:ascii="Arial" w:hAnsi="Arial" w:eastAsia="Arial" w:cs="Arial"/>
          <w:sz w:val="24"/>
          <w:szCs w:val="24"/>
        </w:rPr>
        <w:t>Power–Interest Matrix for Stakeholder Prioritisation</w:t>
      </w:r>
    </w:p>
    <w:tbl>
      <w:tblPr>
        <w:tblW w:w="0" w:type="auto"/>
        <w:tblLook w:val="04A0" w:firstRow="1" w:lastRow="0" w:firstColumn="1" w:lastColumn="0" w:noHBand="0" w:noVBand="1"/>
      </w:tblPr>
      <w:tblGrid>
        <w:gridCol w:w="2256"/>
        <w:gridCol w:w="2256"/>
        <w:gridCol w:w="2256"/>
        <w:gridCol w:w="2256"/>
      </w:tblGrid>
      <w:tr xmlns:wp14="http://schemas.microsoft.com/office/word/2010/wordml" w:rsidTr="228E9535" w14:paraId="07A75BB5" wp14:textId="77777777">
        <w:tc>
          <w:tcPr>
            <w:tcW w:w="2256" w:type="dxa"/>
            <w:tcMar/>
          </w:tcPr>
          <w:p w:rsidP="228E9535" w14:paraId="313A790F" wp14:textId="77777777">
            <w:pPr>
              <w:rPr>
                <w:rFonts w:ascii="Arial" w:hAnsi="Arial" w:eastAsia="Arial" w:cs="Arial"/>
                <w:sz w:val="24"/>
                <w:szCs w:val="24"/>
              </w:rPr>
            </w:pPr>
            <w:r w:rsidRPr="228E9535" w:rsidR="228E9535">
              <w:rPr>
                <w:rFonts w:ascii="Arial" w:hAnsi="Arial" w:eastAsia="Arial" w:cs="Arial"/>
                <w:sz w:val="24"/>
                <w:szCs w:val="24"/>
              </w:rPr>
              <w:t>Power</w:t>
            </w:r>
          </w:p>
        </w:tc>
        <w:tc>
          <w:tcPr>
            <w:tcW w:w="2256" w:type="dxa"/>
            <w:tcMar/>
          </w:tcPr>
          <w:p w:rsidP="228E9535" w14:paraId="2DBD1BA4" wp14:textId="77777777">
            <w:pPr>
              <w:rPr>
                <w:rFonts w:ascii="Arial" w:hAnsi="Arial" w:eastAsia="Arial" w:cs="Arial"/>
                <w:sz w:val="24"/>
                <w:szCs w:val="24"/>
              </w:rPr>
            </w:pPr>
            <w:r w:rsidRPr="228E9535" w:rsidR="228E9535">
              <w:rPr>
                <w:rFonts w:ascii="Arial" w:hAnsi="Arial" w:eastAsia="Arial" w:cs="Arial"/>
                <w:sz w:val="24"/>
                <w:szCs w:val="24"/>
              </w:rPr>
              <w:t>Interest</w:t>
            </w:r>
          </w:p>
        </w:tc>
        <w:tc>
          <w:tcPr>
            <w:tcW w:w="2256" w:type="dxa"/>
            <w:tcMar/>
          </w:tcPr>
          <w:p w:rsidP="228E9535" w14:paraId="64370993" wp14:textId="77777777">
            <w:pPr>
              <w:rPr>
                <w:rFonts w:ascii="Arial" w:hAnsi="Arial" w:eastAsia="Arial" w:cs="Arial"/>
                <w:sz w:val="24"/>
                <w:szCs w:val="24"/>
              </w:rPr>
            </w:pPr>
            <w:r w:rsidRPr="228E9535" w:rsidR="228E9535">
              <w:rPr>
                <w:rFonts w:ascii="Arial" w:hAnsi="Arial" w:eastAsia="Arial" w:cs="Arial"/>
                <w:sz w:val="24"/>
                <w:szCs w:val="24"/>
              </w:rPr>
              <w:t>Stakeholders</w:t>
            </w:r>
          </w:p>
        </w:tc>
        <w:tc>
          <w:tcPr>
            <w:tcW w:w="2256" w:type="dxa"/>
            <w:tcMar/>
          </w:tcPr>
          <w:p w:rsidP="228E9535" w14:paraId="7515E1C6" wp14:textId="77777777">
            <w:pPr>
              <w:rPr>
                <w:rFonts w:ascii="Arial" w:hAnsi="Arial" w:eastAsia="Arial" w:cs="Arial"/>
                <w:sz w:val="24"/>
                <w:szCs w:val="24"/>
              </w:rPr>
            </w:pPr>
            <w:r w:rsidRPr="228E9535" w:rsidR="228E9535">
              <w:rPr>
                <w:rFonts w:ascii="Arial" w:hAnsi="Arial" w:eastAsia="Arial" w:cs="Arial"/>
                <w:sz w:val="24"/>
                <w:szCs w:val="24"/>
              </w:rPr>
              <w:t>Engagement Strategy</w:t>
            </w:r>
          </w:p>
        </w:tc>
      </w:tr>
      <w:tr xmlns:wp14="http://schemas.microsoft.com/office/word/2010/wordml" w:rsidTr="228E9535" w14:paraId="5E057864" wp14:textId="77777777">
        <w:tc>
          <w:tcPr>
            <w:tcW w:w="2256" w:type="dxa"/>
            <w:tcMar/>
          </w:tcPr>
          <w:p w:rsidP="228E9535" w14:paraId="7E177962" wp14:textId="77777777">
            <w:pPr>
              <w:rPr>
                <w:rFonts w:ascii="Arial" w:hAnsi="Arial" w:eastAsia="Arial" w:cs="Arial"/>
                <w:sz w:val="24"/>
                <w:szCs w:val="24"/>
              </w:rPr>
            </w:pPr>
            <w:r w:rsidRPr="228E9535" w:rsidR="228E9535">
              <w:rPr>
                <w:rFonts w:ascii="Arial" w:hAnsi="Arial" w:eastAsia="Arial" w:cs="Arial"/>
                <w:sz w:val="24"/>
                <w:szCs w:val="24"/>
              </w:rPr>
              <w:t>High</w:t>
            </w:r>
          </w:p>
        </w:tc>
        <w:tc>
          <w:tcPr>
            <w:tcW w:w="2256" w:type="dxa"/>
            <w:tcMar/>
          </w:tcPr>
          <w:p w:rsidP="228E9535" w14:paraId="05FAD91F" wp14:textId="77777777">
            <w:pPr>
              <w:rPr>
                <w:rFonts w:ascii="Arial" w:hAnsi="Arial" w:eastAsia="Arial" w:cs="Arial"/>
                <w:sz w:val="24"/>
                <w:szCs w:val="24"/>
              </w:rPr>
            </w:pPr>
            <w:r w:rsidRPr="228E9535" w:rsidR="228E9535">
              <w:rPr>
                <w:rFonts w:ascii="Arial" w:hAnsi="Arial" w:eastAsia="Arial" w:cs="Arial"/>
                <w:sz w:val="24"/>
                <w:szCs w:val="24"/>
              </w:rPr>
              <w:t>High</w:t>
            </w:r>
          </w:p>
        </w:tc>
        <w:tc>
          <w:tcPr>
            <w:tcW w:w="2256" w:type="dxa"/>
            <w:tcMar/>
          </w:tcPr>
          <w:p w:rsidP="228E9535" w14:paraId="579DFE24" wp14:textId="77777777">
            <w:pPr>
              <w:rPr>
                <w:rFonts w:ascii="Arial" w:hAnsi="Arial" w:eastAsia="Arial" w:cs="Arial"/>
                <w:sz w:val="24"/>
                <w:szCs w:val="24"/>
              </w:rPr>
            </w:pPr>
            <w:r w:rsidRPr="228E9535" w:rsidR="228E9535">
              <w:rPr>
                <w:rFonts w:ascii="Arial" w:hAnsi="Arial" w:eastAsia="Arial" w:cs="Arial"/>
                <w:sz w:val="24"/>
                <w:szCs w:val="24"/>
              </w:rPr>
              <w:t>Local authorities, Project developer</w:t>
            </w:r>
          </w:p>
        </w:tc>
        <w:tc>
          <w:tcPr>
            <w:tcW w:w="2256" w:type="dxa"/>
            <w:tcMar/>
          </w:tcPr>
          <w:p w:rsidP="228E9535" w14:paraId="47FD7370" wp14:textId="77777777">
            <w:pPr>
              <w:rPr>
                <w:rFonts w:ascii="Arial" w:hAnsi="Arial" w:eastAsia="Arial" w:cs="Arial"/>
                <w:sz w:val="24"/>
                <w:szCs w:val="24"/>
              </w:rPr>
            </w:pPr>
            <w:r w:rsidRPr="228E9535" w:rsidR="228E9535">
              <w:rPr>
                <w:rFonts w:ascii="Arial" w:hAnsi="Arial" w:eastAsia="Arial" w:cs="Arial"/>
                <w:sz w:val="24"/>
                <w:szCs w:val="24"/>
              </w:rPr>
              <w:t>Manage closely with regular meetings and reports</w:t>
            </w:r>
          </w:p>
        </w:tc>
      </w:tr>
      <w:tr xmlns:wp14="http://schemas.microsoft.com/office/word/2010/wordml" w:rsidTr="228E9535" w14:paraId="4C9AB386" wp14:textId="77777777">
        <w:tc>
          <w:tcPr>
            <w:tcW w:w="2256" w:type="dxa"/>
            <w:tcMar/>
          </w:tcPr>
          <w:p w:rsidP="228E9535" w14:paraId="4D4E7786" wp14:textId="77777777">
            <w:pPr>
              <w:rPr>
                <w:rFonts w:ascii="Arial" w:hAnsi="Arial" w:eastAsia="Arial" w:cs="Arial"/>
                <w:sz w:val="24"/>
                <w:szCs w:val="24"/>
              </w:rPr>
            </w:pPr>
            <w:r w:rsidRPr="228E9535" w:rsidR="228E9535">
              <w:rPr>
                <w:rFonts w:ascii="Arial" w:hAnsi="Arial" w:eastAsia="Arial" w:cs="Arial"/>
                <w:sz w:val="24"/>
                <w:szCs w:val="24"/>
              </w:rPr>
              <w:t>High</w:t>
            </w:r>
          </w:p>
        </w:tc>
        <w:tc>
          <w:tcPr>
            <w:tcW w:w="2256" w:type="dxa"/>
            <w:tcMar/>
          </w:tcPr>
          <w:p w:rsidP="228E9535" w14:paraId="1E16C85B" wp14:textId="77777777">
            <w:pPr>
              <w:rPr>
                <w:rFonts w:ascii="Arial" w:hAnsi="Arial" w:eastAsia="Arial" w:cs="Arial"/>
                <w:sz w:val="24"/>
                <w:szCs w:val="24"/>
              </w:rPr>
            </w:pPr>
            <w:r w:rsidRPr="228E9535" w:rsidR="228E9535">
              <w:rPr>
                <w:rFonts w:ascii="Arial" w:hAnsi="Arial" w:eastAsia="Arial" w:cs="Arial"/>
                <w:sz w:val="24"/>
                <w:szCs w:val="24"/>
              </w:rPr>
              <w:t>Low</w:t>
            </w:r>
          </w:p>
        </w:tc>
        <w:tc>
          <w:tcPr>
            <w:tcW w:w="2256" w:type="dxa"/>
            <w:tcMar/>
          </w:tcPr>
          <w:p w:rsidP="228E9535" w14:paraId="0A798D87" wp14:textId="77777777">
            <w:pPr>
              <w:rPr>
                <w:rFonts w:ascii="Arial" w:hAnsi="Arial" w:eastAsia="Arial" w:cs="Arial"/>
                <w:sz w:val="24"/>
                <w:szCs w:val="24"/>
              </w:rPr>
            </w:pPr>
            <w:r w:rsidRPr="228E9535" w:rsidR="228E9535">
              <w:rPr>
                <w:rFonts w:ascii="Arial" w:hAnsi="Arial" w:eastAsia="Arial" w:cs="Arial"/>
                <w:sz w:val="24"/>
                <w:szCs w:val="24"/>
              </w:rPr>
              <w:t>Funding bodies, Some regulatory institutions</w:t>
            </w:r>
          </w:p>
        </w:tc>
        <w:tc>
          <w:tcPr>
            <w:tcW w:w="2256" w:type="dxa"/>
            <w:tcMar/>
          </w:tcPr>
          <w:p w:rsidP="228E9535" w14:paraId="55E4AC05" wp14:textId="77777777">
            <w:pPr>
              <w:rPr>
                <w:rFonts w:ascii="Arial" w:hAnsi="Arial" w:eastAsia="Arial" w:cs="Arial"/>
                <w:sz w:val="24"/>
                <w:szCs w:val="24"/>
              </w:rPr>
            </w:pPr>
            <w:r w:rsidRPr="228E9535" w:rsidR="228E9535">
              <w:rPr>
                <w:rFonts w:ascii="Arial" w:hAnsi="Arial" w:eastAsia="Arial" w:cs="Arial"/>
                <w:sz w:val="24"/>
                <w:szCs w:val="24"/>
              </w:rPr>
              <w:t>Keep satisfied through compliance updates</w:t>
            </w:r>
          </w:p>
        </w:tc>
      </w:tr>
      <w:tr xmlns:wp14="http://schemas.microsoft.com/office/word/2010/wordml" w:rsidTr="228E9535" w14:paraId="1E6361D6" wp14:textId="77777777">
        <w:tc>
          <w:tcPr>
            <w:tcW w:w="2256" w:type="dxa"/>
            <w:tcMar/>
          </w:tcPr>
          <w:p w:rsidP="228E9535" w14:paraId="43467FBA" wp14:textId="77777777">
            <w:pPr>
              <w:rPr>
                <w:rFonts w:ascii="Arial" w:hAnsi="Arial" w:eastAsia="Arial" w:cs="Arial"/>
                <w:sz w:val="24"/>
                <w:szCs w:val="24"/>
              </w:rPr>
            </w:pPr>
            <w:r w:rsidRPr="228E9535" w:rsidR="228E9535">
              <w:rPr>
                <w:rFonts w:ascii="Arial" w:hAnsi="Arial" w:eastAsia="Arial" w:cs="Arial"/>
                <w:sz w:val="24"/>
                <w:szCs w:val="24"/>
              </w:rPr>
              <w:t>Low</w:t>
            </w:r>
          </w:p>
        </w:tc>
        <w:tc>
          <w:tcPr>
            <w:tcW w:w="2256" w:type="dxa"/>
            <w:tcMar/>
          </w:tcPr>
          <w:p w:rsidP="228E9535" w14:paraId="057E6F4C" wp14:textId="77777777">
            <w:pPr>
              <w:rPr>
                <w:rFonts w:ascii="Arial" w:hAnsi="Arial" w:eastAsia="Arial" w:cs="Arial"/>
                <w:sz w:val="24"/>
                <w:szCs w:val="24"/>
              </w:rPr>
            </w:pPr>
            <w:r w:rsidRPr="228E9535" w:rsidR="228E9535">
              <w:rPr>
                <w:rFonts w:ascii="Arial" w:hAnsi="Arial" w:eastAsia="Arial" w:cs="Arial"/>
                <w:sz w:val="24"/>
                <w:szCs w:val="24"/>
              </w:rPr>
              <w:t>High</w:t>
            </w:r>
          </w:p>
        </w:tc>
        <w:tc>
          <w:tcPr>
            <w:tcW w:w="2256" w:type="dxa"/>
            <w:tcMar/>
          </w:tcPr>
          <w:p w:rsidP="228E9535" w14:paraId="1BD61866" wp14:textId="77777777">
            <w:pPr>
              <w:rPr>
                <w:rFonts w:ascii="Arial" w:hAnsi="Arial" w:eastAsia="Arial" w:cs="Arial"/>
                <w:sz w:val="24"/>
                <w:szCs w:val="24"/>
              </w:rPr>
            </w:pPr>
            <w:r w:rsidRPr="228E9535" w:rsidR="228E9535">
              <w:rPr>
                <w:rFonts w:ascii="Arial" w:hAnsi="Arial" w:eastAsia="Arial" w:cs="Arial"/>
                <w:sz w:val="24"/>
                <w:szCs w:val="24"/>
              </w:rPr>
              <w:t>Existing residents, Community groups</w:t>
            </w:r>
          </w:p>
        </w:tc>
        <w:tc>
          <w:tcPr>
            <w:tcW w:w="2256" w:type="dxa"/>
            <w:tcMar/>
          </w:tcPr>
          <w:p w:rsidP="228E9535" w14:paraId="1FEA886E" wp14:textId="77777777">
            <w:pPr>
              <w:rPr>
                <w:rFonts w:ascii="Arial" w:hAnsi="Arial" w:eastAsia="Arial" w:cs="Arial"/>
                <w:sz w:val="24"/>
                <w:szCs w:val="24"/>
              </w:rPr>
            </w:pPr>
            <w:r w:rsidRPr="228E9535" w:rsidR="228E9535">
              <w:rPr>
                <w:rFonts w:ascii="Arial" w:hAnsi="Arial" w:eastAsia="Arial" w:cs="Arial"/>
                <w:sz w:val="24"/>
                <w:szCs w:val="24"/>
              </w:rPr>
              <w:t>Keep informed through consultations and newsletters</w:t>
            </w:r>
          </w:p>
        </w:tc>
      </w:tr>
      <w:tr xmlns:wp14="http://schemas.microsoft.com/office/word/2010/wordml" w:rsidTr="228E9535" w14:paraId="0A23E9FA" wp14:textId="77777777">
        <w:tc>
          <w:tcPr>
            <w:tcW w:w="2256" w:type="dxa"/>
            <w:tcMar/>
          </w:tcPr>
          <w:p w:rsidP="228E9535" w14:paraId="4C067F03" wp14:textId="77777777">
            <w:pPr>
              <w:rPr>
                <w:rFonts w:ascii="Arial" w:hAnsi="Arial" w:eastAsia="Arial" w:cs="Arial"/>
                <w:sz w:val="24"/>
                <w:szCs w:val="24"/>
              </w:rPr>
            </w:pPr>
            <w:r w:rsidRPr="228E9535" w:rsidR="228E9535">
              <w:rPr>
                <w:rFonts w:ascii="Arial" w:hAnsi="Arial" w:eastAsia="Arial" w:cs="Arial"/>
                <w:sz w:val="24"/>
                <w:szCs w:val="24"/>
              </w:rPr>
              <w:t>Low</w:t>
            </w:r>
          </w:p>
        </w:tc>
        <w:tc>
          <w:tcPr>
            <w:tcW w:w="2256" w:type="dxa"/>
            <w:tcMar/>
          </w:tcPr>
          <w:p w:rsidP="228E9535" w14:paraId="281E5D69" wp14:textId="77777777">
            <w:pPr>
              <w:rPr>
                <w:rFonts w:ascii="Arial" w:hAnsi="Arial" w:eastAsia="Arial" w:cs="Arial"/>
                <w:sz w:val="24"/>
                <w:szCs w:val="24"/>
              </w:rPr>
            </w:pPr>
            <w:r w:rsidRPr="228E9535" w:rsidR="228E9535">
              <w:rPr>
                <w:rFonts w:ascii="Arial" w:hAnsi="Arial" w:eastAsia="Arial" w:cs="Arial"/>
                <w:sz w:val="24"/>
                <w:szCs w:val="24"/>
              </w:rPr>
              <w:t>Low</w:t>
            </w:r>
          </w:p>
        </w:tc>
        <w:tc>
          <w:tcPr>
            <w:tcW w:w="2256" w:type="dxa"/>
            <w:tcMar/>
          </w:tcPr>
          <w:p w:rsidP="228E9535" w14:paraId="578ACB8A" wp14:textId="77777777">
            <w:pPr>
              <w:rPr>
                <w:rFonts w:ascii="Arial" w:hAnsi="Arial" w:eastAsia="Arial" w:cs="Arial"/>
                <w:sz w:val="24"/>
                <w:szCs w:val="24"/>
              </w:rPr>
            </w:pPr>
            <w:r w:rsidRPr="228E9535" w:rsidR="228E9535">
              <w:rPr>
                <w:rFonts w:ascii="Arial" w:hAnsi="Arial" w:eastAsia="Arial" w:cs="Arial"/>
                <w:sz w:val="24"/>
                <w:szCs w:val="24"/>
              </w:rPr>
              <w:t>External suppliers</w:t>
            </w:r>
          </w:p>
        </w:tc>
        <w:tc>
          <w:tcPr>
            <w:tcW w:w="2256" w:type="dxa"/>
            <w:tcMar/>
          </w:tcPr>
          <w:p w:rsidP="228E9535" w14:paraId="44AFEA25" wp14:textId="77777777">
            <w:pPr>
              <w:rPr>
                <w:rFonts w:ascii="Arial" w:hAnsi="Arial" w:eastAsia="Arial" w:cs="Arial"/>
                <w:sz w:val="24"/>
                <w:szCs w:val="24"/>
              </w:rPr>
            </w:pPr>
            <w:r w:rsidRPr="228E9535" w:rsidR="228E9535">
              <w:rPr>
                <w:rFonts w:ascii="Arial" w:hAnsi="Arial" w:eastAsia="Arial" w:cs="Arial"/>
                <w:sz w:val="24"/>
                <w:szCs w:val="24"/>
              </w:rPr>
              <w:t>Monitor with minimal communication</w:t>
            </w:r>
          </w:p>
        </w:tc>
      </w:tr>
    </w:tbl>
    <w:p xmlns:wp14="http://schemas.microsoft.com/office/word/2010/wordml" w14:paraId="672A6659" wp14:textId="77777777">
      <w:r>
        <w:br w:type="page"/>
      </w:r>
    </w:p>
    <w:p xmlns:wp14="http://schemas.microsoft.com/office/word/2010/wordml" w:rsidP="228E9535" w14:paraId="071E4E01" wp14:textId="77777777">
      <w:pPr>
        <w:rPr>
          <w:rFonts w:ascii="Arial" w:hAnsi="Arial" w:eastAsia="Arial" w:cs="Arial"/>
          <w:sz w:val="24"/>
          <w:szCs w:val="24"/>
        </w:rPr>
      </w:pPr>
      <w:r w:rsidRPr="228E9535" w:rsidR="228E9535">
        <w:rPr>
          <w:rFonts w:ascii="Arial" w:hAnsi="Arial" w:eastAsia="Arial" w:cs="Arial"/>
          <w:sz w:val="24"/>
          <w:szCs w:val="24"/>
        </w:rPr>
        <w:t>References</w:t>
      </w:r>
    </w:p>
    <w:p xmlns:wp14="http://schemas.microsoft.com/office/word/2010/wordml" w:rsidP="228E9535" w14:paraId="58EA8D2C" wp14:textId="77777777">
      <w:pPr>
        <w:rPr>
          <w:rFonts w:ascii="Arial" w:hAnsi="Arial" w:eastAsia="Arial" w:cs="Arial"/>
          <w:sz w:val="24"/>
          <w:szCs w:val="24"/>
        </w:rPr>
      </w:pPr>
      <w:bookmarkStart w:name="_Int_OT1UzM3t" w:id="415684208"/>
      <w:r w:rsidRPr="228E9535" w:rsidR="228E9535">
        <w:rPr>
          <w:rFonts w:ascii="Arial" w:hAnsi="Arial" w:eastAsia="Arial" w:cs="Arial"/>
          <w:sz w:val="24"/>
          <w:szCs w:val="24"/>
        </w:rPr>
        <w:t>Carroll, A. B. (1991) The Pyramid of Corporate Social Responsibility: Toward the Moral Management of Organizational Stakeholders.</w:t>
      </w:r>
      <w:bookmarkEnd w:id="415684208"/>
      <w:r w:rsidRPr="228E9535" w:rsidR="228E9535">
        <w:rPr>
          <w:rFonts w:ascii="Arial" w:hAnsi="Arial" w:eastAsia="Arial" w:cs="Arial"/>
          <w:sz w:val="24"/>
          <w:szCs w:val="24"/>
        </w:rPr>
        <w:t xml:space="preserve"> Business Horizons.</w:t>
      </w:r>
    </w:p>
    <w:p xmlns:wp14="http://schemas.microsoft.com/office/word/2010/wordml" w:rsidP="228E9535" w14:paraId="2BEC741E" wp14:textId="77777777">
      <w:pPr>
        <w:rPr>
          <w:rFonts w:ascii="Arial" w:hAnsi="Arial" w:eastAsia="Arial" w:cs="Arial"/>
          <w:sz w:val="24"/>
          <w:szCs w:val="24"/>
        </w:rPr>
      </w:pPr>
      <w:r w:rsidRPr="228E9535" w:rsidR="228E9535">
        <w:rPr>
          <w:rFonts w:ascii="Arial" w:hAnsi="Arial" w:eastAsia="Arial" w:cs="Arial"/>
          <w:sz w:val="24"/>
          <w:szCs w:val="24"/>
        </w:rPr>
        <w:t>Freeman, R. E. (1984) Strategic Management: A Stakeholder Approach. Boston: Pitman.</w:t>
      </w:r>
    </w:p>
    <w:p xmlns:wp14="http://schemas.microsoft.com/office/word/2010/wordml" w:rsidP="228E9535" w14:paraId="0356BD45" wp14:textId="77777777">
      <w:pPr>
        <w:rPr>
          <w:rFonts w:ascii="Arial" w:hAnsi="Arial" w:eastAsia="Arial" w:cs="Arial"/>
          <w:sz w:val="24"/>
          <w:szCs w:val="24"/>
        </w:rPr>
      </w:pPr>
      <w:r w:rsidRPr="228E9535" w:rsidR="228E9535">
        <w:rPr>
          <w:rFonts w:ascii="Arial" w:hAnsi="Arial" w:eastAsia="Arial" w:cs="Arial"/>
          <w:sz w:val="24"/>
          <w:szCs w:val="24"/>
        </w:rPr>
        <w:t>Mendelow, A. (1991) Stakeholder Mapping. Proceedings of the International Conference on Information Systems.</w:t>
      </w:r>
    </w:p>
    <w:p xmlns:wp14="http://schemas.microsoft.com/office/word/2010/wordml" w:rsidP="228E9535" w14:paraId="6ABC509E" wp14:textId="77777777">
      <w:pPr>
        <w:rPr>
          <w:rFonts w:ascii="Arial" w:hAnsi="Arial" w:eastAsia="Arial" w:cs="Arial"/>
          <w:sz w:val="24"/>
          <w:szCs w:val="24"/>
        </w:rPr>
      </w:pPr>
      <w:bookmarkStart w:name="_Int_E1YdGxLI" w:id="1809621188"/>
      <w:r w:rsidRPr="228E9535" w:rsidR="228E9535">
        <w:rPr>
          <w:rFonts w:ascii="Arial" w:hAnsi="Arial" w:eastAsia="Arial" w:cs="Arial"/>
          <w:sz w:val="24"/>
          <w:szCs w:val="24"/>
        </w:rPr>
        <w:t>Project Management Institute (2021) A Guide to the Project Management Body of Knowledge (PMBOK Guide).</w:t>
      </w:r>
      <w:bookmarkEnd w:id="1809621188"/>
      <w:r w:rsidRPr="228E9535" w:rsidR="228E9535">
        <w:rPr>
          <w:rFonts w:ascii="Arial" w:hAnsi="Arial" w:eastAsia="Arial" w:cs="Arial"/>
          <w:sz w:val="24"/>
          <w:szCs w:val="24"/>
        </w:rPr>
        <w:t xml:space="preserve"> 7th ed.</w:t>
      </w:r>
    </w:p>
    <w:p xmlns:wp14="http://schemas.microsoft.com/office/word/2010/wordml" w:rsidP="228E9535" w14:paraId="6305506C" wp14:textId="77777777">
      <w:pPr>
        <w:rPr>
          <w:rFonts w:ascii="Arial" w:hAnsi="Arial" w:eastAsia="Arial" w:cs="Arial"/>
          <w:sz w:val="24"/>
          <w:szCs w:val="24"/>
        </w:rPr>
      </w:pPr>
      <w:r w:rsidRPr="228E9535" w:rsidR="228E9535">
        <w:rPr>
          <w:rFonts w:ascii="Arial" w:hAnsi="Arial" w:eastAsia="Arial" w:cs="Arial"/>
          <w:sz w:val="24"/>
          <w:szCs w:val="24"/>
        </w:rPr>
        <w:t>Bourne, L. (2015) Stakeholder Relationship Management. Routledge.</w:t>
      </w:r>
    </w:p>
    <w:p xmlns:wp14="http://schemas.microsoft.com/office/word/2010/wordml" w:rsidP="228E9535" w14:paraId="79E7576E" wp14:textId="77777777">
      <w:pPr>
        <w:rPr>
          <w:rFonts w:ascii="Arial" w:hAnsi="Arial" w:eastAsia="Arial" w:cs="Arial"/>
          <w:sz w:val="24"/>
          <w:szCs w:val="24"/>
        </w:rPr>
      </w:pPr>
      <w:r w:rsidRPr="228E9535" w:rsidR="228E9535">
        <w:rPr>
          <w:rFonts w:ascii="Arial" w:hAnsi="Arial" w:eastAsia="Arial" w:cs="Arial"/>
          <w:sz w:val="24"/>
          <w:szCs w:val="24"/>
        </w:rPr>
        <w:t>Bryson, J. (2004) What to do when stakeholders matter. Public Management Review.</w:t>
      </w:r>
    </w:p>
    <w:p xmlns:wp14="http://schemas.microsoft.com/office/word/2010/wordml" w:rsidP="228E9535" w14:paraId="7A4C3BE3" wp14:textId="60F445E1">
      <w:pPr>
        <w:rPr>
          <w:rFonts w:ascii="Arial" w:hAnsi="Arial" w:eastAsia="Arial" w:cs="Arial"/>
          <w:sz w:val="24"/>
          <w:szCs w:val="24"/>
        </w:rPr>
      </w:pPr>
      <w:r w:rsidRPr="228E9535" w:rsidR="228E9535">
        <w:rPr>
          <w:rFonts w:ascii="Arial" w:hAnsi="Arial" w:eastAsia="Arial" w:cs="Arial"/>
          <w:sz w:val="24"/>
          <w:szCs w:val="24"/>
        </w:rPr>
        <w:t xml:space="preserve">Johnson, G., Scholes, </w:t>
      </w:r>
      <w:r w:rsidRPr="228E9535" w:rsidR="7667EF47">
        <w:rPr>
          <w:rFonts w:ascii="Arial" w:hAnsi="Arial" w:eastAsia="Arial" w:cs="Arial"/>
          <w:sz w:val="24"/>
          <w:szCs w:val="24"/>
        </w:rPr>
        <w:t>K.,</w:t>
      </w:r>
      <w:r w:rsidRPr="228E9535" w:rsidR="228E9535">
        <w:rPr>
          <w:rFonts w:ascii="Arial" w:hAnsi="Arial" w:eastAsia="Arial" w:cs="Arial"/>
          <w:sz w:val="24"/>
          <w:szCs w:val="24"/>
        </w:rPr>
        <w:t xml:space="preserve"> and Whittington, R. (2017) Exploring Strategy. Pearson.</w:t>
      </w:r>
    </w:p>
    <w:p xmlns:wp14="http://schemas.microsoft.com/office/word/2010/wordml" w:rsidP="228E9535" w14:paraId="68E713EB" wp14:textId="77777777">
      <w:pPr>
        <w:rPr>
          <w:rFonts w:ascii="Arial" w:hAnsi="Arial" w:eastAsia="Arial" w:cs="Arial"/>
          <w:sz w:val="24"/>
          <w:szCs w:val="24"/>
        </w:rPr>
      </w:pPr>
      <w:r w:rsidRPr="228E9535" w:rsidR="228E9535">
        <w:rPr>
          <w:rFonts w:ascii="Arial" w:hAnsi="Arial" w:eastAsia="Arial" w:cs="Arial"/>
          <w:sz w:val="24"/>
          <w:szCs w:val="24"/>
        </w:rPr>
        <w:t>Elkington, J. (1997) Cannibals with Forks: The Triple Bottom Line of 21st Century Business. Capstone.</w:t>
      </w:r>
    </w:p>
    <w:sectPr w:rsidRPr="00DB7801" w:rsidR="00DB780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bookmark int2:bookmarkName="_Int_E1YdGxLI" int2:invalidationBookmarkName="" int2:hashCode="auNbP7g9KaCbMV" int2:id="sUyNC5sR">
      <int2:extLst>
        <oel:ext uri="426473B9-03D8-482F-96C9-C2C85392BACA">
          <int2:similarityCritique int2:version="1" int2:context="Project Management Institute (2021) A Guide to the Project Management Body of Knowledge (PMBOK Guide).">
            <int2:source int2:sourceType="Online" int2:sourceTitle="Project Management Body of Knowledge - Wikipedia" int2:sourceUrl="https://en.wikipedia.org/wiki/Project_Management_Body_of_Knowledge" int2:sourceSnippet="The Project Management Body of Knowledge (PMBOK) is a set of standard terminology and guidelines (a body of knowledge) for project management. The body of knowledge evolves over time and is presented in A Guide to the Project Management Body of Knowledge (PMBOK Guide), a book whose eighth edition was released in 2025. This document results from work overseen by the Project Management Institute ...">
              <int2:suggestions int2:citationType="Inline">
                <int2:suggestion int2:citationStyle="Mla" int2:isIdentical="0">
                  <int2:citationText>(“Project Management Body of Knowledge - Wikipedia”)</int2:citationText>
                </int2:suggestion>
                <int2:suggestion int2:citationStyle="Apa" int2:isIdentical="0">
                  <int2:citationText>(“Project Management Body of Knowledge - Wikipedia”)</int2:citationText>
                </int2:suggestion>
                <int2:suggestion int2:citationStyle="Chicago" int2:isIdentical="0">
                  <int2:citationText>(“Project Management Body of Knowledge - Wikipedia”)</int2:citationText>
                </int2:suggestion>
              </int2:suggestions>
              <int2:suggestions int2:citationType="Full">
                <int2:suggestion int2:citationStyle="Mla" int2:isIdentical="0">
                  <int2:citationText>&lt;i&gt;Project Management Body of Knowledge - Wikipedia&lt;/i&gt;, https://en.wikipedia.org/wiki/Project_Management_Body_of_Knowledge.</int2:citationText>
                </int2:suggestion>
                <int2:suggestion int2:citationStyle="Apa" int2:isIdentical="0">
                  <int2:citationText>&lt;i&gt;Project Management Body of Knowledge - Wikipedia&lt;/i&gt;. (n.d.). Retrieved from https://en.wikipedia.org/wiki/Project_Management_Body_of_Knowledge</int2:citationText>
                </int2:suggestion>
                <int2:suggestion int2:citationStyle="Chicago" int2:isIdentical="0">
                  <int2:citationText>“Project Management Body of Knowledge - Wikipedia” n.d., https://en.wikipedia.org/wiki/Project_Management_Body_of_Knowledge.</int2:citationText>
                </int2:suggestion>
              </int2:suggestions>
            </int2:source>
            <int2:source int2:sourceType="Online" int2:sourceTitle="What is Project Management Body of Knowledge (PMBOK)?" int2:sourceUrl="https://www.techtarget.com/whatis/definition/Project-Management-Body-of-Knowledge-PMBOK" int2:sourceSnippet="The Project Management Body of Knowledge (PMBOK) is a document containing standard terminology, best practices and process guidelines around project management as defined by the Project Management Institute (PMI). Currently in its seventh edition, published in 2021, the body of knowledge was created to evolve over time and is internationally recognized as an essential resource for project ...">
              <int2:suggestions int2:citationType="Inline">
                <int2:suggestion int2:citationStyle="Mla" int2:isIdentical="0">
                  <int2:citationText>(“What is Project Management Body of Knowledge (PMBOK)?”)</int2:citationText>
                </int2:suggestion>
                <int2:suggestion int2:citationStyle="Apa" int2:isIdentical="0">
                  <int2:citationText>(“What is Project Management Body of Knowledge (PMBOK)?”)</int2:citationText>
                </int2:suggestion>
                <int2:suggestion int2:citationStyle="Chicago" int2:isIdentical="0">
                  <int2:citationText>(“What is Project Management Body of Knowledge (PMBOK)?”)</int2:citationText>
                </int2:suggestion>
              </int2:suggestions>
              <int2:suggestions int2:citationType="Full">
                <int2:suggestion int2:citationStyle="Mla" int2:isIdentical="0">
                  <int2:citationText>&lt;i&gt;What is Project Management Body of Knowledge (PMBOK)?&lt;/i&gt;, https://www.techtarget.com/whatis/definition/Project-Management-Body-of-Knowledge-PMBOK.</int2:citationText>
                </int2:suggestion>
                <int2:suggestion int2:citationStyle="Apa" int2:isIdentical="0">
                  <int2:citationText>&lt;i&gt;What is Project Management Body of Knowledge (PMBOK)?&lt;/i&gt;. (n.d.). Retrieved from https://www.techtarget.com/whatis/definition/Project-Management-Body-of-Knowledge-PMBOK</int2:citationText>
                </int2:suggestion>
                <int2:suggestion int2:citationStyle="Chicago" int2:isIdentical="0">
                  <int2:citationText>“What is Project Management Body of Knowledge (PMBOK)?” n.d., https://www.techtarget.com/whatis/definition/Project-Management-Body-of-Knowledge-PMBOK.</int2:citationText>
                </int2:suggestion>
              </int2:suggestions>
            </int2:source>
            <int2:source int2:sourceType="Online" int2:sourceTitle="PMI PMBOK Guide (2025): What is Project Management Body of ... - 4PMTI" int2:sourceUrl="https://www.4pmti.com/what-is-pmbok/" int2:sourceSnippet="CEO of 4PMTI, PMP Jedi Master What is the PMBOK Guide? PMBOK Guide stands for the Guide to the Project Management Body Of Knowledge. PMBOK confuse it to be a book of knowledge. It is a foundational standard for project management developed by Project Management Institute (PMI). A foundational standard provides guidelines, rules, and ...">
              <int2:suggestions int2:citationType="Inline">
                <int2:suggestion int2:citationStyle="Mla" int2:isIdentical="0">
                  <int2:citationText>(“PMI PMBOK Guide (2025): What is Project Management Body of ... - 4PMTI”)</int2:citationText>
                </int2:suggestion>
                <int2:suggestion int2:citationStyle="Apa" int2:isIdentical="0">
                  <int2:citationText>(“PMI PMBOK Guide (2025): What is Project Management Body of ... - 4PMTI”)</int2:citationText>
                </int2:suggestion>
                <int2:suggestion int2:citationStyle="Chicago" int2:isIdentical="0">
                  <int2:citationText>(“PMI PMBOK Guide (2025): What is Project Management Body of ... - 4PMTI”)</int2:citationText>
                </int2:suggestion>
              </int2:suggestions>
              <int2:suggestions int2:citationType="Full">
                <int2:suggestion int2:citationStyle="Mla" int2:isIdentical="0">
                  <int2:citationText>&lt;i&gt;PMI PMBOK Guide (2025): What is Project Management Body of ... - 4PMTI&lt;/i&gt;, https://www.4pmti.com/what-is-pmbok/.</int2:citationText>
                </int2:suggestion>
                <int2:suggestion int2:citationStyle="Apa" int2:isIdentical="0">
                  <int2:citationText>&lt;i&gt;PMI PMBOK Guide (2025): What is Project Management Body of ... - 4PMTI&lt;/i&gt;. (n.d.). Retrieved from https://www.4pmti.com/what-is-pmbok/</int2:citationText>
                </int2:suggestion>
                <int2:suggestion int2:citationStyle="Chicago" int2:isIdentical="0">
                  <int2:citationText>“PMI PMBOK Guide (2025): What is Project Management Body of ... - 4PMTI” n.d., https://www.4pmti.com/what-is-pmbok/.</int2:citationText>
                </int2:suggestion>
              </int2:suggestions>
            </int2:source>
          </int2:similarityCritique>
        </oel:ext>
      </int2:extLst>
    </int2:bookmark>
    <int2:bookmark int2:bookmarkName="_Int_OT1UzM3t" int2:invalidationBookmarkName="" int2:hashCode="tjQhTiRPI19DVp" int2:id="dMzFoi6i">
      <int2:extLst>
        <oel:ext uri="426473B9-03D8-482F-96C9-C2C85392BACA">
          <int2:similarityCritique int2:version="1" int2:context="Carroll, A. B. (1991) The Pyramid of Corporate Social Responsibility: Toward the Moral Management of Organizational Stakeholders.">
            <int2:source int2:sourceType="Online" int2:sourceTitle="Carroll, A. B. (1991). The Pyramid of Corporate Social Responsibility ..." int2:sourceUrl="https://www.scirp.org/reference/referencespapers?referenceid=3863813" int2:sourceSnippet="Carroll, A. B. (1991). The Pyramid of Corporate Social Responsibility Toward the Moral Management of Organizational Stakeholders. Business Horizons, 34, 39-48.">
              <int2:suggestions int2:citationType="Inline">
                <int2:suggestion int2:citationStyle="Mla" int2:isIdentical="0">
                  <int2:citationText>(“Carroll, A. B. (1991). The Pyramid of Corporate Social Responsibility ...”)</int2:citationText>
                </int2:suggestion>
                <int2:suggestion int2:citationStyle="Apa" int2:isIdentical="0">
                  <int2:citationText>(“Carroll, A. B. (1991). The Pyramid of Corporate Social Responsibility ...”)</int2:citationText>
                </int2:suggestion>
                <int2:suggestion int2:citationStyle="Chicago" int2:isIdentical="0">
                  <int2:citationText>(“Carroll, A. B. (1991). The Pyramid of Corporate Social Responsibility ...”)</int2:citationText>
                </int2:suggestion>
              </int2:suggestions>
              <int2:suggestions int2:citationType="Full">
                <int2:suggestion int2:citationStyle="Mla" int2:isIdentical="0">
                  <int2:citationText>&lt;i&gt;Carroll, A. B. (1991). The Pyramid of Corporate Social Responsibility ...&lt;/i&gt;, https://www.scirp.org/reference/referencespapers?referenceid=3863813.</int2:citationText>
                </int2:suggestion>
                <int2:suggestion int2:citationStyle="Apa" int2:isIdentical="0">
                  <int2:citationText>&lt;i&gt;Carroll, A. B. (1991). The Pyramid of Corporate Social Responsibility ...&lt;/i&gt;. (n.d.). Retrieved from https://www.scirp.org/reference/referencespapers?referenceid=3863813</int2:citationText>
                </int2:suggestion>
                <int2:suggestion int2:citationStyle="Chicago" int2:isIdentical="0">
                  <int2:citationText>“Carroll, A. B. (1991). The Pyramid of Corporate Social Responsibility ...” n.d., https://www.scirp.org/reference/referencespapers?referenceid=3863813.</int2:citationText>
                </int2:suggestion>
              </int2:suggestions>
            </int2:source>
            <int2:source int2:sourceType="Online" int2:sourceTitle="Carroll's Pyramid of Corporate Social Responsibility | The Impact…" int2:sourceUrl="https://theimpactinvestor.com/pyramid-of-corporate-social-responsibility/" int2:sourceSnippet="Corporate Governance Investing What is the Pyramid of Corporate Social Responsibility? In 1991, Archie B Carroll wrote a paper that was destined to change the dynamics of ethics in business and reshape questions of corporate social responsibility. His paper The Pyramid of Corporate Social Responsibility: Toward the Moral Management of Organizational Stakeholders aimed at the ambivalence of ...">
              <int2:suggestions int2:citationType="Inline">
                <int2:suggestion int2:citationStyle="Mla" int2:isIdentical="0">
                  <int2:citationText>(“Carroll's Pyramid of Corporate Social Responsibility | The Impact…”)</int2:citationText>
                </int2:suggestion>
                <int2:suggestion int2:citationStyle="Apa" int2:isIdentical="0">
                  <int2:citationText>(“Carroll's Pyramid of Corporate Social Responsibility | The Impact…”)</int2:citationText>
                </int2:suggestion>
                <int2:suggestion int2:citationStyle="Chicago" int2:isIdentical="0">
                  <int2:citationText>(“Carroll's Pyramid of Corporate Social Responsibility | The Impact…”)</int2:citationText>
                </int2:suggestion>
              </int2:suggestions>
              <int2:suggestions int2:citationType="Full">
                <int2:suggestion int2:citationStyle="Mla" int2:isIdentical="0">
                  <int2:citationText>&lt;i&gt;Carroll's Pyramid of Corporate Social Responsibility | The Impact…&lt;/i&gt;, https://theimpactinvestor.com/pyramid-of-corporate-social-responsibility/.</int2:citationText>
                </int2:suggestion>
                <int2:suggestion int2:citationStyle="Apa" int2:isIdentical="0">
                  <int2:citationText>&lt;i&gt;Carroll's Pyramid of Corporate Social Responsibility | The Impact…&lt;/i&gt;. (n.d.). Retrieved from https://theimpactinvestor.com/pyramid-of-corporate-social-responsibility/</int2:citationText>
                </int2:suggestion>
                <int2:suggestion int2:citationStyle="Chicago" int2:isIdentical="0">
                  <int2:citationText>“Carroll's Pyramid of Corporate Social Responsibility | The Impact…” n.d., https://theimpactinvestor.com/pyramid-of-corporate-social-responsibility/.</int2:citationText>
                </int2:suggestion>
              </int2:suggestions>
            </int2:source>
            <int2:source int2:sourceType="Online" int2:sourceTitle="The pyramid of corporate social responsibility: toward the moral ... - Gale" int2:sourceUrl="https://go.gale.com/ps/i.do?p=AONE&amp;u=googlescholar&amp;id=GALE%7CA11000639&amp;v=2.1&amp;it=r&amp;asid=cce40afc" int2:sourceSnippet="This article will explore the nature of corporate social responsibility (CSR) with an eye toward understanding its component parts. The intention will be to characterize the firm's CSR in ways that might be useful to executives who wish to reconcile their obligations to their shareholders with those to other competing groups claiming legitimacy. This discussion will be framed by a pyramid of ...">
              <int2:suggestions int2:citationType="Inline">
                <int2:suggestion int2:citationStyle="Mla" int2:isIdentical="0">
                  <int2:citationText>(“The pyramid of corporate social responsibility: toward the moral ... - Gale”)</int2:citationText>
                </int2:suggestion>
                <int2:suggestion int2:citationStyle="Apa" int2:isIdentical="0">
                  <int2:citationText>(“The pyramid of corporate social responsibility: toward the moral ... - Gale”)</int2:citationText>
                </int2:suggestion>
                <int2:suggestion int2:citationStyle="Chicago" int2:isIdentical="0">
                  <int2:citationText>(“The pyramid of corporate social responsibility: toward the moral ... - Gale”)</int2:citationText>
                </int2:suggestion>
              </int2:suggestions>
              <int2:suggestions int2:citationType="Full">
                <int2:suggestion int2:citationStyle="Mla" int2:isIdentical="0">
                  <int2:citationText>&lt;i&gt;The pyramid of corporate social responsibility: toward the moral ... - Gale&lt;/i&gt;, https://go.gale.com/ps/i.do?p=AONE&amp;u=googlescholar&amp;id=GALE%7CA11000639&amp;v=2.1&amp;it=r&amp;asid=cce40afc.</int2:citationText>
                </int2:suggestion>
                <int2:suggestion int2:citationStyle="Apa" int2:isIdentical="0">
                  <int2:citationText>&lt;i&gt;The pyramid of corporate social responsibility: toward the moral ... - Gale&lt;/i&gt;. (n.d.). Retrieved from https://go.gale.com/ps/i.do?p=AONE&amp;u=googlescholar&amp;id=GALE%7CA11000639&amp;v=2.1&amp;it=r&amp;asid=cce40afc</int2:citationText>
                </int2:suggestion>
                <int2:suggestion int2:citationStyle="Chicago" int2:isIdentical="0">
                  <int2:citationText>“The pyramid of corporate social responsibility: toward the moral ... - Gale” n.d., https://go.gale.com/ps/i.do?p=AONE&amp;u=googlescholar&amp;id=GALE%7CA11000639&amp;v=2.1&amp;it=r&amp;asid=cce40afc.</int2:citationText>
                </int2:suggestion>
              </int2:suggestions>
            </int2:source>
          </int2:similarityCritique>
        </oel:ext>
      </int2:extLst>
    </int2:bookmark>
    <int2:bookmark int2:bookmarkName="_Int_HqSH4RDq" int2:invalidationBookmarkName="" int2:hashCode="/v4RkJpKTEdYDO" int2:id="ydofFIfk">
      <int2:extLst>
        <oel:ext uri="426473B9-03D8-482F-96C9-C2C85392BACA">
          <int2:similarityCritique int2:version="1" int2:context="Sustainable development seeks to balance economic growth with social and environmental protection to meet the needs of present and future generations.">
            <int2:source int2:sourceType="Online" int2:sourceTitle="Reconstruction of Indigenous settlements in ecologically fragile areas ..." int2:sourceUrl="https://pmc.ncbi.nlm.nih.gov/articles/PMC12552482/" int2:sourceSnippet="Emerging in the late 20th century, the theory of sustainable development seeks to balance economic growth, social equity, and environmental protection to meet present and future needs 44.">
              <int2:suggestions int2:citationType="Inline">
                <int2:suggestion int2:citationStyle="Mla" int2:isIdentical="0">
                  <int2:citationText>(“Reconstruction of Indigenous settlements in ecologically fragile areas ...”)</int2:citationText>
                </int2:suggestion>
                <int2:suggestion int2:citationStyle="Apa" int2:isIdentical="0">
                  <int2:citationText>(“Reconstruction of Indigenous settlements in ecologically fragile areas ...”)</int2:citationText>
                </int2:suggestion>
                <int2:suggestion int2:citationStyle="Chicago" int2:isIdentical="0">
                  <int2:citationText>(“Reconstruction of Indigenous settlements in ecologically fragile areas ...”)</int2:citationText>
                </int2:suggestion>
              </int2:suggestions>
              <int2:suggestions int2:citationType="Full">
                <int2:suggestion int2:citationStyle="Mla" int2:isIdentical="0">
                  <int2:citationText>&lt;i&gt;Reconstruction of Indigenous settlements in ecologically fragile areas ...&lt;/i&gt;, https://pmc.ncbi.nlm.nih.gov/articles/PMC12552482/.</int2:citationText>
                </int2:suggestion>
                <int2:suggestion int2:citationStyle="Apa" int2:isIdentical="0">
                  <int2:citationText>&lt;i&gt;Reconstruction of Indigenous settlements in ecologically fragile areas ...&lt;/i&gt;. (n.d.). Retrieved from https://pmc.ncbi.nlm.nih.gov/articles/PMC12552482/</int2:citationText>
                </int2:suggestion>
                <int2:suggestion int2:citationStyle="Chicago" int2:isIdentical="0">
                  <int2:citationText>“Reconstruction of Indigenous settlements in ecologically fragile areas ...” n.d., https://pmc.ncbi.nlm.nih.gov/articles/PMC12552482/.</int2:citationText>
                </int2:suggestion>
              </int2:suggestions>
            </int2:source>
          </int2:similarityCritique>
        </oel:ext>
      </int2:extLst>
    </int2:bookmark>
    <int2:entireDocument int2:id="GN0pwyj2">
      <int2:extLst>
        <oel:ext uri="E302BA01-7950-474C-9AD3-286E660C40A8">
          <int2:similaritySummary int2:version="1" int2:runId="1773529591168" int2:tilesCheckedInThisRun="80" int2:totalNumOfTiles="80" int2:similarityAnnotationCount="3" int2:numWords="2291" int2:numFlaggedWords="53"/>
        </oel:ext>
      </int2:extLst>
    </int2:entireDocument>
  </int2:observations>
  <int2:intelligenceSettings/>
  <int2:onDemandWorkflows>
    <int2:onDemandWorkflow int2:type="SimilarityCheck" int2:paragraphVersions="7EDAA2BD-0C7F7566 7F4CF459-239A869E 68F21362-333A1323 66D63164-03C0C56B 4342459E-77777777 6075A726-77777777 1C9A3419-77777777 62CD6E02-77777777 786ED34B-7E023523 7421E822-77777777 53D345E1-0A9F25F4 6B2CA75F-77777777 2B1DD12A-77777777 31EDF03B-77777777 1025D536-77777777 167140ED-77777777 11D48271-77777777 209CE153-77777777 3D7CF070-77777777 7D20D6DE-77777777 6FE00F36-3B851AE2 01B48188-77777777 04D9FC14-77777777 39A82B30-77777777 038DA972-6774AB76 6CAA3CE0-77777777 59EE3BA2-77777777 2372A32D-77777777 7FEAA958-77777777 686F976B-77777777 1C10C6DB-77777777 4AA97103-0E1BA10E 6161556E-77777777 43FAB402-6E1758E4 617A9F51-77777777 383EBE05-77777777 5A0C8641-77777777 2D874D8C-77777777 3AB6B6D9-77777777 0E916526-3B7A64C7 7AE20CC3-73DFDD33 4D108A41-77777777 0E94AB5E-77777777 787F011F-77777777 4C9D2128-3B5B0982 08021F1D-77777777 5470433F-77777777 71D0AC10-66B849BC 6D65DC65-77777777 48C218E6-77C4EED2 24410833-77777777 5A668E9A-77777777 313A790F-77777777 2DBD1BA4-77777777 64370993-77777777 7515E1C6-77777777 7E177962-77777777 05FAD91F-77777777 579DFE24-77777777 47FD7370-77777777 4D4E7786-77777777 1E16C85B-77777777 0A798D87-77777777 55E4AC05-77777777 43467FBA-77777777 057E6F4C-77777777 1BD61866-77777777 1FEA886E-77777777 4C067F03-77777777 281E5D69-77777777 578ACB8A-77777777 44AFEA25-77777777 672A6659-77777777 071E4E01-77777777 58EA8D2C-77777777 2BEC741E-77777777 0356BD45-77777777 6ABC509E-77777777 6305506C-77777777 79E7576E-77777777 7A4C3BE3-60F445E1 68E713EB-77777777"/>
  </int2:onDemandWorkflow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801"/>
    <w:rsid w:val="00664536"/>
    <w:rsid w:val="00DB7801"/>
    <w:rsid w:val="05AECE3F"/>
    <w:rsid w:val="16423F2C"/>
    <w:rsid w:val="18834BD5"/>
    <w:rsid w:val="228E9535"/>
    <w:rsid w:val="2935F466"/>
    <w:rsid w:val="2E866B08"/>
    <w:rsid w:val="30A3DB38"/>
    <w:rsid w:val="32AB16E8"/>
    <w:rsid w:val="37EA4728"/>
    <w:rsid w:val="46D2405D"/>
    <w:rsid w:val="5812ECE3"/>
    <w:rsid w:val="7667EF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86021"/>
  <w15:chartTrackingRefBased/>
  <w15:docId w15:val="{AB1ECF84-81A4-45B9-9AB6-B23F28E476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95a4ddae32fb4b7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6" ma:contentTypeDescription="Create a new document." ma:contentTypeScope="" ma:versionID="f08b5ce653f7052975ccd4809673a9e6">
  <xsd:schema xmlns:xsd="http://www.w3.org/2001/XMLSchema" xmlns:xs="http://www.w3.org/2001/XMLSchema" xmlns:p="http://schemas.microsoft.com/office/2006/metadata/properties" xmlns:ns3="6642d537-5170-4cd9-a3f2-9ec198ee3eac" targetNamespace="http://schemas.microsoft.com/office/2006/metadata/properties" ma:root="true" ma:fieldsID="8aa18d98ff1ebc0799f3faf997f96ad7"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5A3E5E86-5B43-4D27-AEEA-F5D5B9BAA7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E5EA8E-C5B4-4210-BE65-AE066A4D426A}">
  <ds:schemaRefs>
    <ds:schemaRef ds:uri="http://schemas.microsoft.com/sharepoint/v3/contenttype/forms"/>
  </ds:schemaRefs>
</ds:datastoreItem>
</file>

<file path=customXml/itemProps3.xml><?xml version="1.0" encoding="utf-8"?>
<ds:datastoreItem xmlns:ds="http://schemas.openxmlformats.org/officeDocument/2006/customXml" ds:itemID="{B368BED2-A183-49EC-B1BF-65DDEB0979C6}">
  <ds:schemaRefs>
    <ds:schemaRef ds:uri="http://purl.org/dc/elements/1.1/"/>
    <ds:schemaRef ds:uri="http://schemas.microsoft.com/office/2006/documentManagement/types"/>
    <ds:schemaRef ds:uri="http://purl.org/dc/terms/"/>
    <ds:schemaRef ds:uri="http://www.w3.org/XML/1998/namespace"/>
    <ds:schemaRef ds:uri="http://purl.org/dc/dcmitype/"/>
    <ds:schemaRef ds:uri="http://schemas.microsoft.com/office/2006/metadata/properties"/>
    <ds:schemaRef ds:uri="http://schemas.microsoft.com/office/infopath/2007/PartnerControls"/>
    <ds:schemaRef ds:uri="http://schemas.openxmlformats.org/package/2006/metadata/core-properties"/>
    <ds:schemaRef ds:uri="6642d537-5170-4cd9-a3f2-9ec198ee3ea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 Merisan (2226309)</dc:creator>
  <keywords/>
  <dc:description/>
  <lastModifiedBy>Adrian Merisan (2226309)</lastModifiedBy>
  <revision>2</revision>
  <dcterms:created xsi:type="dcterms:W3CDTF">2026-02-28T09:43:00.0000000Z</dcterms:created>
  <dcterms:modified xsi:type="dcterms:W3CDTF">2026-03-14T12:07:07.3566470Z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