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31FFF987" w:rsidR="00E071E6" w:rsidRDefault="00920773">
      <w:pPr>
        <w:spacing w:before="240" w:after="160" w:line="259" w:lineRule="auto"/>
        <w:jc w:val="center"/>
        <w:rPr>
          <w:b/>
        </w:rPr>
      </w:pPr>
      <w:proofErr w:type="gramStart"/>
      <w:r>
        <w:rPr>
          <w:b/>
        </w:rPr>
        <w:t>MODULE :</w:t>
      </w:r>
      <w:proofErr w:type="gramEnd"/>
      <w:r>
        <w:rPr>
          <w:b/>
        </w:rPr>
        <w:t xml:space="preserve"> BMSW4004</w:t>
      </w:r>
    </w:p>
    <w:p w14:paraId="441483D0" w14:textId="323E49F3" w:rsidR="00920773" w:rsidRDefault="00920773">
      <w:pPr>
        <w:spacing w:before="240" w:after="160" w:line="259" w:lineRule="auto"/>
        <w:jc w:val="center"/>
        <w:rPr>
          <w:b/>
        </w:rPr>
      </w:pPr>
      <w:r>
        <w:rPr>
          <w:b/>
        </w:rPr>
        <w:t xml:space="preserve">STUDENT </w:t>
      </w:r>
      <w:proofErr w:type="gramStart"/>
      <w:r>
        <w:rPr>
          <w:b/>
        </w:rPr>
        <w:t>ID :</w:t>
      </w:r>
      <w:proofErr w:type="gramEnd"/>
      <w:r>
        <w:rPr>
          <w:b/>
        </w:rPr>
        <w:t xml:space="preserve"> 2026061</w:t>
      </w:r>
    </w:p>
    <w:p w14:paraId="1AA7B99C" w14:textId="4135AECE" w:rsidR="00920773" w:rsidRDefault="00920773">
      <w:pPr>
        <w:spacing w:before="240" w:after="160" w:line="259" w:lineRule="auto"/>
        <w:jc w:val="center"/>
        <w:rPr>
          <w:b/>
        </w:rPr>
      </w:pPr>
      <w:proofErr w:type="gramStart"/>
      <w:r>
        <w:rPr>
          <w:b/>
        </w:rPr>
        <w:t>NAME :</w:t>
      </w:r>
      <w:proofErr w:type="gramEnd"/>
      <w:r>
        <w:rPr>
          <w:b/>
        </w:rPr>
        <w:t xml:space="preserve"> LUMINITA DANIELA MIRCEA</w:t>
      </w:r>
    </w:p>
    <w:p w14:paraId="437FE768" w14:textId="2C706065" w:rsidR="00920773" w:rsidRDefault="00920773">
      <w:pPr>
        <w:spacing w:before="240" w:after="160" w:line="259" w:lineRule="auto"/>
        <w:jc w:val="center"/>
        <w:rPr>
          <w:b/>
        </w:rPr>
      </w:pPr>
    </w:p>
    <w:p w14:paraId="6E2ED0B0" w14:textId="1508F384" w:rsidR="00920773" w:rsidRDefault="00920773">
      <w:pPr>
        <w:spacing w:before="240" w:after="160" w:line="259" w:lineRule="auto"/>
        <w:jc w:val="center"/>
        <w:rPr>
          <w:b/>
        </w:rPr>
      </w:pPr>
    </w:p>
    <w:p w14:paraId="1372C0EF" w14:textId="77777777" w:rsidR="00920773" w:rsidRDefault="00920773">
      <w:pPr>
        <w:spacing w:before="240" w:after="160" w:line="259" w:lineRule="auto"/>
        <w:jc w:val="center"/>
        <w:rPr>
          <w:b/>
        </w:rPr>
      </w:pPr>
    </w:p>
    <w:p w14:paraId="73E18C4F" w14:textId="2ED0A950" w:rsidR="00920773" w:rsidRDefault="00920773">
      <w:pPr>
        <w:spacing w:before="240" w:after="160" w:line="259" w:lineRule="auto"/>
        <w:jc w:val="center"/>
        <w:rPr>
          <w:b/>
        </w:rPr>
      </w:pPr>
    </w:p>
    <w:p w14:paraId="15FC2A39" w14:textId="05EC7D1D" w:rsidR="00920773" w:rsidRDefault="00920773">
      <w:pPr>
        <w:spacing w:before="240" w:after="160" w:line="259" w:lineRule="auto"/>
        <w:jc w:val="center"/>
        <w:rPr>
          <w:b/>
        </w:rPr>
      </w:pPr>
    </w:p>
    <w:p w14:paraId="5C88820C" w14:textId="7BF1EF41" w:rsidR="00920773" w:rsidRDefault="00920773">
      <w:pPr>
        <w:spacing w:before="240" w:after="160" w:line="259" w:lineRule="auto"/>
        <w:jc w:val="center"/>
        <w:rPr>
          <w:b/>
        </w:rPr>
      </w:pPr>
    </w:p>
    <w:p w14:paraId="0B749C35" w14:textId="13996005" w:rsidR="00920773" w:rsidRDefault="00920773">
      <w:pPr>
        <w:spacing w:before="240" w:after="160" w:line="259" w:lineRule="auto"/>
        <w:jc w:val="center"/>
        <w:rPr>
          <w:b/>
        </w:rPr>
      </w:pPr>
    </w:p>
    <w:p w14:paraId="7E054D38" w14:textId="77777777" w:rsidR="00920773" w:rsidRDefault="00920773">
      <w:pPr>
        <w:spacing w:before="240" w:after="160" w:line="259" w:lineRule="auto"/>
        <w:jc w:val="center"/>
        <w:rPr>
          <w:b/>
        </w:rPr>
      </w:pPr>
    </w:p>
    <w:p w14:paraId="4F49B215" w14:textId="5941BD79" w:rsidR="00920773" w:rsidRDefault="00920773">
      <w:pPr>
        <w:spacing w:before="240" w:after="160" w:line="259" w:lineRule="auto"/>
        <w:jc w:val="center"/>
        <w:rPr>
          <w:b/>
        </w:rPr>
      </w:pPr>
    </w:p>
    <w:p w14:paraId="4A0EAFBC" w14:textId="3078A4E7" w:rsidR="00920773" w:rsidRDefault="00920773">
      <w:pPr>
        <w:spacing w:before="240" w:after="160" w:line="259" w:lineRule="auto"/>
        <w:jc w:val="center"/>
        <w:rPr>
          <w:b/>
        </w:rPr>
      </w:pPr>
    </w:p>
    <w:p w14:paraId="1F5AF116" w14:textId="7EDF912F" w:rsidR="00920773" w:rsidRDefault="00920773">
      <w:pPr>
        <w:spacing w:before="240" w:after="160" w:line="259" w:lineRule="auto"/>
        <w:jc w:val="center"/>
        <w:rPr>
          <w:b/>
        </w:rPr>
      </w:pPr>
    </w:p>
    <w:p w14:paraId="61D1C11E" w14:textId="46EA7E47" w:rsidR="00920773" w:rsidRDefault="00920773">
      <w:pPr>
        <w:spacing w:before="240" w:after="160" w:line="259" w:lineRule="auto"/>
        <w:jc w:val="center"/>
        <w:rPr>
          <w:b/>
        </w:rPr>
      </w:pPr>
    </w:p>
    <w:p w14:paraId="2CFB5697" w14:textId="77777777" w:rsidR="00920773" w:rsidRDefault="00920773">
      <w:pPr>
        <w:spacing w:before="240" w:after="160" w:line="259" w:lineRule="auto"/>
        <w:jc w:val="center"/>
        <w:rPr>
          <w:b/>
        </w:rPr>
      </w:pPr>
    </w:p>
    <w:p w14:paraId="6DF53D0F" w14:textId="74344D26" w:rsidR="00920773" w:rsidRDefault="00920773">
      <w:pPr>
        <w:spacing w:before="240" w:after="160" w:line="259" w:lineRule="auto"/>
        <w:jc w:val="center"/>
        <w:rPr>
          <w:b/>
        </w:rPr>
      </w:pPr>
    </w:p>
    <w:p w14:paraId="1580AFCE" w14:textId="134A9983" w:rsidR="00920773" w:rsidRDefault="00920773">
      <w:pPr>
        <w:spacing w:before="240" w:after="160" w:line="259" w:lineRule="auto"/>
        <w:jc w:val="center"/>
        <w:rPr>
          <w:b/>
        </w:rPr>
      </w:pPr>
    </w:p>
    <w:p w14:paraId="2FEFE127" w14:textId="209D4F3D" w:rsidR="00920773" w:rsidRDefault="00920773">
      <w:pPr>
        <w:spacing w:before="240" w:after="160" w:line="259" w:lineRule="auto"/>
        <w:jc w:val="center"/>
        <w:rPr>
          <w:b/>
        </w:rPr>
      </w:pPr>
    </w:p>
    <w:p w14:paraId="4DF5A83B" w14:textId="6443CDCD" w:rsidR="00920773" w:rsidRDefault="00920773">
      <w:pPr>
        <w:spacing w:before="240" w:after="160" w:line="259" w:lineRule="auto"/>
        <w:jc w:val="center"/>
        <w:rPr>
          <w:b/>
        </w:rPr>
      </w:pPr>
    </w:p>
    <w:p w14:paraId="183B20AB" w14:textId="2F6108E1" w:rsidR="00920773" w:rsidRDefault="00920773">
      <w:pPr>
        <w:spacing w:before="240" w:after="160" w:line="259" w:lineRule="auto"/>
        <w:jc w:val="center"/>
        <w:rPr>
          <w:b/>
        </w:rPr>
      </w:pPr>
    </w:p>
    <w:p w14:paraId="389E6187" w14:textId="2F103DF4" w:rsidR="00920773" w:rsidRDefault="00920773">
      <w:pPr>
        <w:spacing w:before="240" w:after="160" w:line="259" w:lineRule="auto"/>
        <w:jc w:val="center"/>
        <w:rPr>
          <w:b/>
        </w:rPr>
      </w:pPr>
    </w:p>
    <w:p w14:paraId="1D257F2D" w14:textId="428CAA67" w:rsidR="00920773" w:rsidRDefault="00920773">
      <w:pPr>
        <w:spacing w:before="240" w:after="160" w:line="259" w:lineRule="auto"/>
        <w:jc w:val="center"/>
        <w:rPr>
          <w:b/>
        </w:rPr>
      </w:pPr>
    </w:p>
    <w:p w14:paraId="29720F14" w14:textId="17B94E0E" w:rsidR="00920773" w:rsidRDefault="00920773">
      <w:pPr>
        <w:spacing w:before="240" w:after="160" w:line="259" w:lineRule="auto"/>
        <w:jc w:val="center"/>
        <w:rPr>
          <w:b/>
        </w:rPr>
      </w:pPr>
    </w:p>
    <w:p w14:paraId="3AF4361E" w14:textId="45CCFE3B" w:rsidR="00920773" w:rsidRDefault="00920773">
      <w:pPr>
        <w:spacing w:before="240" w:after="160" w:line="259" w:lineRule="auto"/>
        <w:jc w:val="center"/>
        <w:rPr>
          <w:b/>
        </w:rPr>
      </w:pPr>
    </w:p>
    <w:p w14:paraId="6441F566" w14:textId="77777777" w:rsidR="00920773" w:rsidRDefault="00920773">
      <w:pPr>
        <w:spacing w:before="240" w:after="160" w:line="259" w:lineRule="auto"/>
        <w:jc w:val="center"/>
        <w:rPr>
          <w:b/>
        </w:rPr>
      </w:pPr>
    </w:p>
    <w:p w14:paraId="00000002" w14:textId="77777777" w:rsidR="00E071E6" w:rsidRDefault="00E071E6">
      <w:pPr>
        <w:spacing w:before="240" w:after="160" w:line="259" w:lineRule="auto"/>
        <w:jc w:val="center"/>
        <w:rPr>
          <w:b/>
        </w:rPr>
      </w:pPr>
    </w:p>
    <w:p w14:paraId="00000003" w14:textId="77777777" w:rsidR="00E071E6" w:rsidRDefault="00000000">
      <w:pPr>
        <w:spacing w:before="240" w:after="160" w:line="259" w:lineRule="auto"/>
        <w:jc w:val="center"/>
        <w:rPr>
          <w:b/>
        </w:rPr>
      </w:pPr>
      <w:r>
        <w:rPr>
          <w:b/>
        </w:rPr>
        <w:lastRenderedPageBreak/>
        <w:t>Table of Content:</w:t>
      </w:r>
    </w:p>
    <w:p w14:paraId="00000004" w14:textId="77777777" w:rsidR="00E071E6" w:rsidRDefault="00E071E6">
      <w:pPr>
        <w:spacing w:before="240" w:after="160" w:line="259" w:lineRule="auto"/>
        <w:jc w:val="center"/>
        <w:rPr>
          <w:b/>
        </w:rPr>
      </w:pPr>
    </w:p>
    <w:p w14:paraId="00000005" w14:textId="77777777" w:rsidR="00E071E6" w:rsidRDefault="00E071E6">
      <w:pPr>
        <w:spacing w:before="240" w:after="160" w:line="259" w:lineRule="auto"/>
        <w:jc w:val="center"/>
        <w:rPr>
          <w:b/>
        </w:rPr>
      </w:pPr>
    </w:p>
    <w:p w14:paraId="00000006" w14:textId="77777777" w:rsidR="00E071E6" w:rsidRDefault="00000000">
      <w:pPr>
        <w:spacing w:before="240" w:after="160" w:line="259" w:lineRule="auto"/>
        <w:rPr>
          <w:b/>
        </w:rPr>
      </w:pPr>
      <w:r>
        <w:rPr>
          <w:b/>
        </w:rPr>
        <w:t>Introduction</w:t>
      </w:r>
    </w:p>
    <w:p w14:paraId="00000007" w14:textId="77777777" w:rsidR="00E071E6" w:rsidRDefault="00000000">
      <w:pPr>
        <w:spacing w:before="240" w:after="160" w:line="259" w:lineRule="auto"/>
        <w:rPr>
          <w:b/>
        </w:rPr>
      </w:pPr>
      <w:r>
        <w:rPr>
          <w:b/>
        </w:rPr>
        <w:t xml:space="preserve">Main Body </w:t>
      </w:r>
    </w:p>
    <w:p w14:paraId="00000008" w14:textId="77777777" w:rsidR="00E071E6" w:rsidRDefault="00000000">
      <w:pPr>
        <w:spacing w:before="240" w:after="160" w:line="259" w:lineRule="auto"/>
        <w:rPr>
          <w:b/>
        </w:rPr>
      </w:pPr>
      <w:r>
        <w:rPr>
          <w:b/>
        </w:rPr>
        <w:t>Conclusion</w:t>
      </w:r>
      <w:r>
        <w:rPr>
          <w:b/>
        </w:rPr>
        <w:br/>
      </w:r>
      <w:r>
        <w:rPr>
          <w:b/>
        </w:rPr>
        <w:br/>
        <w:t>Reference list</w:t>
      </w:r>
    </w:p>
    <w:p w14:paraId="00000009" w14:textId="77777777" w:rsidR="00E071E6" w:rsidRDefault="00000000">
      <w:pPr>
        <w:spacing w:before="240" w:after="160" w:line="259" w:lineRule="auto"/>
        <w:rPr>
          <w:b/>
        </w:rPr>
      </w:pPr>
      <w:r>
        <w:rPr>
          <w:b/>
        </w:rPr>
        <w:br/>
        <w:t xml:space="preserve">                                                  </w:t>
      </w:r>
    </w:p>
    <w:p w14:paraId="0000000A" w14:textId="77777777" w:rsidR="00E071E6" w:rsidRDefault="00E071E6">
      <w:pPr>
        <w:spacing w:before="240" w:after="160" w:line="259" w:lineRule="auto"/>
        <w:rPr>
          <w:b/>
        </w:rPr>
      </w:pPr>
    </w:p>
    <w:p w14:paraId="0000000B" w14:textId="77777777" w:rsidR="00E071E6" w:rsidRDefault="00E071E6">
      <w:pPr>
        <w:spacing w:before="240" w:after="160" w:line="259" w:lineRule="auto"/>
        <w:rPr>
          <w:b/>
        </w:rPr>
      </w:pPr>
    </w:p>
    <w:p w14:paraId="0000000C" w14:textId="77777777" w:rsidR="00E071E6" w:rsidRDefault="00000000">
      <w:pPr>
        <w:spacing w:before="240" w:after="160" w:line="259" w:lineRule="auto"/>
        <w:rPr>
          <w:b/>
        </w:rPr>
      </w:pPr>
      <w:r>
        <w:rPr>
          <w:b/>
        </w:rPr>
        <w:br/>
      </w:r>
    </w:p>
    <w:p w14:paraId="0000000D" w14:textId="77777777" w:rsidR="00E071E6" w:rsidRDefault="00000000">
      <w:pPr>
        <w:spacing w:before="240" w:after="160" w:line="259" w:lineRule="auto"/>
        <w:rPr>
          <w:b/>
        </w:rPr>
      </w:pPr>
      <w:r>
        <w:rPr>
          <w:b/>
        </w:rPr>
        <w:t xml:space="preserve">                                                          Introduction:</w:t>
      </w:r>
    </w:p>
    <w:p w14:paraId="0000000E" w14:textId="77777777" w:rsidR="00E071E6" w:rsidRDefault="00E071E6">
      <w:pPr>
        <w:spacing w:before="240" w:after="160" w:line="259" w:lineRule="auto"/>
        <w:rPr>
          <w:b/>
        </w:rPr>
      </w:pPr>
    </w:p>
    <w:p w14:paraId="0000000F" w14:textId="77777777" w:rsidR="00E071E6" w:rsidRDefault="00000000">
      <w:pPr>
        <w:spacing w:before="240" w:after="160" w:line="259" w:lineRule="auto"/>
      </w:pPr>
      <w:r>
        <w:t xml:space="preserve">     Inadequate patient treatment methods lead to a waste of resources of all kinds and seriously damage the health of the population, destroying human capital and reducing productivity. Thus, absenteeism and poor quality of patient care and patient safety is essential to the process of restoring confidence in health services. This affects global health security and local health security, which depend on care of the highest standard. Quality health services ensure the health of the population to the highest degree and better care for each patient treated in specialised units. All too often, the quality of adequate and high standard health care is perceived as a luxury that only wealthy and affluent people and their families can afford for their health. This is a fallacy. Creating affordable and good quality health services needs a culture of transparency and commitment from staff, regardless of income level. Around the world lessons are being offered providing a rich foundation from which to move quickly towards transparency, staff engagement without creating absenteeism. Technological innovation plays a key role in enabling and providing the necessary pathways for faster expansion of </w:t>
      </w:r>
      <w:proofErr w:type="gramStart"/>
      <w:r>
        <w:t>high quality</w:t>
      </w:r>
      <w:proofErr w:type="gramEnd"/>
      <w:r>
        <w:t xml:space="preserve"> health services.</w:t>
      </w:r>
    </w:p>
    <w:p w14:paraId="00000010" w14:textId="77777777" w:rsidR="00E071E6" w:rsidRDefault="00E071E6">
      <w:pPr>
        <w:spacing w:before="240" w:after="160" w:line="259" w:lineRule="auto"/>
        <w:rPr>
          <w:b/>
        </w:rPr>
      </w:pPr>
    </w:p>
    <w:p w14:paraId="00000011" w14:textId="77777777" w:rsidR="00E071E6" w:rsidRDefault="00E071E6">
      <w:pPr>
        <w:spacing w:before="240" w:after="160" w:line="259" w:lineRule="auto"/>
        <w:rPr>
          <w:b/>
        </w:rPr>
      </w:pPr>
    </w:p>
    <w:p w14:paraId="00000012" w14:textId="77777777" w:rsidR="00E071E6" w:rsidRDefault="00E071E6">
      <w:pPr>
        <w:spacing w:before="240" w:after="160" w:line="259" w:lineRule="auto"/>
        <w:rPr>
          <w:b/>
        </w:rPr>
      </w:pPr>
    </w:p>
    <w:p w14:paraId="00000013" w14:textId="77777777" w:rsidR="00E071E6" w:rsidRDefault="00E071E6">
      <w:pPr>
        <w:spacing w:before="240" w:after="160" w:line="259" w:lineRule="auto"/>
        <w:rPr>
          <w:b/>
        </w:rPr>
      </w:pPr>
    </w:p>
    <w:p w14:paraId="00000014" w14:textId="77777777" w:rsidR="00E071E6" w:rsidRDefault="00000000">
      <w:pPr>
        <w:spacing w:before="240" w:after="160" w:line="259" w:lineRule="auto"/>
        <w:rPr>
          <w:b/>
        </w:rPr>
      </w:pPr>
      <w:r>
        <w:rPr>
          <w:b/>
        </w:rPr>
        <w:t xml:space="preserve">                                                       Additional report</w:t>
      </w:r>
    </w:p>
    <w:p w14:paraId="00000015" w14:textId="77777777" w:rsidR="00E071E6" w:rsidRDefault="00E071E6">
      <w:pPr>
        <w:spacing w:before="240" w:after="160" w:line="259" w:lineRule="auto"/>
        <w:rPr>
          <w:b/>
        </w:rPr>
      </w:pPr>
    </w:p>
    <w:p w14:paraId="00000016" w14:textId="77777777" w:rsidR="00E071E6" w:rsidRDefault="00E071E6">
      <w:pPr>
        <w:spacing w:before="240" w:after="160" w:line="259" w:lineRule="auto"/>
        <w:rPr>
          <w:b/>
        </w:rPr>
      </w:pPr>
    </w:p>
    <w:p w14:paraId="00000017" w14:textId="77777777" w:rsidR="00E071E6" w:rsidRDefault="00000000">
      <w:pPr>
        <w:spacing w:before="240" w:after="160" w:line="259" w:lineRule="auto"/>
      </w:pPr>
      <w:r>
        <w:t xml:space="preserve">     The quality of health services is a complex and multifaceted concept that requires to a large extent the simultaneous design and deployment of discrete combinations of interventions by specialised staff. The development, refinement and implementation of a national quality policy and strategy is a high priority as countries around the world embark on the process of systematically improving health system performance. Governments of all countries that want a well-functioning system accessible to all population groups should select a range and mix of quality interventions from the health workforce, with careful consideration of evidence-based quality improvement interventions in relation to the system environment. Processes for harm reduction, improved clinical care, patient, family and community involvement and empowerment should be implemented. Improving the quality of care has proven to be a challenge for all nations. Several nations have come together and begun technological development of innovations to improve healthcare equipment and various aspects of clinical quality. Many underdeveloped low- and middle-income countries have developed successful </w:t>
      </w:r>
      <w:proofErr w:type="gramStart"/>
      <w:r>
        <w:t>interventions, but</w:t>
      </w:r>
      <w:proofErr w:type="gramEnd"/>
      <w:r>
        <w:t xml:space="preserve"> need to connect to a global platform to exchange clinical and health knowledge. This makes it easier for all countries to learn from successful interventions and adapt them to their local populations. It will also allow nations to avoid directing efforts towards unsuccessful interventions and to stop absenteeism.</w:t>
      </w:r>
      <w:r>
        <w:br/>
      </w:r>
      <w:r>
        <w:br/>
        <w:t xml:space="preserve">     The impact of the complex employee and organisational issue on burnout and workforce resilience in the NHS and social care is unequivocal. The sheer volume of work that is quite excessively chronic is damaging to staff health, patient care and the ability of staff to provide high quality care over a long enough period of time that is also compassionate for the patient. In a resourced context excessive workload in hospital units is the number one predictor of increasing levels of staff stress. This excessive workload leads to inappropriate actions, including unsatisfactory levels of staff, </w:t>
      </w:r>
      <w:proofErr w:type="gramStart"/>
      <w:r>
        <w:t>equipment</w:t>
      </w:r>
      <w:proofErr w:type="gramEnd"/>
      <w:r>
        <w:t xml:space="preserve"> and technology, including deterioration of the staff training process. This process of excessive workload has created a vicious circle of understaffing, which is the most cited reason why staff leave health and social care organisations. The high levels of stress this causes are linked to medical and nursing errors, patient dissatisfaction and poor quality of care. Excessive chronic workload has become like a layer of badly tanned skin that we can't get rid of, it's a problem that will be solved easily or quickly. This global problem will never be solved unless we have the courage to name it and address it. It is essential that we explore all available means to eradicate chronic excessive workload, using the knowledge, </w:t>
      </w:r>
      <w:proofErr w:type="gramStart"/>
      <w:r>
        <w:t>skills</w:t>
      </w:r>
      <w:proofErr w:type="gramEnd"/>
      <w:r>
        <w:t xml:space="preserve"> and experience of staff to continue to develop new solutions.</w:t>
      </w:r>
      <w:r>
        <w:br/>
      </w:r>
      <w:r>
        <w:br/>
        <w:t xml:space="preserve">     Eligible studies and reviews were those that reported data on definitions and determinants of, or associations with, absenteeism among health workers. Studies of multiple cadres of hospital staff (e.g. administrative, cleaning staff) were included if they also included doctors and nurses. Absenteeism can also be classified as involuntary absence occurring for reasons beyond the employees’ control and voluntary absence occurring when the employee makes the decision not to go to work. It has been acknowledged that differentiating between voluntary and involuntary absence can also be difficult. However, assessment of frequency and duration of absences/sick days has been used to distinguish between the two. High frequency of absence has consistently been regarded as a reliable measure of voluntary absence. Thus, determining the true nature of the absence is difficult. For these reasons, if self-reported absences are used as an approach, it may be useful to </w:t>
      </w:r>
      <w:r>
        <w:lastRenderedPageBreak/>
        <w:t>explore real examples of absences and classify them post hoc. The typology presented could then be used to help classify forms of absence and their relative importance.</w:t>
      </w:r>
    </w:p>
    <w:p w14:paraId="00000018" w14:textId="77777777" w:rsidR="00E071E6" w:rsidRDefault="00000000">
      <w:pPr>
        <w:spacing w:before="240" w:after="160" w:line="259" w:lineRule="auto"/>
      </w:pPr>
      <w:r>
        <w:t xml:space="preserve">     Absenteeism was reported to be common in the public sector in both high- and low-resource settings. Expectations of colleagues in the health sector and society at large could influence patterns of absence among health workers in a yet unknown way. The multiplicity of definitions often presents a challenge when it is necessary to compare or contrast health research findings, particularly when trying to understand apparently inconsistent results for factors associated with high rates of absenteeism. In an idealistic way medical classification systems should be easy to use. Future work in this area may warrant the inclusion of an additional classification approach that includes </w:t>
      </w:r>
      <w:proofErr w:type="gramStart"/>
      <w:r>
        <w:t>whether or not</w:t>
      </w:r>
      <w:proofErr w:type="gramEnd"/>
      <w:r>
        <w:t xml:space="preserve"> the episode of absenteeism was formally sanctioned (unsanctioned). It is possible and most likely that some forms of absenteeism are unplanned, </w:t>
      </w:r>
      <w:proofErr w:type="gramStart"/>
      <w:r>
        <w:t>unintentional</w:t>
      </w:r>
      <w:proofErr w:type="gramEnd"/>
      <w:r>
        <w:t xml:space="preserve"> and unsanctioned by the system or the people who are supposed to do it. Such a form of absence could result if health workers miss their expected work to cover for an absent colleague. Primary absence thus results in indirect secondary absence. It seems quite intuitive and simple that these forms of absence are possible and even will be possible, but they may be difficult to confirm by the existing methods that prevail in this field to </w:t>
      </w:r>
      <w:proofErr w:type="gramStart"/>
      <w:r>
        <w:t>date</w:t>
      </w:r>
      <w:proofErr w:type="gramEnd"/>
      <w:r>
        <w:t xml:space="preserve"> and which rely on self-reported absences or analysis of administrative records.</w:t>
      </w:r>
    </w:p>
    <w:p w14:paraId="00000019" w14:textId="77777777" w:rsidR="00E071E6" w:rsidRDefault="00E071E6">
      <w:pPr>
        <w:spacing w:before="240" w:after="160" w:line="259" w:lineRule="auto"/>
      </w:pPr>
    </w:p>
    <w:p w14:paraId="0000001A" w14:textId="77777777" w:rsidR="00E071E6" w:rsidRDefault="00E071E6">
      <w:pPr>
        <w:spacing w:before="240" w:after="160" w:line="259" w:lineRule="auto"/>
      </w:pPr>
    </w:p>
    <w:p w14:paraId="0000001B" w14:textId="77777777" w:rsidR="00E071E6" w:rsidRDefault="00E071E6">
      <w:pPr>
        <w:spacing w:before="240" w:after="160" w:line="259" w:lineRule="auto"/>
      </w:pPr>
    </w:p>
    <w:p w14:paraId="0000001C" w14:textId="77777777" w:rsidR="00E071E6" w:rsidRDefault="00000000">
      <w:pPr>
        <w:spacing w:before="240" w:after="160" w:line="259" w:lineRule="auto"/>
        <w:rPr>
          <w:b/>
        </w:rPr>
      </w:pPr>
      <w:r>
        <w:t xml:space="preserve">                                                            </w:t>
      </w:r>
      <w:r>
        <w:rPr>
          <w:b/>
        </w:rPr>
        <w:t>Conclusion</w:t>
      </w:r>
    </w:p>
    <w:p w14:paraId="0000001D" w14:textId="77777777" w:rsidR="00E071E6" w:rsidRDefault="00E071E6">
      <w:pPr>
        <w:spacing w:before="240" w:after="160" w:line="259" w:lineRule="auto"/>
        <w:rPr>
          <w:b/>
        </w:rPr>
      </w:pPr>
    </w:p>
    <w:p w14:paraId="0000001E" w14:textId="77777777" w:rsidR="00E071E6" w:rsidRDefault="00000000">
      <w:pPr>
        <w:spacing w:before="240" w:after="160" w:line="259" w:lineRule="auto"/>
      </w:pPr>
      <w:r>
        <w:t xml:space="preserve">     The absence of health workers in </w:t>
      </w:r>
      <w:proofErr w:type="gramStart"/>
      <w:r>
        <w:t>low and middle income</w:t>
      </w:r>
      <w:proofErr w:type="gramEnd"/>
      <w:r>
        <w:t xml:space="preserve"> countries is likely to exacerbate the human resource shortages that are imperative in every health department and undermine the demand, quality and efficiency of health service delivery. Despite this, researchers have not given importance to the phenomenon of absenteeism and have not researched it at all, with most of the work being conducted in market economy countries. Nevertheless, absenteeism can be a barometer for the psychological and physical well-being of health care workers and an extremely valuable measure of health systems performance. Future work and research in low- and middle-income countries could be of more generalisable value if a structured typology of forms of absenteeism is used. This can help us to better understand how different factors related to the work environment, nature of work, individual and contextual characteristics influence different forms of absenteeism, thus providing a rationale for interventions to combat it.</w:t>
      </w:r>
    </w:p>
    <w:p w14:paraId="0000001F" w14:textId="77777777" w:rsidR="00E071E6" w:rsidRDefault="00E071E6">
      <w:pPr>
        <w:spacing w:before="240" w:after="160" w:line="259" w:lineRule="auto"/>
      </w:pPr>
    </w:p>
    <w:p w14:paraId="00000020" w14:textId="77777777" w:rsidR="00E071E6" w:rsidRDefault="00E071E6">
      <w:pPr>
        <w:spacing w:before="240" w:after="160" w:line="259" w:lineRule="auto"/>
      </w:pPr>
    </w:p>
    <w:p w14:paraId="00000021" w14:textId="77777777" w:rsidR="00E071E6" w:rsidRDefault="00E071E6">
      <w:pPr>
        <w:spacing w:before="240" w:after="160" w:line="259" w:lineRule="auto"/>
      </w:pPr>
    </w:p>
    <w:p w14:paraId="00000022" w14:textId="77777777" w:rsidR="00E071E6" w:rsidRDefault="00000000">
      <w:pPr>
        <w:spacing w:before="240" w:after="160" w:line="259" w:lineRule="auto"/>
        <w:rPr>
          <w:b/>
        </w:rPr>
      </w:pPr>
      <w:r>
        <w:t xml:space="preserve">                                                        </w:t>
      </w:r>
      <w:r>
        <w:rPr>
          <w:b/>
        </w:rPr>
        <w:t>Reference list</w:t>
      </w:r>
    </w:p>
    <w:p w14:paraId="00000023" w14:textId="77777777" w:rsidR="00E071E6" w:rsidRDefault="00E071E6">
      <w:pPr>
        <w:spacing w:before="240" w:after="160" w:line="259" w:lineRule="auto"/>
        <w:rPr>
          <w:b/>
        </w:rPr>
      </w:pPr>
    </w:p>
    <w:p w14:paraId="00000024" w14:textId="77777777" w:rsidR="00E071E6" w:rsidRDefault="00E071E6">
      <w:pPr>
        <w:spacing w:before="240" w:after="160" w:line="259" w:lineRule="auto"/>
        <w:rPr>
          <w:b/>
        </w:rPr>
      </w:pPr>
    </w:p>
    <w:p w14:paraId="00000025" w14:textId="77777777" w:rsidR="00E071E6" w:rsidRDefault="00000000">
      <w:pPr>
        <w:numPr>
          <w:ilvl w:val="0"/>
          <w:numId w:val="1"/>
        </w:numPr>
        <w:spacing w:before="240" w:line="259" w:lineRule="auto"/>
      </w:pPr>
      <w:r>
        <w:rPr>
          <w:color w:val="333333"/>
          <w:highlight w:val="white"/>
        </w:rPr>
        <w:t>Alexopoulos EC, (2011) Knee and low back complaints in professional hospital nurses: occurrence, chronicity, care seeking and absenteeism. Work: A Journal of Prevention Assessment and Rehabilitation. 2011, 38: 329-335.</w:t>
      </w:r>
    </w:p>
    <w:p w14:paraId="00000026" w14:textId="77777777" w:rsidR="00E071E6" w:rsidRDefault="00000000">
      <w:pPr>
        <w:numPr>
          <w:ilvl w:val="0"/>
          <w:numId w:val="1"/>
        </w:numPr>
        <w:spacing w:line="259" w:lineRule="auto"/>
      </w:pPr>
      <w:r>
        <w:rPr>
          <w:color w:val="333333"/>
          <w:highlight w:val="white"/>
        </w:rPr>
        <w:t xml:space="preserve">Anand S, </w:t>
      </w:r>
      <w:proofErr w:type="spellStart"/>
      <w:r>
        <w:rPr>
          <w:color w:val="333333"/>
          <w:highlight w:val="white"/>
        </w:rPr>
        <w:t>Bärnighausen</w:t>
      </w:r>
      <w:proofErr w:type="spellEnd"/>
      <w:r>
        <w:rPr>
          <w:color w:val="333333"/>
          <w:highlight w:val="white"/>
        </w:rPr>
        <w:t xml:space="preserve"> T, (2004), Human resources and health outcomes: cross-country econometric study. Lancet. 2004, 364: 1603-1609. 10.1016/S0140-6736(04)17313-3.</w:t>
      </w:r>
    </w:p>
    <w:p w14:paraId="00000027" w14:textId="77777777" w:rsidR="00E071E6" w:rsidRDefault="00000000">
      <w:pPr>
        <w:numPr>
          <w:ilvl w:val="0"/>
          <w:numId w:val="1"/>
        </w:numPr>
        <w:spacing w:line="259" w:lineRule="auto"/>
        <w:rPr>
          <w:color w:val="333333"/>
          <w:highlight w:val="white"/>
        </w:rPr>
      </w:pPr>
      <w:r>
        <w:rPr>
          <w:color w:val="333333"/>
          <w:highlight w:val="white"/>
        </w:rPr>
        <w:t>Chaudhury N, Hammer JS, (2004), Ghost doctors: absenteeism in rural Bangladesh health facilities. The World Bank Economic Review. 2004, 18: 423-441. 10.1093/</w:t>
      </w:r>
      <w:proofErr w:type="spellStart"/>
      <w:r>
        <w:rPr>
          <w:color w:val="333333"/>
          <w:highlight w:val="white"/>
        </w:rPr>
        <w:t>wber</w:t>
      </w:r>
      <w:proofErr w:type="spellEnd"/>
      <w:r>
        <w:rPr>
          <w:color w:val="333333"/>
          <w:highlight w:val="white"/>
        </w:rPr>
        <w:t>/lhh047.</w:t>
      </w:r>
    </w:p>
    <w:p w14:paraId="00000028" w14:textId="77777777" w:rsidR="00E071E6" w:rsidRDefault="00000000">
      <w:pPr>
        <w:numPr>
          <w:ilvl w:val="0"/>
          <w:numId w:val="1"/>
        </w:numPr>
        <w:spacing w:line="259" w:lineRule="auto"/>
      </w:pPr>
      <w:r>
        <w:rPr>
          <w:color w:val="333333"/>
          <w:highlight w:val="white"/>
        </w:rPr>
        <w:t>Chen L, (2004), Human resources for health: overcoming the crisis. Lancet. 2004, 364: 1984-1990. 10.1016/S0140-6736(04)17482-5.</w:t>
      </w:r>
    </w:p>
    <w:p w14:paraId="00000029" w14:textId="77777777" w:rsidR="00E071E6" w:rsidRDefault="00000000">
      <w:pPr>
        <w:numPr>
          <w:ilvl w:val="0"/>
          <w:numId w:val="1"/>
        </w:numPr>
        <w:spacing w:line="259" w:lineRule="auto"/>
        <w:rPr>
          <w:color w:val="333333"/>
          <w:highlight w:val="white"/>
        </w:rPr>
      </w:pPr>
      <w:r>
        <w:rPr>
          <w:color w:val="333333"/>
          <w:highlight w:val="white"/>
        </w:rPr>
        <w:t xml:space="preserve">Donovan TL, Moore KM, </w:t>
      </w:r>
      <w:proofErr w:type="spellStart"/>
      <w:r>
        <w:rPr>
          <w:color w:val="333333"/>
          <w:highlight w:val="white"/>
        </w:rPr>
        <w:t>VanDenKerkhof</w:t>
      </w:r>
      <w:proofErr w:type="spellEnd"/>
      <w:r>
        <w:rPr>
          <w:color w:val="333333"/>
          <w:highlight w:val="white"/>
        </w:rPr>
        <w:t xml:space="preserve"> EG, (2008) Employee absenteeism based on occupational health visits in an urban tertiary care Canadian hospital. Public Health </w:t>
      </w:r>
      <w:proofErr w:type="spellStart"/>
      <w:r>
        <w:rPr>
          <w:color w:val="333333"/>
          <w:highlight w:val="white"/>
        </w:rPr>
        <w:t>Nurs</w:t>
      </w:r>
      <w:proofErr w:type="spellEnd"/>
      <w:r>
        <w:rPr>
          <w:color w:val="333333"/>
          <w:highlight w:val="white"/>
        </w:rPr>
        <w:t>. 2008, 25: 565-575. 10.1111/j.1525-1446.2008.</w:t>
      </w:r>
      <w:proofErr w:type="gramStart"/>
      <w:r>
        <w:rPr>
          <w:color w:val="333333"/>
          <w:highlight w:val="white"/>
        </w:rPr>
        <w:t>00744.x.</w:t>
      </w:r>
      <w:proofErr w:type="gramEnd"/>
    </w:p>
    <w:p w14:paraId="0000002A" w14:textId="77777777" w:rsidR="00E071E6" w:rsidRDefault="00000000">
      <w:pPr>
        <w:numPr>
          <w:ilvl w:val="0"/>
          <w:numId w:val="1"/>
        </w:numPr>
        <w:spacing w:line="259" w:lineRule="auto"/>
        <w:rPr>
          <w:color w:val="333333"/>
          <w:highlight w:val="white"/>
        </w:rPr>
      </w:pPr>
      <w:proofErr w:type="spellStart"/>
      <w:r>
        <w:rPr>
          <w:color w:val="333333"/>
          <w:highlight w:val="white"/>
        </w:rPr>
        <w:t>Dovlo</w:t>
      </w:r>
      <w:proofErr w:type="spellEnd"/>
      <w:r>
        <w:rPr>
          <w:color w:val="333333"/>
          <w:highlight w:val="white"/>
        </w:rPr>
        <w:t xml:space="preserve"> D, (2005), Wastage in the health workforce: some perspectives from African countries. Hum </w:t>
      </w:r>
      <w:proofErr w:type="spellStart"/>
      <w:r>
        <w:rPr>
          <w:color w:val="333333"/>
          <w:highlight w:val="white"/>
        </w:rPr>
        <w:t>Resour</w:t>
      </w:r>
      <w:proofErr w:type="spellEnd"/>
      <w:r>
        <w:rPr>
          <w:color w:val="333333"/>
          <w:highlight w:val="white"/>
        </w:rPr>
        <w:t xml:space="preserve"> Health. 2005, 3: 6-10.1186/1478-4491-3-6.</w:t>
      </w:r>
    </w:p>
    <w:p w14:paraId="0000002B" w14:textId="77777777" w:rsidR="00E071E6" w:rsidRDefault="00000000">
      <w:pPr>
        <w:numPr>
          <w:ilvl w:val="0"/>
          <w:numId w:val="1"/>
        </w:numPr>
        <w:spacing w:line="259" w:lineRule="auto"/>
        <w:rPr>
          <w:color w:val="333333"/>
          <w:highlight w:val="white"/>
        </w:rPr>
      </w:pPr>
      <w:proofErr w:type="spellStart"/>
      <w:r>
        <w:rPr>
          <w:color w:val="333333"/>
          <w:highlight w:val="white"/>
        </w:rPr>
        <w:t>Gaudine</w:t>
      </w:r>
      <w:proofErr w:type="spellEnd"/>
      <w:r>
        <w:rPr>
          <w:color w:val="333333"/>
          <w:highlight w:val="white"/>
        </w:rPr>
        <w:t xml:space="preserve"> A, Gregory C: The accuracy of nurses’ estimates of their absenteeism. J </w:t>
      </w:r>
      <w:proofErr w:type="spellStart"/>
      <w:r>
        <w:rPr>
          <w:color w:val="333333"/>
          <w:highlight w:val="white"/>
        </w:rPr>
        <w:t>Nurs</w:t>
      </w:r>
      <w:proofErr w:type="spellEnd"/>
      <w:r>
        <w:rPr>
          <w:color w:val="333333"/>
          <w:highlight w:val="white"/>
        </w:rPr>
        <w:t xml:space="preserve"> Manag. 2010, 18: 599-605. 10.1111/j.1365-2834.2010.</w:t>
      </w:r>
      <w:proofErr w:type="gramStart"/>
      <w:r>
        <w:rPr>
          <w:color w:val="333333"/>
          <w:highlight w:val="white"/>
        </w:rPr>
        <w:t>01107.x.</w:t>
      </w:r>
      <w:proofErr w:type="gramEnd"/>
    </w:p>
    <w:p w14:paraId="0000002C" w14:textId="77777777" w:rsidR="00E071E6" w:rsidRDefault="00000000">
      <w:pPr>
        <w:numPr>
          <w:ilvl w:val="0"/>
          <w:numId w:val="1"/>
        </w:numPr>
        <w:spacing w:line="259" w:lineRule="auto"/>
        <w:rPr>
          <w:color w:val="333333"/>
          <w:highlight w:val="white"/>
        </w:rPr>
      </w:pPr>
      <w:r>
        <w:rPr>
          <w:color w:val="333333"/>
          <w:highlight w:val="white"/>
        </w:rPr>
        <w:t>Joint Learning Initiative: Human resources for health. Overcoming the crisis. 2004, Cambridge, MA: Global Equity Initiative, Harvard University.</w:t>
      </w:r>
    </w:p>
    <w:p w14:paraId="0000002D" w14:textId="77777777" w:rsidR="00E071E6" w:rsidRDefault="00000000">
      <w:pPr>
        <w:numPr>
          <w:ilvl w:val="0"/>
          <w:numId w:val="1"/>
        </w:numPr>
        <w:spacing w:line="259" w:lineRule="auto"/>
        <w:rPr>
          <w:color w:val="333333"/>
          <w:highlight w:val="white"/>
        </w:rPr>
      </w:pPr>
      <w:r>
        <w:rPr>
          <w:color w:val="333333"/>
          <w:highlight w:val="white"/>
        </w:rPr>
        <w:t>Libet JM, (2001) Absenteeism and productivity among mental health employees. Administration and Policy in Mental Health and Mental Health Services Research. 2001, 29: 41-50. 10.1023/A:1013116931570.</w:t>
      </w:r>
    </w:p>
    <w:p w14:paraId="0000002E" w14:textId="77777777" w:rsidR="00E071E6" w:rsidRDefault="00000000">
      <w:pPr>
        <w:numPr>
          <w:ilvl w:val="0"/>
          <w:numId w:val="1"/>
        </w:numPr>
        <w:spacing w:line="259" w:lineRule="auto"/>
        <w:rPr>
          <w:color w:val="333333"/>
          <w:highlight w:val="white"/>
        </w:rPr>
      </w:pPr>
      <w:proofErr w:type="spellStart"/>
      <w:r>
        <w:rPr>
          <w:color w:val="333333"/>
          <w:highlight w:val="white"/>
        </w:rPr>
        <w:t>Lindelow</w:t>
      </w:r>
      <w:proofErr w:type="spellEnd"/>
      <w:r>
        <w:rPr>
          <w:color w:val="333333"/>
          <w:highlight w:val="white"/>
        </w:rPr>
        <w:t xml:space="preserve"> M, </w:t>
      </w:r>
      <w:proofErr w:type="spellStart"/>
      <w:r>
        <w:rPr>
          <w:color w:val="333333"/>
          <w:highlight w:val="white"/>
        </w:rPr>
        <w:t>Serneels</w:t>
      </w:r>
      <w:proofErr w:type="spellEnd"/>
      <w:r>
        <w:rPr>
          <w:color w:val="333333"/>
          <w:highlight w:val="white"/>
        </w:rPr>
        <w:t xml:space="preserve"> P, (2006) The performance of health workers in Ethiopia: results from qualitative research. Soc Sci Med. 2006, 62: 2225-2235. 10.1016/j.socscimed.2005.10.015.</w:t>
      </w:r>
    </w:p>
    <w:p w14:paraId="0000002F" w14:textId="77777777" w:rsidR="00E071E6" w:rsidRDefault="00000000">
      <w:pPr>
        <w:numPr>
          <w:ilvl w:val="0"/>
          <w:numId w:val="1"/>
        </w:numPr>
        <w:spacing w:line="259" w:lineRule="auto"/>
        <w:rPr>
          <w:color w:val="333333"/>
          <w:highlight w:val="white"/>
        </w:rPr>
      </w:pPr>
      <w:proofErr w:type="spellStart"/>
      <w:r>
        <w:rPr>
          <w:color w:val="333333"/>
          <w:highlight w:val="white"/>
        </w:rPr>
        <w:t>Rakuom</w:t>
      </w:r>
      <w:proofErr w:type="spellEnd"/>
      <w:r>
        <w:rPr>
          <w:color w:val="333333"/>
          <w:highlight w:val="white"/>
        </w:rPr>
        <w:t xml:space="preserve"> C: Nursing human resources in Kenya: case study. 2010, Geneva: International Centre for Human Resources in Nursing.</w:t>
      </w:r>
    </w:p>
    <w:p w14:paraId="00000030" w14:textId="77777777" w:rsidR="00E071E6" w:rsidRDefault="00000000">
      <w:pPr>
        <w:numPr>
          <w:ilvl w:val="0"/>
          <w:numId w:val="1"/>
        </w:numPr>
        <w:spacing w:line="259" w:lineRule="auto"/>
        <w:rPr>
          <w:color w:val="333333"/>
          <w:highlight w:val="white"/>
        </w:rPr>
      </w:pPr>
      <w:r>
        <w:rPr>
          <w:color w:val="333333"/>
          <w:highlight w:val="white"/>
        </w:rPr>
        <w:t xml:space="preserve">Schalk R, (2011), The influence of organisational commitment and health on sickness absenteeism: a longitudinal study. J </w:t>
      </w:r>
      <w:proofErr w:type="spellStart"/>
      <w:r>
        <w:rPr>
          <w:color w:val="333333"/>
          <w:highlight w:val="white"/>
        </w:rPr>
        <w:t>Nurs</w:t>
      </w:r>
      <w:proofErr w:type="spellEnd"/>
      <w:r>
        <w:rPr>
          <w:color w:val="333333"/>
          <w:highlight w:val="white"/>
        </w:rPr>
        <w:t xml:space="preserve"> Manag. 2011, 19: 596-600. 10.1111/j.1365-2834.2010.</w:t>
      </w:r>
      <w:proofErr w:type="gramStart"/>
      <w:r>
        <w:rPr>
          <w:color w:val="333333"/>
          <w:highlight w:val="white"/>
        </w:rPr>
        <w:t>01170.x.</w:t>
      </w:r>
      <w:proofErr w:type="gramEnd"/>
    </w:p>
    <w:p w14:paraId="00000031" w14:textId="77777777" w:rsidR="00E071E6" w:rsidRDefault="00000000">
      <w:pPr>
        <w:numPr>
          <w:ilvl w:val="0"/>
          <w:numId w:val="1"/>
        </w:numPr>
        <w:spacing w:line="259" w:lineRule="auto"/>
        <w:rPr>
          <w:color w:val="333333"/>
          <w:highlight w:val="white"/>
        </w:rPr>
      </w:pPr>
      <w:r>
        <w:rPr>
          <w:color w:val="333333"/>
          <w:highlight w:val="white"/>
        </w:rPr>
        <w:t>Tripathi M, (2010), Absenteeism among nurses in a tertiary care hospital in India. Natl Med J India. 2010, 23: 143-146.</w:t>
      </w:r>
    </w:p>
    <w:p w14:paraId="00000032" w14:textId="77777777" w:rsidR="00E071E6" w:rsidRDefault="00000000">
      <w:pPr>
        <w:numPr>
          <w:ilvl w:val="0"/>
          <w:numId w:val="1"/>
        </w:numPr>
        <w:spacing w:after="160" w:line="259" w:lineRule="auto"/>
        <w:rPr>
          <w:color w:val="333333"/>
          <w:highlight w:val="white"/>
        </w:rPr>
      </w:pPr>
      <w:r>
        <w:rPr>
          <w:color w:val="333333"/>
          <w:highlight w:val="white"/>
        </w:rPr>
        <w:t>Weir R, (1997) The efficacy and effectiveness of process consultation in improving staff morale and absenteeism. Medical Care. 1997, 35: 334-353. 10.1097/00005650-199704000-00005.</w:t>
      </w:r>
    </w:p>
    <w:sectPr w:rsidR="00E071E6">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F1D45" w14:textId="77777777" w:rsidR="00255CCC" w:rsidRDefault="00255CCC">
      <w:pPr>
        <w:spacing w:line="240" w:lineRule="auto"/>
      </w:pPr>
      <w:r>
        <w:separator/>
      </w:r>
    </w:p>
  </w:endnote>
  <w:endnote w:type="continuationSeparator" w:id="0">
    <w:p w14:paraId="4066467C" w14:textId="77777777" w:rsidR="00255CCC" w:rsidRDefault="00255C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3" w14:textId="029E9E0F" w:rsidR="00E071E6" w:rsidRDefault="00000000">
    <w:pPr>
      <w:jc w:val="right"/>
    </w:pPr>
    <w:r>
      <w:fldChar w:fldCharType="begin"/>
    </w:r>
    <w:r>
      <w:instrText>PAGE</w:instrText>
    </w:r>
    <w:r>
      <w:fldChar w:fldCharType="separate"/>
    </w:r>
    <w:r w:rsidR="0092077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F3B49" w14:textId="77777777" w:rsidR="00255CCC" w:rsidRDefault="00255CCC">
      <w:pPr>
        <w:spacing w:line="240" w:lineRule="auto"/>
      </w:pPr>
      <w:r>
        <w:separator/>
      </w:r>
    </w:p>
  </w:footnote>
  <w:footnote w:type="continuationSeparator" w:id="0">
    <w:p w14:paraId="7B5162B7" w14:textId="77777777" w:rsidR="00255CCC" w:rsidRDefault="00255CC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DE6190"/>
    <w:multiLevelType w:val="multilevel"/>
    <w:tmpl w:val="24DC63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64762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1E6"/>
    <w:rsid w:val="00255CCC"/>
    <w:rsid w:val="00920773"/>
    <w:rsid w:val="00E071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7F05B"/>
  <w15:docId w15:val="{9C99E339-DD8A-4269-9AAC-091D35A48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1574</Words>
  <Characters>8978</Characters>
  <Application>Microsoft Office Word</Application>
  <DocSecurity>0</DocSecurity>
  <Lines>74</Lines>
  <Paragraphs>21</Paragraphs>
  <ScaleCrop>false</ScaleCrop>
  <Company/>
  <LinksUpToDate>false</LinksUpToDate>
  <CharactersWithSpaces>10531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Luminita Mircea</cp:lastModifiedBy>
  <cp:revision>2</cp:revision>
  <dcterms:created xsi:type="dcterms:W3CDTF">2023-04-03T21:51:00Z</dcterms:created>
  <dcterms:modified xsi:type="dcterms:W3CDTF">2023-04-03T21:51:00Z</dcterms:modified>
</cp:coreProperties>
</file>