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9181DC" w14:textId="5A0291D4" w:rsidR="0000711F" w:rsidRDefault="0000711F" w:rsidP="0000711F">
      <w:pPr>
        <w:pStyle w:val="Heading1"/>
        <w:jc w:val="center"/>
      </w:pPr>
      <w:r>
        <w:t xml:space="preserve">Chapter 4 Themes </w:t>
      </w:r>
      <w:r w:rsidR="00B44B61">
        <w:t>-</w:t>
      </w:r>
      <w:r w:rsidR="00040D52">
        <w:t xml:space="preserve"> </w:t>
      </w:r>
      <w:r>
        <w:t xml:space="preserve"> Example 3</w:t>
      </w:r>
    </w:p>
    <w:p w14:paraId="077F7837" w14:textId="77777777" w:rsidR="0000711F" w:rsidRDefault="0000711F" w:rsidP="0000711F"/>
    <w:p w14:paraId="4A803676" w14:textId="77777777" w:rsidR="00F40100" w:rsidRPr="00F40100" w:rsidRDefault="00F40100" w:rsidP="00F4010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F40100">
        <w:rPr>
          <w:rFonts w:ascii="Times New Roman" w:eastAsia="Times New Roman" w:hAnsi="Times New Roman" w:cs="Times New Roman"/>
          <w:b/>
          <w:bCs/>
          <w:kern w:val="0"/>
          <w:sz w:val="27"/>
          <w:szCs w:val="27"/>
          <w14:ligatures w14:val="none"/>
        </w:rPr>
        <w:t>4.1 Introduction</w:t>
      </w:r>
    </w:p>
    <w:p w14:paraId="33B62D27" w14:textId="77777777" w:rsidR="00F40100" w:rsidRPr="00F40100" w:rsidRDefault="00F40100" w:rsidP="00F40100">
      <w:pPr>
        <w:spacing w:before="100" w:beforeAutospacing="1" w:after="100" w:afterAutospacing="1"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kern w:val="0"/>
          <w14:ligatures w14:val="none"/>
        </w:rPr>
        <w:t>This chapter explores the main findings that came from the reviewed articles on young people’s access to mental health services in the UK. Using the codes and themes created in the last chapter, this section discusses each of the main issues young people face, like problems with digital access, social stigma, and the lack of available services. The findings have been grouped into three themes, each one showing a different aspect of the barriers young people deal with. Each section includes examples from the literature and links to theories and policies that help to explain what’s happening and why it matters. The goal is to show how these themes connect back to the research question and build a clearer picture of what challenges exist and how they might be addressed.</w:t>
      </w:r>
    </w:p>
    <w:p w14:paraId="03264D5F" w14:textId="77777777" w:rsidR="00040D52" w:rsidRDefault="00040D52" w:rsidP="00040D52">
      <w:pPr>
        <w:spacing w:after="0" w:line="240" w:lineRule="auto"/>
        <w:rPr>
          <w:rFonts w:ascii="Times New Roman" w:eastAsia="Times New Roman" w:hAnsi="Times New Roman" w:cs="Times New Roman"/>
          <w:kern w:val="0"/>
          <w14:ligatures w14:val="none"/>
        </w:rPr>
      </w:pPr>
    </w:p>
    <w:p w14:paraId="601F2495" w14:textId="2F26EB86" w:rsidR="00F40100" w:rsidRPr="00F40100" w:rsidRDefault="00F40100" w:rsidP="00040D52">
      <w:pPr>
        <w:spacing w:after="0"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b/>
          <w:bCs/>
          <w:kern w:val="0"/>
          <w:sz w:val="27"/>
          <w:szCs w:val="27"/>
          <w14:ligatures w14:val="none"/>
        </w:rPr>
        <w:t>4.2 Thematic Analysis</w:t>
      </w:r>
    </w:p>
    <w:p w14:paraId="25CB56A6" w14:textId="77777777" w:rsidR="00F40100" w:rsidRPr="00F40100" w:rsidRDefault="00F40100" w:rsidP="00F40100">
      <w:pPr>
        <w:spacing w:before="100" w:beforeAutospacing="1" w:after="100" w:afterAutospacing="1"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kern w:val="0"/>
          <w14:ligatures w14:val="none"/>
        </w:rPr>
        <w:t>To make sense of the findings from all the literature reviewed, a thematic analysis was used. Braun and Clarke (2006) describe thematic analysis as a flexible way to identify, analyse, and report patterns (themes) within data. This method works well with secondary research, especially when dealing with lots of articles and sources that need to be compared.</w:t>
      </w:r>
    </w:p>
    <w:p w14:paraId="06119A6B" w14:textId="3275601A" w:rsidR="00F40100" w:rsidRPr="00F40100" w:rsidRDefault="00F40100" w:rsidP="00F72F92">
      <w:pPr>
        <w:spacing w:before="100" w:beforeAutospacing="1" w:after="100" w:afterAutospacing="1"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kern w:val="0"/>
          <w14:ligatures w14:val="none"/>
        </w:rPr>
        <w:t>Each article was read carefully and notes were made about important points that came up. These points became initial codes</w:t>
      </w:r>
      <w:r w:rsidR="00040D5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 xml:space="preserve">simple labels like "long waiting lists," "no internet access," or "fear of judgment." Once coding was complete for all articles, similar codes were grouped together and three main themes were identified: </w:t>
      </w:r>
      <w:r w:rsidRPr="00F40100">
        <w:rPr>
          <w:rFonts w:ascii="Times New Roman" w:eastAsia="Times New Roman" w:hAnsi="Times New Roman" w:cs="Times New Roman"/>
          <w:b/>
          <w:bCs/>
          <w:kern w:val="0"/>
          <w14:ligatures w14:val="none"/>
        </w:rPr>
        <w:t>Digital Inequality</w:t>
      </w:r>
      <w:r w:rsidRPr="00F40100">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b/>
          <w:bCs/>
          <w:kern w:val="0"/>
          <w14:ligatures w14:val="none"/>
        </w:rPr>
        <w:t>Stigma and Social Attitudes</w:t>
      </w:r>
      <w:r w:rsidRPr="00F40100">
        <w:rPr>
          <w:rFonts w:ascii="Times New Roman" w:eastAsia="Times New Roman" w:hAnsi="Times New Roman" w:cs="Times New Roman"/>
          <w:kern w:val="0"/>
          <w14:ligatures w14:val="none"/>
        </w:rPr>
        <w:t xml:space="preserve">, and </w:t>
      </w:r>
      <w:r w:rsidRPr="00F40100">
        <w:rPr>
          <w:rFonts w:ascii="Times New Roman" w:eastAsia="Times New Roman" w:hAnsi="Times New Roman" w:cs="Times New Roman"/>
          <w:b/>
          <w:bCs/>
          <w:kern w:val="0"/>
          <w14:ligatures w14:val="none"/>
        </w:rPr>
        <w:t>Service Availability</w:t>
      </w:r>
      <w:r w:rsidRPr="00F40100">
        <w:rPr>
          <w:rFonts w:ascii="Times New Roman" w:eastAsia="Times New Roman" w:hAnsi="Times New Roman" w:cs="Times New Roman"/>
          <w:kern w:val="0"/>
          <w14:ligatures w14:val="none"/>
        </w:rPr>
        <w:t>. These were the most commonly recurring and interconnected issues across the research and form the basis of the analysis in this chapter.The results summary table from Chapter 3 (and the appendices) shows where each of the codes came from and which articles supported which themes. This process helped create a structure for this chapter and ensured the analysis was built on solid evidence from the literature.</w:t>
      </w:r>
    </w:p>
    <w:p w14:paraId="5F96C357" w14:textId="77777777" w:rsidR="00F40100" w:rsidRDefault="00F40100" w:rsidP="00F40100">
      <w:pPr>
        <w:spacing w:after="0" w:line="240" w:lineRule="auto"/>
        <w:rPr>
          <w:rFonts w:ascii="Times New Roman" w:eastAsia="Times New Roman" w:hAnsi="Times New Roman" w:cs="Times New Roman"/>
          <w:kern w:val="0"/>
          <w14:ligatures w14:val="none"/>
        </w:rPr>
      </w:pPr>
    </w:p>
    <w:p w14:paraId="63382402" w14:textId="13AC99D9" w:rsidR="00F40100" w:rsidRPr="00F40100" w:rsidRDefault="00F40100" w:rsidP="00F40100">
      <w:pPr>
        <w:spacing w:after="0"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b/>
          <w:bCs/>
          <w:kern w:val="0"/>
          <w:sz w:val="27"/>
          <w:szCs w:val="27"/>
          <w14:ligatures w14:val="none"/>
        </w:rPr>
        <w:t>4.3 Theme 1: Digital Inequalities in Access to Mental Health Services</w:t>
      </w:r>
    </w:p>
    <w:p w14:paraId="7BCA49D9" w14:textId="0F1F2D9C" w:rsidR="00F40100" w:rsidRPr="00F40100" w:rsidRDefault="00F40100" w:rsidP="00F40100">
      <w:pPr>
        <w:spacing w:before="100" w:beforeAutospacing="1" w:after="100" w:afterAutospacing="1"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kern w:val="0"/>
          <w14:ligatures w14:val="none"/>
        </w:rPr>
        <w:t>Digital inequality has come up a lot in recent years, especially since services started moving online. The idea behind it is that while digital tools</w:t>
      </w:r>
      <w:r w:rsidR="00040D5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like online counselling and therapy apps</w:t>
      </w:r>
      <w:r w:rsidR="00040D5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can make mental health support more convenient, they also require reliable access to technology. Not everyone has this. For example, some young people don’t have internet at home, or they only have one device that is shared with the rest of the family. In these cases, even if support is available online, it's not truly accessible to them.</w:t>
      </w:r>
    </w:p>
    <w:p w14:paraId="1A8003F8" w14:textId="28AF2920" w:rsidR="00F40100" w:rsidRPr="00F40100" w:rsidRDefault="00F40100" w:rsidP="00F40100">
      <w:pPr>
        <w:spacing w:before="100" w:beforeAutospacing="1" w:after="100" w:afterAutospacing="1"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kern w:val="0"/>
          <w14:ligatures w14:val="none"/>
        </w:rPr>
        <w:t>After COVID</w:t>
      </w:r>
      <w:r w:rsidR="00040D5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19, many services shifted to remote formats, which was seen as a good thing in terms of efficiency. However, the switch wasn’t smooth for everyone. Young people living in low</w:t>
      </w:r>
      <w:r w:rsidR="00040D5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 xml:space="preserve">income households or rural areas were often left behind. In fact, Ofcom (2022) found </w:t>
      </w:r>
      <w:r w:rsidRPr="00F40100">
        <w:rPr>
          <w:rFonts w:ascii="Times New Roman" w:eastAsia="Times New Roman" w:hAnsi="Times New Roman" w:cs="Times New Roman"/>
          <w:kern w:val="0"/>
          <w14:ligatures w14:val="none"/>
        </w:rPr>
        <w:lastRenderedPageBreak/>
        <w:t>that around 7% of UK households with children still lacked reliable internet access. The Royal College of Psychiatrists (2021) highlighted how this impacted mental health care, with many young people missing out on appointments.</w:t>
      </w:r>
    </w:p>
    <w:p w14:paraId="6556E922" w14:textId="6B27C9DB" w:rsidR="00F40100" w:rsidRPr="00F40100" w:rsidRDefault="00F40100" w:rsidP="00F72F92">
      <w:pPr>
        <w:spacing w:before="100" w:beforeAutospacing="1" w:after="100" w:afterAutospacing="1"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kern w:val="0"/>
          <w14:ligatures w14:val="none"/>
        </w:rPr>
        <w:t>This is a big problem because it means some groups are being excluded from care altogether. Maslow’s hierarchy of needs can be used to explain this</w:t>
      </w:r>
      <w:r w:rsidR="00040D5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it suggests that people need to have their basic needs met (like safety and health) before they can grow and thrive. If accessing digital support is now considered part of meeting those needs, then digital inequality is a serious barrier.</w:t>
      </w:r>
      <w:r w:rsidR="00F72F9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Smith et al. (2021) reported that digital access problems particularly affected young people in rural schools, where even mobile signal was unreliable. Jones and Patel (2020) found that some young people felt awkward joining therapy calls from shared homes, where privacy was limited.</w:t>
      </w:r>
      <w:r w:rsidR="00F72F9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The NHS Long Term Plan (2019) mentions expanding digital services, but it doesn’t fully address how unequal access can widen the gap between young people. If online help is seen as the solution but is only available to some, then existing inequalities just get worse.</w:t>
      </w:r>
    </w:p>
    <w:p w14:paraId="523A9AA3" w14:textId="77777777" w:rsidR="00F40100" w:rsidRPr="00F40100" w:rsidRDefault="00F40100" w:rsidP="00F40100">
      <w:pPr>
        <w:spacing w:before="100" w:beforeAutospacing="1" w:after="100" w:afterAutospacing="1"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kern w:val="0"/>
          <w14:ligatures w14:val="none"/>
        </w:rPr>
        <w:t>This theme is closely linked to others. If a service is far away and a young person doesn’t have internet either, they basically have no options. It’s also linked to stigma, because if someone feels judged at home or school, they may avoid digital services even if they’re available.</w:t>
      </w:r>
    </w:p>
    <w:p w14:paraId="34E794CE" w14:textId="77777777" w:rsidR="00040D52" w:rsidRDefault="00040D52" w:rsidP="00040D52">
      <w:pPr>
        <w:spacing w:after="0" w:line="240" w:lineRule="auto"/>
        <w:rPr>
          <w:rFonts w:ascii="Times New Roman" w:eastAsia="Times New Roman" w:hAnsi="Times New Roman" w:cs="Times New Roman"/>
          <w:kern w:val="0"/>
          <w14:ligatures w14:val="none"/>
        </w:rPr>
      </w:pPr>
    </w:p>
    <w:p w14:paraId="3AAA7651" w14:textId="5F114742" w:rsidR="00F40100" w:rsidRPr="00F40100" w:rsidRDefault="00F40100" w:rsidP="00040D52">
      <w:pPr>
        <w:spacing w:after="0"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b/>
          <w:bCs/>
          <w:kern w:val="0"/>
          <w:sz w:val="27"/>
          <w:szCs w:val="27"/>
          <w14:ligatures w14:val="none"/>
        </w:rPr>
        <w:t>4.4 Theme 2: Stigma and Social Attitudes Towards Youth Mental Health</w:t>
      </w:r>
    </w:p>
    <w:p w14:paraId="3889E0E3" w14:textId="77777777" w:rsidR="00F40100" w:rsidRPr="00F40100" w:rsidRDefault="00F40100" w:rsidP="00F40100">
      <w:pPr>
        <w:spacing w:before="100" w:beforeAutospacing="1" w:after="100" w:afterAutospacing="1"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kern w:val="0"/>
          <w14:ligatures w14:val="none"/>
        </w:rPr>
        <w:t>Stigma still plays a big role in how mental health is understood and talked about. Even though awareness has improved, many young people are still afraid to talk about their struggles or ask for help. They might worry about what their friends or family will think or feel embarrassed in school settings.</w:t>
      </w:r>
    </w:p>
    <w:p w14:paraId="1BB7C5E4" w14:textId="0F4131C1" w:rsidR="00F40100" w:rsidRPr="00F40100" w:rsidRDefault="00F40100" w:rsidP="00F72F92">
      <w:pPr>
        <w:spacing w:before="100" w:beforeAutospacing="1" w:after="100" w:afterAutospacing="1"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kern w:val="0"/>
          <w14:ligatures w14:val="none"/>
        </w:rPr>
        <w:t>This stigma isn’t just individual</w:t>
      </w:r>
      <w:r w:rsidR="00040D5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it can be part of wider cultural or community beliefs. In some communities, talking about mental health is not encouraged, especially for young men. Teachers and parents might not take mental health seriously, thinking it's just “teen moodiness” or “attention seeking.”</w:t>
      </w:r>
      <w:r w:rsidR="00F72F9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Mind (2021) found that 1 in 4 young people wouldn’t speak up about mental health worries because of fear of judgment. NHS Digital (2022) also showed that a significant number of youth with diagnosed conditions were not receiving treatment, suggesting a gap between need and actual service use.</w:t>
      </w:r>
      <w:r w:rsidR="00F72F9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Goffman’s theory of social stigma (1963) helps us understand how people internalise these negative views. When youth feel that others see them as weak or different, they may hide symptoms or avoid seeking help altogether. Campaigns like Time to Change and school</w:t>
      </w:r>
      <w:r w:rsidR="00040D5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based awareness lessons have tried to reduce this, but progress is slow.</w:t>
      </w:r>
      <w:r w:rsidR="00F72F9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Brown and Singh (2020) explored this in depth and found that students were more likely to avoid school counsellors because of fear they’d be labelled. Taylor et al. (2021) highlighted how boys were particularly reluctant to ask for help, with some teachers still reinforcing “tough it out” messages.</w:t>
      </w:r>
    </w:p>
    <w:p w14:paraId="742F7CF0" w14:textId="08D84643" w:rsidR="00F40100" w:rsidRPr="00F40100" w:rsidRDefault="00F40100" w:rsidP="00F40100">
      <w:pPr>
        <w:spacing w:before="100" w:beforeAutospacing="1" w:after="100" w:afterAutospacing="1"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kern w:val="0"/>
          <w14:ligatures w14:val="none"/>
        </w:rPr>
        <w:t>This theme connects with digital inequality too. If a student wants help but can only get it through a video call in a noisy house, stigma might make them avoid it. The design of services</w:t>
      </w:r>
      <w:r w:rsidR="00040D5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how private, inclusive, and welcoming they are</w:t>
      </w:r>
      <w:r w:rsidR="00040D5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can influence whether stigma is reduced or reinforced.</w:t>
      </w:r>
    </w:p>
    <w:p w14:paraId="5CD8FD78" w14:textId="77777777" w:rsidR="00F40100" w:rsidRPr="00F40100" w:rsidRDefault="00F40100" w:rsidP="00F40100">
      <w:pPr>
        <w:spacing w:before="100" w:beforeAutospacing="1" w:after="100" w:afterAutospacing="1"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kern w:val="0"/>
          <w14:ligatures w14:val="none"/>
        </w:rPr>
        <w:lastRenderedPageBreak/>
        <w:t>Tackling stigma requires more than posters and campaigns. It means changing how people think and talk about mental health, especially in places like schools and homes where young people spend most of their time.</w:t>
      </w:r>
    </w:p>
    <w:p w14:paraId="34A0706B" w14:textId="77777777" w:rsidR="00F40100" w:rsidRDefault="00F40100" w:rsidP="00F40100">
      <w:pPr>
        <w:spacing w:after="0" w:line="240" w:lineRule="auto"/>
        <w:rPr>
          <w:rFonts w:ascii="Times New Roman" w:eastAsia="Times New Roman" w:hAnsi="Times New Roman" w:cs="Times New Roman"/>
          <w:kern w:val="0"/>
          <w14:ligatures w14:val="none"/>
        </w:rPr>
      </w:pPr>
    </w:p>
    <w:p w14:paraId="679A5D06" w14:textId="184F4896" w:rsidR="00F40100" w:rsidRPr="00F40100" w:rsidRDefault="00F40100" w:rsidP="00F40100">
      <w:pPr>
        <w:spacing w:after="0"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b/>
          <w:bCs/>
          <w:kern w:val="0"/>
          <w:sz w:val="27"/>
          <w:szCs w:val="27"/>
          <w14:ligatures w14:val="none"/>
        </w:rPr>
        <w:t>4.5 Theme 3: Service Availability and Geographic Accessibility</w:t>
      </w:r>
    </w:p>
    <w:p w14:paraId="27EFAC89" w14:textId="77777777" w:rsidR="00F40100" w:rsidRPr="00F40100" w:rsidRDefault="00F40100" w:rsidP="00F40100">
      <w:pPr>
        <w:spacing w:before="100" w:beforeAutospacing="1" w:after="100" w:afterAutospacing="1"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kern w:val="0"/>
          <w14:ligatures w14:val="none"/>
        </w:rPr>
        <w:t>Even when young people want help and feel safe asking for it, there’s still the issue of whether services are available to them in a practical sense. This theme focuses on how location, transport, waiting lists, and opening hours create obstacles to mental health care.</w:t>
      </w:r>
    </w:p>
    <w:p w14:paraId="30BAD930" w14:textId="77777777" w:rsidR="00F40100" w:rsidRPr="00F40100" w:rsidRDefault="00F40100" w:rsidP="00F40100">
      <w:pPr>
        <w:spacing w:before="100" w:beforeAutospacing="1" w:after="100" w:afterAutospacing="1"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kern w:val="0"/>
          <w14:ligatures w14:val="none"/>
        </w:rPr>
        <w:t>In rural parts of the UK, services are few and far between. Young people might have to travel an hour or more just to see a counsellor or attend an appointment. That assumes they have access to transport, which many don’t. In cities, the issue might be long waiting times. YoungMinds (2022) reported that over a third of young people waited more than three months for a CAMHS appointment. That’s a long time, especially if someone is already struggling.</w:t>
      </w:r>
    </w:p>
    <w:p w14:paraId="075250D0" w14:textId="79FC9BE7" w:rsidR="00F40100" w:rsidRPr="00F40100" w:rsidRDefault="00F40100" w:rsidP="00F72F92">
      <w:pPr>
        <w:spacing w:before="100" w:beforeAutospacing="1" w:after="100" w:afterAutospacing="1"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kern w:val="0"/>
          <w14:ligatures w14:val="none"/>
        </w:rPr>
        <w:t>The NHS Constitution talks about equality and timely care, and the Care Act (2014) supports person</w:t>
      </w:r>
      <w:r w:rsidR="00040D5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centred services. But when funding cuts reduce staff or close local clinics, these goals become harder to meet. Evans et al. (2020) describe how schools in inner</w:t>
      </w:r>
      <w:r w:rsidR="00040D5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city London lost their in</w:t>
      </w:r>
      <w:r w:rsidR="00040D5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house counselling services after local authority budget reductions.</w:t>
      </w:r>
      <w:r w:rsidR="00F72F9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Davies and Morgan (2019) looked at the North of England and found similar problems, especially with transport. Some students had to rely on parents, who might not be available or supportive.</w:t>
      </w:r>
    </w:p>
    <w:p w14:paraId="327B5C4A" w14:textId="6B66E42C" w:rsidR="00F40100" w:rsidRPr="00F40100" w:rsidRDefault="00F40100" w:rsidP="00F72F92">
      <w:pPr>
        <w:spacing w:before="100" w:beforeAutospacing="1" w:after="100" w:afterAutospacing="1"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kern w:val="0"/>
          <w14:ligatures w14:val="none"/>
        </w:rPr>
        <w:t>If digital services aren’t an option (as discussed in Theme 1), and in</w:t>
      </w:r>
      <w:r w:rsidR="00040D5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person services are too far away, young people can fall through the cracks. Add in stigma (Theme 2), and the picture becomes more complicated.</w:t>
      </w:r>
      <w:r w:rsidR="00F72F9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The impact of these issues is serious. Without early support, young people’s mental health can deteriorate. They may drop out of school, lose confidence, or end up in crisis situations. Even when services exist, if they’re not reachable or accessible, they’re not really doing their job.</w:t>
      </w:r>
    </w:p>
    <w:p w14:paraId="16C9E3FE" w14:textId="77777777" w:rsidR="00F40100" w:rsidRDefault="00F40100" w:rsidP="00F40100">
      <w:pPr>
        <w:spacing w:after="0" w:line="240" w:lineRule="auto"/>
        <w:rPr>
          <w:rFonts w:ascii="Times New Roman" w:eastAsia="Times New Roman" w:hAnsi="Times New Roman" w:cs="Times New Roman"/>
          <w:kern w:val="0"/>
          <w14:ligatures w14:val="none"/>
        </w:rPr>
      </w:pPr>
    </w:p>
    <w:p w14:paraId="5665235E" w14:textId="107FED93" w:rsidR="00F40100" w:rsidRPr="00F40100" w:rsidRDefault="00F40100" w:rsidP="00F40100">
      <w:pPr>
        <w:spacing w:after="0"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b/>
          <w:bCs/>
          <w:kern w:val="0"/>
          <w:sz w:val="27"/>
          <w:szCs w:val="27"/>
          <w14:ligatures w14:val="none"/>
        </w:rPr>
        <w:t>4.6 Chapter Conclusion</w:t>
      </w:r>
    </w:p>
    <w:p w14:paraId="105ECD77" w14:textId="319D0E66" w:rsidR="00F40100" w:rsidRPr="00F40100" w:rsidRDefault="00F40100" w:rsidP="00F72F92">
      <w:pPr>
        <w:spacing w:before="100" w:beforeAutospacing="1" w:after="100" w:afterAutospacing="1" w:line="240" w:lineRule="auto"/>
        <w:rPr>
          <w:rFonts w:ascii="Times New Roman" w:eastAsia="Times New Roman" w:hAnsi="Times New Roman" w:cs="Times New Roman"/>
          <w:kern w:val="0"/>
          <w14:ligatures w14:val="none"/>
        </w:rPr>
      </w:pPr>
      <w:r w:rsidRPr="00F40100">
        <w:rPr>
          <w:rFonts w:ascii="Times New Roman" w:eastAsia="Times New Roman" w:hAnsi="Times New Roman" w:cs="Times New Roman"/>
          <w:kern w:val="0"/>
          <w14:ligatures w14:val="none"/>
        </w:rPr>
        <w:t>In summary, this chapter has shown that young people in the UK face many different challenges when it comes to accessing mental health support. Digital inequality means some can't get online help. Stigma makes others afraid to speak up. And practical issues like distance and long waits make services hard to use. These problems don’t exist separately</w:t>
      </w:r>
      <w:r w:rsidR="00040D5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they often overlap and make each other worse.Although policies like the NHS Long Term Plan and the Care Act aim to improve things, they don’t always reach those who need the most help. Real change requires thinking about young people’s real</w:t>
      </w:r>
      <w:r w:rsidR="00040D5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life situations</w:t>
      </w:r>
      <w:r w:rsidR="00040D52">
        <w:rPr>
          <w:rFonts w:ascii="Times New Roman" w:eastAsia="Times New Roman" w:hAnsi="Times New Roman" w:cs="Times New Roman"/>
          <w:kern w:val="0"/>
          <w14:ligatures w14:val="none"/>
        </w:rPr>
        <w:t xml:space="preserve">,  </w:t>
      </w:r>
      <w:r w:rsidRPr="00F40100">
        <w:rPr>
          <w:rFonts w:ascii="Times New Roman" w:eastAsia="Times New Roman" w:hAnsi="Times New Roman" w:cs="Times New Roman"/>
          <w:kern w:val="0"/>
          <w14:ligatures w14:val="none"/>
        </w:rPr>
        <w:t>where they live, how they feel, and what tools they have. The next chapter will look at what this means for future policy and practice, and how things could be improved to create a more equal system for all young people.</w:t>
      </w:r>
    </w:p>
    <w:p w14:paraId="153E32E5" w14:textId="77777777" w:rsidR="0000711F" w:rsidRPr="0000711F" w:rsidRDefault="0000711F" w:rsidP="0000711F"/>
    <w:sectPr w:rsidR="0000711F" w:rsidRPr="0000711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A97BE0" w14:textId="77777777" w:rsidR="0000711F" w:rsidRDefault="0000711F" w:rsidP="0000711F">
      <w:pPr>
        <w:spacing w:after="0" w:line="240" w:lineRule="auto"/>
      </w:pPr>
      <w:r>
        <w:separator/>
      </w:r>
    </w:p>
  </w:endnote>
  <w:endnote w:type="continuationSeparator" w:id="0">
    <w:p w14:paraId="3D0DE52A" w14:textId="77777777" w:rsidR="0000711F" w:rsidRDefault="0000711F" w:rsidP="00007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A1AE6D" w14:textId="77777777" w:rsidR="0000711F" w:rsidRDefault="0000711F" w:rsidP="0000711F">
      <w:pPr>
        <w:spacing w:after="0" w:line="240" w:lineRule="auto"/>
      </w:pPr>
      <w:r>
        <w:separator/>
      </w:r>
    </w:p>
  </w:footnote>
  <w:footnote w:type="continuationSeparator" w:id="0">
    <w:p w14:paraId="1CCA0FE6" w14:textId="77777777" w:rsidR="0000711F" w:rsidRDefault="0000711F" w:rsidP="000071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588F36" w14:textId="7986B82D" w:rsidR="0000711F" w:rsidRDefault="0000711F" w:rsidP="0000711F">
    <w:pPr>
      <w:pStyle w:val="Header"/>
      <w:jc w:val="center"/>
    </w:pPr>
    <w:r>
      <w:t>BMHP6020 – Independent Project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visionView w:insDel="0"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11F"/>
    <w:rsid w:val="0000711F"/>
    <w:rsid w:val="00040D52"/>
    <w:rsid w:val="00A34DB3"/>
    <w:rsid w:val="00B44B61"/>
    <w:rsid w:val="00F40100"/>
    <w:rsid w:val="00F72F92"/>
    <w:rsid w:val="00FF36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D1DCC"/>
  <w15:chartTrackingRefBased/>
  <w15:docId w15:val="{B3215889-66ED-4ADC-B568-F1FF21F3B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1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71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71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71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71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71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71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71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71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1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71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1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1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1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1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1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1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11F"/>
    <w:rPr>
      <w:rFonts w:eastAsiaTheme="majorEastAsia" w:cstheme="majorBidi"/>
      <w:color w:val="272727" w:themeColor="text1" w:themeTint="D8"/>
    </w:rPr>
  </w:style>
  <w:style w:type="paragraph" w:styleId="Title">
    <w:name w:val="Title"/>
    <w:basedOn w:val="Normal"/>
    <w:next w:val="Normal"/>
    <w:link w:val="TitleChar"/>
    <w:uiPriority w:val="10"/>
    <w:qFormat/>
    <w:rsid w:val="000071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71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1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71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11F"/>
    <w:pPr>
      <w:spacing w:before="160"/>
      <w:jc w:val="center"/>
    </w:pPr>
    <w:rPr>
      <w:i/>
      <w:iCs/>
      <w:color w:val="404040" w:themeColor="text1" w:themeTint="BF"/>
    </w:rPr>
  </w:style>
  <w:style w:type="character" w:customStyle="1" w:styleId="QuoteChar">
    <w:name w:val="Quote Char"/>
    <w:basedOn w:val="DefaultParagraphFont"/>
    <w:link w:val="Quote"/>
    <w:uiPriority w:val="29"/>
    <w:rsid w:val="0000711F"/>
    <w:rPr>
      <w:i/>
      <w:iCs/>
      <w:color w:val="404040" w:themeColor="text1" w:themeTint="BF"/>
    </w:rPr>
  </w:style>
  <w:style w:type="paragraph" w:styleId="ListParagraph">
    <w:name w:val="List Paragraph"/>
    <w:basedOn w:val="Normal"/>
    <w:uiPriority w:val="34"/>
    <w:qFormat/>
    <w:rsid w:val="0000711F"/>
    <w:pPr>
      <w:ind w:left="720"/>
      <w:contextualSpacing/>
    </w:pPr>
  </w:style>
  <w:style w:type="character" w:styleId="IntenseEmphasis">
    <w:name w:val="Intense Emphasis"/>
    <w:basedOn w:val="DefaultParagraphFont"/>
    <w:uiPriority w:val="21"/>
    <w:qFormat/>
    <w:rsid w:val="0000711F"/>
    <w:rPr>
      <w:i/>
      <w:iCs/>
      <w:color w:val="0F4761" w:themeColor="accent1" w:themeShade="BF"/>
    </w:rPr>
  </w:style>
  <w:style w:type="paragraph" w:styleId="IntenseQuote">
    <w:name w:val="Intense Quote"/>
    <w:basedOn w:val="Normal"/>
    <w:next w:val="Normal"/>
    <w:link w:val="IntenseQuoteChar"/>
    <w:uiPriority w:val="30"/>
    <w:qFormat/>
    <w:rsid w:val="000071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711F"/>
    <w:rPr>
      <w:i/>
      <w:iCs/>
      <w:color w:val="0F4761" w:themeColor="accent1" w:themeShade="BF"/>
    </w:rPr>
  </w:style>
  <w:style w:type="character" w:styleId="IntenseReference">
    <w:name w:val="Intense Reference"/>
    <w:basedOn w:val="DefaultParagraphFont"/>
    <w:uiPriority w:val="32"/>
    <w:qFormat/>
    <w:rsid w:val="0000711F"/>
    <w:rPr>
      <w:b/>
      <w:bCs/>
      <w:smallCaps/>
      <w:color w:val="0F4761" w:themeColor="accent1" w:themeShade="BF"/>
      <w:spacing w:val="5"/>
    </w:rPr>
  </w:style>
  <w:style w:type="paragraph" w:styleId="Header">
    <w:name w:val="header"/>
    <w:basedOn w:val="Normal"/>
    <w:link w:val="HeaderChar"/>
    <w:uiPriority w:val="99"/>
    <w:unhideWhenUsed/>
    <w:rsid w:val="000071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11F"/>
  </w:style>
  <w:style w:type="paragraph" w:styleId="Footer">
    <w:name w:val="footer"/>
    <w:basedOn w:val="Normal"/>
    <w:link w:val="FooterChar"/>
    <w:uiPriority w:val="99"/>
    <w:unhideWhenUsed/>
    <w:rsid w:val="000071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1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92151">
      <w:bodyDiv w:val="1"/>
      <w:marLeft w:val="0"/>
      <w:marRight w:val="0"/>
      <w:marTop w:val="0"/>
      <w:marBottom w:val="0"/>
      <w:divBdr>
        <w:top w:val="none" w:sz="0" w:space="0" w:color="auto"/>
        <w:left w:val="none" w:sz="0" w:space="0" w:color="auto"/>
        <w:bottom w:val="none" w:sz="0" w:space="0" w:color="auto"/>
        <w:right w:val="none" w:sz="0" w:space="0" w:color="auto"/>
      </w:divBdr>
    </w:div>
    <w:div w:id="187527813">
      <w:bodyDiv w:val="1"/>
      <w:marLeft w:val="0"/>
      <w:marRight w:val="0"/>
      <w:marTop w:val="0"/>
      <w:marBottom w:val="0"/>
      <w:divBdr>
        <w:top w:val="none" w:sz="0" w:space="0" w:color="auto"/>
        <w:left w:val="none" w:sz="0" w:space="0" w:color="auto"/>
        <w:bottom w:val="none" w:sz="0" w:space="0" w:color="auto"/>
        <w:right w:val="none" w:sz="0" w:space="0" w:color="auto"/>
      </w:divBdr>
    </w:div>
    <w:div w:id="495265405">
      <w:bodyDiv w:val="1"/>
      <w:marLeft w:val="0"/>
      <w:marRight w:val="0"/>
      <w:marTop w:val="0"/>
      <w:marBottom w:val="0"/>
      <w:divBdr>
        <w:top w:val="none" w:sz="0" w:space="0" w:color="auto"/>
        <w:left w:val="none" w:sz="0" w:space="0" w:color="auto"/>
        <w:bottom w:val="none" w:sz="0" w:space="0" w:color="auto"/>
        <w:right w:val="none" w:sz="0" w:space="0" w:color="auto"/>
      </w:divBdr>
    </w:div>
    <w:div w:id="1106728401">
      <w:bodyDiv w:val="1"/>
      <w:marLeft w:val="0"/>
      <w:marRight w:val="0"/>
      <w:marTop w:val="0"/>
      <w:marBottom w:val="0"/>
      <w:divBdr>
        <w:top w:val="none" w:sz="0" w:space="0" w:color="auto"/>
        <w:left w:val="none" w:sz="0" w:space="0" w:color="auto"/>
        <w:bottom w:val="none" w:sz="0" w:space="0" w:color="auto"/>
        <w:right w:val="none" w:sz="0" w:space="0" w:color="auto"/>
      </w:divBdr>
    </w:div>
    <w:div w:id="1221938170">
      <w:bodyDiv w:val="1"/>
      <w:marLeft w:val="0"/>
      <w:marRight w:val="0"/>
      <w:marTop w:val="0"/>
      <w:marBottom w:val="0"/>
      <w:divBdr>
        <w:top w:val="none" w:sz="0" w:space="0" w:color="auto"/>
        <w:left w:val="none" w:sz="0" w:space="0" w:color="auto"/>
        <w:bottom w:val="none" w:sz="0" w:space="0" w:color="auto"/>
        <w:right w:val="none" w:sz="0" w:space="0" w:color="auto"/>
      </w:divBdr>
    </w:div>
    <w:div w:id="1361006970">
      <w:bodyDiv w:val="1"/>
      <w:marLeft w:val="0"/>
      <w:marRight w:val="0"/>
      <w:marTop w:val="0"/>
      <w:marBottom w:val="0"/>
      <w:divBdr>
        <w:top w:val="none" w:sz="0" w:space="0" w:color="auto"/>
        <w:left w:val="none" w:sz="0" w:space="0" w:color="auto"/>
        <w:bottom w:val="none" w:sz="0" w:space="0" w:color="auto"/>
        <w:right w:val="none" w:sz="0" w:space="0" w:color="auto"/>
      </w:divBdr>
    </w:div>
    <w:div w:id="1748649708">
      <w:bodyDiv w:val="1"/>
      <w:marLeft w:val="0"/>
      <w:marRight w:val="0"/>
      <w:marTop w:val="0"/>
      <w:marBottom w:val="0"/>
      <w:divBdr>
        <w:top w:val="none" w:sz="0" w:space="0" w:color="auto"/>
        <w:left w:val="none" w:sz="0" w:space="0" w:color="auto"/>
        <w:bottom w:val="none" w:sz="0" w:space="0" w:color="auto"/>
        <w:right w:val="none" w:sz="0" w:space="0" w:color="auto"/>
      </w:divBdr>
      <w:divsChild>
        <w:div w:id="1641350931">
          <w:marLeft w:val="0"/>
          <w:marRight w:val="0"/>
          <w:marTop w:val="0"/>
          <w:marBottom w:val="0"/>
          <w:divBdr>
            <w:top w:val="none" w:sz="0" w:space="0" w:color="auto"/>
            <w:left w:val="none" w:sz="0" w:space="0" w:color="auto"/>
            <w:bottom w:val="none" w:sz="0" w:space="0" w:color="auto"/>
            <w:right w:val="none" w:sz="0" w:space="0" w:color="auto"/>
          </w:divBdr>
        </w:div>
      </w:divsChild>
    </w:div>
    <w:div w:id="1810514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1370</Words>
  <Characters>7814</Characters>
  <Application>Microsoft Office Word</Application>
  <DocSecurity>0</DocSecurity>
  <Lines>65</Lines>
  <Paragraphs>18</Paragraphs>
  <ScaleCrop>false</ScaleCrop>
  <Company>University of Wales Trinity Saint David</Company>
  <LinksUpToDate>false</LinksUpToDate>
  <CharactersWithSpaces>9166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Chloe Harries</cp:lastModifiedBy>
  <cp:revision>6</cp:revision>
  <dcterms:created xsi:type="dcterms:W3CDTF">2025-06-23T11:32:00Z</dcterms:created>
  <dcterms:modified xsi:type="dcterms:W3CDTF">2025-06-23T11:47:00Z</dcterms:modified>
</cp:coreProperties>
</file>