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6F80C76" w14:textId="2B89793A" w:rsidR="00286231" w:rsidRPr="00BD6A34" w:rsidRDefault="00756126" w:rsidP="00756126">
      <w:pPr>
        <w:jc w:val="center"/>
        <w:rPr>
          <w:b/>
          <w:bCs/>
          <w:sz w:val="24"/>
          <w:szCs w:val="24"/>
          <w:u w:val="single"/>
        </w:rPr>
      </w:pPr>
      <w:r w:rsidRPr="00BD6A34">
        <w:rPr>
          <w:b/>
          <w:bCs/>
          <w:sz w:val="24"/>
          <w:szCs w:val="24"/>
          <w:u w:val="single"/>
        </w:rPr>
        <w:t>Dissertation Synopsis</w:t>
      </w:r>
    </w:p>
    <w:p w14:paraId="53FC6276" w14:textId="36D7F9FB" w:rsidR="00F579D5" w:rsidRDefault="00F579D5" w:rsidP="00756126">
      <w:pPr>
        <w:jc w:val="center"/>
        <w:rPr>
          <w:b/>
          <w:bCs/>
          <w:sz w:val="24"/>
          <w:szCs w:val="24"/>
          <w:u w:val="single"/>
        </w:rPr>
      </w:pPr>
      <w:r w:rsidRPr="00BD6A34">
        <w:rPr>
          <w:b/>
          <w:bCs/>
          <w:sz w:val="24"/>
          <w:szCs w:val="24"/>
          <w:u w:val="single"/>
        </w:rPr>
        <w:t>Is universal access truly universal?</w:t>
      </w:r>
    </w:p>
    <w:p w14:paraId="169DED99" w14:textId="19EBEA4E" w:rsidR="00BD6A34" w:rsidRPr="00BD6A34" w:rsidRDefault="00BD6A34" w:rsidP="00756126">
      <w:pPr>
        <w:jc w:val="center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Lee Harries - 1700012</w:t>
      </w:r>
    </w:p>
    <w:p w14:paraId="087FF7BD" w14:textId="304FBF44" w:rsidR="00756126" w:rsidRDefault="00756126"/>
    <w:p w14:paraId="1C96732E" w14:textId="5A611C97" w:rsidR="00805452" w:rsidRDefault="00805452">
      <w:pPr>
        <w:rPr>
          <w:b/>
          <w:bCs/>
          <w:u w:val="single"/>
        </w:rPr>
      </w:pPr>
      <w:r>
        <w:rPr>
          <w:b/>
          <w:bCs/>
          <w:u w:val="single"/>
        </w:rPr>
        <w:t>Introduction</w:t>
      </w:r>
    </w:p>
    <w:p w14:paraId="4AA9AC54" w14:textId="4E096283" w:rsidR="006615CA" w:rsidRPr="0025582A" w:rsidRDefault="006615CA" w:rsidP="00805452">
      <w:r w:rsidRPr="0025582A">
        <w:t xml:space="preserve">Universal access is commonly blanketed under the wider heading of universal design. This </w:t>
      </w:r>
      <w:r w:rsidR="00F42F64" w:rsidRPr="0025582A">
        <w:t>is</w:t>
      </w:r>
      <w:r w:rsidRPr="0025582A">
        <w:t xml:space="preserve"> defined as environments</w:t>
      </w:r>
      <w:r w:rsidR="00F42F64" w:rsidRPr="0025582A">
        <w:t xml:space="preserve">, </w:t>
      </w:r>
      <w:r w:rsidRPr="0025582A">
        <w:t xml:space="preserve">designed to be </w:t>
      </w:r>
      <w:r w:rsidRPr="00B6620F">
        <w:rPr>
          <w:i/>
          <w:iCs/>
        </w:rPr>
        <w:t>‘accessed and used in the wides</w:t>
      </w:r>
      <w:r w:rsidR="00F95D60" w:rsidRPr="00B6620F">
        <w:rPr>
          <w:i/>
          <w:iCs/>
        </w:rPr>
        <w:t>t</w:t>
      </w:r>
      <w:r w:rsidRPr="00B6620F">
        <w:rPr>
          <w:i/>
          <w:iCs/>
        </w:rPr>
        <w:t xml:space="preserve"> possible range of situations with</w:t>
      </w:r>
      <w:r w:rsidR="00F95D60" w:rsidRPr="00B6620F">
        <w:rPr>
          <w:i/>
          <w:iCs/>
        </w:rPr>
        <w:t>out</w:t>
      </w:r>
      <w:r w:rsidRPr="00B6620F">
        <w:rPr>
          <w:i/>
          <w:iCs/>
        </w:rPr>
        <w:t xml:space="preserve"> the need for adaptation.’</w:t>
      </w:r>
      <w:r w:rsidRPr="00BB5B2F">
        <w:t>(</w:t>
      </w:r>
      <w:r w:rsidR="00BB5B2F">
        <w:t>Holmes, 2018, p.55</w:t>
      </w:r>
      <w:r w:rsidRPr="0025582A">
        <w:t>) By incorporating the term ‘universal’ the design initiative conveys that any proposed structure adopting this technique will be useable by all. This is simply not the case.</w:t>
      </w:r>
    </w:p>
    <w:p w14:paraId="15C3B012" w14:textId="213DD2FD" w:rsidR="006615CA" w:rsidRPr="0025582A" w:rsidRDefault="006615CA" w:rsidP="00805452">
      <w:r w:rsidRPr="0025582A">
        <w:t xml:space="preserve">If universal access </w:t>
      </w:r>
      <w:r w:rsidR="001D4CBE" w:rsidRPr="0025582A">
        <w:t>is</w:t>
      </w:r>
      <w:r w:rsidRPr="0025582A">
        <w:t xml:space="preserve"> truly universal then all users, regardless of age, size or ability would be able to navigate a building without restriction.</w:t>
      </w:r>
    </w:p>
    <w:p w14:paraId="0896DED5" w14:textId="77777777" w:rsidR="003379E1" w:rsidRPr="009C495E" w:rsidRDefault="003379E1"/>
    <w:p w14:paraId="4DBF12CA" w14:textId="2755CB21" w:rsidR="00756126" w:rsidRDefault="00756126">
      <w:pPr>
        <w:rPr>
          <w:b/>
          <w:bCs/>
          <w:u w:val="single"/>
        </w:rPr>
      </w:pPr>
      <w:r w:rsidRPr="00112BA7">
        <w:rPr>
          <w:b/>
          <w:bCs/>
          <w:u w:val="single"/>
        </w:rPr>
        <w:t>Methodology</w:t>
      </w:r>
    </w:p>
    <w:p w14:paraId="71BA907D" w14:textId="3062FC71" w:rsidR="00F47261" w:rsidRDefault="007136A1">
      <w:r>
        <w:t>A</w:t>
      </w:r>
      <w:r w:rsidR="00F82D7C">
        <w:t xml:space="preserve"> mixed data collection approach would be best. By combining the use of quantitative and qualitative research, a justified and well-rounded argument can be made. By conducting primary research such as user surveys, I will be able to gain a </w:t>
      </w:r>
      <w:r w:rsidR="0091636E">
        <w:t xml:space="preserve">user’s </w:t>
      </w:r>
      <w:r w:rsidR="00F82D7C">
        <w:t>perspective on building</w:t>
      </w:r>
      <w:r w:rsidR="00BC4863">
        <w:t>s</w:t>
      </w:r>
      <w:r w:rsidR="00F20103">
        <w:t xml:space="preserve"> </w:t>
      </w:r>
      <w:r w:rsidR="00F82D7C">
        <w:t>successes</w:t>
      </w:r>
      <w:r w:rsidR="007A3E57">
        <w:t>/</w:t>
      </w:r>
      <w:r w:rsidR="00F82D7C">
        <w:t xml:space="preserve">failures for access. </w:t>
      </w:r>
      <w:r w:rsidR="00023A80">
        <w:t xml:space="preserve">The questions will be specific to access and quality of life within the building of choice and a wide sample group will be chosen. Ensuring a group of varying abilities will provide viability for the argument as universal design/access should not have a preferred user. </w:t>
      </w:r>
      <w:r w:rsidR="0091636E">
        <w:t xml:space="preserve">Using existing qualitative research will allow me to outline the commonalities and differences </w:t>
      </w:r>
      <w:r w:rsidR="00BC4863">
        <w:t xml:space="preserve">in </w:t>
      </w:r>
      <w:r w:rsidR="0091636E">
        <w:t xml:space="preserve">current </w:t>
      </w:r>
      <w:r w:rsidR="00DB434C">
        <w:t xml:space="preserve">ideologies </w:t>
      </w:r>
      <w:r w:rsidR="0091636E">
        <w:t>of universal design/access</w:t>
      </w:r>
      <w:r w:rsidR="00023A80">
        <w:t xml:space="preserve">. This will </w:t>
      </w:r>
      <w:r w:rsidR="007A3E57">
        <w:t>aim to highlight</w:t>
      </w:r>
      <w:r w:rsidR="00023A80">
        <w:t xml:space="preserve"> gap</w:t>
      </w:r>
      <w:r>
        <w:t>s</w:t>
      </w:r>
      <w:r w:rsidR="00023A80">
        <w:t xml:space="preserve"> in the research</w:t>
      </w:r>
      <w:r w:rsidR="007A3E57">
        <w:t>.</w:t>
      </w:r>
    </w:p>
    <w:p w14:paraId="74FBBAC0" w14:textId="77777777" w:rsidR="00B07E04" w:rsidRDefault="00B07E04"/>
    <w:p w14:paraId="43D14352" w14:textId="3EC39F14" w:rsidR="00756126" w:rsidRPr="00756126" w:rsidRDefault="00756126">
      <w:pPr>
        <w:rPr>
          <w:b/>
          <w:bCs/>
          <w:u w:val="single"/>
        </w:rPr>
      </w:pPr>
      <w:r w:rsidRPr="00112BA7">
        <w:rPr>
          <w:b/>
          <w:bCs/>
          <w:u w:val="single"/>
        </w:rPr>
        <w:t>Aims &amp; Objectives</w:t>
      </w:r>
    </w:p>
    <w:p w14:paraId="75198865" w14:textId="3F757619" w:rsidR="002E5F06" w:rsidRDefault="002E5F06">
      <w:r>
        <w:t>Aim</w:t>
      </w:r>
      <w:r w:rsidR="00763896">
        <w:t>:</w:t>
      </w:r>
    </w:p>
    <w:p w14:paraId="53B4F117" w14:textId="28AA296A" w:rsidR="002E5F06" w:rsidRDefault="002E5F06">
      <w:r>
        <w:t xml:space="preserve"> To prove that universal </w:t>
      </w:r>
      <w:r w:rsidR="00DB434C">
        <w:t>access,</w:t>
      </w:r>
      <w:r>
        <w:t xml:space="preserve"> as a design strategy</w:t>
      </w:r>
      <w:r w:rsidR="00DB434C">
        <w:t>,</w:t>
      </w:r>
      <w:r>
        <w:t xml:space="preserve"> </w:t>
      </w:r>
      <w:r w:rsidR="00763896">
        <w:t xml:space="preserve">does not </w:t>
      </w:r>
      <w:r w:rsidR="007B16D5">
        <w:t>provide</w:t>
      </w:r>
      <w:r w:rsidR="00763896">
        <w:t xml:space="preserve"> access for all</w:t>
      </w:r>
      <w:r w:rsidR="00DB434C">
        <w:t>.</w:t>
      </w:r>
    </w:p>
    <w:p w14:paraId="456A978B" w14:textId="6F496512" w:rsidR="002E5F06" w:rsidRDefault="002E5F06">
      <w:r>
        <w:t>Objectives:</w:t>
      </w:r>
    </w:p>
    <w:p w14:paraId="6DB74BC3" w14:textId="10392A7B" w:rsidR="002E5F06" w:rsidRDefault="002E5F06" w:rsidP="004015C8">
      <w:pPr>
        <w:pStyle w:val="ListParagraph"/>
        <w:numPr>
          <w:ilvl w:val="0"/>
          <w:numId w:val="2"/>
        </w:numPr>
      </w:pPr>
      <w:r>
        <w:t>Evaluate accessibility in existing buildings</w:t>
      </w:r>
      <w:r w:rsidR="00A94259">
        <w:t xml:space="preserve"> by </w:t>
      </w:r>
      <w:r w:rsidR="00F20103">
        <w:t>conducting</w:t>
      </w:r>
      <w:r w:rsidR="00A94259">
        <w:t xml:space="preserve"> user surveys</w:t>
      </w:r>
    </w:p>
    <w:p w14:paraId="079549EC" w14:textId="41258D3D" w:rsidR="004015C8" w:rsidRDefault="004015C8" w:rsidP="004015C8">
      <w:pPr>
        <w:pStyle w:val="ListParagraph"/>
        <w:numPr>
          <w:ilvl w:val="0"/>
          <w:numId w:val="2"/>
        </w:numPr>
      </w:pPr>
      <w:r>
        <w:t xml:space="preserve">Research </w:t>
      </w:r>
      <w:r w:rsidR="007136A1">
        <w:t xml:space="preserve">relevant </w:t>
      </w:r>
      <w:r>
        <w:t>legislation</w:t>
      </w:r>
    </w:p>
    <w:p w14:paraId="42EB117A" w14:textId="0F03F69D" w:rsidR="004015C8" w:rsidRDefault="004015C8" w:rsidP="004015C8">
      <w:pPr>
        <w:pStyle w:val="ListParagraph"/>
        <w:numPr>
          <w:ilvl w:val="0"/>
          <w:numId w:val="2"/>
        </w:numPr>
      </w:pPr>
      <w:r>
        <w:t xml:space="preserve">Assess current ideologies of universal design/access </w:t>
      </w:r>
    </w:p>
    <w:p w14:paraId="2618AA7F" w14:textId="5092F346" w:rsidR="004015C8" w:rsidRDefault="004015C8" w:rsidP="004015C8">
      <w:pPr>
        <w:pStyle w:val="ListParagraph"/>
        <w:numPr>
          <w:ilvl w:val="0"/>
          <w:numId w:val="2"/>
        </w:numPr>
      </w:pPr>
      <w:r>
        <w:t xml:space="preserve">Review design approaches for accessibility </w:t>
      </w:r>
    </w:p>
    <w:p w14:paraId="470F3589" w14:textId="6485191B" w:rsidR="00BD4787" w:rsidRDefault="004015C8" w:rsidP="004015C8">
      <w:pPr>
        <w:pStyle w:val="ListParagraph"/>
        <w:numPr>
          <w:ilvl w:val="0"/>
          <w:numId w:val="2"/>
        </w:numPr>
      </w:pPr>
      <w:r>
        <w:t xml:space="preserve">Research the viability </w:t>
      </w:r>
      <w:r w:rsidR="00F20103">
        <w:t xml:space="preserve">of </w:t>
      </w:r>
      <w:r>
        <w:t>universally accessible building</w:t>
      </w:r>
      <w:r w:rsidR="00F20103">
        <w:t>s, including</w:t>
      </w:r>
      <w:r>
        <w:t xml:space="preserve"> any financial implications</w:t>
      </w:r>
    </w:p>
    <w:p w14:paraId="0D33E8F8" w14:textId="77777777" w:rsidR="00805452" w:rsidRPr="00805452" w:rsidRDefault="00805452"/>
    <w:p w14:paraId="2CDA120A" w14:textId="381D6509" w:rsidR="00756126" w:rsidRPr="00756126" w:rsidRDefault="00756126">
      <w:pPr>
        <w:rPr>
          <w:b/>
          <w:bCs/>
          <w:u w:val="single"/>
        </w:rPr>
      </w:pPr>
      <w:r w:rsidRPr="007D4FE0">
        <w:rPr>
          <w:b/>
          <w:bCs/>
          <w:u w:val="single"/>
        </w:rPr>
        <w:t>Literature review</w:t>
      </w:r>
    </w:p>
    <w:p w14:paraId="138F8874" w14:textId="50127368" w:rsidR="008326F4" w:rsidRDefault="007136A1">
      <w:r>
        <w:t xml:space="preserve">Existing Literature </w:t>
      </w:r>
      <w:proofErr w:type="gramStart"/>
      <w:r w:rsidR="00B6620F">
        <w:t xml:space="preserve">displays </w:t>
      </w:r>
      <w:r w:rsidR="00B9087D">
        <w:t xml:space="preserve"> that</w:t>
      </w:r>
      <w:proofErr w:type="gramEnd"/>
      <w:r w:rsidR="00B9087D">
        <w:t xml:space="preserve"> there is hesitation into the implementation of universal design/access methods</w:t>
      </w:r>
      <w:r w:rsidR="007A3E57">
        <w:t>.</w:t>
      </w:r>
      <w:r w:rsidR="00B9087D">
        <w:t xml:space="preserve"> </w:t>
      </w:r>
      <w:r w:rsidR="007A3E57">
        <w:t>S</w:t>
      </w:r>
      <w:r w:rsidR="00B9087D">
        <w:t>ome believe</w:t>
      </w:r>
      <w:r w:rsidR="007A3E57">
        <w:t xml:space="preserve"> </w:t>
      </w:r>
      <w:r w:rsidR="00540317">
        <w:t>universal</w:t>
      </w:r>
      <w:r w:rsidR="00B9087D">
        <w:t xml:space="preserve"> </w:t>
      </w:r>
      <w:r w:rsidR="00B9087D" w:rsidRPr="00540317">
        <w:t xml:space="preserve">accessibility and </w:t>
      </w:r>
      <w:r w:rsidR="00B9087D" w:rsidRPr="00E065CB">
        <w:t>design</w:t>
      </w:r>
      <w:r w:rsidR="00B9087D" w:rsidRPr="00E065CB">
        <w:rPr>
          <w:i/>
          <w:iCs/>
        </w:rPr>
        <w:t xml:space="preserve"> </w:t>
      </w:r>
      <w:r w:rsidR="00540317" w:rsidRPr="00B6620F">
        <w:rPr>
          <w:i/>
          <w:iCs/>
        </w:rPr>
        <w:t>‘</w:t>
      </w:r>
      <w:r w:rsidR="00B9087D" w:rsidRPr="00B6620F">
        <w:rPr>
          <w:i/>
          <w:iCs/>
        </w:rPr>
        <w:t>would hamper creative processes and increase costs.’</w:t>
      </w:r>
      <w:r w:rsidR="00B9087D" w:rsidRPr="00E065CB">
        <w:rPr>
          <w:i/>
          <w:iCs/>
        </w:rPr>
        <w:t xml:space="preserve"> </w:t>
      </w:r>
      <w:r w:rsidR="00BB5B2F" w:rsidRPr="00BB5B2F">
        <w:t>(</w:t>
      </w:r>
      <w:proofErr w:type="spellStart"/>
      <w:r w:rsidR="00BB5B2F" w:rsidRPr="00BB5B2F">
        <w:t>Hamraie</w:t>
      </w:r>
      <w:proofErr w:type="spellEnd"/>
      <w:r w:rsidR="00BB5B2F" w:rsidRPr="00BB5B2F">
        <w:t>, 2016, p.11)</w:t>
      </w:r>
      <w:r w:rsidR="00BB5B2F">
        <w:rPr>
          <w:b/>
          <w:bCs/>
        </w:rPr>
        <w:t xml:space="preserve"> </w:t>
      </w:r>
      <w:r w:rsidR="007A3E57">
        <w:t xml:space="preserve">Ronald More, </w:t>
      </w:r>
      <w:r w:rsidR="00B6620F">
        <w:t>A</w:t>
      </w:r>
      <w:r w:rsidR="00B9087D">
        <w:t>rchitect and wheelchair user</w:t>
      </w:r>
      <w:r w:rsidR="007A3E57">
        <w:t xml:space="preserve"> </w:t>
      </w:r>
      <w:r w:rsidR="007A3E57">
        <w:lastRenderedPageBreak/>
        <w:t xml:space="preserve">argues </w:t>
      </w:r>
      <w:r w:rsidR="00B9087D">
        <w:t>that</w:t>
      </w:r>
      <w:r w:rsidR="00A635A2">
        <w:t xml:space="preserve"> correct</w:t>
      </w:r>
      <w:r w:rsidR="00B9087D">
        <w:t xml:space="preserve"> implement</w:t>
      </w:r>
      <w:r w:rsidR="00A635A2">
        <w:t>ation</w:t>
      </w:r>
      <w:r w:rsidR="00B9087D">
        <w:t xml:space="preserve"> would have </w:t>
      </w:r>
      <w:r w:rsidR="00B9087D" w:rsidRPr="00B6620F">
        <w:rPr>
          <w:i/>
          <w:iCs/>
        </w:rPr>
        <w:t>‘little or no extra cost’.</w:t>
      </w:r>
      <w:r w:rsidR="00E065CB" w:rsidRPr="00E065CB">
        <w:t xml:space="preserve"> </w:t>
      </w:r>
      <w:r w:rsidR="00E065CB" w:rsidRPr="00BB5B2F">
        <w:t>(</w:t>
      </w:r>
      <w:proofErr w:type="spellStart"/>
      <w:r w:rsidR="00E065CB" w:rsidRPr="00BB5B2F">
        <w:t>Hamraie</w:t>
      </w:r>
      <w:proofErr w:type="spellEnd"/>
      <w:r w:rsidR="00E065CB" w:rsidRPr="00BB5B2F">
        <w:t>, 2016, p.</w:t>
      </w:r>
      <w:r w:rsidR="00E065CB">
        <w:t>9</w:t>
      </w:r>
      <w:r w:rsidR="00E065CB" w:rsidRPr="00BB5B2F">
        <w:t>)</w:t>
      </w:r>
      <w:r w:rsidR="00E065CB">
        <w:rPr>
          <w:b/>
          <w:bCs/>
        </w:rPr>
        <w:t xml:space="preserve"> </w:t>
      </w:r>
      <w:r w:rsidR="00B9087D">
        <w:t>Despite having a mixed reaction to the implementation of a universal approach, almost all reinforced the benefits this design methodology would have on the built environment.</w:t>
      </w:r>
      <w:r w:rsidR="00C1746A">
        <w:t xml:space="preserve"> The literature often juxtaposed itself</w:t>
      </w:r>
      <w:r w:rsidR="00AC2012">
        <w:t>, suggesting</w:t>
      </w:r>
      <w:r w:rsidR="00C1746A">
        <w:t xml:space="preserve"> </w:t>
      </w:r>
      <w:r w:rsidR="008326F4">
        <w:t xml:space="preserve">the </w:t>
      </w:r>
      <w:r w:rsidR="00AC2012">
        <w:t>significance</w:t>
      </w:r>
      <w:r w:rsidR="008326F4">
        <w:t xml:space="preserve"> of this design strategy but </w:t>
      </w:r>
      <w:r w:rsidR="00AC2012">
        <w:t xml:space="preserve">continually reiterating </w:t>
      </w:r>
      <w:proofErr w:type="gramStart"/>
      <w:r w:rsidR="00F22A27">
        <w:t xml:space="preserve">that </w:t>
      </w:r>
      <w:r w:rsidR="00B6620F">
        <w:t xml:space="preserve"> it</w:t>
      </w:r>
      <w:proofErr w:type="gramEnd"/>
      <w:r w:rsidR="00B6620F">
        <w:t xml:space="preserve"> </w:t>
      </w:r>
      <w:r w:rsidR="00F22A27">
        <w:t>isn’t fully implementable.</w:t>
      </w:r>
    </w:p>
    <w:p w14:paraId="247BFE6D" w14:textId="77777777" w:rsidR="00B07E04" w:rsidRDefault="00B07E04"/>
    <w:p w14:paraId="08C3FF29" w14:textId="7838575A" w:rsidR="00756126" w:rsidRDefault="00756126">
      <w:pPr>
        <w:rPr>
          <w:b/>
          <w:bCs/>
          <w:u w:val="single"/>
        </w:rPr>
      </w:pPr>
      <w:r w:rsidRPr="00112BA7">
        <w:rPr>
          <w:b/>
          <w:bCs/>
          <w:u w:val="single"/>
        </w:rPr>
        <w:t>Limitations</w:t>
      </w:r>
    </w:p>
    <w:p w14:paraId="63FB9C1A" w14:textId="2FB3BA76" w:rsidR="00AD6C0D" w:rsidRDefault="00AD6C0D" w:rsidP="00AD6C0D">
      <w:pPr>
        <w:pStyle w:val="ListParagraph"/>
        <w:numPr>
          <w:ilvl w:val="0"/>
          <w:numId w:val="1"/>
        </w:numPr>
      </w:pPr>
      <w:r w:rsidRPr="00AD6C0D">
        <w:rPr>
          <w:b/>
          <w:bCs/>
        </w:rPr>
        <w:t>Time available</w:t>
      </w:r>
      <w:r>
        <w:t xml:space="preserve"> – The question proposed </w:t>
      </w:r>
      <w:r w:rsidR="00F54C48">
        <w:t>is too broad to answer in allowed time</w:t>
      </w:r>
    </w:p>
    <w:p w14:paraId="1259DDDA" w14:textId="64667BF9" w:rsidR="00AD6C0D" w:rsidRDefault="00AD6C0D" w:rsidP="00AD6C0D">
      <w:pPr>
        <w:pStyle w:val="ListParagraph"/>
        <w:numPr>
          <w:ilvl w:val="0"/>
          <w:numId w:val="1"/>
        </w:numPr>
      </w:pPr>
      <w:r w:rsidRPr="00AD6C0D">
        <w:rPr>
          <w:b/>
          <w:bCs/>
        </w:rPr>
        <w:t>Word count</w:t>
      </w:r>
      <w:r>
        <w:t xml:space="preserve"> - Topic area is too broad to answer within one document.</w:t>
      </w:r>
    </w:p>
    <w:p w14:paraId="03D72BED" w14:textId="043E85A4" w:rsidR="00AD6C0D" w:rsidRDefault="00AD6C0D" w:rsidP="00AD6C0D">
      <w:pPr>
        <w:pStyle w:val="ListParagraph"/>
        <w:numPr>
          <w:ilvl w:val="0"/>
          <w:numId w:val="1"/>
        </w:numPr>
      </w:pPr>
      <w:r w:rsidRPr="00AD6C0D">
        <w:rPr>
          <w:b/>
          <w:bCs/>
        </w:rPr>
        <w:t>Availability of information</w:t>
      </w:r>
      <w:r>
        <w:t xml:space="preserve"> – Universal design </w:t>
      </w:r>
      <w:r w:rsidR="004126C4">
        <w:t>is well</w:t>
      </w:r>
      <w:r>
        <w:t xml:space="preserve"> resource</w:t>
      </w:r>
      <w:r w:rsidR="004126C4">
        <w:t>d</w:t>
      </w:r>
      <w:r>
        <w:t>. Universal access</w:t>
      </w:r>
      <w:r w:rsidR="00E16866">
        <w:t xml:space="preserve"> seen as b</w:t>
      </w:r>
      <w:r>
        <w:t>y-product of universal design</w:t>
      </w:r>
      <w:r w:rsidR="004126C4">
        <w:t>.</w:t>
      </w:r>
    </w:p>
    <w:p w14:paraId="2A0F2E93" w14:textId="5C12F5B6" w:rsidR="002269B1" w:rsidRDefault="00AD6C0D" w:rsidP="004D7A96">
      <w:pPr>
        <w:pStyle w:val="ListParagraph"/>
        <w:numPr>
          <w:ilvl w:val="0"/>
          <w:numId w:val="1"/>
        </w:numPr>
      </w:pPr>
      <w:r w:rsidRPr="00AD6C0D">
        <w:rPr>
          <w:b/>
          <w:bCs/>
        </w:rPr>
        <w:t>Primary research</w:t>
      </w:r>
      <w:r>
        <w:t xml:space="preserve"> – People may </w:t>
      </w:r>
      <w:r w:rsidR="006C6C62">
        <w:t>disagree</w:t>
      </w:r>
      <w:r>
        <w:t xml:space="preserve"> to tak</w:t>
      </w:r>
      <w:r w:rsidR="006C6C62">
        <w:t>ing</w:t>
      </w:r>
      <w:r>
        <w:t xml:space="preserve"> the survey</w:t>
      </w:r>
      <w:r w:rsidR="006C6C62">
        <w:t>. D</w:t>
      </w:r>
      <w:r>
        <w:t>ata collected may show a</w:t>
      </w:r>
      <w:r w:rsidR="006C6C62">
        <w:t>n unpredicted trend.</w:t>
      </w:r>
    </w:p>
    <w:p w14:paraId="414486B9" w14:textId="22776A95" w:rsidR="0088443B" w:rsidRDefault="0088443B">
      <w:pPr>
        <w:rPr>
          <w:b/>
          <w:bCs/>
          <w:highlight w:val="green"/>
          <w:u w:val="single"/>
        </w:rPr>
      </w:pPr>
    </w:p>
    <w:p w14:paraId="4CE622A9" w14:textId="5865BA8B" w:rsidR="00756126" w:rsidRDefault="00756126">
      <w:pPr>
        <w:rPr>
          <w:b/>
          <w:bCs/>
          <w:u w:val="single"/>
        </w:rPr>
      </w:pPr>
      <w:r w:rsidRPr="00112BA7">
        <w:rPr>
          <w:b/>
          <w:bCs/>
          <w:u w:val="single"/>
        </w:rPr>
        <w:t>Ethical considerations</w:t>
      </w:r>
    </w:p>
    <w:p w14:paraId="0C196057" w14:textId="74DB5F83" w:rsidR="00782001" w:rsidRDefault="00E70D01">
      <w:r>
        <w:t xml:space="preserve">Ethical considerations for </w:t>
      </w:r>
      <w:r w:rsidR="00C56C04">
        <w:t>primary</w:t>
      </w:r>
      <w:r>
        <w:t xml:space="preserve"> research results is imperative. Ensuring participants remain anonymous and </w:t>
      </w:r>
      <w:r w:rsidR="006C6C62">
        <w:t>agree</w:t>
      </w:r>
      <w:r w:rsidR="00782001">
        <w:t xml:space="preserve"> </w:t>
      </w:r>
      <w:r w:rsidR="006C6C62">
        <w:t>to</w:t>
      </w:r>
      <w:r w:rsidR="00782001">
        <w:t xml:space="preserve"> the integration of their answers is essential. Upholding </w:t>
      </w:r>
      <w:r w:rsidR="0009162B">
        <w:t xml:space="preserve">university research ethics guidelines will be </w:t>
      </w:r>
      <w:r w:rsidR="00535BA3">
        <w:t>key for conducting and analysing surveys.</w:t>
      </w:r>
      <w:r w:rsidR="00782001">
        <w:t xml:space="preserve"> </w:t>
      </w:r>
    </w:p>
    <w:p w14:paraId="7458F7A3" w14:textId="57F2EB1A" w:rsidR="00A52867" w:rsidRDefault="00A52867">
      <w:pPr>
        <w:rPr>
          <w:b/>
          <w:bCs/>
          <w:u w:val="single"/>
        </w:rPr>
      </w:pPr>
    </w:p>
    <w:p w14:paraId="1D7B1708" w14:textId="32D42165" w:rsidR="00A52867" w:rsidRDefault="00756126">
      <w:pPr>
        <w:rPr>
          <w:b/>
          <w:bCs/>
          <w:u w:val="single"/>
        </w:rPr>
      </w:pPr>
      <w:r w:rsidRPr="00112BA7">
        <w:rPr>
          <w:b/>
          <w:bCs/>
          <w:u w:val="single"/>
        </w:rPr>
        <w:t>Timeframe</w:t>
      </w:r>
      <w:r w:rsidR="001E4701">
        <w:rPr>
          <w:b/>
          <w:bCs/>
          <w:u w:val="single"/>
        </w:rPr>
        <w:t xml:space="preserve"> </w:t>
      </w:r>
    </w:p>
    <w:p w14:paraId="680545A8" w14:textId="566F0B37" w:rsidR="00351293" w:rsidRPr="00A52867" w:rsidRDefault="00A52867">
      <w:pPr>
        <w:rPr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3D4A154D" wp14:editId="54110573">
            <wp:simplePos x="0" y="0"/>
            <wp:positionH relativeFrom="margin">
              <wp:posOffset>4067175</wp:posOffset>
            </wp:positionH>
            <wp:positionV relativeFrom="paragraph">
              <wp:posOffset>49530</wp:posOffset>
            </wp:positionV>
            <wp:extent cx="1905000" cy="3086100"/>
            <wp:effectExtent l="0" t="38100" r="0" b="57150"/>
            <wp:wrapSquare wrapText="bothSides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419DE" w:rsidRPr="009419DE">
        <w:t xml:space="preserve">Sharp, </w:t>
      </w:r>
      <w:r w:rsidR="009419DE">
        <w:t>Peters and</w:t>
      </w:r>
      <w:r w:rsidR="009419DE" w:rsidRPr="009419DE">
        <w:t xml:space="preserve"> Howard (2002</w:t>
      </w:r>
      <w:r w:rsidR="00F558C6">
        <w:t xml:space="preserve">, p.17) </w:t>
      </w:r>
      <w:r w:rsidR="007D4FE0">
        <w:t xml:space="preserve">Figure 1 </w:t>
      </w:r>
      <w:r w:rsidR="00F558C6">
        <w:t>outline</w:t>
      </w:r>
      <w:r w:rsidR="007D4FE0">
        <w:t>s</w:t>
      </w:r>
      <w:r w:rsidR="00F558C6">
        <w:t xml:space="preserve"> a</w:t>
      </w:r>
      <w:r w:rsidR="009419DE">
        <w:t xml:space="preserve"> systematic approach to research </w:t>
      </w:r>
      <w:r w:rsidR="006C6C62">
        <w:t>in</w:t>
      </w:r>
      <w:r w:rsidR="00F558C6">
        <w:t xml:space="preserve"> seven stages</w:t>
      </w:r>
      <w:r w:rsidR="00351293">
        <w:t xml:space="preserve">. Each stage </w:t>
      </w:r>
      <w:r w:rsidR="004126C4">
        <w:t>is</w:t>
      </w:r>
      <w:r w:rsidR="00351293">
        <w:t xml:space="preserve"> a dissertation</w:t>
      </w:r>
      <w:r w:rsidR="006C6C62">
        <w:t xml:space="preserve"> chapter</w:t>
      </w:r>
      <w:r w:rsidR="00351293">
        <w:t>.</w:t>
      </w:r>
    </w:p>
    <w:p w14:paraId="00C51874" w14:textId="77777777" w:rsidR="004204FE" w:rsidRDefault="004204FE"/>
    <w:p w14:paraId="4024B3AF" w14:textId="0DA6695D" w:rsidR="00A52867" w:rsidRDefault="00F22A27">
      <w:r>
        <w:t>P</w:t>
      </w:r>
      <w:r w:rsidR="004204FE">
        <w:t>roposed time allocation for stages 4-7:</w:t>
      </w:r>
    </w:p>
    <w:p w14:paraId="1FBC01B8" w14:textId="2447DCAE" w:rsidR="00A52867" w:rsidRDefault="00A52867">
      <w:r>
        <w:t>Stage 4 – 1 month</w:t>
      </w:r>
    </w:p>
    <w:p w14:paraId="200020A8" w14:textId="711CA84E" w:rsidR="00A52867" w:rsidRDefault="00A52867">
      <w:r>
        <w:t>Stage 5 – 1-2 months</w:t>
      </w:r>
    </w:p>
    <w:p w14:paraId="4CB56CD9" w14:textId="5C637CD3" w:rsidR="00A52867" w:rsidRDefault="00A52867">
      <w:r>
        <w:t>Stage 6 – 1-2 months</w:t>
      </w:r>
    </w:p>
    <w:p w14:paraId="2EB558A8" w14:textId="2F160972" w:rsidR="00A52867" w:rsidRDefault="00A52867">
      <w:r>
        <w:t>Stage 7 – 1 month</w:t>
      </w:r>
    </w:p>
    <w:p w14:paraId="510ABB34" w14:textId="77777777" w:rsidR="00FF3083" w:rsidRDefault="00FF3083"/>
    <w:p w14:paraId="4B013C83" w14:textId="5197184B" w:rsidR="009419DE" w:rsidRPr="007D4FE0" w:rsidRDefault="00F3405C">
      <w:r w:rsidRPr="007D4FE0">
        <w:rPr>
          <w:b/>
          <w:bCs/>
        </w:rPr>
        <w:t>Figure 1:</w:t>
      </w:r>
      <w:r w:rsidRPr="007D4FE0">
        <w:t xml:space="preserve"> </w:t>
      </w:r>
      <w:r w:rsidR="007D4FE0" w:rsidRPr="007D4FE0">
        <w:t>adapted from - A systematic approach to research – A process model</w:t>
      </w:r>
      <w:r w:rsidR="007D4FE0">
        <w:t xml:space="preserve"> - </w:t>
      </w:r>
      <w:r w:rsidR="007D4FE0" w:rsidRPr="009419DE">
        <w:t xml:space="preserve">Sharp, </w:t>
      </w:r>
      <w:r w:rsidR="007D4FE0">
        <w:t>Peters and</w:t>
      </w:r>
      <w:r w:rsidR="007D4FE0" w:rsidRPr="009419DE">
        <w:t xml:space="preserve"> Howard (2002</w:t>
      </w:r>
      <w:r w:rsidR="007D4FE0">
        <w:t>, p.17)</w:t>
      </w:r>
    </w:p>
    <w:p w14:paraId="79260B34" w14:textId="77777777" w:rsidR="00FF3083" w:rsidRDefault="00FF3083">
      <w:pPr>
        <w:rPr>
          <w:b/>
          <w:bCs/>
          <w:u w:val="single"/>
        </w:rPr>
      </w:pPr>
    </w:p>
    <w:p w14:paraId="26C18F3C" w14:textId="02AB1A8B" w:rsidR="00756126" w:rsidRDefault="00756126">
      <w:pPr>
        <w:rPr>
          <w:b/>
          <w:bCs/>
          <w:u w:val="single"/>
        </w:rPr>
      </w:pPr>
      <w:r w:rsidRPr="00112BA7">
        <w:rPr>
          <w:b/>
          <w:bCs/>
          <w:u w:val="single"/>
        </w:rPr>
        <w:t>Conclusion</w:t>
      </w:r>
    </w:p>
    <w:p w14:paraId="1EF7D808" w14:textId="769E4BB5" w:rsidR="00821CDF" w:rsidRDefault="00DF637B">
      <w:r>
        <w:t xml:space="preserve">The aim of this research topic is to determine if universal access </w:t>
      </w:r>
      <w:r w:rsidR="00173F19">
        <w:t>and its current implementation is flawed. The initiative claims to remove segregation and stigmati</w:t>
      </w:r>
      <w:r w:rsidR="00B6620F">
        <w:t>s</w:t>
      </w:r>
      <w:r w:rsidR="00173F19">
        <w:t xml:space="preserve">ation of users. The notion of a </w:t>
      </w:r>
      <w:r w:rsidR="00173F19">
        <w:lastRenderedPageBreak/>
        <w:t xml:space="preserve">universally accessible structure not being 100% implementable immediately contradicts the term ‘universal’ with some users still having navigation issues under current design approaches. </w:t>
      </w:r>
    </w:p>
    <w:p w14:paraId="3C486D14" w14:textId="46E5CF49" w:rsidR="009013D3" w:rsidRDefault="009013D3"/>
    <w:p w14:paraId="6F3CE04E" w14:textId="77777777" w:rsidR="00FF3083" w:rsidRDefault="00FF3083" w:rsidP="009013D3">
      <w:pPr>
        <w:rPr>
          <w:b/>
          <w:u w:val="single"/>
        </w:rPr>
      </w:pPr>
    </w:p>
    <w:p w14:paraId="04C17754" w14:textId="77777777" w:rsidR="00FF3083" w:rsidRDefault="00FF3083" w:rsidP="009013D3">
      <w:pPr>
        <w:rPr>
          <w:b/>
          <w:u w:val="single"/>
        </w:rPr>
      </w:pPr>
    </w:p>
    <w:p w14:paraId="10B45686" w14:textId="77777777" w:rsidR="00FF3083" w:rsidRDefault="00FF3083" w:rsidP="009013D3">
      <w:pPr>
        <w:rPr>
          <w:b/>
          <w:u w:val="single"/>
        </w:rPr>
      </w:pPr>
    </w:p>
    <w:p w14:paraId="3E1765D5" w14:textId="77777777" w:rsidR="00FF3083" w:rsidRDefault="00FF3083" w:rsidP="009013D3">
      <w:pPr>
        <w:rPr>
          <w:b/>
          <w:u w:val="single"/>
        </w:rPr>
      </w:pPr>
    </w:p>
    <w:p w14:paraId="0268FE4B" w14:textId="77777777" w:rsidR="00FF3083" w:rsidRDefault="00FF3083" w:rsidP="009013D3">
      <w:pPr>
        <w:rPr>
          <w:b/>
          <w:u w:val="single"/>
        </w:rPr>
      </w:pPr>
    </w:p>
    <w:p w14:paraId="1F1D5F14" w14:textId="22AA82CF" w:rsidR="00340ED3" w:rsidRDefault="00340ED3" w:rsidP="009013D3">
      <w:pPr>
        <w:rPr>
          <w:b/>
          <w:u w:val="single"/>
        </w:rPr>
      </w:pPr>
      <w:r>
        <w:rPr>
          <w:b/>
          <w:u w:val="single"/>
        </w:rPr>
        <w:t>Reference List</w:t>
      </w:r>
    </w:p>
    <w:p w14:paraId="4305857D" w14:textId="393E47B2" w:rsidR="00340ED3" w:rsidRDefault="00340ED3" w:rsidP="009013D3">
      <w:pPr>
        <w:rPr>
          <w:b/>
        </w:rPr>
      </w:pPr>
      <w:r w:rsidRPr="00860454">
        <w:rPr>
          <w:b/>
        </w:rPr>
        <w:t>Books</w:t>
      </w:r>
    </w:p>
    <w:p w14:paraId="25514F55" w14:textId="3A66FAFE" w:rsidR="00BB5B2F" w:rsidRPr="00BB5B2F" w:rsidRDefault="00BB5B2F" w:rsidP="009013D3">
      <w:pPr>
        <w:rPr>
          <w:bCs/>
        </w:rPr>
      </w:pPr>
      <w:r w:rsidRPr="00BB5B2F">
        <w:rPr>
          <w:bCs/>
        </w:rPr>
        <w:t>Holmes, K. (2018)</w:t>
      </w:r>
      <w:r>
        <w:rPr>
          <w:bCs/>
        </w:rPr>
        <w:t xml:space="preserve"> </w:t>
      </w:r>
      <w:r w:rsidRPr="00BB5B2F">
        <w:rPr>
          <w:bCs/>
          <w:i/>
          <w:iCs/>
        </w:rPr>
        <w:t>Mismatch How Inclusion Shapes Design.</w:t>
      </w:r>
      <w:r>
        <w:rPr>
          <w:bCs/>
          <w:i/>
          <w:iCs/>
        </w:rPr>
        <w:t xml:space="preserve"> </w:t>
      </w:r>
      <w:r>
        <w:rPr>
          <w:bCs/>
        </w:rPr>
        <w:t>London: MIT Press</w:t>
      </w:r>
    </w:p>
    <w:p w14:paraId="4865D539" w14:textId="60FE4048" w:rsidR="00340ED3" w:rsidRPr="00340ED3" w:rsidRDefault="00340ED3" w:rsidP="009013D3">
      <w:pPr>
        <w:rPr>
          <w:bCs/>
        </w:rPr>
      </w:pPr>
      <w:r w:rsidRPr="00340ED3">
        <w:rPr>
          <w:bCs/>
        </w:rPr>
        <w:t xml:space="preserve">Sharp, </w:t>
      </w:r>
      <w:proofErr w:type="gramStart"/>
      <w:r w:rsidRPr="00340ED3">
        <w:rPr>
          <w:bCs/>
        </w:rPr>
        <w:t>A.J. ,</w:t>
      </w:r>
      <w:proofErr w:type="gramEnd"/>
      <w:r w:rsidRPr="00340ED3">
        <w:rPr>
          <w:bCs/>
        </w:rPr>
        <w:t xml:space="preserve"> Peters, J. and Howard, K. (2002) </w:t>
      </w:r>
      <w:r w:rsidRPr="00340ED3">
        <w:rPr>
          <w:bCs/>
          <w:i/>
          <w:iCs/>
        </w:rPr>
        <w:t>The Management of a Student Research Project.</w:t>
      </w:r>
      <w:r>
        <w:rPr>
          <w:bCs/>
          <w:i/>
          <w:iCs/>
        </w:rPr>
        <w:t xml:space="preserve"> </w:t>
      </w:r>
      <w:r>
        <w:rPr>
          <w:bCs/>
        </w:rPr>
        <w:t>3</w:t>
      </w:r>
      <w:r w:rsidRPr="00340ED3">
        <w:rPr>
          <w:bCs/>
          <w:vertAlign w:val="superscript"/>
        </w:rPr>
        <w:t>rd</w:t>
      </w:r>
      <w:r>
        <w:rPr>
          <w:bCs/>
        </w:rPr>
        <w:t xml:space="preserve"> </w:t>
      </w:r>
      <w:proofErr w:type="spellStart"/>
      <w:r>
        <w:rPr>
          <w:bCs/>
        </w:rPr>
        <w:t>edn</w:t>
      </w:r>
      <w:proofErr w:type="spellEnd"/>
      <w:r>
        <w:rPr>
          <w:bCs/>
        </w:rPr>
        <w:t>. Aldershot: Gower Publishing Limited.</w:t>
      </w:r>
    </w:p>
    <w:p w14:paraId="2AF3A44E" w14:textId="3D0DF2C1" w:rsidR="00340ED3" w:rsidRPr="00431216" w:rsidRDefault="00F94417" w:rsidP="009013D3">
      <w:pPr>
        <w:rPr>
          <w:b/>
        </w:rPr>
      </w:pPr>
      <w:r w:rsidRPr="00431216">
        <w:rPr>
          <w:b/>
        </w:rPr>
        <w:t>Journals and Articles</w:t>
      </w:r>
    </w:p>
    <w:p w14:paraId="5B26B5F2" w14:textId="052E8D1E" w:rsidR="00F94417" w:rsidRPr="00F94417" w:rsidRDefault="00F94417" w:rsidP="009013D3">
      <w:pPr>
        <w:rPr>
          <w:bCs/>
        </w:rPr>
      </w:pPr>
      <w:proofErr w:type="spellStart"/>
      <w:r>
        <w:rPr>
          <w:bCs/>
        </w:rPr>
        <w:t>Hamraie</w:t>
      </w:r>
      <w:proofErr w:type="spellEnd"/>
      <w:r>
        <w:rPr>
          <w:bCs/>
        </w:rPr>
        <w:t xml:space="preserve">, A. (2016) ‘Universal Design and the problem of “Post-Disability” Ideology.’ </w:t>
      </w:r>
      <w:r w:rsidRPr="00F94417">
        <w:rPr>
          <w:bCs/>
          <w:i/>
          <w:iCs/>
        </w:rPr>
        <w:t>Design and Culture.</w:t>
      </w:r>
      <w:r>
        <w:rPr>
          <w:bCs/>
          <w:i/>
          <w:iCs/>
        </w:rPr>
        <w:t xml:space="preserve"> </w:t>
      </w:r>
      <w:r>
        <w:rPr>
          <w:bCs/>
        </w:rPr>
        <w:t>DOI:10.1080/17547075.2016.1218714</w:t>
      </w:r>
    </w:p>
    <w:p w14:paraId="7828EEB4" w14:textId="77777777" w:rsidR="00F94417" w:rsidRDefault="00F94417" w:rsidP="009013D3">
      <w:pPr>
        <w:rPr>
          <w:b/>
          <w:u w:val="single"/>
        </w:rPr>
      </w:pPr>
    </w:p>
    <w:p w14:paraId="4081BE25" w14:textId="07E9AF38" w:rsidR="009013D3" w:rsidRPr="005D7F81" w:rsidRDefault="009013D3" w:rsidP="009013D3">
      <w:pPr>
        <w:rPr>
          <w:b/>
          <w:u w:val="single"/>
        </w:rPr>
      </w:pPr>
      <w:r w:rsidRPr="005D7F81">
        <w:rPr>
          <w:b/>
          <w:u w:val="single"/>
        </w:rPr>
        <w:t>Bibliography</w:t>
      </w:r>
    </w:p>
    <w:p w14:paraId="4C686D14" w14:textId="48F92951" w:rsidR="009013D3" w:rsidRDefault="009013D3" w:rsidP="009013D3">
      <w:pPr>
        <w:rPr>
          <w:b/>
        </w:rPr>
      </w:pPr>
      <w:r w:rsidRPr="005D7F81">
        <w:rPr>
          <w:b/>
        </w:rPr>
        <w:t>Books</w:t>
      </w:r>
    </w:p>
    <w:p w14:paraId="19B2EBDC" w14:textId="2EE1D6B4" w:rsidR="00B120B4" w:rsidRPr="00B120B4" w:rsidRDefault="00B120B4" w:rsidP="009013D3">
      <w:r>
        <w:t xml:space="preserve">Borden, </w:t>
      </w:r>
      <w:proofErr w:type="gramStart"/>
      <w:r>
        <w:t>I.</w:t>
      </w:r>
      <w:proofErr w:type="gramEnd"/>
      <w:r>
        <w:t xml:space="preserve"> and Ray, R.K. (2014) </w:t>
      </w:r>
      <w:r w:rsidRPr="00B120B4">
        <w:rPr>
          <w:i/>
          <w:iCs/>
        </w:rPr>
        <w:t>The Dissertation A Guide for Architecture Students</w:t>
      </w:r>
      <w:r>
        <w:t>. 3</w:t>
      </w:r>
      <w:r w:rsidRPr="00B120B4">
        <w:rPr>
          <w:vertAlign w:val="superscript"/>
        </w:rPr>
        <w:t>rd</w:t>
      </w:r>
      <w:r>
        <w:t xml:space="preserve"> </w:t>
      </w:r>
      <w:proofErr w:type="spellStart"/>
      <w:r>
        <w:t>edn</w:t>
      </w:r>
      <w:proofErr w:type="spellEnd"/>
      <w:r>
        <w:t>. Oxon: Routledge.</w:t>
      </w:r>
    </w:p>
    <w:p w14:paraId="5D2D77B9" w14:textId="77777777" w:rsidR="009013D3" w:rsidRDefault="009013D3" w:rsidP="009013D3">
      <w:r>
        <w:t xml:space="preserve">Boys, J. (2017) </w:t>
      </w:r>
      <w:r w:rsidRPr="00D65413">
        <w:rPr>
          <w:i/>
        </w:rPr>
        <w:t>Disability, Space, Architecture: A Reader</w:t>
      </w:r>
      <w:r>
        <w:t>. Oxon: Routledge.</w:t>
      </w:r>
    </w:p>
    <w:p w14:paraId="3456DDC8" w14:textId="7A5299F0" w:rsidR="009013D3" w:rsidRDefault="009013D3" w:rsidP="009013D3">
      <w:r>
        <w:t xml:space="preserve">Boys, J. (2014) </w:t>
      </w:r>
      <w:r w:rsidRPr="00EE0518">
        <w:rPr>
          <w:i/>
        </w:rPr>
        <w:t>Doing Disability Differently An alternative handbook on architecture, dis/ability and designing for everyday life</w:t>
      </w:r>
      <w:r>
        <w:rPr>
          <w:i/>
        </w:rPr>
        <w:t>.</w:t>
      </w:r>
      <w:r>
        <w:t xml:space="preserve"> Oxon: Routledge</w:t>
      </w:r>
    </w:p>
    <w:p w14:paraId="038718E0" w14:textId="4DE8881E" w:rsidR="009013D3" w:rsidRDefault="009013D3" w:rsidP="009013D3">
      <w:r>
        <w:t xml:space="preserve">Creswell, J.W. and Creswell, J.D. (2018) </w:t>
      </w:r>
      <w:r w:rsidRPr="00B96978">
        <w:rPr>
          <w:i/>
        </w:rPr>
        <w:t>Research Design Qualitative, Quantitative, and Mixed Methods Approaches</w:t>
      </w:r>
      <w:r>
        <w:rPr>
          <w:i/>
        </w:rPr>
        <w:t>.</w:t>
      </w:r>
      <w:r>
        <w:t xml:space="preserve"> 5</w:t>
      </w:r>
      <w:r w:rsidRPr="00B96978">
        <w:rPr>
          <w:vertAlign w:val="superscript"/>
        </w:rPr>
        <w:t>th</w:t>
      </w:r>
      <w:r>
        <w:t xml:space="preserve"> </w:t>
      </w:r>
      <w:proofErr w:type="spellStart"/>
      <w:r>
        <w:t>edn</w:t>
      </w:r>
      <w:proofErr w:type="spellEnd"/>
      <w:r>
        <w:t>, Los Angeles: SAGE</w:t>
      </w:r>
    </w:p>
    <w:p w14:paraId="70D20D55" w14:textId="11915684" w:rsidR="009013D3" w:rsidRDefault="009013D3" w:rsidP="009013D3">
      <w:proofErr w:type="spellStart"/>
      <w:r>
        <w:t>Eikhaug</w:t>
      </w:r>
      <w:proofErr w:type="spellEnd"/>
      <w:r>
        <w:t xml:space="preserve">, O. and </w:t>
      </w:r>
      <w:proofErr w:type="spellStart"/>
      <w:r>
        <w:t>Hoisaether</w:t>
      </w:r>
      <w:proofErr w:type="spellEnd"/>
      <w:r>
        <w:t xml:space="preserve">, V. </w:t>
      </w:r>
      <w:r>
        <w:t xml:space="preserve">(2018) </w:t>
      </w:r>
      <w:r w:rsidRPr="00D65413">
        <w:rPr>
          <w:i/>
        </w:rPr>
        <w:t>Innovating with People – Inclusive Design and Architecture.</w:t>
      </w:r>
      <w:r>
        <w:t xml:space="preserve"> Norway: Design and Architecture</w:t>
      </w:r>
    </w:p>
    <w:p w14:paraId="45566C6A" w14:textId="77777777" w:rsidR="009013D3" w:rsidRDefault="009013D3" w:rsidP="009013D3">
      <w:r>
        <w:t xml:space="preserve">Goldsmith, S. (1997) </w:t>
      </w:r>
      <w:r w:rsidRPr="00FE2220">
        <w:rPr>
          <w:i/>
        </w:rPr>
        <w:t>Designing for the Disabled: The New Paradigm</w:t>
      </w:r>
      <w:r>
        <w:t>. Oxon: Routledge.</w:t>
      </w:r>
    </w:p>
    <w:p w14:paraId="1F8A0623" w14:textId="6CBAD185" w:rsidR="009013D3" w:rsidRDefault="009013D3" w:rsidP="009013D3">
      <w:r>
        <w:t xml:space="preserve">Goldsmith, S. (2000) </w:t>
      </w:r>
      <w:r>
        <w:rPr>
          <w:i/>
        </w:rPr>
        <w:t xml:space="preserve">Universal Design - </w:t>
      </w:r>
      <w:r w:rsidRPr="00A35D9A">
        <w:rPr>
          <w:i/>
        </w:rPr>
        <w:t>A Manual of Practical Guidance for Architects</w:t>
      </w:r>
      <w:r>
        <w:rPr>
          <w:i/>
        </w:rPr>
        <w:t>.</w:t>
      </w:r>
      <w:r>
        <w:t xml:space="preserve"> Oxon: Routledge</w:t>
      </w:r>
    </w:p>
    <w:p w14:paraId="0D1A2836" w14:textId="65E86946" w:rsidR="009013D3" w:rsidRDefault="009013D3" w:rsidP="009013D3">
      <w:proofErr w:type="spellStart"/>
      <w:r>
        <w:t>Hamraie</w:t>
      </w:r>
      <w:proofErr w:type="spellEnd"/>
      <w:r>
        <w:t xml:space="preserve">, A. (2017) </w:t>
      </w:r>
      <w:r w:rsidRPr="00D65413">
        <w:rPr>
          <w:i/>
        </w:rPr>
        <w:t>Building Access: Universal Design and the Politics of Disability</w:t>
      </w:r>
      <w:r>
        <w:rPr>
          <w:i/>
        </w:rPr>
        <w:t>.</w:t>
      </w:r>
      <w:r>
        <w:t xml:space="preserve"> Minneapolis: University of Minnesota Press</w:t>
      </w:r>
    </w:p>
    <w:p w14:paraId="3F855BA3" w14:textId="77777777" w:rsidR="009013D3" w:rsidRDefault="009013D3" w:rsidP="009013D3">
      <w:r>
        <w:lastRenderedPageBreak/>
        <w:t xml:space="preserve">Langdon, P.M. </w:t>
      </w:r>
      <w:r w:rsidRPr="00D65413">
        <w:rPr>
          <w:i/>
        </w:rPr>
        <w:t>et al</w:t>
      </w:r>
      <w:r>
        <w:t xml:space="preserve"> (2014) </w:t>
      </w:r>
      <w:r>
        <w:rPr>
          <w:i/>
        </w:rPr>
        <w:t>Inclusive Designing: Joining Usability, Accessibility, and Inclusion.</w:t>
      </w:r>
      <w:r>
        <w:t xml:space="preserve"> Switzerland: Springer International Publishing.</w:t>
      </w:r>
    </w:p>
    <w:p w14:paraId="7A1942A5" w14:textId="5604C75D" w:rsidR="009013D3" w:rsidRDefault="009013D3" w:rsidP="009013D3">
      <w:r>
        <w:t xml:space="preserve">Maisel, J.L. </w:t>
      </w:r>
      <w:r w:rsidRPr="00D65413">
        <w:rPr>
          <w:i/>
        </w:rPr>
        <w:t>et al</w:t>
      </w:r>
      <w:r>
        <w:t xml:space="preserve"> (2018) </w:t>
      </w:r>
      <w:r w:rsidRPr="00D65413">
        <w:rPr>
          <w:i/>
        </w:rPr>
        <w:t>Pocket Architecture Technical Design Series – Inclusive design: Implementation and Evaluation</w:t>
      </w:r>
      <w:r>
        <w:rPr>
          <w:i/>
        </w:rPr>
        <w:t>.</w:t>
      </w:r>
      <w:r>
        <w:t xml:space="preserve"> Oxon: Routledge.</w:t>
      </w:r>
    </w:p>
    <w:p w14:paraId="361EAA41" w14:textId="77777777" w:rsidR="009013D3" w:rsidRDefault="009013D3" w:rsidP="009013D3">
      <w:r>
        <w:t xml:space="preserve">Ruane, J. M. (2016) </w:t>
      </w:r>
      <w:r w:rsidRPr="00A35D9A">
        <w:rPr>
          <w:i/>
        </w:rPr>
        <w:t>Introducing Social Methods Essentials for Getting the Edge.</w:t>
      </w:r>
      <w:r>
        <w:t xml:space="preserve"> Chichester: Wiley Blackwell</w:t>
      </w:r>
    </w:p>
    <w:p w14:paraId="51765242" w14:textId="77777777" w:rsidR="009013D3" w:rsidRDefault="009013D3" w:rsidP="009013D3">
      <w:r>
        <w:t xml:space="preserve">Sawyer, A and Bright, K. (2014) </w:t>
      </w:r>
      <w:r w:rsidRPr="00D65413">
        <w:rPr>
          <w:i/>
        </w:rPr>
        <w:t>The Access Manual: Designing, Auditing and Managing Inclusive Built Environments.</w:t>
      </w:r>
      <w:r>
        <w:t xml:space="preserve"> 3</w:t>
      </w:r>
      <w:r w:rsidRPr="00D65413">
        <w:rPr>
          <w:vertAlign w:val="superscript"/>
        </w:rPr>
        <w:t>rd</w:t>
      </w:r>
      <w:r>
        <w:t xml:space="preserve"> </w:t>
      </w:r>
      <w:proofErr w:type="spellStart"/>
      <w:r>
        <w:t>edn</w:t>
      </w:r>
      <w:proofErr w:type="spellEnd"/>
      <w:r>
        <w:t>. Chichester: John Wiley &amp; Sons, Ltd.</w:t>
      </w:r>
    </w:p>
    <w:p w14:paraId="433E953A" w14:textId="77777777" w:rsidR="009013D3" w:rsidRDefault="009013D3" w:rsidP="009013D3">
      <w:r>
        <w:t xml:space="preserve">Steinfeld, E. and Maisel, J.L (2012) </w:t>
      </w:r>
      <w:r w:rsidRPr="00B96978">
        <w:rPr>
          <w:i/>
        </w:rPr>
        <w:t>Universal Design Creating Inclusive Environments.</w:t>
      </w:r>
      <w:r>
        <w:t xml:space="preserve"> New Jersey: John Wiley and Sons, Inc. </w:t>
      </w:r>
    </w:p>
    <w:p w14:paraId="52EFB773" w14:textId="698A6FF0" w:rsidR="009013D3" w:rsidRDefault="009013D3" w:rsidP="009013D3">
      <w:proofErr w:type="spellStart"/>
      <w:r>
        <w:t>Taira</w:t>
      </w:r>
      <w:proofErr w:type="spellEnd"/>
      <w:r>
        <w:t>, E.D. and Carlson, J.</w:t>
      </w:r>
      <w:r w:rsidR="00340ED3">
        <w:t xml:space="preserve"> (2014) </w:t>
      </w:r>
      <w:r w:rsidRPr="005D7F81">
        <w:rPr>
          <w:i/>
        </w:rPr>
        <w:t>Aging in Place:</w:t>
      </w:r>
      <w:r>
        <w:t xml:space="preserve"> </w:t>
      </w:r>
      <w:r w:rsidRPr="00FE2220">
        <w:rPr>
          <w:i/>
        </w:rPr>
        <w:t>Designing, Adapting, and Enhancing the Home Environment.</w:t>
      </w:r>
      <w:r>
        <w:t xml:space="preserve"> Oxon: Routledge.</w:t>
      </w:r>
    </w:p>
    <w:p w14:paraId="515D8766" w14:textId="77777777" w:rsidR="009013D3" w:rsidRDefault="009013D3" w:rsidP="009013D3">
      <w:r>
        <w:t xml:space="preserve">Talen, E. and Lee, S. (2018) </w:t>
      </w:r>
      <w:r w:rsidRPr="00D65413">
        <w:rPr>
          <w:i/>
        </w:rPr>
        <w:t>Design for Social Diversity</w:t>
      </w:r>
      <w:r>
        <w:t>. Oxon: Routledge</w:t>
      </w:r>
    </w:p>
    <w:p w14:paraId="0C203EFB" w14:textId="77777777" w:rsidR="009013D3" w:rsidRDefault="009013D3" w:rsidP="009013D3"/>
    <w:p w14:paraId="4C1CDE60" w14:textId="77777777" w:rsidR="009013D3" w:rsidRPr="00860454" w:rsidRDefault="009013D3" w:rsidP="009013D3">
      <w:pPr>
        <w:rPr>
          <w:b/>
        </w:rPr>
      </w:pPr>
      <w:r w:rsidRPr="00860454">
        <w:rPr>
          <w:b/>
        </w:rPr>
        <w:t>Book Review</w:t>
      </w:r>
    </w:p>
    <w:p w14:paraId="0A8BF5C0" w14:textId="0B75AF3D" w:rsidR="009013D3" w:rsidRDefault="009013D3" w:rsidP="009013D3">
      <w:proofErr w:type="spellStart"/>
      <w:r>
        <w:t>Brilmyer</w:t>
      </w:r>
      <w:proofErr w:type="spellEnd"/>
      <w:r>
        <w:t xml:space="preserve">, G.M. (2017) Review of </w:t>
      </w:r>
      <w:r w:rsidRPr="005D7F81">
        <w:rPr>
          <w:i/>
        </w:rPr>
        <w:t>Building Access: Universal Design and the Politics of Disability,</w:t>
      </w:r>
      <w:r>
        <w:t xml:space="preserve"> by Aimi </w:t>
      </w:r>
      <w:proofErr w:type="spellStart"/>
      <w:r>
        <w:t>Hamraie</w:t>
      </w:r>
      <w:proofErr w:type="spellEnd"/>
      <w:r>
        <w:t xml:space="preserve"> Catalyst: Feminism, Theory, Technoscience</w:t>
      </w:r>
      <w:r>
        <w:t>.</w:t>
      </w:r>
      <w:r>
        <w:t xml:space="preserve"> 5(2), pp. 1-5.</w:t>
      </w:r>
    </w:p>
    <w:p w14:paraId="365F774E" w14:textId="372FBA61" w:rsidR="009013D3" w:rsidRPr="00860454" w:rsidRDefault="009013D3" w:rsidP="009013D3">
      <w:pPr>
        <w:rPr>
          <w:b/>
        </w:rPr>
      </w:pPr>
      <w:r w:rsidRPr="00860454">
        <w:rPr>
          <w:b/>
        </w:rPr>
        <w:t>Journal</w:t>
      </w:r>
      <w:r w:rsidR="00F94417">
        <w:rPr>
          <w:b/>
        </w:rPr>
        <w:t>s</w:t>
      </w:r>
      <w:r w:rsidRPr="00860454">
        <w:rPr>
          <w:b/>
        </w:rPr>
        <w:t xml:space="preserve"> and Articles</w:t>
      </w:r>
    </w:p>
    <w:p w14:paraId="0770B9CA" w14:textId="77777777" w:rsidR="009013D3" w:rsidRDefault="009013D3" w:rsidP="009013D3">
      <w:proofErr w:type="spellStart"/>
      <w:r>
        <w:t>Andani</w:t>
      </w:r>
      <w:proofErr w:type="spellEnd"/>
      <w:r>
        <w:t xml:space="preserve">, A. </w:t>
      </w:r>
      <w:r w:rsidRPr="005025AC">
        <w:rPr>
          <w:i/>
        </w:rPr>
        <w:t>et al</w:t>
      </w:r>
      <w:r>
        <w:t xml:space="preserve"> (2013) ‘An investigation into Access Issues Affecting Historic Built Environment’ </w:t>
      </w:r>
      <w:r w:rsidRPr="00742D00">
        <w:rPr>
          <w:i/>
        </w:rPr>
        <w:t>American Journal of Civil Engineering and Architecture.</w:t>
      </w:r>
      <w:r w:rsidRPr="00742D00">
        <w:t xml:space="preserve"> 2013, 1(2), </w:t>
      </w:r>
      <w:r>
        <w:t xml:space="preserve">pp. </w:t>
      </w:r>
      <w:r w:rsidRPr="00742D00">
        <w:t xml:space="preserve">21-31. </w:t>
      </w:r>
      <w:r>
        <w:t>DOI: 10.12691/ajcea-1-2-1</w:t>
      </w:r>
    </w:p>
    <w:p w14:paraId="0A9434AE" w14:textId="64524A02" w:rsidR="009013D3" w:rsidRDefault="009013D3" w:rsidP="009013D3">
      <w:r>
        <w:t xml:space="preserve">Craven, J (2019) ‘Universal Design is Architecture for All’ </w:t>
      </w:r>
      <w:r w:rsidRPr="005D7F81">
        <w:rPr>
          <w:i/>
        </w:rPr>
        <w:t>ThoughtCo.</w:t>
      </w:r>
      <w:r>
        <w:t xml:space="preserve"> December 08, 2019 Available at: </w:t>
      </w:r>
      <w:hyperlink r:id="rId13" w:history="1">
        <w:r w:rsidRPr="005D7F81">
          <w:rPr>
            <w:color w:val="0000FF"/>
            <w:u w:val="single"/>
          </w:rPr>
          <w:t>https://www.thoughtco.com/universal-design-architecture-for-all-175907</w:t>
        </w:r>
      </w:hyperlink>
      <w:r w:rsidR="00340ED3">
        <w:rPr>
          <w:color w:val="0000FF"/>
          <w:u w:val="single"/>
        </w:rPr>
        <w:t xml:space="preserve"> </w:t>
      </w:r>
      <w:r w:rsidR="00340ED3" w:rsidRPr="00340ED3">
        <w:t>(A</w:t>
      </w:r>
      <w:r w:rsidR="00340ED3">
        <w:t>ccessed</w:t>
      </w:r>
      <w:r w:rsidR="00340ED3">
        <w:t xml:space="preserve">: </w:t>
      </w:r>
      <w:r w:rsidR="00860454">
        <w:t>1</w:t>
      </w:r>
      <w:r w:rsidR="00860454" w:rsidRPr="00860454">
        <w:rPr>
          <w:vertAlign w:val="superscript"/>
        </w:rPr>
        <w:t>st</w:t>
      </w:r>
      <w:r w:rsidR="00340ED3">
        <w:t xml:space="preserve"> May 20</w:t>
      </w:r>
      <w:r w:rsidR="00340ED3">
        <w:t>20)</w:t>
      </w:r>
    </w:p>
    <w:p w14:paraId="72B5B6D3" w14:textId="77777777" w:rsidR="009013D3" w:rsidRDefault="009013D3" w:rsidP="009013D3">
      <w:r>
        <w:t xml:space="preserve">Dalton, </w:t>
      </w:r>
      <w:proofErr w:type="spellStart"/>
      <w:r>
        <w:t>Dr.</w:t>
      </w:r>
      <w:proofErr w:type="spellEnd"/>
      <w:r>
        <w:t xml:space="preserve"> C (2016) </w:t>
      </w:r>
      <w:r w:rsidRPr="005D7F81">
        <w:t>‘Interaction design in the built environment: Designing for the ‘Universal User’’ DOI: 10.3233/978-1-61499-684-2-314</w:t>
      </w:r>
    </w:p>
    <w:p w14:paraId="40339EA9" w14:textId="77777777" w:rsidR="009013D3" w:rsidRDefault="009013D3" w:rsidP="009013D3">
      <w:r>
        <w:t xml:space="preserve">Dalton, E.M </w:t>
      </w:r>
      <w:r w:rsidRPr="005D7F81">
        <w:rPr>
          <w:i/>
        </w:rPr>
        <w:t>et al</w:t>
      </w:r>
      <w:r>
        <w:t xml:space="preserve"> (2019) ‘Inclusion, universal design and universal design for learning in higher education: South Africa and the United States.’  </w:t>
      </w:r>
      <w:r w:rsidRPr="005D7F81">
        <w:rPr>
          <w:i/>
        </w:rPr>
        <w:t>African Journal of Disability</w:t>
      </w:r>
      <w:r>
        <w:t xml:space="preserve"> 8(0), a519, DOI: 10.4102/</w:t>
      </w:r>
      <w:proofErr w:type="gramStart"/>
      <w:r>
        <w:t>ajod.v</w:t>
      </w:r>
      <w:proofErr w:type="gramEnd"/>
      <w:r>
        <w:t>8i0.519</w:t>
      </w:r>
    </w:p>
    <w:p w14:paraId="175A835A" w14:textId="77777777" w:rsidR="009013D3" w:rsidRDefault="009013D3" w:rsidP="009013D3">
      <w:r>
        <w:t xml:space="preserve">Emo, </w:t>
      </w:r>
      <w:proofErr w:type="spellStart"/>
      <w:r>
        <w:t>Dr.B</w:t>
      </w:r>
      <w:proofErr w:type="spellEnd"/>
      <w:r>
        <w:t xml:space="preserve">. </w:t>
      </w:r>
      <w:r w:rsidRPr="005D7F81">
        <w:rPr>
          <w:i/>
        </w:rPr>
        <w:t>et al</w:t>
      </w:r>
      <w:r>
        <w:t xml:space="preserve"> (2016) ‘Design, cognition &amp; Behaviour: usability in the built environment.’ </w:t>
      </w:r>
      <w:r w:rsidRPr="005D7F81">
        <w:rPr>
          <w:i/>
        </w:rPr>
        <w:t>International Journal of Design Creativity and Innovation</w:t>
      </w:r>
      <w:r>
        <w:t xml:space="preserve"> 4:2, pp.63-66. DOI: 10.1080/21650349.2016.1143080</w:t>
      </w:r>
    </w:p>
    <w:p w14:paraId="066DD1E4" w14:textId="77777777" w:rsidR="009013D3" w:rsidRDefault="009013D3" w:rsidP="009013D3">
      <w:proofErr w:type="spellStart"/>
      <w:r w:rsidRPr="005D7F81">
        <w:t>Herssens</w:t>
      </w:r>
      <w:proofErr w:type="spellEnd"/>
      <w:r w:rsidRPr="005D7F81">
        <w:t>, J</w:t>
      </w:r>
      <w:r>
        <w:t xml:space="preserve">. </w:t>
      </w:r>
      <w:r w:rsidRPr="005025AC">
        <w:rPr>
          <w:i/>
        </w:rPr>
        <w:t>et al</w:t>
      </w:r>
      <w:r>
        <w:t xml:space="preserve"> ‘</w:t>
      </w:r>
      <w:r w:rsidRPr="005D7F81">
        <w:t xml:space="preserve">Designing for Sustainability: </w:t>
      </w:r>
      <w:proofErr w:type="gramStart"/>
      <w:r w:rsidRPr="005D7F81">
        <w:t>a</w:t>
      </w:r>
      <w:proofErr w:type="gramEnd"/>
      <w:r w:rsidRPr="005D7F81">
        <w:t xml:space="preserve"> Framework for Sustainable Architecture built on the Perspective of Universal Design</w:t>
      </w:r>
      <w:r>
        <w:t xml:space="preserve">’ January 2015, </w:t>
      </w:r>
      <w:r w:rsidRPr="005D7F81">
        <w:rPr>
          <w:i/>
        </w:rPr>
        <w:t>Ku Leuven</w:t>
      </w:r>
      <w:r>
        <w:t xml:space="preserve"> pp.231-235</w:t>
      </w:r>
    </w:p>
    <w:p w14:paraId="3E19C22A" w14:textId="77777777" w:rsidR="009013D3" w:rsidRDefault="009013D3" w:rsidP="009013D3">
      <w:r>
        <w:t xml:space="preserve">Imrie, R. and Reyes, M.G. (2009) </w:t>
      </w:r>
      <w:r w:rsidRPr="005D7F81">
        <w:rPr>
          <w:i/>
        </w:rPr>
        <w:t>‘</w:t>
      </w:r>
      <w:proofErr w:type="spellStart"/>
      <w:r w:rsidRPr="005D7F81">
        <w:rPr>
          <w:i/>
        </w:rPr>
        <w:t>Encyclopedia</w:t>
      </w:r>
      <w:proofErr w:type="spellEnd"/>
      <w:r w:rsidRPr="005D7F81">
        <w:rPr>
          <w:i/>
        </w:rPr>
        <w:t xml:space="preserve"> of American Disability History: Universal design.’</w:t>
      </w:r>
      <w:r>
        <w:t xml:space="preserve"> Pp. 1-5</w:t>
      </w:r>
    </w:p>
    <w:p w14:paraId="7D3A90C8" w14:textId="77777777" w:rsidR="009013D3" w:rsidRDefault="009013D3" w:rsidP="009013D3">
      <w:r>
        <w:t xml:space="preserve">Jones, P. (2014) Situating universal design architecture: designing with whom? </w:t>
      </w:r>
      <w:r w:rsidRPr="005D7F81">
        <w:rPr>
          <w:i/>
        </w:rPr>
        <w:t xml:space="preserve">Disability and Rehabilitation </w:t>
      </w:r>
      <w:r>
        <w:t>August 1, 36(16), pp. 1369-1374</w:t>
      </w:r>
    </w:p>
    <w:p w14:paraId="4AD14C74" w14:textId="143A8762" w:rsidR="009013D3" w:rsidRDefault="009013D3" w:rsidP="009013D3">
      <w:proofErr w:type="spellStart"/>
      <w:r>
        <w:lastRenderedPageBreak/>
        <w:t>Kocabas</w:t>
      </w:r>
      <w:proofErr w:type="spellEnd"/>
      <w:r>
        <w:t xml:space="preserve">, I and </w:t>
      </w:r>
      <w:proofErr w:type="spellStart"/>
      <w:r>
        <w:t>Badamcioglu</w:t>
      </w:r>
      <w:proofErr w:type="spellEnd"/>
      <w:r>
        <w:t xml:space="preserve">, M (2016) </w:t>
      </w:r>
      <w:r w:rsidRPr="005D7F81">
        <w:t>‘Sustainability in Education buildings.’</w:t>
      </w:r>
      <w:r w:rsidRPr="005D7F81">
        <w:rPr>
          <w:i/>
        </w:rPr>
        <w:t xml:space="preserve"> International Online Journal of Educational Sciences</w:t>
      </w:r>
      <w:r>
        <w:t xml:space="preserve"> - Abstract. Available at: </w:t>
      </w:r>
      <w:hyperlink r:id="rId14" w:history="1">
        <w:r w:rsidRPr="00F32865">
          <w:rPr>
            <w:rStyle w:val="Hyperlink"/>
          </w:rPr>
          <w:t>www.iojes.net</w:t>
        </w:r>
      </w:hyperlink>
      <w:r>
        <w:t xml:space="preserve"> (ISSN: 1309-2707)</w:t>
      </w:r>
      <w:r w:rsidR="00340ED3">
        <w:t xml:space="preserve"> </w:t>
      </w:r>
      <w:r w:rsidR="00340ED3" w:rsidRPr="00340ED3">
        <w:t>(A</w:t>
      </w:r>
      <w:r w:rsidR="00340ED3">
        <w:t>ccessed: 2</w:t>
      </w:r>
      <w:r w:rsidR="00340ED3" w:rsidRPr="00340ED3">
        <w:rPr>
          <w:vertAlign w:val="superscript"/>
        </w:rPr>
        <w:t>nd</w:t>
      </w:r>
      <w:r w:rsidR="00340ED3">
        <w:t xml:space="preserve"> May 2020)</w:t>
      </w:r>
    </w:p>
    <w:p w14:paraId="5A6EEB76" w14:textId="77777777" w:rsidR="009013D3" w:rsidRDefault="009013D3" w:rsidP="009013D3">
      <w:proofErr w:type="spellStart"/>
      <w:r>
        <w:t>Liebergesell</w:t>
      </w:r>
      <w:proofErr w:type="spellEnd"/>
      <w:r>
        <w:t xml:space="preserve">, N.P. </w:t>
      </w:r>
      <w:r w:rsidRPr="005D7F81">
        <w:rPr>
          <w:i/>
        </w:rPr>
        <w:t>et al</w:t>
      </w:r>
      <w:r>
        <w:t xml:space="preserve"> (2018) ‘Designing from a Disabled Body: The Case of Architect Marta </w:t>
      </w:r>
      <w:proofErr w:type="spellStart"/>
      <w:r>
        <w:t>Bordas</w:t>
      </w:r>
      <w:proofErr w:type="spellEnd"/>
      <w:r>
        <w:t xml:space="preserve"> Eddy’ </w:t>
      </w:r>
      <w:r w:rsidRPr="005D7F81">
        <w:rPr>
          <w:i/>
        </w:rPr>
        <w:t>Multimod</w:t>
      </w:r>
      <w:r>
        <w:rPr>
          <w:i/>
        </w:rPr>
        <w:t>a</w:t>
      </w:r>
      <w:r w:rsidRPr="005D7F81">
        <w:rPr>
          <w:i/>
        </w:rPr>
        <w:t>l Technologies and Interaction</w:t>
      </w:r>
      <w:r>
        <w:t>. DOI: 10.3390/MTI2010004</w:t>
      </w:r>
    </w:p>
    <w:p w14:paraId="6C4BE83A" w14:textId="77777777" w:rsidR="009013D3" w:rsidRDefault="009013D3" w:rsidP="009013D3">
      <w:r>
        <w:t xml:space="preserve">Pineda, V.S. (2008) Enabling Justice: ‘Spatializing Disability in the built Environment.’ </w:t>
      </w:r>
      <w:r w:rsidRPr="005D7F81">
        <w:rPr>
          <w:i/>
        </w:rPr>
        <w:t>Critical Planning</w:t>
      </w:r>
      <w:r>
        <w:t xml:space="preserve"> Summer 2008, pp.111-122</w:t>
      </w:r>
    </w:p>
    <w:p w14:paraId="3718FB85" w14:textId="6C923E30" w:rsidR="009013D3" w:rsidRDefault="009013D3" w:rsidP="009013D3">
      <w:r>
        <w:t>Winer, R. (2019</w:t>
      </w:r>
      <w:r w:rsidRPr="005D7F81">
        <w:t>) ‘Why universal design is critical to creating truly healthy spaces.’</w:t>
      </w:r>
      <w:r>
        <w:t xml:space="preserve"> </w:t>
      </w:r>
      <w:r w:rsidRPr="005D7F81">
        <w:rPr>
          <w:i/>
        </w:rPr>
        <w:t>International WELL Building Institute</w:t>
      </w:r>
      <w:r>
        <w:t xml:space="preserve"> Available at: </w:t>
      </w:r>
      <w:hyperlink r:id="rId15" w:history="1">
        <w:r w:rsidRPr="005D7F81">
          <w:rPr>
            <w:color w:val="0000FF"/>
            <w:u w:val="single"/>
          </w:rPr>
          <w:t>https://resources.wellcertified.com/articles/why-universal-design-is-critical-to-creating-truly-healthy-spaces/</w:t>
        </w:r>
      </w:hyperlink>
      <w:r>
        <w:t xml:space="preserve"> </w:t>
      </w:r>
      <w:r w:rsidR="00340ED3" w:rsidRPr="00340ED3">
        <w:t>(A</w:t>
      </w:r>
      <w:r w:rsidR="00340ED3">
        <w:t>ccessed: 2</w:t>
      </w:r>
      <w:r w:rsidR="00340ED3" w:rsidRPr="00340ED3">
        <w:rPr>
          <w:vertAlign w:val="superscript"/>
        </w:rPr>
        <w:t>nd</w:t>
      </w:r>
      <w:r w:rsidR="00340ED3">
        <w:t xml:space="preserve"> May 2020)</w:t>
      </w:r>
    </w:p>
    <w:p w14:paraId="5476004C" w14:textId="77777777" w:rsidR="009013D3" w:rsidRPr="00742D00" w:rsidRDefault="009013D3" w:rsidP="009013D3">
      <w:pPr>
        <w:rPr>
          <w:b/>
        </w:rPr>
      </w:pPr>
      <w:r w:rsidRPr="00742D00">
        <w:rPr>
          <w:b/>
        </w:rPr>
        <w:t>Government Publication</w:t>
      </w:r>
    </w:p>
    <w:p w14:paraId="794E00CD" w14:textId="1252EDB3" w:rsidR="009013D3" w:rsidRDefault="009013D3">
      <w:r>
        <w:t xml:space="preserve">HM Government (2015) </w:t>
      </w:r>
      <w:r w:rsidRPr="00742D00">
        <w:rPr>
          <w:i/>
        </w:rPr>
        <w:t>The Building Regulations 2010 Access to and Use of Buildings</w:t>
      </w:r>
      <w:r>
        <w:t xml:space="preserve"> - </w:t>
      </w:r>
      <w:r w:rsidRPr="00742D00">
        <w:rPr>
          <w:i/>
        </w:rPr>
        <w:t>Approved Document M: access to and use of buildings, volume 2: buildings other than dwellings</w:t>
      </w:r>
      <w:r w:rsidR="00340ED3">
        <w:rPr>
          <w:i/>
        </w:rPr>
        <w:t>.</w:t>
      </w:r>
      <w:r>
        <w:rPr>
          <w:i/>
        </w:rPr>
        <w:t xml:space="preserve"> </w:t>
      </w:r>
      <w:r w:rsidRPr="00340ED3">
        <w:rPr>
          <w:iCs/>
        </w:rPr>
        <w:t>Available at:</w:t>
      </w:r>
      <w:r>
        <w:rPr>
          <w:i/>
        </w:rPr>
        <w:t xml:space="preserve"> </w:t>
      </w:r>
      <w:hyperlink r:id="rId16" w:history="1">
        <w:r w:rsidRPr="00742D00">
          <w:rPr>
            <w:color w:val="0000FF"/>
            <w:u w:val="single"/>
          </w:rPr>
          <w:t>https://assets.publishing.service.gov.uk/government/uploads/system/uploads/attachment_data/file/441786/BR_PDF_AD_M2_2015.pdf</w:t>
        </w:r>
      </w:hyperlink>
      <w:r w:rsidR="00340ED3" w:rsidRPr="00340ED3">
        <w:rPr>
          <w:color w:val="0000FF"/>
        </w:rPr>
        <w:t xml:space="preserve">  </w:t>
      </w:r>
      <w:r w:rsidR="00340ED3" w:rsidRPr="00340ED3">
        <w:t>(A</w:t>
      </w:r>
      <w:r w:rsidR="00340ED3">
        <w:t xml:space="preserve">ccessed: </w:t>
      </w:r>
      <w:r w:rsidR="00340ED3">
        <w:t>3</w:t>
      </w:r>
      <w:r w:rsidR="00340ED3" w:rsidRPr="00340ED3">
        <w:rPr>
          <w:vertAlign w:val="superscript"/>
        </w:rPr>
        <w:t>rd</w:t>
      </w:r>
      <w:r w:rsidR="00340ED3">
        <w:t xml:space="preserve"> May 2020)</w:t>
      </w:r>
    </w:p>
    <w:p w14:paraId="12759684" w14:textId="441BF90E" w:rsidR="00112BA7" w:rsidRDefault="00112BA7"/>
    <w:p w14:paraId="002E6349" w14:textId="77777777" w:rsidR="00112BA7" w:rsidRPr="009374F0" w:rsidRDefault="00112BA7">
      <w:pPr>
        <w:rPr>
          <w:color w:val="0000FF"/>
          <w:u w:val="single"/>
        </w:rPr>
      </w:pPr>
    </w:p>
    <w:sectPr w:rsidR="00112BA7" w:rsidRPr="009374F0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6DAB692" w14:textId="77777777" w:rsidR="000032AE" w:rsidRDefault="000032AE" w:rsidP="00B6620F">
      <w:pPr>
        <w:spacing w:after="0" w:line="240" w:lineRule="auto"/>
      </w:pPr>
      <w:r>
        <w:separator/>
      </w:r>
    </w:p>
  </w:endnote>
  <w:endnote w:type="continuationSeparator" w:id="0">
    <w:p w14:paraId="364A95C6" w14:textId="77777777" w:rsidR="000032AE" w:rsidRDefault="000032AE" w:rsidP="00B662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8930809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7390243" w14:textId="686ABD07" w:rsidR="00B6620F" w:rsidRDefault="00B6620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0B8E0B4" w14:textId="77777777" w:rsidR="00B6620F" w:rsidRDefault="00B6620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B3CD275" w14:textId="77777777" w:rsidR="000032AE" w:rsidRDefault="000032AE" w:rsidP="00B6620F">
      <w:pPr>
        <w:spacing w:after="0" w:line="240" w:lineRule="auto"/>
      </w:pPr>
      <w:r>
        <w:separator/>
      </w:r>
    </w:p>
  </w:footnote>
  <w:footnote w:type="continuationSeparator" w:id="0">
    <w:p w14:paraId="43C1AC5E" w14:textId="77777777" w:rsidR="000032AE" w:rsidRDefault="000032AE" w:rsidP="00B6620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E2017BD"/>
    <w:multiLevelType w:val="hybridMultilevel"/>
    <w:tmpl w:val="A87C3A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4B315B1"/>
    <w:multiLevelType w:val="hybridMultilevel"/>
    <w:tmpl w:val="DAE4EB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6126"/>
    <w:rsid w:val="000032AE"/>
    <w:rsid w:val="00023A80"/>
    <w:rsid w:val="000412D4"/>
    <w:rsid w:val="0004292C"/>
    <w:rsid w:val="0009162B"/>
    <w:rsid w:val="00094D1A"/>
    <w:rsid w:val="00096E59"/>
    <w:rsid w:val="000B4A0F"/>
    <w:rsid w:val="000C29F1"/>
    <w:rsid w:val="00112BA7"/>
    <w:rsid w:val="001137DA"/>
    <w:rsid w:val="0012260A"/>
    <w:rsid w:val="0013097E"/>
    <w:rsid w:val="001613A3"/>
    <w:rsid w:val="00173F19"/>
    <w:rsid w:val="001D4CBE"/>
    <w:rsid w:val="001E3333"/>
    <w:rsid w:val="001E4701"/>
    <w:rsid w:val="001F5BC5"/>
    <w:rsid w:val="00206498"/>
    <w:rsid w:val="002269B1"/>
    <w:rsid w:val="002407FC"/>
    <w:rsid w:val="0024707A"/>
    <w:rsid w:val="0025582A"/>
    <w:rsid w:val="002A2A1A"/>
    <w:rsid w:val="002E5F06"/>
    <w:rsid w:val="003141C2"/>
    <w:rsid w:val="003379E1"/>
    <w:rsid w:val="00340ED3"/>
    <w:rsid w:val="00351293"/>
    <w:rsid w:val="003A15DA"/>
    <w:rsid w:val="003A4DC3"/>
    <w:rsid w:val="0040128A"/>
    <w:rsid w:val="004015C8"/>
    <w:rsid w:val="004126C4"/>
    <w:rsid w:val="004204FE"/>
    <w:rsid w:val="00431216"/>
    <w:rsid w:val="00491589"/>
    <w:rsid w:val="004D7A96"/>
    <w:rsid w:val="004E4AAA"/>
    <w:rsid w:val="00535B64"/>
    <w:rsid w:val="00535BA3"/>
    <w:rsid w:val="00540317"/>
    <w:rsid w:val="005B294B"/>
    <w:rsid w:val="005D1AF4"/>
    <w:rsid w:val="005F5131"/>
    <w:rsid w:val="005F7401"/>
    <w:rsid w:val="0063301F"/>
    <w:rsid w:val="006615CA"/>
    <w:rsid w:val="006B17D0"/>
    <w:rsid w:val="006C6C62"/>
    <w:rsid w:val="00706CFB"/>
    <w:rsid w:val="007136A1"/>
    <w:rsid w:val="00756126"/>
    <w:rsid w:val="00763896"/>
    <w:rsid w:val="0078058C"/>
    <w:rsid w:val="00782001"/>
    <w:rsid w:val="00784B39"/>
    <w:rsid w:val="007A3E57"/>
    <w:rsid w:val="007B16D5"/>
    <w:rsid w:val="007D1B5D"/>
    <w:rsid w:val="007D4FE0"/>
    <w:rsid w:val="00805452"/>
    <w:rsid w:val="00821CDF"/>
    <w:rsid w:val="008326F4"/>
    <w:rsid w:val="00836D21"/>
    <w:rsid w:val="00860454"/>
    <w:rsid w:val="00864E44"/>
    <w:rsid w:val="0088443B"/>
    <w:rsid w:val="008D50E6"/>
    <w:rsid w:val="009013D3"/>
    <w:rsid w:val="00903A36"/>
    <w:rsid w:val="0091636E"/>
    <w:rsid w:val="00916428"/>
    <w:rsid w:val="00933872"/>
    <w:rsid w:val="009374F0"/>
    <w:rsid w:val="009419DE"/>
    <w:rsid w:val="00950E76"/>
    <w:rsid w:val="00985751"/>
    <w:rsid w:val="00993C38"/>
    <w:rsid w:val="009C495E"/>
    <w:rsid w:val="00A322E9"/>
    <w:rsid w:val="00A52867"/>
    <w:rsid w:val="00A635A2"/>
    <w:rsid w:val="00A94259"/>
    <w:rsid w:val="00AB3D52"/>
    <w:rsid w:val="00AC2012"/>
    <w:rsid w:val="00AD6C0D"/>
    <w:rsid w:val="00B07E04"/>
    <w:rsid w:val="00B120B4"/>
    <w:rsid w:val="00B2020C"/>
    <w:rsid w:val="00B6620F"/>
    <w:rsid w:val="00B81311"/>
    <w:rsid w:val="00B9087D"/>
    <w:rsid w:val="00B920AF"/>
    <w:rsid w:val="00BB5B2F"/>
    <w:rsid w:val="00BC4863"/>
    <w:rsid w:val="00BD4787"/>
    <w:rsid w:val="00BD6A34"/>
    <w:rsid w:val="00C1746A"/>
    <w:rsid w:val="00C469BC"/>
    <w:rsid w:val="00C56C04"/>
    <w:rsid w:val="00C92999"/>
    <w:rsid w:val="00CB1F44"/>
    <w:rsid w:val="00D75EDE"/>
    <w:rsid w:val="00DB434C"/>
    <w:rsid w:val="00DC13A1"/>
    <w:rsid w:val="00DC3BBB"/>
    <w:rsid w:val="00DF637B"/>
    <w:rsid w:val="00E065CB"/>
    <w:rsid w:val="00E16866"/>
    <w:rsid w:val="00E47903"/>
    <w:rsid w:val="00E70D01"/>
    <w:rsid w:val="00F20103"/>
    <w:rsid w:val="00F22A27"/>
    <w:rsid w:val="00F3405C"/>
    <w:rsid w:val="00F42F64"/>
    <w:rsid w:val="00F47261"/>
    <w:rsid w:val="00F51F0B"/>
    <w:rsid w:val="00F54C48"/>
    <w:rsid w:val="00F558C6"/>
    <w:rsid w:val="00F579D5"/>
    <w:rsid w:val="00F82D7C"/>
    <w:rsid w:val="00F94417"/>
    <w:rsid w:val="00F95D60"/>
    <w:rsid w:val="00FB1C15"/>
    <w:rsid w:val="00FF30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B0C991"/>
  <w15:chartTrackingRefBased/>
  <w15:docId w15:val="{B3A13F68-3C9A-4C47-AA00-D773EC805A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D6C0D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E5F0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E5F06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9013D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662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620F"/>
  </w:style>
  <w:style w:type="paragraph" w:styleId="Footer">
    <w:name w:val="footer"/>
    <w:basedOn w:val="Normal"/>
    <w:link w:val="FooterChar"/>
    <w:uiPriority w:val="99"/>
    <w:unhideWhenUsed/>
    <w:rsid w:val="00B662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620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hyperlink" Target="https://www.thoughtco.com/universal-design-architecture-for-all-175907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microsoft.com/office/2007/relationships/diagramDrawing" Target="diagrams/drawing1.xm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assets.publishing.service.gov.uk/government/uploads/system/uploads/attachment_data/file/441786/BR_PDF_AD_M2_2015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Colors" Target="diagrams/colors1.xml"/><Relationship Id="rId5" Type="http://schemas.openxmlformats.org/officeDocument/2006/relationships/webSettings" Target="webSettings.xml"/><Relationship Id="rId15" Type="http://schemas.openxmlformats.org/officeDocument/2006/relationships/hyperlink" Target="https://resources.wellcertified.com/articles/why-universal-design-is-critical-to-creating-truly-healthy-spaces/" TargetMode="External"/><Relationship Id="rId10" Type="http://schemas.openxmlformats.org/officeDocument/2006/relationships/diagramQuickStyle" Target="diagrams/quickStyle1.xm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diagramLayout" Target="diagrams/layout1.xml"/><Relationship Id="rId14" Type="http://schemas.openxmlformats.org/officeDocument/2006/relationships/hyperlink" Target="http://www.iojes.net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2_5">
  <dgm:title val=""/>
  <dgm:desc val=""/>
  <dgm:catLst>
    <dgm:cat type="accent2" pri="11500"/>
  </dgm:catLst>
  <dgm:styleLbl name="node0">
    <dgm:fillClrLst meth="cycle">
      <a:schemeClr val="accent2">
        <a:alpha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2">
        <a:alpha val="90000"/>
      </a:schemeClr>
      <a:schemeClr val="accent2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2">
        <a:alpha val="90000"/>
      </a:schemeClr>
      <a:schemeClr val="accent2">
        <a:alpha val="50000"/>
      </a:schemeClr>
    </dgm:fillClrLst>
    <dgm:linClrLst>
      <a:schemeClr val="accent2">
        <a:alpha val="90000"/>
      </a:schemeClr>
      <a:schemeClr val="accent2">
        <a:alpha val="50000"/>
      </a:schemeClr>
    </dgm:linClrLst>
    <dgm:effectClrLst/>
    <dgm:txLinClrLst/>
    <dgm:txFillClrLst/>
    <dgm:txEffectClrLst/>
  </dgm:styleLbl>
  <dgm:styleLbl name="lnNode1">
    <dgm:fillClrLst>
      <a:schemeClr val="accent2">
        <a:shade val="90000"/>
      </a:schemeClr>
      <a:schemeClr val="accent2">
        <a:alpha val="50000"/>
        <a:tint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2">
        <a:shade val="80000"/>
        <a:alpha val="50000"/>
      </a:schemeClr>
      <a:schemeClr val="accent2">
        <a:alpha val="2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>
        <a:alpha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2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>
        <a:alpha val="30000"/>
      </a:schemeClr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2">
        <a:tint val="50000"/>
        <a:alpha val="90000"/>
      </a:schemeClr>
      <a:schemeClr val="accent2">
        <a:tint val="20000"/>
        <a:alpha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2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2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2">
        <a:shade val="90000"/>
      </a:schemeClr>
      <a:schemeClr val="accent2">
        <a:tint val="50000"/>
      </a:schemeClr>
    </dgm:fillClrLst>
    <dgm:linClrLst>
      <a:schemeClr val="accent2">
        <a:shade val="90000"/>
      </a:schemeClr>
      <a:schemeClr val="accent2">
        <a:tint val="50000"/>
      </a:schemeClr>
    </dgm:linClrLst>
    <dgm:effectClrLst/>
    <dgm:txLinClrLst/>
    <dgm:txFillClrLst/>
    <dgm:txEffectClrLst/>
  </dgm:styleLbl>
  <dgm:styleLbl name="fgSibTrans2D1">
    <dgm:fillClrLst>
      <a:schemeClr val="accent2">
        <a:shade val="90000"/>
      </a:schemeClr>
      <a:schemeClr val="accent2">
        <a:tint val="50000"/>
      </a:schemeClr>
    </dgm:fillClrLst>
    <dgm:linClrLst>
      <a:schemeClr val="accent2">
        <a:shade val="90000"/>
      </a:schemeClr>
      <a:schemeClr val="accent2">
        <a:tint val="50000"/>
      </a:schemeClr>
    </dgm:linClrLst>
    <dgm:effectClrLst/>
    <dgm:txLinClrLst/>
    <dgm:txFillClrLst/>
    <dgm:txEffectClrLst/>
  </dgm:styleLbl>
  <dgm:styleLbl name="bgSibTrans2D1">
    <dgm:fillClrLst>
      <a:schemeClr val="accent2">
        <a:shade val="90000"/>
      </a:schemeClr>
      <a:schemeClr val="accent2">
        <a:tint val="50000"/>
      </a:schemeClr>
    </dgm:fillClrLst>
    <dgm:linClrLst>
      <a:schemeClr val="accent2">
        <a:shade val="90000"/>
      </a:schemeClr>
      <a:schemeClr val="accent2">
        <a:tint val="50000"/>
      </a:schemeClr>
    </dgm:linClrLst>
    <dgm:effectClrLst/>
    <dgm:txLinClrLst/>
    <dgm:txFillClrLst/>
    <dgm:txEffectClrLst/>
  </dgm:styleLbl>
  <dgm:styleLbl name="sibTrans1D1">
    <dgm:fillClrLst>
      <a:schemeClr val="accent2">
        <a:shade val="90000"/>
      </a:schemeClr>
      <a:schemeClr val="accent2">
        <a:tint val="50000"/>
      </a:schemeClr>
    </dgm:fillClrLst>
    <dgm:linClrLst>
      <a:schemeClr val="accent2">
        <a:shade val="90000"/>
      </a:schemeClr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>
        <a:alpha val="90000"/>
      </a:schemeClr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>
        <a:alpha val="90000"/>
      </a:schemeClr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2">
        <a:alpha val="90000"/>
      </a:schemeClr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>
        <a:alpha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>
        <a:shade val="80000"/>
      </a:schemeClr>
    </dgm:fillClrLst>
    <dgm:linClrLst meth="repeat">
      <a:schemeClr val="accent2">
        <a:shade val="80000"/>
      </a:schemeClr>
    </dgm:linClrLst>
    <dgm:effectClrLst/>
    <dgm:txLinClrLst/>
    <dgm:txFillClrLst/>
    <dgm:txEffectClrLst/>
  </dgm:styleLbl>
  <dgm:styleLbl name="parChTrans2D2">
    <dgm:fillClrLst meth="repeat">
      <a:schemeClr val="accent2">
        <a:tint val="90000"/>
      </a:schemeClr>
    </dgm:fillClrLst>
    <dgm:linClrLst meth="repeat">
      <a:schemeClr val="accent2">
        <a:tint val="90000"/>
      </a:schemeClr>
    </dgm:linClrLst>
    <dgm:effectClrLst/>
    <dgm:txLinClrLst/>
    <dgm:txFillClrLst/>
    <dgm:txEffectClrLst/>
  </dgm:styleLbl>
  <dgm:styleLbl name="parChTrans2D3">
    <dgm:fillClrLst meth="repeat">
      <a:schemeClr val="accent2">
        <a:tint val="70000"/>
      </a:schemeClr>
    </dgm:fillClrLst>
    <dgm:linClrLst meth="repeat">
      <a:schemeClr val="accent2">
        <a:tint val="70000"/>
      </a:schemeClr>
    </dgm:linClrLst>
    <dgm:effectClrLst/>
    <dgm:txLinClrLst/>
    <dgm:txFillClrLst/>
    <dgm:txEffectClrLst/>
  </dgm:styleLbl>
  <dgm:styleLbl name="parChTrans2D4">
    <dgm:fillClrLst meth="repeat">
      <a:schemeClr val="accent2">
        <a:tint val="50000"/>
      </a:schemeClr>
    </dgm:fillClrLst>
    <dgm:linClrLst meth="repeat">
      <a:schemeClr val="accent2">
        <a:tint val="50000"/>
      </a:schemeClr>
    </dgm:linClrLst>
    <dgm:effectClrLst/>
    <dgm:txLinClrLst/>
    <dgm:txFillClrLst meth="repeat">
      <a:schemeClr val="dk1"/>
    </dgm:txFillClrLst>
    <dgm:txEffectClrLst/>
  </dgm:styleLbl>
  <dgm:styleLbl name="parChTrans1D1">
    <dgm:fillClrLst meth="repeat">
      <a:schemeClr val="accent2">
        <a:shade val="80000"/>
      </a:schemeClr>
    </dgm:fillClrLst>
    <dgm:linClrLst meth="repeat">
      <a:schemeClr val="accent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2">
        <a:tint val="9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2">
        <a:tint val="7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>
        <a:tint val="50000"/>
      </a:schemeClr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2">
        <a:alpha val="90000"/>
      </a:schemeClr>
      <a:schemeClr val="accent2">
        <a:alpha val="50000"/>
      </a:schemeClr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2">
        <a:alpha val="90000"/>
      </a:schemeClr>
      <a:schemeClr val="accent2">
        <a:alpha val="50000"/>
      </a:schemeClr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2">
        <a:alpha val="90000"/>
      </a:schemeClr>
      <a:schemeClr val="accent2">
        <a:alpha val="50000"/>
      </a:schemeClr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>
      <a:schemeClr val="accent2">
        <a:alpha val="90000"/>
      </a:schemeClr>
      <a:schemeClr val="accent2">
        <a:alpha val="50000"/>
      </a:schemeClr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2">
        <a:alpha val="90000"/>
      </a:schemeClr>
      <a:schemeClr val="accent2">
        <a:alpha val="50000"/>
      </a:schemeClr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2">
        <a:alpha val="90000"/>
      </a:schemeClr>
      <a:schemeClr val="accent2">
        <a:alpha val="50000"/>
      </a:schemeClr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2">
        <a:alpha val="90000"/>
        <a:tint val="40000"/>
      </a:schemeClr>
      <a:schemeClr val="accent2">
        <a:alpha val="5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alpha val="90000"/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2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2">
        <a:tint val="90000"/>
      </a:schemeClr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2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2">
        <a:tint val="50000"/>
      </a:schemeClr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2BB36D99-F379-48FE-B4F3-01720D23E3F3}" type="doc">
      <dgm:prSet loTypeId="urn:microsoft.com/office/officeart/2005/8/layout/process2" loCatId="process" qsTypeId="urn:microsoft.com/office/officeart/2005/8/quickstyle/simple1" qsCatId="simple" csTypeId="urn:microsoft.com/office/officeart/2005/8/colors/accent2_5" csCatId="accent2" phldr="1"/>
      <dgm:spPr/>
    </dgm:pt>
    <dgm:pt modelId="{2856149D-7421-4322-B077-8BC4B5C526AA}">
      <dgm:prSet phldrT="[Text]" custT="1"/>
      <dgm:spPr/>
      <dgm:t>
        <a:bodyPr/>
        <a:lstStyle/>
        <a:p>
          <a:r>
            <a:rPr lang="en-GB" sz="1200"/>
            <a:t>1. Identify broad area of study</a:t>
          </a:r>
        </a:p>
      </dgm:t>
    </dgm:pt>
    <dgm:pt modelId="{C79D7B62-EB10-4F22-8C3A-165385C749EE}" type="parTrans" cxnId="{ACFD60D9-A2AA-4E3F-957F-7FA293219008}">
      <dgm:prSet/>
      <dgm:spPr/>
      <dgm:t>
        <a:bodyPr/>
        <a:lstStyle/>
        <a:p>
          <a:endParaRPr lang="en-GB"/>
        </a:p>
      </dgm:t>
    </dgm:pt>
    <dgm:pt modelId="{E9D7811E-7024-4B7B-B5C5-7E640CBEE95B}" type="sibTrans" cxnId="{ACFD60D9-A2AA-4E3F-957F-7FA293219008}">
      <dgm:prSet/>
      <dgm:spPr/>
      <dgm:t>
        <a:bodyPr/>
        <a:lstStyle/>
        <a:p>
          <a:endParaRPr lang="en-GB"/>
        </a:p>
      </dgm:t>
    </dgm:pt>
    <dgm:pt modelId="{43FA33A4-D3AD-4EA1-8D35-F93D09013ABA}">
      <dgm:prSet phldrT="[Text]" custT="1"/>
      <dgm:spPr/>
      <dgm:t>
        <a:bodyPr/>
        <a:lstStyle/>
        <a:p>
          <a:r>
            <a:rPr lang="en-GB" sz="1200"/>
            <a:t>2. Select the research topic</a:t>
          </a:r>
        </a:p>
      </dgm:t>
    </dgm:pt>
    <dgm:pt modelId="{BC2D0B0E-79D9-404F-983B-9DD068C5A40A}" type="parTrans" cxnId="{CBE23202-EDDF-465D-8933-DBA6B03358D1}">
      <dgm:prSet/>
      <dgm:spPr/>
      <dgm:t>
        <a:bodyPr/>
        <a:lstStyle/>
        <a:p>
          <a:endParaRPr lang="en-GB"/>
        </a:p>
      </dgm:t>
    </dgm:pt>
    <dgm:pt modelId="{9F470AEE-ECD9-434B-8370-7E1B2E0BE9F4}" type="sibTrans" cxnId="{CBE23202-EDDF-465D-8933-DBA6B03358D1}">
      <dgm:prSet/>
      <dgm:spPr/>
      <dgm:t>
        <a:bodyPr/>
        <a:lstStyle/>
        <a:p>
          <a:endParaRPr lang="en-GB"/>
        </a:p>
      </dgm:t>
    </dgm:pt>
    <dgm:pt modelId="{952EB5CF-EA0A-4975-BAFB-D625E3F95E26}">
      <dgm:prSet phldrT="[Text]" custT="1"/>
      <dgm:spPr/>
      <dgm:t>
        <a:bodyPr/>
        <a:lstStyle/>
        <a:p>
          <a:r>
            <a:rPr lang="en-GB" sz="1200"/>
            <a:t>3. Decide the approach</a:t>
          </a:r>
        </a:p>
      </dgm:t>
    </dgm:pt>
    <dgm:pt modelId="{08002E95-E406-4ED4-B79B-D3B582F5C406}" type="parTrans" cxnId="{DD735CFF-6FA7-4351-A05B-9D16620E9003}">
      <dgm:prSet/>
      <dgm:spPr/>
      <dgm:t>
        <a:bodyPr/>
        <a:lstStyle/>
        <a:p>
          <a:endParaRPr lang="en-GB"/>
        </a:p>
      </dgm:t>
    </dgm:pt>
    <dgm:pt modelId="{F03924B3-E2EE-42B6-A4BC-58E957AAA60E}" type="sibTrans" cxnId="{DD735CFF-6FA7-4351-A05B-9D16620E9003}">
      <dgm:prSet/>
      <dgm:spPr/>
      <dgm:t>
        <a:bodyPr/>
        <a:lstStyle/>
        <a:p>
          <a:endParaRPr lang="en-GB"/>
        </a:p>
      </dgm:t>
    </dgm:pt>
    <dgm:pt modelId="{8EDC2905-D86F-455B-AFF8-A1F1819422DB}">
      <dgm:prSet phldrT="[Text]" custT="1"/>
      <dgm:spPr/>
      <dgm:t>
        <a:bodyPr/>
        <a:lstStyle/>
        <a:p>
          <a:r>
            <a:rPr lang="en-GB" sz="1200"/>
            <a:t>4. Formulate the plan</a:t>
          </a:r>
        </a:p>
      </dgm:t>
    </dgm:pt>
    <dgm:pt modelId="{0480B719-F7F1-4996-A76C-43189DDF6321}" type="parTrans" cxnId="{8D86BCC5-FE4E-4249-9A79-DB171D8884BC}">
      <dgm:prSet/>
      <dgm:spPr/>
      <dgm:t>
        <a:bodyPr/>
        <a:lstStyle/>
        <a:p>
          <a:endParaRPr lang="en-GB"/>
        </a:p>
      </dgm:t>
    </dgm:pt>
    <dgm:pt modelId="{D0AD4C08-172E-4662-BFC5-E08986C35594}" type="sibTrans" cxnId="{8D86BCC5-FE4E-4249-9A79-DB171D8884BC}">
      <dgm:prSet/>
      <dgm:spPr/>
      <dgm:t>
        <a:bodyPr/>
        <a:lstStyle/>
        <a:p>
          <a:endParaRPr lang="en-GB"/>
        </a:p>
      </dgm:t>
    </dgm:pt>
    <dgm:pt modelId="{5D054396-B1F0-4CD2-947E-502E2EBF1642}">
      <dgm:prSet phldrT="[Text]" custT="1"/>
      <dgm:spPr/>
      <dgm:t>
        <a:bodyPr/>
        <a:lstStyle/>
        <a:p>
          <a:r>
            <a:rPr lang="en-GB" sz="1200"/>
            <a:t>5. Collect the data or information</a:t>
          </a:r>
        </a:p>
      </dgm:t>
    </dgm:pt>
    <dgm:pt modelId="{D0A01F56-22D9-476B-8BAF-5F6EA3F12892}" type="parTrans" cxnId="{B86CF8BC-B529-4DB1-8856-4ACB4A63C8CA}">
      <dgm:prSet/>
      <dgm:spPr/>
      <dgm:t>
        <a:bodyPr/>
        <a:lstStyle/>
        <a:p>
          <a:endParaRPr lang="en-GB"/>
        </a:p>
      </dgm:t>
    </dgm:pt>
    <dgm:pt modelId="{E8B15C07-1808-4D76-8281-494D4FF3DD12}" type="sibTrans" cxnId="{B86CF8BC-B529-4DB1-8856-4ACB4A63C8CA}">
      <dgm:prSet/>
      <dgm:spPr/>
      <dgm:t>
        <a:bodyPr/>
        <a:lstStyle/>
        <a:p>
          <a:endParaRPr lang="en-GB"/>
        </a:p>
      </dgm:t>
    </dgm:pt>
    <dgm:pt modelId="{C1C619F0-F15F-4EB1-8A45-C3404580A255}">
      <dgm:prSet phldrT="[Text]" custT="1"/>
      <dgm:spPr/>
      <dgm:t>
        <a:bodyPr/>
        <a:lstStyle/>
        <a:p>
          <a:r>
            <a:rPr lang="en-GB" sz="1200"/>
            <a:t>6. Anaylise and interpret data</a:t>
          </a:r>
        </a:p>
      </dgm:t>
    </dgm:pt>
    <dgm:pt modelId="{DE107A51-9BF0-49F7-9D9D-BE3C30CFF5F7}" type="parTrans" cxnId="{6EBFC74B-D3D7-47F8-B7AF-597E4D07B6C3}">
      <dgm:prSet/>
      <dgm:spPr/>
      <dgm:t>
        <a:bodyPr/>
        <a:lstStyle/>
        <a:p>
          <a:endParaRPr lang="en-GB"/>
        </a:p>
      </dgm:t>
    </dgm:pt>
    <dgm:pt modelId="{2D18DD08-0B0C-4430-AE19-434C8BE46DCA}" type="sibTrans" cxnId="{6EBFC74B-D3D7-47F8-B7AF-597E4D07B6C3}">
      <dgm:prSet/>
      <dgm:spPr/>
      <dgm:t>
        <a:bodyPr/>
        <a:lstStyle/>
        <a:p>
          <a:endParaRPr lang="en-GB"/>
        </a:p>
      </dgm:t>
    </dgm:pt>
    <dgm:pt modelId="{B73C726B-CBC0-4667-B445-00E488054670}">
      <dgm:prSet phldrT="[Text]" custT="1"/>
      <dgm:spPr/>
      <dgm:t>
        <a:bodyPr/>
        <a:lstStyle/>
        <a:p>
          <a:r>
            <a:rPr lang="en-GB" sz="1200"/>
            <a:t>7. Present the Findings</a:t>
          </a:r>
        </a:p>
      </dgm:t>
    </dgm:pt>
    <dgm:pt modelId="{6119D5B6-6920-49F0-BE40-36E3FEAE68AF}" type="parTrans" cxnId="{A6941BE0-E063-4CCE-8843-F37D7F323170}">
      <dgm:prSet/>
      <dgm:spPr/>
      <dgm:t>
        <a:bodyPr/>
        <a:lstStyle/>
        <a:p>
          <a:endParaRPr lang="en-GB"/>
        </a:p>
      </dgm:t>
    </dgm:pt>
    <dgm:pt modelId="{C3C27EB9-46D4-43E4-99EB-FE0693718CA7}" type="sibTrans" cxnId="{A6941BE0-E063-4CCE-8843-F37D7F323170}">
      <dgm:prSet/>
      <dgm:spPr/>
      <dgm:t>
        <a:bodyPr/>
        <a:lstStyle/>
        <a:p>
          <a:endParaRPr lang="en-GB"/>
        </a:p>
      </dgm:t>
    </dgm:pt>
    <dgm:pt modelId="{AC0F0602-928B-4E3D-91FF-C6287D80DAAE}" type="pres">
      <dgm:prSet presAssocID="{2BB36D99-F379-48FE-B4F3-01720D23E3F3}" presName="linearFlow" presStyleCnt="0">
        <dgm:presLayoutVars>
          <dgm:resizeHandles val="exact"/>
        </dgm:presLayoutVars>
      </dgm:prSet>
      <dgm:spPr/>
    </dgm:pt>
    <dgm:pt modelId="{8AEF7F8C-0538-4170-93E0-74720827DCAC}" type="pres">
      <dgm:prSet presAssocID="{2856149D-7421-4322-B077-8BC4B5C526AA}" presName="node" presStyleLbl="node1" presStyleIdx="0" presStyleCnt="7">
        <dgm:presLayoutVars>
          <dgm:bulletEnabled val="1"/>
        </dgm:presLayoutVars>
      </dgm:prSet>
      <dgm:spPr/>
    </dgm:pt>
    <dgm:pt modelId="{2D3A06B5-74F6-42AF-89D0-2FF065A8868B}" type="pres">
      <dgm:prSet presAssocID="{E9D7811E-7024-4B7B-B5C5-7E640CBEE95B}" presName="sibTrans" presStyleLbl="sibTrans2D1" presStyleIdx="0" presStyleCnt="6"/>
      <dgm:spPr/>
    </dgm:pt>
    <dgm:pt modelId="{EC4A46C2-1669-4840-BED4-94E2CCB2697D}" type="pres">
      <dgm:prSet presAssocID="{E9D7811E-7024-4B7B-B5C5-7E640CBEE95B}" presName="connectorText" presStyleLbl="sibTrans2D1" presStyleIdx="0" presStyleCnt="6"/>
      <dgm:spPr/>
    </dgm:pt>
    <dgm:pt modelId="{9AEA5D81-A8CB-4DFC-A80C-4F50FA8B70A3}" type="pres">
      <dgm:prSet presAssocID="{43FA33A4-D3AD-4EA1-8D35-F93D09013ABA}" presName="node" presStyleLbl="node1" presStyleIdx="1" presStyleCnt="7">
        <dgm:presLayoutVars>
          <dgm:bulletEnabled val="1"/>
        </dgm:presLayoutVars>
      </dgm:prSet>
      <dgm:spPr/>
    </dgm:pt>
    <dgm:pt modelId="{4F7C4E30-793B-4E9F-9186-372767165C85}" type="pres">
      <dgm:prSet presAssocID="{9F470AEE-ECD9-434B-8370-7E1B2E0BE9F4}" presName="sibTrans" presStyleLbl="sibTrans2D1" presStyleIdx="1" presStyleCnt="6"/>
      <dgm:spPr/>
    </dgm:pt>
    <dgm:pt modelId="{CA2AEBF2-6FE8-49C4-8AB7-757A1C5FB4A7}" type="pres">
      <dgm:prSet presAssocID="{9F470AEE-ECD9-434B-8370-7E1B2E0BE9F4}" presName="connectorText" presStyleLbl="sibTrans2D1" presStyleIdx="1" presStyleCnt="6"/>
      <dgm:spPr/>
    </dgm:pt>
    <dgm:pt modelId="{5E0C0B42-388A-4617-950D-9711346F5F2B}" type="pres">
      <dgm:prSet presAssocID="{952EB5CF-EA0A-4975-BAFB-D625E3F95E26}" presName="node" presStyleLbl="node1" presStyleIdx="2" presStyleCnt="7">
        <dgm:presLayoutVars>
          <dgm:bulletEnabled val="1"/>
        </dgm:presLayoutVars>
      </dgm:prSet>
      <dgm:spPr/>
    </dgm:pt>
    <dgm:pt modelId="{1E2BBEB6-8246-4A8C-9E9F-E4A875F78CC7}" type="pres">
      <dgm:prSet presAssocID="{F03924B3-E2EE-42B6-A4BC-58E957AAA60E}" presName="sibTrans" presStyleLbl="sibTrans2D1" presStyleIdx="2" presStyleCnt="6"/>
      <dgm:spPr/>
    </dgm:pt>
    <dgm:pt modelId="{660A2667-8D9E-479E-8A6A-B80895D0D2BC}" type="pres">
      <dgm:prSet presAssocID="{F03924B3-E2EE-42B6-A4BC-58E957AAA60E}" presName="connectorText" presStyleLbl="sibTrans2D1" presStyleIdx="2" presStyleCnt="6"/>
      <dgm:spPr/>
    </dgm:pt>
    <dgm:pt modelId="{111F23E5-B420-4650-9D84-772C89B41A00}" type="pres">
      <dgm:prSet presAssocID="{8EDC2905-D86F-455B-AFF8-A1F1819422DB}" presName="node" presStyleLbl="node1" presStyleIdx="3" presStyleCnt="7">
        <dgm:presLayoutVars>
          <dgm:bulletEnabled val="1"/>
        </dgm:presLayoutVars>
      </dgm:prSet>
      <dgm:spPr/>
    </dgm:pt>
    <dgm:pt modelId="{CC2C2BD9-35FA-4161-A10F-98D2160AE458}" type="pres">
      <dgm:prSet presAssocID="{D0AD4C08-172E-4662-BFC5-E08986C35594}" presName="sibTrans" presStyleLbl="sibTrans2D1" presStyleIdx="3" presStyleCnt="6"/>
      <dgm:spPr/>
    </dgm:pt>
    <dgm:pt modelId="{056F63E7-DE6F-4E08-A07B-D809527284DD}" type="pres">
      <dgm:prSet presAssocID="{D0AD4C08-172E-4662-BFC5-E08986C35594}" presName="connectorText" presStyleLbl="sibTrans2D1" presStyleIdx="3" presStyleCnt="6"/>
      <dgm:spPr/>
    </dgm:pt>
    <dgm:pt modelId="{ADC41F97-B87C-473D-83B2-95255E9426EB}" type="pres">
      <dgm:prSet presAssocID="{5D054396-B1F0-4CD2-947E-502E2EBF1642}" presName="node" presStyleLbl="node1" presStyleIdx="4" presStyleCnt="7">
        <dgm:presLayoutVars>
          <dgm:bulletEnabled val="1"/>
        </dgm:presLayoutVars>
      </dgm:prSet>
      <dgm:spPr/>
    </dgm:pt>
    <dgm:pt modelId="{B2B24EA8-67E4-4EC4-BADF-310F7F0E2219}" type="pres">
      <dgm:prSet presAssocID="{E8B15C07-1808-4D76-8281-494D4FF3DD12}" presName="sibTrans" presStyleLbl="sibTrans2D1" presStyleIdx="4" presStyleCnt="6"/>
      <dgm:spPr/>
    </dgm:pt>
    <dgm:pt modelId="{C14F8012-2BCA-46B7-AABB-9194F517DC0C}" type="pres">
      <dgm:prSet presAssocID="{E8B15C07-1808-4D76-8281-494D4FF3DD12}" presName="connectorText" presStyleLbl="sibTrans2D1" presStyleIdx="4" presStyleCnt="6"/>
      <dgm:spPr/>
    </dgm:pt>
    <dgm:pt modelId="{9DAA8A10-7848-4733-ABE7-94E9C4A1B372}" type="pres">
      <dgm:prSet presAssocID="{C1C619F0-F15F-4EB1-8A45-C3404580A255}" presName="node" presStyleLbl="node1" presStyleIdx="5" presStyleCnt="7">
        <dgm:presLayoutVars>
          <dgm:bulletEnabled val="1"/>
        </dgm:presLayoutVars>
      </dgm:prSet>
      <dgm:spPr/>
    </dgm:pt>
    <dgm:pt modelId="{778E514C-096B-40FE-B811-1611ECC24C42}" type="pres">
      <dgm:prSet presAssocID="{2D18DD08-0B0C-4430-AE19-434C8BE46DCA}" presName="sibTrans" presStyleLbl="sibTrans2D1" presStyleIdx="5" presStyleCnt="6"/>
      <dgm:spPr/>
    </dgm:pt>
    <dgm:pt modelId="{30A096DC-554D-4093-97D2-74D7C63A0BEC}" type="pres">
      <dgm:prSet presAssocID="{2D18DD08-0B0C-4430-AE19-434C8BE46DCA}" presName="connectorText" presStyleLbl="sibTrans2D1" presStyleIdx="5" presStyleCnt="6"/>
      <dgm:spPr/>
    </dgm:pt>
    <dgm:pt modelId="{7F326FB7-92A5-4E75-9165-9F775BCFC490}" type="pres">
      <dgm:prSet presAssocID="{B73C726B-CBC0-4667-B445-00E488054670}" presName="node" presStyleLbl="node1" presStyleIdx="6" presStyleCnt="7">
        <dgm:presLayoutVars>
          <dgm:bulletEnabled val="1"/>
        </dgm:presLayoutVars>
      </dgm:prSet>
      <dgm:spPr/>
    </dgm:pt>
  </dgm:ptLst>
  <dgm:cxnLst>
    <dgm:cxn modelId="{753D3300-C231-4C92-8D41-AE512E863FDC}" type="presOf" srcId="{D0AD4C08-172E-4662-BFC5-E08986C35594}" destId="{056F63E7-DE6F-4E08-A07B-D809527284DD}" srcOrd="1" destOrd="0" presId="urn:microsoft.com/office/officeart/2005/8/layout/process2"/>
    <dgm:cxn modelId="{CBE23202-EDDF-465D-8933-DBA6B03358D1}" srcId="{2BB36D99-F379-48FE-B4F3-01720D23E3F3}" destId="{43FA33A4-D3AD-4EA1-8D35-F93D09013ABA}" srcOrd="1" destOrd="0" parTransId="{BC2D0B0E-79D9-404F-983B-9DD068C5A40A}" sibTransId="{9F470AEE-ECD9-434B-8370-7E1B2E0BE9F4}"/>
    <dgm:cxn modelId="{16E2250C-6AFB-41F2-B183-EBDAF15BF160}" type="presOf" srcId="{F03924B3-E2EE-42B6-A4BC-58E957AAA60E}" destId="{660A2667-8D9E-479E-8A6A-B80895D0D2BC}" srcOrd="1" destOrd="0" presId="urn:microsoft.com/office/officeart/2005/8/layout/process2"/>
    <dgm:cxn modelId="{0D75A01B-B8C3-4DD3-8D52-06E159336736}" type="presOf" srcId="{9F470AEE-ECD9-434B-8370-7E1B2E0BE9F4}" destId="{4F7C4E30-793B-4E9F-9186-372767165C85}" srcOrd="0" destOrd="0" presId="urn:microsoft.com/office/officeart/2005/8/layout/process2"/>
    <dgm:cxn modelId="{6F875A2F-3FFF-4B56-95CD-9385AF715630}" type="presOf" srcId="{C1C619F0-F15F-4EB1-8A45-C3404580A255}" destId="{9DAA8A10-7848-4733-ABE7-94E9C4A1B372}" srcOrd="0" destOrd="0" presId="urn:microsoft.com/office/officeart/2005/8/layout/process2"/>
    <dgm:cxn modelId="{49F4932F-8F5F-41FE-9C5F-B34968C88302}" type="presOf" srcId="{952EB5CF-EA0A-4975-BAFB-D625E3F95E26}" destId="{5E0C0B42-388A-4617-950D-9711346F5F2B}" srcOrd="0" destOrd="0" presId="urn:microsoft.com/office/officeart/2005/8/layout/process2"/>
    <dgm:cxn modelId="{3C8F0C3B-B3CE-4A75-9D6B-7D3012803CEC}" type="presOf" srcId="{8EDC2905-D86F-455B-AFF8-A1F1819422DB}" destId="{111F23E5-B420-4650-9D84-772C89B41A00}" srcOrd="0" destOrd="0" presId="urn:microsoft.com/office/officeart/2005/8/layout/process2"/>
    <dgm:cxn modelId="{16E13B3D-EE75-4930-ABA5-C288A0B797A3}" type="presOf" srcId="{D0AD4C08-172E-4662-BFC5-E08986C35594}" destId="{CC2C2BD9-35FA-4161-A10F-98D2160AE458}" srcOrd="0" destOrd="0" presId="urn:microsoft.com/office/officeart/2005/8/layout/process2"/>
    <dgm:cxn modelId="{A0B88742-1EAD-4D9C-9262-F8FEF24ED144}" type="presOf" srcId="{E9D7811E-7024-4B7B-B5C5-7E640CBEE95B}" destId="{EC4A46C2-1669-4840-BED4-94E2CCB2697D}" srcOrd="1" destOrd="0" presId="urn:microsoft.com/office/officeart/2005/8/layout/process2"/>
    <dgm:cxn modelId="{5888104A-48A4-4CF2-B745-60059C36DCA8}" type="presOf" srcId="{B73C726B-CBC0-4667-B445-00E488054670}" destId="{7F326FB7-92A5-4E75-9165-9F775BCFC490}" srcOrd="0" destOrd="0" presId="urn:microsoft.com/office/officeart/2005/8/layout/process2"/>
    <dgm:cxn modelId="{6EBFC74B-D3D7-47F8-B7AF-597E4D07B6C3}" srcId="{2BB36D99-F379-48FE-B4F3-01720D23E3F3}" destId="{C1C619F0-F15F-4EB1-8A45-C3404580A255}" srcOrd="5" destOrd="0" parTransId="{DE107A51-9BF0-49F7-9D9D-BE3C30CFF5F7}" sibTransId="{2D18DD08-0B0C-4430-AE19-434C8BE46DCA}"/>
    <dgm:cxn modelId="{4E02984C-78C1-4B0B-BBEF-363DCBA4488F}" type="presOf" srcId="{F03924B3-E2EE-42B6-A4BC-58E957AAA60E}" destId="{1E2BBEB6-8246-4A8C-9E9F-E4A875F78CC7}" srcOrd="0" destOrd="0" presId="urn:microsoft.com/office/officeart/2005/8/layout/process2"/>
    <dgm:cxn modelId="{BCD6394E-C251-4041-AE64-D93A5D93E7C1}" type="presOf" srcId="{E9D7811E-7024-4B7B-B5C5-7E640CBEE95B}" destId="{2D3A06B5-74F6-42AF-89D0-2FF065A8868B}" srcOrd="0" destOrd="0" presId="urn:microsoft.com/office/officeart/2005/8/layout/process2"/>
    <dgm:cxn modelId="{04E6AE6F-4A80-415B-9C73-F8A4BC25BB24}" type="presOf" srcId="{2856149D-7421-4322-B077-8BC4B5C526AA}" destId="{8AEF7F8C-0538-4170-93E0-74720827DCAC}" srcOrd="0" destOrd="0" presId="urn:microsoft.com/office/officeart/2005/8/layout/process2"/>
    <dgm:cxn modelId="{ECE9F271-0F2F-47B5-A113-34C94CAF8EAE}" type="presOf" srcId="{9F470AEE-ECD9-434B-8370-7E1B2E0BE9F4}" destId="{CA2AEBF2-6FE8-49C4-8AB7-757A1C5FB4A7}" srcOrd="1" destOrd="0" presId="urn:microsoft.com/office/officeart/2005/8/layout/process2"/>
    <dgm:cxn modelId="{702D7285-4DBB-42DD-BB2F-6DD670777D8F}" type="presOf" srcId="{2D18DD08-0B0C-4430-AE19-434C8BE46DCA}" destId="{30A096DC-554D-4093-97D2-74D7C63A0BEC}" srcOrd="1" destOrd="0" presId="urn:microsoft.com/office/officeart/2005/8/layout/process2"/>
    <dgm:cxn modelId="{3F3A7AA2-1EA1-42D3-9AAD-893CA4739A43}" type="presOf" srcId="{E8B15C07-1808-4D76-8281-494D4FF3DD12}" destId="{C14F8012-2BCA-46B7-AABB-9194F517DC0C}" srcOrd="1" destOrd="0" presId="urn:microsoft.com/office/officeart/2005/8/layout/process2"/>
    <dgm:cxn modelId="{317789BA-D28A-43A6-8E46-AAFE44133D44}" type="presOf" srcId="{43FA33A4-D3AD-4EA1-8D35-F93D09013ABA}" destId="{9AEA5D81-A8CB-4DFC-A80C-4F50FA8B70A3}" srcOrd="0" destOrd="0" presId="urn:microsoft.com/office/officeart/2005/8/layout/process2"/>
    <dgm:cxn modelId="{B86CF8BC-B529-4DB1-8856-4ACB4A63C8CA}" srcId="{2BB36D99-F379-48FE-B4F3-01720D23E3F3}" destId="{5D054396-B1F0-4CD2-947E-502E2EBF1642}" srcOrd="4" destOrd="0" parTransId="{D0A01F56-22D9-476B-8BAF-5F6EA3F12892}" sibTransId="{E8B15C07-1808-4D76-8281-494D4FF3DD12}"/>
    <dgm:cxn modelId="{7942BCC0-6A00-41A6-880E-8EF2EC676AAF}" type="presOf" srcId="{5D054396-B1F0-4CD2-947E-502E2EBF1642}" destId="{ADC41F97-B87C-473D-83B2-95255E9426EB}" srcOrd="0" destOrd="0" presId="urn:microsoft.com/office/officeart/2005/8/layout/process2"/>
    <dgm:cxn modelId="{8D86BCC5-FE4E-4249-9A79-DB171D8884BC}" srcId="{2BB36D99-F379-48FE-B4F3-01720D23E3F3}" destId="{8EDC2905-D86F-455B-AFF8-A1F1819422DB}" srcOrd="3" destOrd="0" parTransId="{0480B719-F7F1-4996-A76C-43189DDF6321}" sibTransId="{D0AD4C08-172E-4662-BFC5-E08986C35594}"/>
    <dgm:cxn modelId="{ACFD60D9-A2AA-4E3F-957F-7FA293219008}" srcId="{2BB36D99-F379-48FE-B4F3-01720D23E3F3}" destId="{2856149D-7421-4322-B077-8BC4B5C526AA}" srcOrd="0" destOrd="0" parTransId="{C79D7B62-EB10-4F22-8C3A-165385C749EE}" sibTransId="{E9D7811E-7024-4B7B-B5C5-7E640CBEE95B}"/>
    <dgm:cxn modelId="{A6941BE0-E063-4CCE-8843-F37D7F323170}" srcId="{2BB36D99-F379-48FE-B4F3-01720D23E3F3}" destId="{B73C726B-CBC0-4667-B445-00E488054670}" srcOrd="6" destOrd="0" parTransId="{6119D5B6-6920-49F0-BE40-36E3FEAE68AF}" sibTransId="{C3C27EB9-46D4-43E4-99EB-FE0693718CA7}"/>
    <dgm:cxn modelId="{9E02EAEF-AC9E-4690-8C02-92E644209FB9}" type="presOf" srcId="{2D18DD08-0B0C-4430-AE19-434C8BE46DCA}" destId="{778E514C-096B-40FE-B811-1611ECC24C42}" srcOrd="0" destOrd="0" presId="urn:microsoft.com/office/officeart/2005/8/layout/process2"/>
    <dgm:cxn modelId="{0FE310F4-F953-422E-BF8A-E12B3C39D42D}" type="presOf" srcId="{2BB36D99-F379-48FE-B4F3-01720D23E3F3}" destId="{AC0F0602-928B-4E3D-91FF-C6287D80DAAE}" srcOrd="0" destOrd="0" presId="urn:microsoft.com/office/officeart/2005/8/layout/process2"/>
    <dgm:cxn modelId="{9E7FEBF6-B94E-433D-931A-9CDBA9214092}" type="presOf" srcId="{E8B15C07-1808-4D76-8281-494D4FF3DD12}" destId="{B2B24EA8-67E4-4EC4-BADF-310F7F0E2219}" srcOrd="0" destOrd="0" presId="urn:microsoft.com/office/officeart/2005/8/layout/process2"/>
    <dgm:cxn modelId="{DD735CFF-6FA7-4351-A05B-9D16620E9003}" srcId="{2BB36D99-F379-48FE-B4F3-01720D23E3F3}" destId="{952EB5CF-EA0A-4975-BAFB-D625E3F95E26}" srcOrd="2" destOrd="0" parTransId="{08002E95-E406-4ED4-B79B-D3B582F5C406}" sibTransId="{F03924B3-E2EE-42B6-A4BC-58E957AAA60E}"/>
    <dgm:cxn modelId="{B3AB6261-103F-4E5E-AEEC-84B0F0880780}" type="presParOf" srcId="{AC0F0602-928B-4E3D-91FF-C6287D80DAAE}" destId="{8AEF7F8C-0538-4170-93E0-74720827DCAC}" srcOrd="0" destOrd="0" presId="urn:microsoft.com/office/officeart/2005/8/layout/process2"/>
    <dgm:cxn modelId="{3165D2EE-4E94-4ABA-8AD5-1F74200650F2}" type="presParOf" srcId="{AC0F0602-928B-4E3D-91FF-C6287D80DAAE}" destId="{2D3A06B5-74F6-42AF-89D0-2FF065A8868B}" srcOrd="1" destOrd="0" presId="urn:microsoft.com/office/officeart/2005/8/layout/process2"/>
    <dgm:cxn modelId="{CF1131CF-F4F0-45B0-A395-D25F1A25EE6E}" type="presParOf" srcId="{2D3A06B5-74F6-42AF-89D0-2FF065A8868B}" destId="{EC4A46C2-1669-4840-BED4-94E2CCB2697D}" srcOrd="0" destOrd="0" presId="urn:microsoft.com/office/officeart/2005/8/layout/process2"/>
    <dgm:cxn modelId="{0A5D6458-C53D-480A-8210-C8AA1D889FBE}" type="presParOf" srcId="{AC0F0602-928B-4E3D-91FF-C6287D80DAAE}" destId="{9AEA5D81-A8CB-4DFC-A80C-4F50FA8B70A3}" srcOrd="2" destOrd="0" presId="urn:microsoft.com/office/officeart/2005/8/layout/process2"/>
    <dgm:cxn modelId="{303C1C44-A424-42B2-8C67-37A8BBE9032B}" type="presParOf" srcId="{AC0F0602-928B-4E3D-91FF-C6287D80DAAE}" destId="{4F7C4E30-793B-4E9F-9186-372767165C85}" srcOrd="3" destOrd="0" presId="urn:microsoft.com/office/officeart/2005/8/layout/process2"/>
    <dgm:cxn modelId="{81F545A4-859A-49F7-96C5-C8C7B3D062DE}" type="presParOf" srcId="{4F7C4E30-793B-4E9F-9186-372767165C85}" destId="{CA2AEBF2-6FE8-49C4-8AB7-757A1C5FB4A7}" srcOrd="0" destOrd="0" presId="urn:microsoft.com/office/officeart/2005/8/layout/process2"/>
    <dgm:cxn modelId="{B539BBFA-4872-4637-B8DE-F16F4C721DD0}" type="presParOf" srcId="{AC0F0602-928B-4E3D-91FF-C6287D80DAAE}" destId="{5E0C0B42-388A-4617-950D-9711346F5F2B}" srcOrd="4" destOrd="0" presId="urn:microsoft.com/office/officeart/2005/8/layout/process2"/>
    <dgm:cxn modelId="{FBCB99DA-7FEA-4C87-B383-31F2DA3813A9}" type="presParOf" srcId="{AC0F0602-928B-4E3D-91FF-C6287D80DAAE}" destId="{1E2BBEB6-8246-4A8C-9E9F-E4A875F78CC7}" srcOrd="5" destOrd="0" presId="urn:microsoft.com/office/officeart/2005/8/layout/process2"/>
    <dgm:cxn modelId="{F397BA08-8446-45FE-9100-C608581E8660}" type="presParOf" srcId="{1E2BBEB6-8246-4A8C-9E9F-E4A875F78CC7}" destId="{660A2667-8D9E-479E-8A6A-B80895D0D2BC}" srcOrd="0" destOrd="0" presId="urn:microsoft.com/office/officeart/2005/8/layout/process2"/>
    <dgm:cxn modelId="{3203880A-2F93-40B3-8493-58764A216DDD}" type="presParOf" srcId="{AC0F0602-928B-4E3D-91FF-C6287D80DAAE}" destId="{111F23E5-B420-4650-9D84-772C89B41A00}" srcOrd="6" destOrd="0" presId="urn:microsoft.com/office/officeart/2005/8/layout/process2"/>
    <dgm:cxn modelId="{F34C2B81-640C-44F7-860A-1D673C1329A5}" type="presParOf" srcId="{AC0F0602-928B-4E3D-91FF-C6287D80DAAE}" destId="{CC2C2BD9-35FA-4161-A10F-98D2160AE458}" srcOrd="7" destOrd="0" presId="urn:microsoft.com/office/officeart/2005/8/layout/process2"/>
    <dgm:cxn modelId="{909B19EC-E7C1-46B6-B746-57A0977B4221}" type="presParOf" srcId="{CC2C2BD9-35FA-4161-A10F-98D2160AE458}" destId="{056F63E7-DE6F-4E08-A07B-D809527284DD}" srcOrd="0" destOrd="0" presId="urn:microsoft.com/office/officeart/2005/8/layout/process2"/>
    <dgm:cxn modelId="{785F7B84-8FCA-4AC3-B3A9-837BFBAFB2DC}" type="presParOf" srcId="{AC0F0602-928B-4E3D-91FF-C6287D80DAAE}" destId="{ADC41F97-B87C-473D-83B2-95255E9426EB}" srcOrd="8" destOrd="0" presId="urn:microsoft.com/office/officeart/2005/8/layout/process2"/>
    <dgm:cxn modelId="{F256AB0A-1A42-4425-8CC6-70D96E0F5BD1}" type="presParOf" srcId="{AC0F0602-928B-4E3D-91FF-C6287D80DAAE}" destId="{B2B24EA8-67E4-4EC4-BADF-310F7F0E2219}" srcOrd="9" destOrd="0" presId="urn:microsoft.com/office/officeart/2005/8/layout/process2"/>
    <dgm:cxn modelId="{1A1E79A1-7666-44AA-BB87-A3FA5642882A}" type="presParOf" srcId="{B2B24EA8-67E4-4EC4-BADF-310F7F0E2219}" destId="{C14F8012-2BCA-46B7-AABB-9194F517DC0C}" srcOrd="0" destOrd="0" presId="urn:microsoft.com/office/officeart/2005/8/layout/process2"/>
    <dgm:cxn modelId="{A3817AAE-9ED8-4B06-9C0F-8FAA725FF713}" type="presParOf" srcId="{AC0F0602-928B-4E3D-91FF-C6287D80DAAE}" destId="{9DAA8A10-7848-4733-ABE7-94E9C4A1B372}" srcOrd="10" destOrd="0" presId="urn:microsoft.com/office/officeart/2005/8/layout/process2"/>
    <dgm:cxn modelId="{738A49A7-E1F9-4651-BE22-D1E432E901A5}" type="presParOf" srcId="{AC0F0602-928B-4E3D-91FF-C6287D80DAAE}" destId="{778E514C-096B-40FE-B811-1611ECC24C42}" srcOrd="11" destOrd="0" presId="urn:microsoft.com/office/officeart/2005/8/layout/process2"/>
    <dgm:cxn modelId="{744D30E8-F7EE-4225-98D6-024354E0291E}" type="presParOf" srcId="{778E514C-096B-40FE-B811-1611ECC24C42}" destId="{30A096DC-554D-4093-97D2-74D7C63A0BEC}" srcOrd="0" destOrd="0" presId="urn:microsoft.com/office/officeart/2005/8/layout/process2"/>
    <dgm:cxn modelId="{9A94AF2A-CA5D-4E97-B0B6-8AE50DC38234}" type="presParOf" srcId="{AC0F0602-928B-4E3D-91FF-C6287D80DAAE}" destId="{7F326FB7-92A5-4E75-9165-9F775BCFC490}" srcOrd="12" destOrd="0" presId="urn:microsoft.com/office/officeart/2005/8/layout/process2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8AEF7F8C-0538-4170-93E0-74720827DCAC}">
      <dsp:nvSpPr>
        <dsp:cNvPr id="0" name=""/>
        <dsp:cNvSpPr/>
      </dsp:nvSpPr>
      <dsp:spPr>
        <a:xfrm>
          <a:off x="336033" y="1883"/>
          <a:ext cx="1232933" cy="308233"/>
        </a:xfrm>
        <a:prstGeom prst="roundRect">
          <a:avLst>
            <a:gd name="adj" fmla="val 10000"/>
          </a:avLst>
        </a:prstGeom>
        <a:solidFill>
          <a:schemeClr val="accent2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1. Identify broad area of study</a:t>
          </a:r>
        </a:p>
      </dsp:txBody>
      <dsp:txXfrm>
        <a:off x="345061" y="10911"/>
        <a:ext cx="1214877" cy="290177"/>
      </dsp:txXfrm>
    </dsp:sp>
    <dsp:sp modelId="{2D3A06B5-74F6-42AF-89D0-2FF065A8868B}">
      <dsp:nvSpPr>
        <dsp:cNvPr id="0" name=""/>
        <dsp:cNvSpPr/>
      </dsp:nvSpPr>
      <dsp:spPr>
        <a:xfrm rot="5400000">
          <a:off x="894706" y="317822"/>
          <a:ext cx="115587" cy="138705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shade val="9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 rot="-5400000">
        <a:off x="910888" y="329381"/>
        <a:ext cx="83223" cy="80911"/>
      </dsp:txXfrm>
    </dsp:sp>
    <dsp:sp modelId="{9AEA5D81-A8CB-4DFC-A80C-4F50FA8B70A3}">
      <dsp:nvSpPr>
        <dsp:cNvPr id="0" name=""/>
        <dsp:cNvSpPr/>
      </dsp:nvSpPr>
      <dsp:spPr>
        <a:xfrm>
          <a:off x="336033" y="464233"/>
          <a:ext cx="1232933" cy="308233"/>
        </a:xfrm>
        <a:prstGeom prst="roundRect">
          <a:avLst>
            <a:gd name="adj" fmla="val 10000"/>
          </a:avLst>
        </a:prstGeom>
        <a:solidFill>
          <a:schemeClr val="accent2">
            <a:alpha val="90000"/>
            <a:hueOff val="0"/>
            <a:satOff val="0"/>
            <a:lumOff val="0"/>
            <a:alphaOff val="-6667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2. Select the research topic</a:t>
          </a:r>
        </a:p>
      </dsp:txBody>
      <dsp:txXfrm>
        <a:off x="345061" y="473261"/>
        <a:ext cx="1214877" cy="290177"/>
      </dsp:txXfrm>
    </dsp:sp>
    <dsp:sp modelId="{4F7C4E30-793B-4E9F-9186-372767165C85}">
      <dsp:nvSpPr>
        <dsp:cNvPr id="0" name=""/>
        <dsp:cNvSpPr/>
      </dsp:nvSpPr>
      <dsp:spPr>
        <a:xfrm rot="5400000">
          <a:off x="894706" y="780172"/>
          <a:ext cx="115587" cy="138705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shade val="90000"/>
            <a:hueOff val="-114936"/>
            <a:satOff val="82"/>
            <a:lumOff val="6423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 rot="-5400000">
        <a:off x="910888" y="791731"/>
        <a:ext cx="83223" cy="80911"/>
      </dsp:txXfrm>
    </dsp:sp>
    <dsp:sp modelId="{5E0C0B42-388A-4617-950D-9711346F5F2B}">
      <dsp:nvSpPr>
        <dsp:cNvPr id="0" name=""/>
        <dsp:cNvSpPr/>
      </dsp:nvSpPr>
      <dsp:spPr>
        <a:xfrm>
          <a:off x="336033" y="926583"/>
          <a:ext cx="1232933" cy="308233"/>
        </a:xfrm>
        <a:prstGeom prst="roundRect">
          <a:avLst>
            <a:gd name="adj" fmla="val 10000"/>
          </a:avLst>
        </a:prstGeom>
        <a:solidFill>
          <a:schemeClr val="accent2">
            <a:alpha val="90000"/>
            <a:hueOff val="0"/>
            <a:satOff val="0"/>
            <a:lumOff val="0"/>
            <a:alphaOff val="-13333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3. Decide the approach</a:t>
          </a:r>
        </a:p>
      </dsp:txBody>
      <dsp:txXfrm>
        <a:off x="345061" y="935611"/>
        <a:ext cx="1214877" cy="290177"/>
      </dsp:txXfrm>
    </dsp:sp>
    <dsp:sp modelId="{1E2BBEB6-8246-4A8C-9E9F-E4A875F78CC7}">
      <dsp:nvSpPr>
        <dsp:cNvPr id="0" name=""/>
        <dsp:cNvSpPr/>
      </dsp:nvSpPr>
      <dsp:spPr>
        <a:xfrm rot="5400000">
          <a:off x="894706" y="1242522"/>
          <a:ext cx="115587" cy="138705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shade val="90000"/>
            <a:hueOff val="-229872"/>
            <a:satOff val="164"/>
            <a:lumOff val="12846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 rot="-5400000">
        <a:off x="910888" y="1254081"/>
        <a:ext cx="83223" cy="80911"/>
      </dsp:txXfrm>
    </dsp:sp>
    <dsp:sp modelId="{111F23E5-B420-4650-9D84-772C89B41A00}">
      <dsp:nvSpPr>
        <dsp:cNvPr id="0" name=""/>
        <dsp:cNvSpPr/>
      </dsp:nvSpPr>
      <dsp:spPr>
        <a:xfrm>
          <a:off x="336033" y="1388933"/>
          <a:ext cx="1232933" cy="308233"/>
        </a:xfrm>
        <a:prstGeom prst="roundRect">
          <a:avLst>
            <a:gd name="adj" fmla="val 10000"/>
          </a:avLst>
        </a:prstGeom>
        <a:solidFill>
          <a:schemeClr val="accent2">
            <a:alpha val="90000"/>
            <a:hueOff val="0"/>
            <a:satOff val="0"/>
            <a:lumOff val="0"/>
            <a:alphaOff val="-2000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4. Formulate the plan</a:t>
          </a:r>
        </a:p>
      </dsp:txBody>
      <dsp:txXfrm>
        <a:off x="345061" y="1397961"/>
        <a:ext cx="1214877" cy="290177"/>
      </dsp:txXfrm>
    </dsp:sp>
    <dsp:sp modelId="{CC2C2BD9-35FA-4161-A10F-98D2160AE458}">
      <dsp:nvSpPr>
        <dsp:cNvPr id="0" name=""/>
        <dsp:cNvSpPr/>
      </dsp:nvSpPr>
      <dsp:spPr>
        <a:xfrm rot="5400000">
          <a:off x="894706" y="1704872"/>
          <a:ext cx="115587" cy="138705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shade val="90000"/>
            <a:hueOff val="-344809"/>
            <a:satOff val="245"/>
            <a:lumOff val="19268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 rot="-5400000">
        <a:off x="910888" y="1716431"/>
        <a:ext cx="83223" cy="80911"/>
      </dsp:txXfrm>
    </dsp:sp>
    <dsp:sp modelId="{ADC41F97-B87C-473D-83B2-95255E9426EB}">
      <dsp:nvSpPr>
        <dsp:cNvPr id="0" name=""/>
        <dsp:cNvSpPr/>
      </dsp:nvSpPr>
      <dsp:spPr>
        <a:xfrm>
          <a:off x="336033" y="1851283"/>
          <a:ext cx="1232933" cy="308233"/>
        </a:xfrm>
        <a:prstGeom prst="roundRect">
          <a:avLst>
            <a:gd name="adj" fmla="val 10000"/>
          </a:avLst>
        </a:prstGeom>
        <a:solidFill>
          <a:schemeClr val="accent2">
            <a:alpha val="90000"/>
            <a:hueOff val="0"/>
            <a:satOff val="0"/>
            <a:lumOff val="0"/>
            <a:alphaOff val="-26667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5. Collect the data or information</a:t>
          </a:r>
        </a:p>
      </dsp:txBody>
      <dsp:txXfrm>
        <a:off x="345061" y="1860311"/>
        <a:ext cx="1214877" cy="290177"/>
      </dsp:txXfrm>
    </dsp:sp>
    <dsp:sp modelId="{B2B24EA8-67E4-4EC4-BADF-310F7F0E2219}">
      <dsp:nvSpPr>
        <dsp:cNvPr id="0" name=""/>
        <dsp:cNvSpPr/>
      </dsp:nvSpPr>
      <dsp:spPr>
        <a:xfrm rot="5400000">
          <a:off x="894706" y="2167222"/>
          <a:ext cx="115587" cy="138705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shade val="90000"/>
            <a:hueOff val="-459745"/>
            <a:satOff val="327"/>
            <a:lumOff val="25691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 rot="-5400000">
        <a:off x="910888" y="2178781"/>
        <a:ext cx="83223" cy="80911"/>
      </dsp:txXfrm>
    </dsp:sp>
    <dsp:sp modelId="{9DAA8A10-7848-4733-ABE7-94E9C4A1B372}">
      <dsp:nvSpPr>
        <dsp:cNvPr id="0" name=""/>
        <dsp:cNvSpPr/>
      </dsp:nvSpPr>
      <dsp:spPr>
        <a:xfrm>
          <a:off x="336033" y="2313633"/>
          <a:ext cx="1232933" cy="308233"/>
        </a:xfrm>
        <a:prstGeom prst="roundRect">
          <a:avLst>
            <a:gd name="adj" fmla="val 10000"/>
          </a:avLst>
        </a:prstGeom>
        <a:solidFill>
          <a:schemeClr val="accent2">
            <a:alpha val="90000"/>
            <a:hueOff val="0"/>
            <a:satOff val="0"/>
            <a:lumOff val="0"/>
            <a:alphaOff val="-33333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6. Anaylise and interpret data</a:t>
          </a:r>
        </a:p>
      </dsp:txBody>
      <dsp:txXfrm>
        <a:off x="345061" y="2322661"/>
        <a:ext cx="1214877" cy="290177"/>
      </dsp:txXfrm>
    </dsp:sp>
    <dsp:sp modelId="{778E514C-096B-40FE-B811-1611ECC24C42}">
      <dsp:nvSpPr>
        <dsp:cNvPr id="0" name=""/>
        <dsp:cNvSpPr/>
      </dsp:nvSpPr>
      <dsp:spPr>
        <a:xfrm rot="5400000">
          <a:off x="894706" y="2629572"/>
          <a:ext cx="115587" cy="138705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shade val="90000"/>
            <a:hueOff val="-574681"/>
            <a:satOff val="409"/>
            <a:lumOff val="32114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 rot="-5400000">
        <a:off x="910888" y="2641131"/>
        <a:ext cx="83223" cy="80911"/>
      </dsp:txXfrm>
    </dsp:sp>
    <dsp:sp modelId="{7F326FB7-92A5-4E75-9165-9F775BCFC490}">
      <dsp:nvSpPr>
        <dsp:cNvPr id="0" name=""/>
        <dsp:cNvSpPr/>
      </dsp:nvSpPr>
      <dsp:spPr>
        <a:xfrm>
          <a:off x="336033" y="2775983"/>
          <a:ext cx="1232933" cy="308233"/>
        </a:xfrm>
        <a:prstGeom prst="roundRect">
          <a:avLst>
            <a:gd name="adj" fmla="val 10000"/>
          </a:avLst>
        </a:prstGeom>
        <a:solidFill>
          <a:schemeClr val="accent2">
            <a:alpha val="90000"/>
            <a:hueOff val="0"/>
            <a:satOff val="0"/>
            <a:lumOff val="0"/>
            <a:alphaOff val="-4000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7. Present the Findings</a:t>
          </a:r>
        </a:p>
      </dsp:txBody>
      <dsp:txXfrm>
        <a:off x="345061" y="2785011"/>
        <a:ext cx="1214877" cy="290177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process2">
  <dgm:title val=""/>
  <dgm:desc val=""/>
  <dgm:catLst>
    <dgm:cat type="process" pri="13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linearFlow">
    <dgm:varLst>
      <dgm:resizeHandles val="exact"/>
    </dgm:varLst>
    <dgm:alg type="lin">
      <dgm:param type="linDir" val="fromT"/>
    </dgm:alg>
    <dgm:shape xmlns:r="http://schemas.openxmlformats.org/officeDocument/2006/relationships" r:blip="">
      <dgm:adjLst/>
    </dgm:shape>
    <dgm:presOf/>
    <dgm:constrLst>
      <dgm:constr type="h" for="ch" ptType="node" refType="h"/>
      <dgm:constr type="h" for="ch" ptType="sibTrans" refType="h" refFor="ch" refPtType="node" fact="0.5"/>
      <dgm:constr type="w" for="ch" ptType="node" op="equ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choose name="Name0">
          <dgm:if name="Name1" axis="root des" ptType="all node" func="maxDepth" op="gt" val="1">
            <dgm:alg type="tx">
              <dgm:param type="parTxLTRAlign" val="l"/>
              <dgm:param type="parTxRTLAlign" val="r"/>
              <dgm:param type="txAnchorVertCh" val="mid"/>
            </dgm:alg>
          </dgm:if>
          <dgm:else name="Name2">
            <dgm:alg type="tx"/>
          </dgm:else>
        </dgm:choose>
        <dgm:shape xmlns:r="http://schemas.openxmlformats.org/officeDocument/2006/relationships" type="roundRect" r:blip="">
          <dgm:adjLst>
            <dgm:adj idx="1" val="0.1"/>
          </dgm:adjLst>
        </dgm:shape>
        <dgm:presOf axis="desOrSelf" ptType="node"/>
        <dgm:constrLst>
          <dgm:constr type="w" refType="h" fact="1.8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18" fact="NaN" max="NaN"/>
          <dgm:rule type="w" val="NaN" fact="4" max="NaN"/>
          <dgm:rule type="primFontSz" val="5" fact="NaN" max="NaN"/>
        </dgm:ruleLst>
      </dgm:layoutNode>
      <dgm:forEach name="sibTransForEach" axis="followSib" ptType="sibTrans" cnt="1">
        <dgm:layoutNode name="sibTrans">
          <dgm:alg type="conn">
            <dgm:param type="begPts" val="auto"/>
            <dgm:param type="endPts" val="auto"/>
          </dgm:alg>
          <dgm:shape xmlns:r="http://schemas.openxmlformats.org/officeDocument/2006/relationships" type="conn" r:blip="">
            <dgm:adjLst/>
          </dgm:shape>
          <dgm:presOf axis="self"/>
          <dgm:constrLst>
            <dgm:constr type="w" refType="h" fact="0.9"/>
            <dgm:constr type="connDist"/>
            <dgm:constr type="wArH" refType="w" fact="0.5"/>
            <dgm:constr type="hArH" refType="w"/>
            <dgm:constr type="stemThick" refType="w" fact="0.6"/>
            <dgm:constr type="begPad" refType="connDist" fact="0.125"/>
            <dgm:constr type="endPad" refType="connDist" fact="0.125"/>
          </dgm:constrLst>
          <dgm:ruleLst/>
          <dgm:layoutNode name="connectorText">
            <dgm:alg type="tx">
              <dgm:param type="autoTxRot" val="upr"/>
            </dgm:alg>
            <dgm:shape xmlns:r="http://schemas.openxmlformats.org/officeDocument/2006/relationships" type="conn" r:blip="" hideGeom="1">
              <dgm:adjLst/>
            </dgm:shape>
            <dgm:presOf axis="self"/>
            <dgm:constrLst>
              <dgm:constr type="lMarg"/>
              <dgm:constr type="rMarg"/>
              <dgm:constr type="tMarg"/>
              <dgm:constr type="bMarg"/>
            </dgm:constrLst>
            <dgm:ruleLst>
              <dgm:rule type="primFontSz" val="5" fact="NaN" max="NaN"/>
            </dgm:ruleLst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811C774-8526-4D03-87DD-41F8EB3191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1405</Words>
  <Characters>8011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Harries</dc:creator>
  <cp:keywords/>
  <dc:description/>
  <cp:lastModifiedBy>Lee Harries</cp:lastModifiedBy>
  <cp:revision>2</cp:revision>
  <cp:lastPrinted>2020-05-06T09:34:00Z</cp:lastPrinted>
  <dcterms:created xsi:type="dcterms:W3CDTF">2020-05-06T10:07:00Z</dcterms:created>
  <dcterms:modified xsi:type="dcterms:W3CDTF">2020-05-06T10:07:00Z</dcterms:modified>
</cp:coreProperties>
</file>