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Calibri" w:cs="Calibri" w:eastAsia="Calibri" w:hAnsi="Calibri"/>
          <w:sz w:val="21"/>
          <w:szCs w:val="21"/>
        </w:rPr>
      </w:pPr>
      <w:r w:rsidDel="00000000" w:rsidR="00000000" w:rsidRPr="00000000">
        <w:rPr>
          <w:rFonts w:ascii="Calibri" w:cs="Calibri" w:eastAsia="Calibri" w:hAnsi="Calibri"/>
          <w:sz w:val="21"/>
          <w:szCs w:val="21"/>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6">
      <w:pPr>
        <w:pStyle w:val="Heading3"/>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Fonts w:ascii="Calibri" w:cs="Calibri" w:eastAsia="Calibri" w:hAnsi="Calibri"/>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rFonts w:ascii="Calibri" w:cs="Calibri" w:eastAsia="Calibri" w:hAnsi="Calibri"/>
              </w:rPr>
            </w:pPr>
            <w:r w:rsidDel="00000000" w:rsidR="00000000" w:rsidRPr="00000000">
              <w:rPr>
                <w:rFonts w:ascii="Calibri" w:cs="Calibri" w:eastAsia="Calibri" w:hAnsi="Calibri"/>
                <w:b w:val="1"/>
                <w:rtl w:val="0"/>
              </w:rPr>
              <w:t xml:space="preserve">For completion by the student</w:t>
            </w:r>
            <w:r w:rsidDel="00000000" w:rsidR="00000000" w:rsidRPr="00000000">
              <w:rPr>
                <w:rFonts w:ascii="Calibri" w:cs="Calibri" w:eastAsia="Calibri" w:hAnsi="Calibri"/>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Student Name: Katherine Azima</w:t>
            </w:r>
          </w:p>
          <w:p w:rsidR="00000000" w:rsidDel="00000000" w:rsidP="00000000" w:rsidRDefault="00000000" w:rsidRPr="00000000" w14:paraId="0000000F">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10">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Student </w:t>
            </w:r>
            <w:r w:rsidDel="00000000" w:rsidR="00000000" w:rsidRPr="00000000">
              <w:rPr>
                <w:rFonts w:ascii="Calibri" w:cs="Calibri" w:eastAsia="Calibri" w:hAnsi="Calibri"/>
                <w:b w:val="1"/>
                <w:u w:val="single"/>
                <w:rtl w:val="0"/>
              </w:rPr>
              <w:t xml:space="preserve">University</w:t>
            </w:r>
            <w:r w:rsidDel="00000000" w:rsidR="00000000" w:rsidRPr="00000000">
              <w:rPr>
                <w:rFonts w:ascii="Calibri" w:cs="Calibri" w:eastAsia="Calibri" w:hAnsi="Calibri"/>
                <w:u w:val="single"/>
                <w:rtl w:val="0"/>
              </w:rPr>
              <w:t xml:space="preserve"> </w:t>
            </w:r>
            <w:r w:rsidDel="00000000" w:rsidR="00000000" w:rsidRPr="00000000">
              <w:rPr>
                <w:rFonts w:ascii="Calibri" w:cs="Calibri" w:eastAsia="Calibri" w:hAnsi="Calibri"/>
                <w:rtl w:val="0"/>
              </w:rPr>
              <w:t xml:space="preserve">Email:</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2219013@student.uwtsd.ac.uk</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rFonts w:ascii="Calibri" w:cs="Calibri" w:eastAsia="Calibri" w:hAnsi="Calibri"/>
                <w:b w:val="1"/>
              </w:rPr>
            </w:pPr>
            <w:r w:rsidDel="00000000" w:rsidR="00000000" w:rsidRPr="00000000">
              <w:rPr>
                <w:rFonts w:ascii="Calibri" w:cs="Calibri" w:eastAsia="Calibri" w:hAnsi="Calibri"/>
                <w:b w:val="1"/>
                <w:rtl w:val="0"/>
              </w:rPr>
              <w:t xml:space="preserve">Module code: </w:t>
            </w:r>
          </w:p>
          <w:p w:rsidR="00000000" w:rsidDel="00000000" w:rsidP="00000000" w:rsidRDefault="00000000" w:rsidRPr="00000000" w14:paraId="00000016">
            <w:pPr>
              <w:jc w:val="left"/>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HPCA7015</w:t>
            </w:r>
          </w:p>
          <w:p w:rsidR="00000000" w:rsidDel="00000000" w:rsidP="00000000" w:rsidRDefault="00000000" w:rsidRPr="00000000" w14:paraId="00000017">
            <w:pPr>
              <w:spacing w:line="240" w:lineRule="auto"/>
              <w:ind w:right="34"/>
              <w:rPr>
                <w:rFonts w:ascii="Calibri" w:cs="Calibri" w:eastAsia="Calibri" w:hAnsi="Calibri"/>
                <w:b w:val="1"/>
              </w:rPr>
            </w:pPr>
            <w:r w:rsidDel="00000000" w:rsidR="00000000" w:rsidRPr="00000000">
              <w:rPr>
                <w:rFonts w:ascii="Calibri" w:cs="Calibri" w:eastAsia="Calibri" w:hAnsi="Calibri"/>
                <w:b w:val="1"/>
                <w:rtl w:val="0"/>
              </w:rPr>
              <w:t xml:space="preserve">Module title:</w:t>
            </w:r>
          </w:p>
          <w:p w:rsidR="00000000" w:rsidDel="00000000" w:rsidP="00000000" w:rsidRDefault="00000000" w:rsidRPr="00000000" w14:paraId="00000018">
            <w:pPr>
              <w:jc w:val="left"/>
              <w:rPr>
                <w:rFonts w:ascii="Calibri" w:cs="Calibri" w:eastAsia="Calibri" w:hAnsi="Calibri"/>
              </w:rPr>
            </w:pPr>
            <w:r w:rsidDel="00000000" w:rsidR="00000000" w:rsidRPr="00000000">
              <w:rPr>
                <w:rFonts w:ascii="Calibri" w:cs="Calibri" w:eastAsia="Calibri" w:hAnsi="Calibri"/>
                <w:sz w:val="24"/>
                <w:szCs w:val="24"/>
                <w:highlight w:val="white"/>
                <w:rtl w:val="0"/>
              </w:rPr>
              <w:t xml:space="preserve">Foundations of Cultural </w:t>
              <w:br w:type="textWrapping"/>
              <w:t xml:space="preserve">Astronomy and Astrology</w:t>
            </w:r>
            <w:r w:rsidDel="00000000" w:rsidR="00000000" w:rsidRPr="00000000">
              <w:rPr>
                <w:rtl w:val="0"/>
              </w:rPr>
            </w:r>
          </w:p>
          <w:p w:rsidR="00000000" w:rsidDel="00000000" w:rsidP="00000000" w:rsidRDefault="00000000" w:rsidRPr="00000000" w14:paraId="00000019">
            <w:pPr>
              <w:spacing w:line="240" w:lineRule="auto"/>
              <w:ind w:right="34"/>
              <w:rPr>
                <w:rFonts w:ascii="Calibri" w:cs="Calibri" w:eastAsia="Calibri" w:hAnsi="Calibri"/>
                <w:b w:val="1"/>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rFonts w:ascii="Calibri" w:cs="Calibri" w:eastAsia="Calibri" w:hAnsi="Calibri"/>
                <w:b w:val="1"/>
              </w:rPr>
            </w:pPr>
            <w:r w:rsidDel="00000000" w:rsidR="00000000" w:rsidRPr="00000000">
              <w:rPr>
                <w:rFonts w:ascii="Calibri" w:cs="Calibri" w:eastAsia="Calibri" w:hAnsi="Calibri"/>
                <w:b w:val="1"/>
                <w:rtl w:val="0"/>
              </w:rPr>
              <w:t xml:space="preserve">Student ID number:</w:t>
            </w:r>
          </w:p>
          <w:p w:rsidR="00000000" w:rsidDel="00000000" w:rsidP="00000000" w:rsidRDefault="00000000" w:rsidRPr="00000000" w14:paraId="0000001B">
            <w:pPr>
              <w:spacing w:line="240" w:lineRule="auto"/>
              <w:ind w:right="34"/>
              <w:rPr>
                <w:rFonts w:ascii="Calibri" w:cs="Calibri" w:eastAsia="Calibri" w:hAnsi="Calibri"/>
                <w:b w:val="1"/>
              </w:rPr>
            </w:pPr>
            <w:r w:rsidDel="00000000" w:rsidR="00000000" w:rsidRPr="00000000">
              <w:rPr>
                <w:rtl w:val="0"/>
              </w:rPr>
            </w:r>
          </w:p>
          <w:p w:rsidR="00000000" w:rsidDel="00000000" w:rsidP="00000000" w:rsidRDefault="00000000" w:rsidRPr="00000000" w14:paraId="0000001C">
            <w:pPr>
              <w:spacing w:line="240" w:lineRule="auto"/>
              <w:ind w:right="34"/>
              <w:rPr>
                <w:rFonts w:ascii="Calibri" w:cs="Calibri" w:eastAsia="Calibri" w:hAnsi="Calibri"/>
                <w:b w:val="1"/>
              </w:rPr>
            </w:pPr>
            <w:r w:rsidDel="00000000" w:rsidR="00000000" w:rsidRPr="00000000">
              <w:rPr>
                <w:rtl w:val="0"/>
              </w:rPr>
            </w:r>
          </w:p>
          <w:p w:rsidR="00000000" w:rsidDel="00000000" w:rsidP="00000000" w:rsidRDefault="00000000" w:rsidRPr="00000000" w14:paraId="0000001D">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2219013</w:t>
            </w:r>
          </w:p>
        </w:tc>
        <w:tc>
          <w:tcPr>
            <w:vAlign w:val="top"/>
          </w:tcPr>
          <w:p w:rsidR="00000000" w:rsidDel="00000000" w:rsidP="00000000" w:rsidRDefault="00000000" w:rsidRPr="00000000" w14:paraId="00000020">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Educational support needs:</w:t>
            </w:r>
          </w:p>
          <w:p w:rsidR="00000000" w:rsidDel="00000000" w:rsidP="00000000" w:rsidRDefault="00000000" w:rsidRPr="00000000" w14:paraId="00000021">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Yes/No</w:t>
            </w:r>
          </w:p>
          <w:p w:rsidR="00000000" w:rsidDel="00000000" w:rsidP="00000000" w:rsidRDefault="00000000" w:rsidRPr="00000000" w14:paraId="00000022">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3">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4">
            <w:pPr>
              <w:spacing w:line="240" w:lineRule="auto"/>
              <w:ind w:right="34"/>
              <w:rPr>
                <w:rFonts w:ascii="Calibri" w:cs="Calibri" w:eastAsia="Calibri" w:hAnsi="Calibri"/>
                <w:sz w:val="24"/>
                <w:szCs w:val="24"/>
                <w:highlight w:val="white"/>
              </w:rPr>
            </w:pPr>
            <w:r w:rsidDel="00000000" w:rsidR="00000000" w:rsidRPr="00000000">
              <w:rPr>
                <w:rFonts w:ascii="Calibri" w:cs="Calibri" w:eastAsia="Calibri" w:hAnsi="Calibri"/>
                <w:b w:val="1"/>
                <w:rtl w:val="0"/>
              </w:rPr>
              <w:t xml:space="preserve">Assignment title: </w:t>
            </w:r>
            <w:r w:rsidDel="00000000" w:rsidR="00000000" w:rsidRPr="00000000">
              <w:rPr>
                <w:rFonts w:ascii="Calibri" w:cs="Calibri" w:eastAsia="Calibri" w:hAnsi="Calibri"/>
                <w:sz w:val="24"/>
                <w:szCs w:val="24"/>
                <w:highlight w:val="white"/>
                <w:rtl w:val="0"/>
              </w:rPr>
              <w:t xml:space="preserve"> A 3,500 word essay written on a topic within the subject area. </w:t>
            </w:r>
          </w:p>
          <w:p w:rsidR="00000000" w:rsidDel="00000000" w:rsidP="00000000" w:rsidRDefault="00000000" w:rsidRPr="00000000" w14:paraId="00000025">
            <w:pPr>
              <w:spacing w:line="240" w:lineRule="auto"/>
              <w:ind w:right="34"/>
              <w:rPr>
                <w:rFonts w:ascii="Calibri" w:cs="Calibri" w:eastAsia="Calibri" w:hAnsi="Calibri"/>
                <w:i w:val="1"/>
                <w:color w:val="202122"/>
                <w:sz w:val="24"/>
                <w:szCs w:val="24"/>
                <w:highlight w:val="white"/>
              </w:rPr>
            </w:pPr>
            <w:r w:rsidDel="00000000" w:rsidR="00000000" w:rsidRPr="00000000">
              <w:rPr>
                <w:rFonts w:ascii="Calibri" w:cs="Calibri" w:eastAsia="Calibri" w:hAnsi="Calibri"/>
                <w:sz w:val="24"/>
                <w:szCs w:val="24"/>
                <w:rtl w:val="0"/>
              </w:rPr>
              <w:t xml:space="preserve">Compare and contrast two sky myths from two different cultures.</w:t>
            </w:r>
            <w:r w:rsidDel="00000000" w:rsidR="00000000" w:rsidRPr="00000000">
              <w:rPr>
                <w:rtl w:val="0"/>
              </w:rPr>
            </w:r>
          </w:p>
          <w:p w:rsidR="00000000" w:rsidDel="00000000" w:rsidP="00000000" w:rsidRDefault="00000000" w:rsidRPr="00000000" w14:paraId="00000026">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7">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8">
            <w:pPr>
              <w:spacing w:line="240" w:lineRule="auto"/>
              <w:ind w:right="34"/>
              <w:rPr>
                <w:rFonts w:ascii="Calibri" w:cs="Calibri" w:eastAsia="Calibri" w:hAnsi="Calibri"/>
              </w:rPr>
            </w:pPr>
            <w:r w:rsidDel="00000000" w:rsidR="00000000" w:rsidRPr="00000000">
              <w:rPr>
                <w:rFonts w:ascii="Calibri" w:cs="Calibri" w:eastAsia="Calibri" w:hAnsi="Calibri"/>
                <w:b w:val="1"/>
                <w:rtl w:val="0"/>
              </w:rPr>
              <w:t xml:space="preserve">Assignment due date:</w:t>
            </w:r>
            <w:r w:rsidDel="00000000" w:rsidR="00000000" w:rsidRPr="00000000">
              <w:rPr>
                <w:rFonts w:ascii="Calibri" w:cs="Calibri" w:eastAsia="Calibri" w:hAnsi="Calibri"/>
                <w:rtl w:val="0"/>
              </w:rPr>
              <w:t xml:space="preserve"> January 3rd, 2023</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D">
            <w:pPr>
              <w:spacing w:line="240" w:lineRule="auto"/>
              <w:rPr>
                <w:rFonts w:ascii="Calibri" w:cs="Calibri" w:eastAsia="Calibri" w:hAnsi="Calibri"/>
              </w:rPr>
            </w:pPr>
            <w:r w:rsidDel="00000000" w:rsidR="00000000" w:rsidRPr="00000000">
              <w:rPr>
                <w:rFonts w:ascii="Calibri" w:cs="Calibri" w:eastAsia="Calibri" w:hAnsi="Calibri"/>
                <w:rtl w:val="0"/>
              </w:rPr>
              <w:t xml:space="preserve">This assignment is for the       3</w:t>
            </w:r>
            <w:r w:rsidDel="00000000" w:rsidR="00000000" w:rsidRPr="00000000">
              <w:rPr>
                <w:rFonts w:ascii="Calibri" w:cs="Calibri" w:eastAsia="Calibri" w:hAnsi="Calibri"/>
                <w:vertAlign w:val="superscript"/>
                <w:rtl w:val="0"/>
              </w:rPr>
              <w:t xml:space="preserve">dt </w:t>
            </w:r>
            <w:bookmarkStart w:colFirst="0" w:colLast="0" w:name="kix.mfvpnu066aa" w:id="0"/>
            <w:bookmarkEnd w:id="0"/>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32">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I confirm that this is my original work and that I have adhered to the University policy on plagiarism.</w:t>
            </w:r>
          </w:p>
          <w:p w:rsidR="00000000" w:rsidDel="00000000" w:rsidP="00000000" w:rsidRDefault="00000000" w:rsidRPr="00000000" w14:paraId="00000033">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Signed:  Kat Azima</w:t>
            </w:r>
          </w:p>
          <w:p w:rsidR="00000000" w:rsidDel="00000000" w:rsidP="00000000" w:rsidRDefault="00000000" w:rsidRPr="00000000" w14:paraId="00000034">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r w:rsidDel="00000000" w:rsidR="00000000" w:rsidRPr="00000000">
              <w:rPr>
                <w:rtl w:val="0"/>
              </w:rPr>
            </w:r>
          </w:p>
          <w:p w:rsidR="00000000" w:rsidDel="00000000" w:rsidP="00000000" w:rsidRDefault="00000000" w:rsidRPr="00000000" w14:paraId="00000035">
            <w:pPr>
              <w:spacing w:line="240" w:lineRule="auto"/>
              <w:ind w:right="34"/>
              <w:rPr>
                <w:rFonts w:ascii="Calibri" w:cs="Calibri" w:eastAsia="Calibri" w:hAnsi="Calibri"/>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A">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B">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C">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3D">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1</w:t>
                  </w:r>
                  <w:r w:rsidDel="00000000" w:rsidR="00000000" w:rsidRPr="00000000">
                    <w:rPr>
                      <w:rFonts w:ascii="Calibri" w:cs="Calibri" w:eastAsia="Calibri" w:hAnsi="Calibri"/>
                      <w:sz w:val="20"/>
                      <w:szCs w:val="20"/>
                      <w:vertAlign w:val="superscript"/>
                      <w:rtl w:val="0"/>
                    </w:rPr>
                    <w:t xml:space="preserve">st</w:t>
                  </w:r>
                  <w:r w:rsidDel="00000000" w:rsidR="00000000" w:rsidRPr="00000000">
                    <w:rPr>
                      <w:rFonts w:ascii="Calibri" w:cs="Calibri" w:eastAsia="Calibri" w:hAnsi="Calibri"/>
                      <w:sz w:val="20"/>
                      <w:szCs w:val="20"/>
                      <w:rtl w:val="0"/>
                    </w:rPr>
                    <w:t xml:space="preserve"> Marker’s Provisional mark</w:t>
                  </w:r>
                </w:p>
              </w:tc>
              <w:tc>
                <w:tcPr>
                  <w:vAlign w:val="top"/>
                </w:tcPr>
                <w:p w:rsidR="00000000" w:rsidDel="00000000" w:rsidP="00000000" w:rsidRDefault="00000000" w:rsidRPr="00000000" w14:paraId="0000003E">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40">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2</w:t>
                  </w:r>
                  <w:r w:rsidDel="00000000" w:rsidR="00000000" w:rsidRPr="00000000">
                    <w:rPr>
                      <w:rFonts w:ascii="Calibri" w:cs="Calibri" w:eastAsia="Calibri" w:hAnsi="Calibri"/>
                      <w:sz w:val="20"/>
                      <w:szCs w:val="20"/>
                      <w:vertAlign w:val="superscript"/>
                      <w:rtl w:val="0"/>
                    </w:rPr>
                    <w:t xml:space="preserve">nd</w:t>
                  </w:r>
                  <w:r w:rsidDel="00000000" w:rsidR="00000000" w:rsidRPr="00000000">
                    <w:rPr>
                      <w:rFonts w:ascii="Calibri" w:cs="Calibri" w:eastAsia="Calibri" w:hAnsi="Calibri"/>
                      <w:sz w:val="20"/>
                      <w:szCs w:val="20"/>
                      <w:rtl w:val="0"/>
                    </w:rPr>
                    <w:t xml:space="preserve"> Marker’s/Moderator’s provisional mark</w:t>
                  </w:r>
                </w:p>
              </w:tc>
              <w:tc>
                <w:tcPr>
                  <w:vAlign w:val="top"/>
                </w:tcPr>
                <w:p w:rsidR="00000000" w:rsidDel="00000000" w:rsidP="00000000" w:rsidRDefault="00000000" w:rsidRPr="00000000" w14:paraId="00000041">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2">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43">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External Examiner’s mark (if relevant)</w:t>
                  </w:r>
                </w:p>
              </w:tc>
              <w:tc>
                <w:tcPr>
                  <w:vAlign w:val="top"/>
                </w:tcPr>
                <w:p w:rsidR="00000000" w:rsidDel="00000000" w:rsidP="00000000" w:rsidRDefault="00000000" w:rsidRPr="00000000" w14:paraId="00000044">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5">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46">
                  <w:pPr>
                    <w:spacing w:line="240" w:lineRule="auto"/>
                    <w:rPr>
                      <w:rFonts w:ascii="Calibri" w:cs="Calibri" w:eastAsia="Calibri" w:hAnsi="Calibri"/>
                      <w:sz w:val="20"/>
                      <w:szCs w:val="20"/>
                    </w:rPr>
                  </w:pPr>
                  <w:r w:rsidDel="00000000" w:rsidR="00000000" w:rsidRPr="00000000">
                    <w:rPr>
                      <w:rFonts w:ascii="Calibri" w:cs="Calibri" w:eastAsia="Calibri" w:hAnsi="Calibri"/>
                      <w:b w:val="1"/>
                      <w:sz w:val="20"/>
                      <w:szCs w:val="20"/>
                      <w:rtl w:val="0"/>
                    </w:rPr>
                    <w:t xml:space="preserve">Final Mark</w:t>
                  </w:r>
                  <w:r w:rsidDel="00000000" w:rsidR="00000000" w:rsidRPr="00000000">
                    <w:rPr>
                      <w:rtl w:val="0"/>
                    </w:rPr>
                  </w:r>
                </w:p>
                <w:p w:rsidR="00000000" w:rsidDel="00000000" w:rsidP="00000000" w:rsidRDefault="00000000" w:rsidRPr="00000000" w14:paraId="00000047">
                  <w:pPr>
                    <w:spacing w:line="240" w:lineRule="auto"/>
                    <w:rPr>
                      <w:rFonts w:ascii="Calibri" w:cs="Calibri" w:eastAsia="Calibri" w:hAnsi="Calibri"/>
                      <w:sz w:val="20"/>
                      <w:szCs w:val="20"/>
                    </w:rPr>
                  </w:pPr>
                  <w:r w:rsidDel="00000000" w:rsidR="00000000" w:rsidRPr="00000000">
                    <w:rPr>
                      <w:rtl w:val="0"/>
                    </w:rPr>
                  </w:r>
                </w:p>
              </w:tc>
              <w:tc>
                <w:tcPr>
                  <w:vAlign w:val="top"/>
                </w:tcPr>
                <w:p w:rsidR="00000000" w:rsidDel="00000000" w:rsidP="00000000" w:rsidRDefault="00000000" w:rsidRPr="00000000" w14:paraId="00000048">
                  <w:pPr>
                    <w:spacing w:line="240" w:lineRule="auto"/>
                    <w:rPr>
                      <w:rFonts w:ascii="Calibri" w:cs="Calibri" w:eastAsia="Calibri" w:hAnsi="Calibri"/>
                      <w:sz w:val="20"/>
                      <w:szCs w:val="20"/>
                    </w:rPr>
                  </w:pPr>
                  <w:r w:rsidDel="00000000" w:rsidR="00000000" w:rsidRPr="00000000">
                    <w:rPr>
                      <w:rtl w:val="0"/>
                    </w:rPr>
                  </w:r>
                </w:p>
              </w:tc>
            </w:tr>
          </w:tbl>
          <w:p w:rsidR="00000000" w:rsidDel="00000000" w:rsidP="00000000" w:rsidRDefault="00000000" w:rsidRPr="00000000" w14:paraId="00000049">
            <w:pPr>
              <w:spacing w:line="240" w:lineRule="auto"/>
              <w:ind w:left="142" w:right="34" w:firstLine="0"/>
              <w:rPr>
                <w:rFonts w:ascii="Calibri" w:cs="Calibri" w:eastAsia="Calibri" w:hAnsi="Calibri"/>
              </w:rPr>
            </w:pPr>
            <w:r w:rsidDel="00000000" w:rsidR="00000000" w:rsidRPr="00000000">
              <w:rPr>
                <w:rtl w:val="0"/>
              </w:rPr>
            </w:r>
          </w:p>
          <w:p w:rsidR="00000000" w:rsidDel="00000000" w:rsidP="00000000" w:rsidRDefault="00000000" w:rsidRPr="00000000" w14:paraId="0000004A">
            <w:pPr>
              <w:spacing w:line="240" w:lineRule="auto"/>
              <w:ind w:left="142" w:right="34" w:firstLine="0"/>
              <w:rPr>
                <w:rFonts w:ascii="Calibri" w:cs="Calibri" w:eastAsia="Calibri" w:hAnsi="Calibri"/>
              </w:rPr>
            </w:pPr>
            <w:r w:rsidDel="00000000" w:rsidR="00000000" w:rsidRPr="00000000">
              <w:rPr>
                <w:rFonts w:ascii="Calibri" w:cs="Calibri" w:eastAsia="Calibri" w:hAnsi="Calibri"/>
                <w:b w:val="1"/>
                <w:rtl w:val="0"/>
              </w:rPr>
              <w:t xml:space="preserve">NB.</w:t>
            </w:r>
            <w:r w:rsidDel="00000000" w:rsidR="00000000" w:rsidRPr="00000000">
              <w:rPr>
                <w:rFonts w:ascii="Calibri" w:cs="Calibri" w:eastAsia="Calibri" w:hAnsi="Calibri"/>
                <w:rtl w:val="0"/>
              </w:rPr>
              <w:t xml:space="preserve">  All marks are provisional until confirmed by the Final Examination Board.</w:t>
            </w:r>
          </w:p>
          <w:p w:rsidR="00000000" w:rsidDel="00000000" w:rsidP="00000000" w:rsidRDefault="00000000" w:rsidRPr="00000000" w14:paraId="0000004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C">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E">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0">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For completion by Marker 1 :</w:t>
            </w:r>
            <w:r w:rsidDel="00000000" w:rsidR="00000000" w:rsidRPr="00000000">
              <w:rPr>
                <w:rtl w:val="0"/>
              </w:rPr>
            </w:r>
          </w:p>
          <w:p w:rsidR="00000000" w:rsidDel="00000000" w:rsidP="00000000" w:rsidRDefault="00000000" w:rsidRPr="00000000" w14:paraId="00000051">
            <w:pPr>
              <w:spacing w:after="280" w:before="280" w:line="240" w:lineRule="auto"/>
              <w:rPr>
                <w:rFonts w:ascii="Calibri" w:cs="Calibri" w:eastAsia="Calibri" w:hAnsi="Calibri"/>
              </w:rPr>
            </w:pPr>
            <w:r w:rsidDel="00000000" w:rsidR="00000000" w:rsidRPr="00000000">
              <w:rPr>
                <w:rFonts w:ascii="Calibri" w:cs="Calibri" w:eastAsia="Calibri" w:hAnsi="Calibri"/>
                <w:rtl w:val="0"/>
              </w:rPr>
              <w:t xml:space="preserve">Comments:</w:t>
            </w:r>
          </w:p>
          <w:p w:rsidR="00000000" w:rsidDel="00000000" w:rsidP="00000000" w:rsidRDefault="00000000" w:rsidRPr="00000000" w14:paraId="00000052">
            <w:pPr>
              <w:spacing w:before="280" w:line="240" w:lineRule="auto"/>
              <w:rPr>
                <w:rFonts w:ascii="Calibri" w:cs="Calibri" w:eastAsia="Calibri" w:hAnsi="Calibri"/>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7">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Marker’s signature:</w:t>
            </w:r>
          </w:p>
        </w:tc>
        <w:tc>
          <w:tcPr>
            <w:gridSpan w:val="2"/>
            <w:vAlign w:val="top"/>
          </w:tcPr>
          <w:p w:rsidR="00000000" w:rsidDel="00000000" w:rsidP="00000000" w:rsidRDefault="00000000" w:rsidRPr="00000000" w14:paraId="0000005A">
            <w:pPr>
              <w:spacing w:line="240" w:lineRule="auto"/>
              <w:ind w:left="142" w:right="34" w:firstLine="0"/>
              <w:rPr>
                <w:rFonts w:ascii="Calibri" w:cs="Calibri" w:eastAsia="Calibri" w:hAnsi="Calibri"/>
              </w:rPr>
            </w:pPr>
            <w:r w:rsidDel="00000000" w:rsidR="00000000" w:rsidRPr="00000000">
              <w:rPr>
                <w:rFonts w:ascii="Calibri" w:cs="Calibri" w:eastAsia="Calibri" w:hAnsi="Calibri"/>
                <w:rtl w:val="0"/>
              </w:rPr>
              <w:t xml:space="preserve">Date:</w:t>
            </w:r>
          </w:p>
        </w:tc>
      </w:tr>
      <w:tr>
        <w:trPr>
          <w:cantSplit w:val="0"/>
          <w:tblHeader w:val="0"/>
        </w:trPr>
        <w:tc>
          <w:tcPr>
            <w:gridSpan w:val="5"/>
            <w:vAlign w:val="top"/>
          </w:tcPr>
          <w:p w:rsidR="00000000" w:rsidDel="00000000" w:rsidP="00000000" w:rsidRDefault="00000000" w:rsidRPr="00000000" w14:paraId="0000005C">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5D">
            <w:pPr>
              <w:spacing w:line="240" w:lineRule="auto"/>
              <w:ind w:right="-334"/>
              <w:rPr>
                <w:rFonts w:ascii="Calibri" w:cs="Calibri" w:eastAsia="Calibri" w:hAnsi="Calibri"/>
              </w:rPr>
            </w:pPr>
            <w:r w:rsidDel="00000000" w:rsidR="00000000" w:rsidRPr="00000000">
              <w:rPr>
                <w:rFonts w:ascii="Calibri" w:cs="Calibri" w:eastAsia="Calibri" w:hAnsi="Calibri"/>
                <w:b w:val="1"/>
                <w:rtl w:val="0"/>
              </w:rPr>
              <w:t xml:space="preserve">For completion by Marker 2/Moderator:</w:t>
            </w:r>
            <w:r w:rsidDel="00000000" w:rsidR="00000000" w:rsidRPr="00000000">
              <w:rPr>
                <w:rtl w:val="0"/>
              </w:rPr>
            </w:r>
          </w:p>
          <w:p w:rsidR="00000000" w:rsidDel="00000000" w:rsidP="00000000" w:rsidRDefault="00000000" w:rsidRPr="00000000" w14:paraId="0000005E">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5F">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Comments:</w:t>
            </w:r>
          </w:p>
          <w:p w:rsidR="00000000" w:rsidDel="00000000" w:rsidP="00000000" w:rsidRDefault="00000000" w:rsidRPr="00000000" w14:paraId="00000060">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1">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2">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3">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4">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5">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66">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B">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Marker’s Signature:</w:t>
            </w:r>
          </w:p>
        </w:tc>
        <w:tc>
          <w:tcPr>
            <w:gridSpan w:val="3"/>
            <w:vAlign w:val="top"/>
          </w:tcPr>
          <w:p w:rsidR="00000000" w:rsidDel="00000000" w:rsidP="00000000" w:rsidRDefault="00000000" w:rsidRPr="00000000" w14:paraId="0000006D">
            <w:pPr>
              <w:spacing w:line="240" w:lineRule="auto"/>
              <w:ind w:right="-334"/>
              <w:rPr>
                <w:rFonts w:ascii="Calibri" w:cs="Calibri" w:eastAsia="Calibri" w:hAnsi="Calibri"/>
              </w:rPr>
            </w:pPr>
            <w:r w:rsidDel="00000000" w:rsidR="00000000" w:rsidRPr="00000000">
              <w:rPr>
                <w:rFonts w:ascii="Calibri" w:cs="Calibri" w:eastAsia="Calibri" w:hAnsi="Calibri"/>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70">
            <w:pPr>
              <w:spacing w:line="240" w:lineRule="auto"/>
              <w:rPr>
                <w:rFonts w:ascii="Calibri" w:cs="Calibri" w:eastAsia="Calibri" w:hAnsi="Calibri"/>
              </w:rPr>
            </w:pPr>
            <w:r w:rsidDel="00000000" w:rsidR="00000000" w:rsidRPr="00000000">
              <w:rPr>
                <w:rFonts w:ascii="Calibri" w:cs="Calibri" w:eastAsia="Calibri" w:hAnsi="Calibri"/>
                <w:b w:val="1"/>
                <w:rtl w:val="0"/>
              </w:rPr>
              <w:t xml:space="preserve">External Examiner’s comments (if relevant)</w:t>
            </w:r>
            <w:r w:rsidDel="00000000" w:rsidR="00000000" w:rsidRPr="00000000">
              <w:rPr>
                <w:rtl w:val="0"/>
              </w:rPr>
            </w:r>
          </w:p>
          <w:p w:rsidR="00000000" w:rsidDel="00000000" w:rsidP="00000000" w:rsidRDefault="00000000" w:rsidRPr="00000000" w14:paraId="00000071">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2">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3">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4">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75">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A">
            <w:pPr>
              <w:spacing w:line="240" w:lineRule="auto"/>
              <w:rPr>
                <w:rFonts w:ascii="Calibri" w:cs="Calibri" w:eastAsia="Calibri" w:hAnsi="Calibri"/>
              </w:rPr>
            </w:pPr>
            <w:r w:rsidDel="00000000" w:rsidR="00000000" w:rsidRPr="00000000">
              <w:rPr>
                <w:rFonts w:ascii="Calibri" w:cs="Calibri" w:eastAsia="Calibri" w:hAnsi="Calibri"/>
                <w:rtl w:val="0"/>
              </w:rPr>
              <w:t xml:space="preserve">External Examiner’s Signature:</w:t>
            </w:r>
          </w:p>
        </w:tc>
        <w:tc>
          <w:tcPr>
            <w:gridSpan w:val="3"/>
            <w:vAlign w:val="top"/>
          </w:tcPr>
          <w:p w:rsidR="00000000" w:rsidDel="00000000" w:rsidP="00000000" w:rsidRDefault="00000000" w:rsidRPr="00000000" w14:paraId="0000007C">
            <w:pPr>
              <w:spacing w:line="240" w:lineRule="auto"/>
              <w:rPr>
                <w:rFonts w:ascii="Calibri" w:cs="Calibri" w:eastAsia="Calibri" w:hAnsi="Calibri"/>
              </w:rPr>
            </w:pPr>
            <w:r w:rsidDel="00000000" w:rsidR="00000000" w:rsidRPr="00000000">
              <w:rPr>
                <w:rFonts w:ascii="Calibri" w:cs="Calibri" w:eastAsia="Calibri" w:hAnsi="Calibri"/>
                <w:rtl w:val="0"/>
              </w:rPr>
              <w:t xml:space="preserve">Date:</w:t>
            </w:r>
          </w:p>
        </w:tc>
      </w:tr>
    </w:tbl>
    <w:p w:rsidR="00000000" w:rsidDel="00000000" w:rsidP="00000000" w:rsidRDefault="00000000" w:rsidRPr="00000000" w14:paraId="0000007F">
      <w:pPr>
        <w:ind w:left="2160" w:firstLine="720"/>
        <w:jc w:val="left"/>
        <w:rPr>
          <w:rFonts w:ascii="Calibri" w:cs="Calibri" w:eastAsia="Calibri" w:hAnsi="Calibri"/>
          <w:b w:val="1"/>
          <w:sz w:val="24"/>
          <w:szCs w:val="24"/>
          <w:highlight w:val="white"/>
        </w:rPr>
      </w:pPr>
      <w:r w:rsidDel="00000000" w:rsidR="00000000" w:rsidRPr="00000000">
        <w:rPr>
          <w:rtl w:val="0"/>
        </w:rPr>
      </w:r>
    </w:p>
    <w:p w:rsidR="00000000" w:rsidDel="00000000" w:rsidP="00000000" w:rsidRDefault="00000000" w:rsidRPr="00000000" w14:paraId="00000080">
      <w:pPr>
        <w:ind w:left="2160" w:firstLine="720"/>
        <w:jc w:val="left"/>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Katherine Azima – HPCA7015– Essay 3</w:t>
      </w:r>
    </w:p>
    <w:p w:rsidR="00000000" w:rsidDel="00000000" w:rsidP="00000000" w:rsidRDefault="00000000" w:rsidRPr="00000000" w14:paraId="00000081">
      <w:pPr>
        <w:spacing w:line="240" w:lineRule="auto"/>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rtl w:val="0"/>
        </w:rPr>
        <w:t xml:space="preserve">Compare and contrast two sky myths from two different cultures</w:t>
      </w:r>
      <w:r w:rsidDel="00000000" w:rsidR="00000000" w:rsidRPr="00000000">
        <w:rPr>
          <w:rtl w:val="0"/>
        </w:rPr>
      </w:r>
    </w:p>
    <w:p w:rsidR="00000000" w:rsidDel="00000000" w:rsidP="00000000" w:rsidRDefault="00000000" w:rsidRPr="00000000" w14:paraId="00000082">
      <w:pPr>
        <w:jc w:val="center"/>
        <w:rPr>
          <w:rFonts w:ascii="Calibri" w:cs="Calibri" w:eastAsia="Calibri" w:hAnsi="Calibri"/>
          <w:color w:val="202122"/>
          <w:sz w:val="24"/>
          <w:szCs w:val="24"/>
          <w:highlight w:val="white"/>
        </w:rPr>
      </w:pPr>
      <w:r w:rsidDel="00000000" w:rsidR="00000000" w:rsidRPr="00000000">
        <w:rPr>
          <w:rFonts w:ascii="Calibri" w:cs="Calibri" w:eastAsia="Calibri" w:hAnsi="Calibri"/>
          <w:b w:val="1"/>
          <w:sz w:val="24"/>
          <w:szCs w:val="24"/>
          <w:highlight w:val="white"/>
          <w:rtl w:val="0"/>
        </w:rPr>
        <w:t xml:space="preserve">Word Count: 2,814</w:t>
      </w:r>
      <w:r w:rsidDel="00000000" w:rsidR="00000000" w:rsidRPr="00000000">
        <w:rPr>
          <w:rtl w:val="0"/>
        </w:rPr>
      </w:r>
    </w:p>
    <w:p w:rsidR="00000000" w:rsidDel="00000000" w:rsidP="00000000" w:rsidRDefault="00000000" w:rsidRPr="00000000" w14:paraId="00000083">
      <w:pPr>
        <w:spacing w:line="240" w:lineRule="auto"/>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84">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The aim of this essay is to critically compare and contrast two sky myths from two different cultures.  The sky is culturally important and meaningful. As archeoastronomy scholar Clive Ruggles states, the sky is of universal importance and highlights that ‘cultural perceptions of the sky are vital in fulfilling humankind’s most basic need to comprehend the universe it inhabits’.</w:t>
      </w:r>
      <w:r w:rsidDel="00000000" w:rsidR="00000000" w:rsidRPr="00000000">
        <w:rPr>
          <w:rFonts w:ascii="Calibri" w:cs="Calibri" w:eastAsia="Calibri" w:hAnsi="Calibri"/>
          <w:color w:val="202122"/>
          <w:sz w:val="24"/>
          <w:szCs w:val="24"/>
          <w:vertAlign w:val="superscript"/>
        </w:rPr>
        <w:footnoteReference w:customMarkFollows="0" w:id="0"/>
      </w:r>
      <w:r w:rsidDel="00000000" w:rsidR="00000000" w:rsidRPr="00000000">
        <w:rPr>
          <w:rFonts w:ascii="Calibri" w:cs="Calibri" w:eastAsia="Calibri" w:hAnsi="Calibri"/>
          <w:color w:val="202122"/>
          <w:sz w:val="24"/>
          <w:szCs w:val="24"/>
          <w:rtl w:val="0"/>
        </w:rPr>
        <w:t xml:space="preserve"> The importance of the sky is also reinforced by Darrelyn Gunzberg who says that the sky has a voice across cultures because it forms half of our visual world.</w:t>
      </w:r>
      <w:r w:rsidDel="00000000" w:rsidR="00000000" w:rsidRPr="00000000">
        <w:rPr>
          <w:rFonts w:ascii="Calibri" w:cs="Calibri" w:eastAsia="Calibri" w:hAnsi="Calibri"/>
          <w:color w:val="202122"/>
          <w:sz w:val="24"/>
          <w:szCs w:val="24"/>
          <w:vertAlign w:val="superscript"/>
        </w:rPr>
        <w:footnoteReference w:customMarkFollows="0" w:id="1"/>
      </w:r>
      <w:r w:rsidDel="00000000" w:rsidR="00000000" w:rsidRPr="00000000">
        <w:rPr>
          <w:rFonts w:ascii="Calibri" w:cs="Calibri" w:eastAsia="Calibri" w:hAnsi="Calibri"/>
          <w:color w:val="202122"/>
          <w:sz w:val="24"/>
          <w:szCs w:val="24"/>
          <w:rtl w:val="0"/>
        </w:rPr>
        <w:t xml:space="preserve"> Cultural studies of the sky as Gunzberg explains is ‘an emerging academic discipline of relevance to the fields of archaeoastronomy, history, art history, cartography, cultural astronomy, cultural astrology and religious studies in anthropology.’</w:t>
      </w:r>
      <w:r w:rsidDel="00000000" w:rsidR="00000000" w:rsidRPr="00000000">
        <w:rPr>
          <w:rFonts w:ascii="Calibri" w:cs="Calibri" w:eastAsia="Calibri" w:hAnsi="Calibri"/>
          <w:color w:val="202122"/>
          <w:sz w:val="24"/>
          <w:szCs w:val="24"/>
          <w:vertAlign w:val="superscript"/>
        </w:rPr>
        <w:footnoteReference w:customMarkFollows="0" w:id="2"/>
      </w:r>
      <w:r w:rsidDel="00000000" w:rsidR="00000000" w:rsidRPr="00000000">
        <w:rPr>
          <w:rFonts w:ascii="Calibri" w:cs="Calibri" w:eastAsia="Calibri" w:hAnsi="Calibri"/>
          <w:color w:val="202122"/>
          <w:sz w:val="24"/>
          <w:szCs w:val="24"/>
          <w:rtl w:val="0"/>
        </w:rPr>
        <w:t xml:space="preserve"> By comparing and contrasting sky myths across different cultures, Gunzberg advances that we initiate the analyses on the commonality of the ‘centrality to the sky in order to understand its relevance in culture.’</w:t>
      </w:r>
      <w:r w:rsidDel="00000000" w:rsidR="00000000" w:rsidRPr="00000000">
        <w:rPr>
          <w:rFonts w:ascii="Calibri" w:cs="Calibri" w:eastAsia="Calibri" w:hAnsi="Calibri"/>
          <w:color w:val="202122"/>
          <w:sz w:val="24"/>
          <w:szCs w:val="24"/>
          <w:vertAlign w:val="superscript"/>
        </w:rPr>
        <w:footnoteReference w:customMarkFollows="0" w:id="3"/>
      </w:r>
      <w:r w:rsidDel="00000000" w:rsidR="00000000" w:rsidRPr="00000000">
        <w:rPr>
          <w:rFonts w:ascii="Calibri" w:cs="Calibri" w:eastAsia="Calibri" w:hAnsi="Calibri"/>
          <w:color w:val="202122"/>
          <w:sz w:val="24"/>
          <w:szCs w:val="24"/>
          <w:rtl w:val="0"/>
        </w:rPr>
        <w:t xml:space="preserve"> Human beings have been using the sky to create mythologies since ancient times. Clive Ruggles and Gary Urton state that anthropologists are now more seriously interested in how the sky influences broader cosmologies and the relevance of such studies to wider cultural questions.</w:t>
      </w:r>
      <w:r w:rsidDel="00000000" w:rsidR="00000000" w:rsidRPr="00000000">
        <w:rPr>
          <w:rFonts w:ascii="Calibri" w:cs="Calibri" w:eastAsia="Calibri" w:hAnsi="Calibri"/>
          <w:color w:val="202122"/>
          <w:sz w:val="24"/>
          <w:szCs w:val="24"/>
          <w:vertAlign w:val="superscript"/>
        </w:rPr>
        <w:footnoteReference w:customMarkFollows="0" w:id="4"/>
      </w:r>
      <w:r w:rsidDel="00000000" w:rsidR="00000000" w:rsidRPr="00000000">
        <w:rPr>
          <w:rFonts w:ascii="Calibri" w:cs="Calibri" w:eastAsia="Calibri" w:hAnsi="Calibri"/>
          <w:color w:val="202122"/>
          <w:sz w:val="24"/>
          <w:szCs w:val="24"/>
          <w:rtl w:val="0"/>
        </w:rPr>
        <w:t xml:space="preserve"> </w:t>
      </w:r>
    </w:p>
    <w:p w:rsidR="00000000" w:rsidDel="00000000" w:rsidP="00000000" w:rsidRDefault="00000000" w:rsidRPr="00000000" w14:paraId="00000085">
      <w:pPr>
        <w:ind w:left="0"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 Definitions of both culture and myth are contested by scholars and difficult to define. Terry Eagleton puts forth a theory of culture that is derived from nature where there is a ‘dialectic between the artificial and the natural, what we do to the world and what the world does to us.’</w:t>
      </w:r>
      <w:r w:rsidDel="00000000" w:rsidR="00000000" w:rsidRPr="00000000">
        <w:rPr>
          <w:rFonts w:ascii="Calibri" w:cs="Calibri" w:eastAsia="Calibri" w:hAnsi="Calibri"/>
          <w:color w:val="202122"/>
          <w:sz w:val="24"/>
          <w:szCs w:val="24"/>
          <w:vertAlign w:val="superscript"/>
        </w:rPr>
        <w:footnoteReference w:customMarkFollows="0" w:id="5"/>
      </w:r>
      <w:r w:rsidDel="00000000" w:rsidR="00000000" w:rsidRPr="00000000">
        <w:rPr>
          <w:rFonts w:ascii="Calibri" w:cs="Calibri" w:eastAsia="Calibri" w:hAnsi="Calibri"/>
          <w:color w:val="202122"/>
          <w:sz w:val="24"/>
          <w:szCs w:val="24"/>
          <w:rtl w:val="0"/>
        </w:rPr>
        <w:t xml:space="preserve"> Thus the sky, which is part of nature and where humans participate and are in a relationship with, can be included in this definition of culture. Bernadette Bradey posits that in contrast to landscapes which result in a culture that is territorial, tribal or ‘owned’,  ‘constellation images emerge out of a symplegma of humanity and the sky. They gain their mythology and stories from the imagination of their human parent and their divine immortal nature from their sky parent.’ To this we can add the mythologies of the heavenly bodies of the sun and the moon. The shared night sky as Bradey contends creates a culture that transcends boundaries and borders.</w:t>
      </w:r>
      <w:r w:rsidDel="00000000" w:rsidR="00000000" w:rsidRPr="00000000">
        <w:rPr>
          <w:rFonts w:ascii="Calibri" w:cs="Calibri" w:eastAsia="Calibri" w:hAnsi="Calibri"/>
          <w:color w:val="202122"/>
          <w:sz w:val="24"/>
          <w:szCs w:val="24"/>
          <w:vertAlign w:val="superscript"/>
        </w:rPr>
        <w:footnoteReference w:customMarkFollows="0" w:id="6"/>
      </w:r>
      <w:r w:rsidDel="00000000" w:rsidR="00000000" w:rsidRPr="00000000">
        <w:rPr>
          <w:rtl w:val="0"/>
        </w:rPr>
      </w:r>
    </w:p>
    <w:p w:rsidR="00000000" w:rsidDel="00000000" w:rsidP="00000000" w:rsidRDefault="00000000" w:rsidRPr="00000000" w14:paraId="00000086">
      <w:pPr>
        <w:ind w:left="0"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 Myth is something that is not only ancient but ubiquitous and found in every culture and civilization as James W. Menzies asserts.</w:t>
      </w:r>
      <w:r w:rsidDel="00000000" w:rsidR="00000000" w:rsidRPr="00000000">
        <w:rPr>
          <w:rFonts w:ascii="Calibri" w:cs="Calibri" w:eastAsia="Calibri" w:hAnsi="Calibri"/>
          <w:color w:val="202122"/>
          <w:sz w:val="24"/>
          <w:szCs w:val="24"/>
          <w:vertAlign w:val="superscript"/>
        </w:rPr>
        <w:footnoteReference w:customMarkFollows="0" w:id="7"/>
      </w:r>
      <w:r w:rsidDel="00000000" w:rsidR="00000000" w:rsidRPr="00000000">
        <w:rPr>
          <w:rFonts w:ascii="Calibri" w:cs="Calibri" w:eastAsia="Calibri" w:hAnsi="Calibri"/>
          <w:color w:val="202122"/>
          <w:sz w:val="24"/>
          <w:szCs w:val="24"/>
          <w:rtl w:val="0"/>
        </w:rPr>
        <w:t xml:space="preserve">  Scholars who analyse myth say that it is a loaded and complex word with no single or fixed definition. As Mircea Eliade states ‘From Plato and Fontenelle to Schelling and Bultmass, philosophers and theologians have proposed innumerable definitions of myth.’</w:t>
      </w:r>
      <w:r w:rsidDel="00000000" w:rsidR="00000000" w:rsidRPr="00000000">
        <w:rPr>
          <w:rFonts w:ascii="Calibri" w:cs="Calibri" w:eastAsia="Calibri" w:hAnsi="Calibri"/>
          <w:color w:val="202122"/>
          <w:sz w:val="24"/>
          <w:szCs w:val="24"/>
          <w:vertAlign w:val="superscript"/>
        </w:rPr>
        <w:footnoteReference w:customMarkFollows="0" w:id="8"/>
      </w:r>
      <w:r w:rsidDel="00000000" w:rsidR="00000000" w:rsidRPr="00000000">
        <w:rPr>
          <w:rFonts w:ascii="Calibri" w:cs="Calibri" w:eastAsia="Calibri" w:hAnsi="Calibri"/>
          <w:color w:val="202122"/>
          <w:sz w:val="24"/>
          <w:szCs w:val="24"/>
          <w:rtl w:val="0"/>
        </w:rPr>
        <w:t xml:space="preserve">  Menzies similarly notes that ‘the hermeneutical challenges raised by myth are many and complex. Myth is a word without clear definition or standardised use.’</w:t>
      </w:r>
      <w:r w:rsidDel="00000000" w:rsidR="00000000" w:rsidRPr="00000000">
        <w:rPr>
          <w:rFonts w:ascii="Calibri" w:cs="Calibri" w:eastAsia="Calibri" w:hAnsi="Calibri"/>
          <w:color w:val="202122"/>
          <w:sz w:val="24"/>
          <w:szCs w:val="24"/>
          <w:vertAlign w:val="superscript"/>
        </w:rPr>
        <w:footnoteReference w:customMarkFollows="0" w:id="9"/>
      </w:r>
      <w:r w:rsidDel="00000000" w:rsidR="00000000" w:rsidRPr="00000000">
        <w:rPr>
          <w:rFonts w:ascii="Calibri" w:cs="Calibri" w:eastAsia="Calibri" w:hAnsi="Calibri"/>
          <w:color w:val="202122"/>
          <w:sz w:val="24"/>
          <w:szCs w:val="24"/>
          <w:rtl w:val="0"/>
        </w:rPr>
        <w:t xml:space="preserve"> In regards to the theories of myth, Robert E. Segal says ‘There is no study of myth as myth,’ rather theories of myth are a subset of other disciplines such as anthropology, sociology, psychology, literary criticism, philosophy and religious studies.</w:t>
      </w:r>
      <w:r w:rsidDel="00000000" w:rsidR="00000000" w:rsidRPr="00000000">
        <w:rPr>
          <w:rFonts w:ascii="Calibri" w:cs="Calibri" w:eastAsia="Calibri" w:hAnsi="Calibri"/>
          <w:color w:val="202122"/>
          <w:sz w:val="24"/>
          <w:szCs w:val="24"/>
          <w:vertAlign w:val="superscript"/>
        </w:rPr>
        <w:footnoteReference w:customMarkFollows="0" w:id="10"/>
      </w:r>
      <w:r w:rsidDel="00000000" w:rsidR="00000000" w:rsidRPr="00000000">
        <w:rPr>
          <w:rFonts w:ascii="Calibri" w:cs="Calibri" w:eastAsia="Calibri" w:hAnsi="Calibri"/>
          <w:color w:val="202122"/>
          <w:sz w:val="24"/>
          <w:szCs w:val="24"/>
          <w:rtl w:val="0"/>
        </w:rPr>
        <w:t xml:space="preserve"> Myth is complex, especially without having a formal or universally accepted definition. Therefore it is useful to look at myths with an interdisciplinary lens. </w:t>
      </w:r>
    </w:p>
    <w:p w:rsidR="00000000" w:rsidDel="00000000" w:rsidP="00000000" w:rsidRDefault="00000000" w:rsidRPr="00000000" w14:paraId="00000087">
      <w:pPr>
        <w:ind w:left="0"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Looking at myth from a historical perspective, Segal states that there are some real differences between the nineteenth century and twentieth century theories of myth. During the nineteenth century critics defined myth as ‘primitive’ and ‘unscientific’ while twentieth century theories did not abandon myth for science.</w:t>
      </w:r>
      <w:r w:rsidDel="00000000" w:rsidR="00000000" w:rsidRPr="00000000">
        <w:rPr>
          <w:rFonts w:ascii="Calibri" w:cs="Calibri" w:eastAsia="Calibri" w:hAnsi="Calibri"/>
          <w:color w:val="202122"/>
          <w:sz w:val="24"/>
          <w:szCs w:val="24"/>
          <w:vertAlign w:val="superscript"/>
        </w:rPr>
        <w:footnoteReference w:customMarkFollows="0" w:id="11"/>
      </w:r>
      <w:r w:rsidDel="00000000" w:rsidR="00000000" w:rsidRPr="00000000">
        <w:rPr>
          <w:rFonts w:ascii="Calibri" w:cs="Calibri" w:eastAsia="Calibri" w:hAnsi="Calibri"/>
          <w:color w:val="202122"/>
          <w:sz w:val="24"/>
          <w:szCs w:val="24"/>
          <w:rtl w:val="0"/>
        </w:rPr>
        <w:t xml:space="preserve"> As Menzies posits, western modernity’s focus on science and reason left very little room for myth which before modernity nature and agriculture were the primary ways that humans interpreted the relationship of the physical to the spiritual.</w:t>
      </w:r>
      <w:r w:rsidDel="00000000" w:rsidR="00000000" w:rsidRPr="00000000">
        <w:rPr>
          <w:rFonts w:ascii="Calibri" w:cs="Calibri" w:eastAsia="Calibri" w:hAnsi="Calibri"/>
          <w:color w:val="202122"/>
          <w:sz w:val="24"/>
          <w:szCs w:val="24"/>
          <w:vertAlign w:val="superscript"/>
        </w:rPr>
        <w:footnoteReference w:customMarkFollows="0" w:id="12"/>
      </w:r>
      <w:r w:rsidDel="00000000" w:rsidR="00000000" w:rsidRPr="00000000">
        <w:rPr>
          <w:rFonts w:ascii="Calibri" w:cs="Calibri" w:eastAsia="Calibri" w:hAnsi="Calibri"/>
          <w:color w:val="202122"/>
          <w:sz w:val="24"/>
          <w:szCs w:val="24"/>
          <w:rtl w:val="0"/>
        </w:rPr>
        <w:t xml:space="preserve"> Lucien Levy-Bruhl considered that the main difference between ‘primitive’ thought versus ‘modern’ thought was emotional and mystical versus the rational or logical.</w:t>
      </w:r>
      <w:r w:rsidDel="00000000" w:rsidR="00000000" w:rsidRPr="00000000">
        <w:rPr>
          <w:rFonts w:ascii="Calibri" w:cs="Calibri" w:eastAsia="Calibri" w:hAnsi="Calibri"/>
          <w:color w:val="202122"/>
          <w:sz w:val="24"/>
          <w:szCs w:val="24"/>
          <w:vertAlign w:val="superscript"/>
        </w:rPr>
        <w:footnoteReference w:customMarkFollows="0" w:id="13"/>
      </w:r>
      <w:r w:rsidDel="00000000" w:rsidR="00000000" w:rsidRPr="00000000">
        <w:rPr>
          <w:rFonts w:ascii="Calibri" w:cs="Calibri" w:eastAsia="Calibri" w:hAnsi="Calibri"/>
          <w:color w:val="202122"/>
          <w:sz w:val="24"/>
          <w:szCs w:val="24"/>
          <w:rtl w:val="0"/>
        </w:rPr>
        <w:t xml:space="preserve"> Patrick Curry, who writes about the importance of enchantment in modern life says the </w:t>
      </w:r>
      <w:r w:rsidDel="00000000" w:rsidR="00000000" w:rsidRPr="00000000">
        <w:rPr>
          <w:rFonts w:ascii="Calibri" w:cs="Calibri" w:eastAsia="Calibri" w:hAnsi="Calibri"/>
          <w:color w:val="202122"/>
          <w:sz w:val="24"/>
          <w:szCs w:val="24"/>
          <w:rtl w:val="0"/>
        </w:rPr>
        <w:t xml:space="preserve">disenchanters</w:t>
      </w:r>
      <w:r w:rsidDel="00000000" w:rsidR="00000000" w:rsidRPr="00000000">
        <w:rPr>
          <w:rFonts w:ascii="Calibri" w:cs="Calibri" w:eastAsia="Calibri" w:hAnsi="Calibri"/>
          <w:color w:val="202122"/>
          <w:sz w:val="24"/>
          <w:szCs w:val="24"/>
          <w:rtl w:val="0"/>
        </w:rPr>
        <w:t xml:space="preserve">, as in the Weberian ‘disenchantment of the world’, resulted from a process of rationalisation and intellectualisation over thousands of years,</w:t>
      </w:r>
      <w:r w:rsidDel="00000000" w:rsidR="00000000" w:rsidRPr="00000000">
        <w:rPr>
          <w:rFonts w:ascii="Calibri" w:cs="Calibri" w:eastAsia="Calibri" w:hAnsi="Calibri"/>
          <w:color w:val="202122"/>
          <w:sz w:val="24"/>
          <w:szCs w:val="24"/>
          <w:vertAlign w:val="superscript"/>
        </w:rPr>
        <w:footnoteReference w:customMarkFollows="0" w:id="14"/>
      </w:r>
      <w:r w:rsidDel="00000000" w:rsidR="00000000" w:rsidRPr="00000000">
        <w:rPr>
          <w:rFonts w:ascii="Calibri" w:cs="Calibri" w:eastAsia="Calibri" w:hAnsi="Calibri"/>
          <w:color w:val="202122"/>
          <w:sz w:val="24"/>
          <w:szCs w:val="24"/>
          <w:rtl w:val="0"/>
        </w:rPr>
        <w:t xml:space="preserve"> ‘like to imagine they have escaped the ambit of metaphor and myth, which they identify with tradition, superstition and error.’</w:t>
      </w:r>
      <w:r w:rsidDel="00000000" w:rsidR="00000000" w:rsidRPr="00000000">
        <w:rPr>
          <w:rFonts w:ascii="Calibri" w:cs="Calibri" w:eastAsia="Calibri" w:hAnsi="Calibri"/>
          <w:color w:val="202122"/>
          <w:sz w:val="24"/>
          <w:szCs w:val="24"/>
          <w:vertAlign w:val="superscript"/>
        </w:rPr>
        <w:footnoteReference w:customMarkFollows="0" w:id="15"/>
      </w:r>
      <w:r w:rsidDel="00000000" w:rsidR="00000000" w:rsidRPr="00000000">
        <w:rPr>
          <w:rFonts w:ascii="Calibri" w:cs="Calibri" w:eastAsia="Calibri" w:hAnsi="Calibri"/>
          <w:color w:val="202122"/>
          <w:sz w:val="24"/>
          <w:szCs w:val="24"/>
          <w:rtl w:val="0"/>
        </w:rPr>
        <w:t xml:space="preserve"> Curry as a contemporary scholar suggests that myth is still present in modern life just as enchantment is. Sean Kane also writes that original myth telling has been dwindled down to superstition and reduced to anecdote in our time.’</w:t>
      </w:r>
      <w:r w:rsidDel="00000000" w:rsidR="00000000" w:rsidRPr="00000000">
        <w:rPr>
          <w:rFonts w:ascii="Calibri" w:cs="Calibri" w:eastAsia="Calibri" w:hAnsi="Calibri"/>
          <w:color w:val="202122"/>
          <w:sz w:val="24"/>
          <w:szCs w:val="24"/>
          <w:vertAlign w:val="superscript"/>
        </w:rPr>
        <w:footnoteReference w:customMarkFollows="0" w:id="16"/>
      </w:r>
      <w:r w:rsidDel="00000000" w:rsidR="00000000" w:rsidRPr="00000000">
        <w:rPr>
          <w:rFonts w:ascii="Calibri" w:cs="Calibri" w:eastAsia="Calibri" w:hAnsi="Calibri"/>
          <w:color w:val="202122"/>
          <w:sz w:val="24"/>
          <w:szCs w:val="24"/>
          <w:rtl w:val="0"/>
        </w:rPr>
        <w:t xml:space="preserve"> Myths, Kane contends, should be thought of as repositories of practical wisdom not an impure or inaccurate form of science.</w:t>
      </w:r>
      <w:r w:rsidDel="00000000" w:rsidR="00000000" w:rsidRPr="00000000">
        <w:rPr>
          <w:rFonts w:ascii="Calibri" w:cs="Calibri" w:eastAsia="Calibri" w:hAnsi="Calibri"/>
          <w:color w:val="202122"/>
          <w:sz w:val="24"/>
          <w:szCs w:val="24"/>
          <w:vertAlign w:val="superscript"/>
        </w:rPr>
        <w:footnoteReference w:customMarkFollows="0" w:id="17"/>
      </w:r>
      <w:r w:rsidDel="00000000" w:rsidR="00000000" w:rsidRPr="00000000">
        <w:rPr>
          <w:rFonts w:ascii="Calibri" w:cs="Calibri" w:eastAsia="Calibri" w:hAnsi="Calibri"/>
          <w:color w:val="202122"/>
          <w:sz w:val="24"/>
          <w:szCs w:val="24"/>
          <w:rtl w:val="0"/>
        </w:rPr>
        <w:t xml:space="preserve"> As Levi-Struass says we can perhaps reach more wisdom if we move away from the idea around an absolute gap between life and thought that seventeenth century dualism promoted.</w:t>
      </w:r>
      <w:r w:rsidDel="00000000" w:rsidR="00000000" w:rsidRPr="00000000">
        <w:rPr>
          <w:rFonts w:ascii="Calibri" w:cs="Calibri" w:eastAsia="Calibri" w:hAnsi="Calibri"/>
          <w:color w:val="202122"/>
          <w:sz w:val="24"/>
          <w:szCs w:val="24"/>
          <w:vertAlign w:val="superscript"/>
        </w:rPr>
        <w:footnoteReference w:customMarkFollows="0" w:id="18"/>
      </w:r>
      <w:r w:rsidDel="00000000" w:rsidR="00000000" w:rsidRPr="00000000">
        <w:rPr>
          <w:rFonts w:ascii="Calibri" w:cs="Calibri" w:eastAsia="Calibri" w:hAnsi="Calibri"/>
          <w:color w:val="202122"/>
          <w:sz w:val="24"/>
          <w:szCs w:val="24"/>
          <w:rtl w:val="0"/>
        </w:rPr>
        <w:t xml:space="preserve"> </w:t>
      </w:r>
    </w:p>
    <w:p w:rsidR="00000000" w:rsidDel="00000000" w:rsidP="00000000" w:rsidRDefault="00000000" w:rsidRPr="00000000" w14:paraId="00000088">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In regards to analysing myth, Segal posits that ‘to analyse a myth is to analyse it from the viewpoint of some theory’.</w:t>
      </w:r>
      <w:r w:rsidDel="00000000" w:rsidR="00000000" w:rsidRPr="00000000">
        <w:rPr>
          <w:rFonts w:ascii="Calibri" w:cs="Calibri" w:eastAsia="Calibri" w:hAnsi="Calibri"/>
          <w:color w:val="202122"/>
          <w:sz w:val="24"/>
          <w:szCs w:val="24"/>
          <w:vertAlign w:val="superscript"/>
        </w:rPr>
        <w:footnoteReference w:customMarkFollows="0" w:id="19"/>
      </w:r>
      <w:r w:rsidDel="00000000" w:rsidR="00000000" w:rsidRPr="00000000">
        <w:rPr>
          <w:rFonts w:ascii="Calibri" w:cs="Calibri" w:eastAsia="Calibri" w:hAnsi="Calibri"/>
          <w:color w:val="202122"/>
          <w:sz w:val="24"/>
          <w:szCs w:val="24"/>
          <w:rtl w:val="0"/>
        </w:rPr>
        <w:t xml:space="preserve"> Myth therefore is analysed in a specific context. Segal says a way of confirming a theory is to show how well it works to show the theory to be false or limited. Segal outlines three main questions which unite the study of myth across disciplines, which include origin, why and how myth arises, function, in terms of why and how myths persist and the subject matter, in regards to the referent of myth.</w:t>
      </w:r>
      <w:r w:rsidDel="00000000" w:rsidR="00000000" w:rsidRPr="00000000">
        <w:rPr>
          <w:rFonts w:ascii="Calibri" w:cs="Calibri" w:eastAsia="Calibri" w:hAnsi="Calibri"/>
          <w:color w:val="202122"/>
          <w:sz w:val="24"/>
          <w:szCs w:val="24"/>
          <w:vertAlign w:val="superscript"/>
        </w:rPr>
        <w:footnoteReference w:customMarkFollows="0" w:id="20"/>
      </w:r>
      <w:r w:rsidDel="00000000" w:rsidR="00000000" w:rsidRPr="00000000">
        <w:rPr>
          <w:rFonts w:ascii="Calibri" w:cs="Calibri" w:eastAsia="Calibri" w:hAnsi="Calibri"/>
          <w:color w:val="202122"/>
          <w:sz w:val="24"/>
          <w:szCs w:val="24"/>
          <w:rtl w:val="0"/>
        </w:rPr>
        <w:t xml:space="preserve"> Using Eliade’s general definition of myth, he says that myths tell us how something came into being such as the world, or man or an animal species.</w:t>
      </w:r>
      <w:r w:rsidDel="00000000" w:rsidR="00000000" w:rsidRPr="00000000">
        <w:rPr>
          <w:rFonts w:ascii="Calibri" w:cs="Calibri" w:eastAsia="Calibri" w:hAnsi="Calibri"/>
          <w:color w:val="202122"/>
          <w:sz w:val="24"/>
          <w:szCs w:val="24"/>
          <w:vertAlign w:val="superscript"/>
        </w:rPr>
        <w:footnoteReference w:customMarkFollows="0" w:id="21"/>
      </w:r>
      <w:r w:rsidDel="00000000" w:rsidR="00000000" w:rsidRPr="00000000">
        <w:rPr>
          <w:rFonts w:ascii="Calibri" w:cs="Calibri" w:eastAsia="Calibri" w:hAnsi="Calibri"/>
          <w:color w:val="202122"/>
          <w:sz w:val="24"/>
          <w:szCs w:val="24"/>
          <w:rtl w:val="0"/>
        </w:rPr>
        <w:t xml:space="preserve"> Eliade also contends that ‘myth narrates a sacred history…how a reality came into existence.’</w:t>
      </w:r>
      <w:r w:rsidDel="00000000" w:rsidR="00000000" w:rsidRPr="00000000">
        <w:rPr>
          <w:rFonts w:ascii="Calibri" w:cs="Calibri" w:eastAsia="Calibri" w:hAnsi="Calibri"/>
          <w:color w:val="202122"/>
          <w:sz w:val="24"/>
          <w:szCs w:val="24"/>
          <w:vertAlign w:val="superscript"/>
        </w:rPr>
        <w:footnoteReference w:customMarkFollows="0" w:id="22"/>
      </w:r>
      <w:r w:rsidDel="00000000" w:rsidR="00000000" w:rsidRPr="00000000">
        <w:rPr>
          <w:rFonts w:ascii="Calibri" w:cs="Calibri" w:eastAsia="Calibri" w:hAnsi="Calibri"/>
          <w:color w:val="202122"/>
          <w:sz w:val="24"/>
          <w:szCs w:val="24"/>
          <w:rtl w:val="0"/>
        </w:rPr>
        <w:t xml:space="preserve"> Today, myths and sky myths are accepted as an important and meaningful part of culture worthy of investigation. </w:t>
      </w:r>
    </w:p>
    <w:p w:rsidR="00000000" w:rsidDel="00000000" w:rsidP="00000000" w:rsidRDefault="00000000" w:rsidRPr="00000000" w14:paraId="00000089">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The sun and the moon are the most visible heavenly bodies in the sky that can be identified by the naked eye from the human vantage point on earth sky. The sun and moon are therefore featured in many cultural myths from around the world. The two sky myths that are compared and contrasted in this essay are the Greek and Norse myths about the sun and the moon. Like the ancient Greeks, the Viking Age Scandinavians did not believe in a single, organised religion but rather both cultures respectively, believed in their own pantheon of Norse and Greek gods and supernatural creatures.</w:t>
      </w:r>
      <w:r w:rsidDel="00000000" w:rsidR="00000000" w:rsidRPr="00000000">
        <w:rPr>
          <w:rFonts w:ascii="Calibri" w:cs="Calibri" w:eastAsia="Calibri" w:hAnsi="Calibri"/>
          <w:color w:val="202122"/>
          <w:sz w:val="24"/>
          <w:szCs w:val="24"/>
          <w:vertAlign w:val="superscript"/>
        </w:rPr>
        <w:footnoteReference w:customMarkFollows="0" w:id="23"/>
      </w:r>
      <w:r w:rsidDel="00000000" w:rsidR="00000000" w:rsidRPr="00000000">
        <w:rPr>
          <w:rFonts w:ascii="Calibri" w:cs="Calibri" w:eastAsia="Calibri" w:hAnsi="Calibri"/>
          <w:color w:val="202122"/>
          <w:sz w:val="24"/>
          <w:szCs w:val="24"/>
          <w:rtl w:val="0"/>
        </w:rPr>
        <w:t xml:space="preserve"> As Eliade states, there is always a central myth ‘a primordial history and this history has a beginning: a cosmogonic myth propper, or a myth that describes the first, germinal stage of the world.’ </w:t>
      </w:r>
      <w:r w:rsidDel="00000000" w:rsidR="00000000" w:rsidRPr="00000000">
        <w:rPr>
          <w:rFonts w:ascii="Calibri" w:cs="Calibri" w:eastAsia="Calibri" w:hAnsi="Calibri"/>
          <w:color w:val="202122"/>
          <w:sz w:val="24"/>
          <w:szCs w:val="24"/>
          <w:vertAlign w:val="superscript"/>
        </w:rPr>
        <w:footnoteReference w:customMarkFollows="0" w:id="24"/>
      </w:r>
      <w:r w:rsidDel="00000000" w:rsidR="00000000" w:rsidRPr="00000000">
        <w:rPr>
          <w:rFonts w:ascii="Calibri" w:cs="Calibri" w:eastAsia="Calibri" w:hAnsi="Calibri"/>
          <w:color w:val="202122"/>
          <w:sz w:val="24"/>
          <w:szCs w:val="24"/>
          <w:rtl w:val="0"/>
        </w:rPr>
        <w:t xml:space="preserve"> The origin, or reason why both the Greek and Norse sun and moon myths can be considered cosmogonic stories is because they describe the origin of  the universe more specifically bringing meaning around the existence of the heavenly bodies of the sun and moon. </w:t>
      </w:r>
    </w:p>
    <w:p w:rsidR="00000000" w:rsidDel="00000000" w:rsidP="00000000" w:rsidRDefault="00000000" w:rsidRPr="00000000" w14:paraId="0000008A">
      <w:pPr>
        <w:ind w:left="0"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The Greek myth about the sun and the moon are found in the </w:t>
      </w:r>
      <w:r w:rsidDel="00000000" w:rsidR="00000000" w:rsidRPr="00000000">
        <w:rPr>
          <w:rFonts w:ascii="Calibri" w:cs="Calibri" w:eastAsia="Calibri" w:hAnsi="Calibri"/>
          <w:i w:val="1"/>
          <w:color w:val="202122"/>
          <w:sz w:val="24"/>
          <w:szCs w:val="24"/>
          <w:rtl w:val="0"/>
        </w:rPr>
        <w:t xml:space="preserve">The Homeric Hymns</w:t>
      </w:r>
      <w:r w:rsidDel="00000000" w:rsidR="00000000" w:rsidRPr="00000000">
        <w:rPr>
          <w:rFonts w:ascii="Calibri" w:cs="Calibri" w:eastAsia="Calibri" w:hAnsi="Calibri"/>
          <w:color w:val="202122"/>
          <w:sz w:val="24"/>
          <w:szCs w:val="24"/>
          <w:rtl w:val="0"/>
        </w:rPr>
        <w:t xml:space="preserve"> of Helios</w:t>
      </w:r>
      <w:r w:rsidDel="00000000" w:rsidR="00000000" w:rsidRPr="00000000">
        <w:rPr>
          <w:rFonts w:ascii="Calibri" w:cs="Calibri" w:eastAsia="Calibri" w:hAnsi="Calibri"/>
          <w:color w:val="202122"/>
          <w:sz w:val="24"/>
          <w:szCs w:val="24"/>
          <w:vertAlign w:val="superscript"/>
        </w:rPr>
        <w:footnoteReference w:customMarkFollows="0" w:id="25"/>
      </w:r>
      <w:r w:rsidDel="00000000" w:rsidR="00000000" w:rsidRPr="00000000">
        <w:rPr>
          <w:rFonts w:ascii="Calibri" w:cs="Calibri" w:eastAsia="Calibri" w:hAnsi="Calibri"/>
          <w:color w:val="202122"/>
          <w:sz w:val="24"/>
          <w:szCs w:val="24"/>
          <w:rtl w:val="0"/>
        </w:rPr>
        <w:t xml:space="preserve"> and Selene</w:t>
      </w:r>
      <w:r w:rsidDel="00000000" w:rsidR="00000000" w:rsidRPr="00000000">
        <w:rPr>
          <w:rFonts w:ascii="Calibri" w:cs="Calibri" w:eastAsia="Calibri" w:hAnsi="Calibri"/>
          <w:color w:val="202122"/>
          <w:sz w:val="24"/>
          <w:szCs w:val="24"/>
          <w:vertAlign w:val="superscript"/>
        </w:rPr>
        <w:footnoteReference w:customMarkFollows="0" w:id="26"/>
      </w:r>
      <w:r w:rsidDel="00000000" w:rsidR="00000000" w:rsidRPr="00000000">
        <w:rPr>
          <w:rFonts w:ascii="Calibri" w:cs="Calibri" w:eastAsia="Calibri" w:hAnsi="Calibri"/>
          <w:color w:val="202122"/>
          <w:sz w:val="24"/>
          <w:szCs w:val="24"/>
          <w:rtl w:val="0"/>
        </w:rPr>
        <w:t xml:space="preserve">. The Norse myth about the sun and the moon are found in the myth of Mani and Sol in </w:t>
      </w:r>
      <w:r w:rsidDel="00000000" w:rsidR="00000000" w:rsidRPr="00000000">
        <w:rPr>
          <w:rFonts w:ascii="Calibri" w:cs="Calibri" w:eastAsia="Calibri" w:hAnsi="Calibri"/>
          <w:i w:val="1"/>
          <w:color w:val="202122"/>
          <w:sz w:val="24"/>
          <w:szCs w:val="24"/>
          <w:rtl w:val="0"/>
        </w:rPr>
        <w:t xml:space="preserve">The Prose Edda</w:t>
      </w:r>
      <w:r w:rsidDel="00000000" w:rsidR="00000000" w:rsidRPr="00000000">
        <w:rPr>
          <w:rFonts w:ascii="Calibri" w:cs="Calibri" w:eastAsia="Calibri" w:hAnsi="Calibri"/>
          <w:color w:val="202122"/>
          <w:sz w:val="24"/>
          <w:szCs w:val="24"/>
          <w:vertAlign w:val="superscript"/>
        </w:rPr>
        <w:footnoteReference w:customMarkFollows="0" w:id="27"/>
      </w:r>
      <w:r w:rsidDel="00000000" w:rsidR="00000000" w:rsidRPr="00000000">
        <w:rPr>
          <w:rFonts w:ascii="Calibri" w:cs="Calibri" w:eastAsia="Calibri" w:hAnsi="Calibri"/>
          <w:color w:val="202122"/>
          <w:sz w:val="24"/>
          <w:szCs w:val="24"/>
          <w:rtl w:val="0"/>
        </w:rPr>
        <w:t xml:space="preserve">. </w:t>
      </w:r>
      <w:r w:rsidDel="00000000" w:rsidR="00000000" w:rsidRPr="00000000">
        <w:rPr>
          <w:rFonts w:ascii="Calibri" w:cs="Calibri" w:eastAsia="Calibri" w:hAnsi="Calibri"/>
          <w:i w:val="1"/>
          <w:color w:val="202122"/>
          <w:sz w:val="24"/>
          <w:szCs w:val="24"/>
          <w:rtl w:val="0"/>
        </w:rPr>
        <w:t xml:space="preserve">The Homeric Hymns</w:t>
      </w:r>
      <w:r w:rsidDel="00000000" w:rsidR="00000000" w:rsidRPr="00000000">
        <w:rPr>
          <w:rFonts w:ascii="Calibri" w:cs="Calibri" w:eastAsia="Calibri" w:hAnsi="Calibri"/>
          <w:color w:val="202122"/>
          <w:sz w:val="24"/>
          <w:szCs w:val="24"/>
          <w:rtl w:val="0"/>
        </w:rPr>
        <w:t xml:space="preserve">, is a collection of  thirty-three songs that were assumed to be composed by the poet Homer to honour the gods and goddesses of the ancient Greek pantheon.</w:t>
      </w:r>
      <w:r w:rsidDel="00000000" w:rsidR="00000000" w:rsidRPr="00000000">
        <w:rPr>
          <w:rFonts w:ascii="Calibri" w:cs="Calibri" w:eastAsia="Calibri" w:hAnsi="Calibri"/>
          <w:color w:val="202122"/>
          <w:sz w:val="24"/>
          <w:szCs w:val="24"/>
          <w:vertAlign w:val="superscript"/>
        </w:rPr>
        <w:footnoteReference w:customMarkFollows="0" w:id="28"/>
      </w:r>
      <w:r w:rsidDel="00000000" w:rsidR="00000000" w:rsidRPr="00000000">
        <w:rPr>
          <w:rFonts w:ascii="Calibri" w:cs="Calibri" w:eastAsia="Calibri" w:hAnsi="Calibri"/>
          <w:color w:val="202122"/>
          <w:sz w:val="24"/>
          <w:szCs w:val="24"/>
          <w:rtl w:val="0"/>
        </w:rPr>
        <w:t xml:space="preserve"> The myths of Helios and Selene like most of the hymns recorded were written around 700-500 B.C.E.</w:t>
      </w:r>
      <w:r w:rsidDel="00000000" w:rsidR="00000000" w:rsidRPr="00000000">
        <w:rPr>
          <w:rFonts w:ascii="Calibri" w:cs="Calibri" w:eastAsia="Calibri" w:hAnsi="Calibri"/>
          <w:color w:val="202122"/>
          <w:sz w:val="24"/>
          <w:szCs w:val="24"/>
          <w:vertAlign w:val="superscript"/>
        </w:rPr>
        <w:footnoteReference w:customMarkFollows="0" w:id="29"/>
      </w:r>
      <w:r w:rsidDel="00000000" w:rsidR="00000000" w:rsidRPr="00000000">
        <w:rPr>
          <w:rFonts w:ascii="Calibri" w:cs="Calibri" w:eastAsia="Calibri" w:hAnsi="Calibri"/>
          <w:color w:val="202122"/>
          <w:sz w:val="24"/>
          <w:szCs w:val="24"/>
          <w:rtl w:val="0"/>
        </w:rPr>
        <w:t xml:space="preserve"> </w:t>
      </w:r>
    </w:p>
    <w:p w:rsidR="00000000" w:rsidDel="00000000" w:rsidP="00000000" w:rsidRDefault="00000000" w:rsidRPr="00000000" w14:paraId="0000008B">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The Norse myth about the sun and moon was taken from </w:t>
      </w:r>
      <w:r w:rsidDel="00000000" w:rsidR="00000000" w:rsidRPr="00000000">
        <w:rPr>
          <w:rFonts w:ascii="Calibri" w:cs="Calibri" w:eastAsia="Calibri" w:hAnsi="Calibri"/>
          <w:i w:val="1"/>
          <w:color w:val="202122"/>
          <w:sz w:val="24"/>
          <w:szCs w:val="24"/>
          <w:rtl w:val="0"/>
        </w:rPr>
        <w:t xml:space="preserve">The</w:t>
      </w:r>
      <w:r w:rsidDel="00000000" w:rsidR="00000000" w:rsidRPr="00000000">
        <w:rPr>
          <w:rFonts w:ascii="Calibri" w:cs="Calibri" w:eastAsia="Calibri" w:hAnsi="Calibri"/>
          <w:color w:val="202122"/>
          <w:sz w:val="24"/>
          <w:szCs w:val="24"/>
          <w:rtl w:val="0"/>
        </w:rPr>
        <w:t xml:space="preserve"> </w:t>
      </w:r>
      <w:r w:rsidDel="00000000" w:rsidR="00000000" w:rsidRPr="00000000">
        <w:rPr>
          <w:rFonts w:ascii="Calibri" w:cs="Calibri" w:eastAsia="Calibri" w:hAnsi="Calibri"/>
          <w:i w:val="1"/>
          <w:color w:val="202122"/>
          <w:sz w:val="24"/>
          <w:szCs w:val="24"/>
          <w:rtl w:val="0"/>
        </w:rPr>
        <w:t xml:space="preserve">Prose Edda</w:t>
      </w:r>
      <w:r w:rsidDel="00000000" w:rsidR="00000000" w:rsidRPr="00000000">
        <w:rPr>
          <w:rFonts w:ascii="Calibri" w:cs="Calibri" w:eastAsia="Calibri" w:hAnsi="Calibri"/>
          <w:color w:val="202122"/>
          <w:sz w:val="24"/>
          <w:szCs w:val="24"/>
          <w:rtl w:val="0"/>
        </w:rPr>
        <w:t xml:space="preserve"> assumed to have been written by the Icelandic chieftain Snorri Sturluson</w:t>
      </w:r>
      <w:r w:rsidDel="00000000" w:rsidR="00000000" w:rsidRPr="00000000">
        <w:rPr>
          <w:rFonts w:ascii="Calibri" w:cs="Calibri" w:eastAsia="Calibri" w:hAnsi="Calibri"/>
          <w:color w:val="202122"/>
          <w:sz w:val="24"/>
          <w:szCs w:val="24"/>
          <w:vertAlign w:val="superscript"/>
        </w:rPr>
        <w:footnoteReference w:customMarkFollows="0" w:id="30"/>
      </w:r>
      <w:r w:rsidDel="00000000" w:rsidR="00000000" w:rsidRPr="00000000">
        <w:rPr>
          <w:rFonts w:ascii="Calibri" w:cs="Calibri" w:eastAsia="Calibri" w:hAnsi="Calibri"/>
          <w:color w:val="202122"/>
          <w:sz w:val="24"/>
          <w:szCs w:val="24"/>
          <w:rtl w:val="0"/>
        </w:rPr>
        <w:t xml:space="preserve"> and is considered Scandinavia’s most extensive source for Norse mythology compiled in Iceland in the thirteenth century many centuries after the Homeric myths.</w:t>
      </w:r>
      <w:r w:rsidDel="00000000" w:rsidR="00000000" w:rsidRPr="00000000">
        <w:rPr>
          <w:rFonts w:ascii="Calibri" w:cs="Calibri" w:eastAsia="Calibri" w:hAnsi="Calibri"/>
          <w:color w:val="202122"/>
          <w:sz w:val="24"/>
          <w:szCs w:val="24"/>
          <w:vertAlign w:val="superscript"/>
        </w:rPr>
        <w:footnoteReference w:customMarkFollows="0" w:id="31"/>
      </w:r>
      <w:r w:rsidDel="00000000" w:rsidR="00000000" w:rsidRPr="00000000">
        <w:rPr>
          <w:rFonts w:ascii="Calibri" w:cs="Calibri" w:eastAsia="Calibri" w:hAnsi="Calibri"/>
          <w:color w:val="202122"/>
          <w:sz w:val="24"/>
          <w:szCs w:val="24"/>
          <w:rtl w:val="0"/>
        </w:rPr>
        <w:t xml:space="preserve"> Similar to the </w:t>
      </w:r>
      <w:r w:rsidDel="00000000" w:rsidR="00000000" w:rsidRPr="00000000">
        <w:rPr>
          <w:rFonts w:ascii="Calibri" w:cs="Calibri" w:eastAsia="Calibri" w:hAnsi="Calibri"/>
          <w:i w:val="1"/>
          <w:color w:val="202122"/>
          <w:sz w:val="24"/>
          <w:szCs w:val="24"/>
          <w:rtl w:val="0"/>
        </w:rPr>
        <w:t xml:space="preserve">Homeric Hymns</w:t>
      </w:r>
      <w:r w:rsidDel="00000000" w:rsidR="00000000" w:rsidRPr="00000000">
        <w:rPr>
          <w:rFonts w:ascii="Calibri" w:cs="Calibri" w:eastAsia="Calibri" w:hAnsi="Calibri"/>
          <w:color w:val="202122"/>
          <w:sz w:val="24"/>
          <w:szCs w:val="24"/>
          <w:rtl w:val="0"/>
        </w:rPr>
        <w:t xml:space="preserve">, the </w:t>
      </w:r>
      <w:r w:rsidDel="00000000" w:rsidR="00000000" w:rsidRPr="00000000">
        <w:rPr>
          <w:rFonts w:ascii="Calibri" w:cs="Calibri" w:eastAsia="Calibri" w:hAnsi="Calibri"/>
          <w:i w:val="1"/>
          <w:color w:val="202122"/>
          <w:sz w:val="24"/>
          <w:szCs w:val="24"/>
          <w:rtl w:val="0"/>
        </w:rPr>
        <w:t xml:space="preserve">Prose Edda</w:t>
      </w:r>
      <w:r w:rsidDel="00000000" w:rsidR="00000000" w:rsidRPr="00000000">
        <w:rPr>
          <w:rFonts w:ascii="Calibri" w:cs="Calibri" w:eastAsia="Calibri" w:hAnsi="Calibri"/>
          <w:color w:val="202122"/>
          <w:sz w:val="24"/>
          <w:szCs w:val="24"/>
          <w:rtl w:val="0"/>
        </w:rPr>
        <w:t xml:space="preserve"> were intended to be written in the native language and meant to be read aloud so that both literate and non-literate folk could be reached.</w:t>
      </w:r>
      <w:r w:rsidDel="00000000" w:rsidR="00000000" w:rsidRPr="00000000">
        <w:rPr>
          <w:rFonts w:ascii="Calibri" w:cs="Calibri" w:eastAsia="Calibri" w:hAnsi="Calibri"/>
          <w:color w:val="202122"/>
          <w:sz w:val="24"/>
          <w:szCs w:val="24"/>
          <w:vertAlign w:val="superscript"/>
        </w:rPr>
        <w:footnoteReference w:customMarkFollows="0" w:id="32"/>
      </w:r>
      <w:r w:rsidDel="00000000" w:rsidR="00000000" w:rsidRPr="00000000">
        <w:rPr>
          <w:rFonts w:ascii="Calibri" w:cs="Calibri" w:eastAsia="Calibri" w:hAnsi="Calibri"/>
          <w:color w:val="202122"/>
          <w:sz w:val="24"/>
          <w:szCs w:val="24"/>
          <w:rtl w:val="0"/>
        </w:rPr>
        <w:t xml:space="preserve"> The Norse sun and moon myths are written in a storytelling style that is generally descriptive but does not provide much detail, nuance or poetry. The </w:t>
      </w:r>
      <w:r w:rsidDel="00000000" w:rsidR="00000000" w:rsidRPr="00000000">
        <w:rPr>
          <w:rFonts w:ascii="Calibri" w:cs="Calibri" w:eastAsia="Calibri" w:hAnsi="Calibri"/>
          <w:i w:val="1"/>
          <w:color w:val="202122"/>
          <w:sz w:val="24"/>
          <w:szCs w:val="24"/>
          <w:rtl w:val="0"/>
        </w:rPr>
        <w:t xml:space="preserve">Homeric Hymns </w:t>
      </w:r>
      <w:r w:rsidDel="00000000" w:rsidR="00000000" w:rsidRPr="00000000">
        <w:rPr>
          <w:rFonts w:ascii="Calibri" w:cs="Calibri" w:eastAsia="Calibri" w:hAnsi="Calibri"/>
          <w:color w:val="202122"/>
          <w:sz w:val="24"/>
          <w:szCs w:val="24"/>
          <w:rtl w:val="0"/>
        </w:rPr>
        <w:t xml:space="preserve">in contrast have more ornamental detail as they were meant to be a song of praise to celebrate the gods.</w:t>
      </w:r>
      <w:r w:rsidDel="00000000" w:rsidR="00000000" w:rsidRPr="00000000">
        <w:rPr>
          <w:rFonts w:ascii="Calibri" w:cs="Calibri" w:eastAsia="Calibri" w:hAnsi="Calibri"/>
          <w:color w:val="202122"/>
          <w:sz w:val="24"/>
          <w:szCs w:val="24"/>
          <w:vertAlign w:val="superscript"/>
        </w:rPr>
        <w:footnoteReference w:customMarkFollows="0" w:id="33"/>
      </w:r>
      <w:r w:rsidDel="00000000" w:rsidR="00000000" w:rsidRPr="00000000">
        <w:rPr>
          <w:rFonts w:ascii="Calibri" w:cs="Calibri" w:eastAsia="Calibri" w:hAnsi="Calibri"/>
          <w:color w:val="202122"/>
          <w:sz w:val="24"/>
          <w:szCs w:val="24"/>
          <w:rtl w:val="0"/>
        </w:rPr>
        <w:t xml:space="preserve">As Nicholas Richardson notes, the hymns have been of inspiration to writers, artists and musicians from the Renaissance onwards.</w:t>
      </w:r>
      <w:r w:rsidDel="00000000" w:rsidR="00000000" w:rsidRPr="00000000">
        <w:rPr>
          <w:rFonts w:ascii="Calibri" w:cs="Calibri" w:eastAsia="Calibri" w:hAnsi="Calibri"/>
          <w:color w:val="202122"/>
          <w:sz w:val="24"/>
          <w:szCs w:val="24"/>
          <w:vertAlign w:val="superscript"/>
        </w:rPr>
        <w:footnoteReference w:customMarkFollows="0" w:id="34"/>
      </w:r>
      <w:r w:rsidDel="00000000" w:rsidR="00000000" w:rsidRPr="00000000">
        <w:rPr>
          <w:rFonts w:ascii="Calibri" w:cs="Calibri" w:eastAsia="Calibri" w:hAnsi="Calibri"/>
          <w:color w:val="202122"/>
          <w:sz w:val="24"/>
          <w:szCs w:val="24"/>
          <w:rtl w:val="0"/>
        </w:rPr>
        <w:t xml:space="preserve"> The richness of language of the hymns as Richardson describes ‘evokes the rich beauty of the natural world, of whose power and splendour the Greek gods are the manifestation.’</w:t>
      </w:r>
      <w:r w:rsidDel="00000000" w:rsidR="00000000" w:rsidRPr="00000000">
        <w:rPr>
          <w:rFonts w:ascii="Calibri" w:cs="Calibri" w:eastAsia="Calibri" w:hAnsi="Calibri"/>
          <w:color w:val="202122"/>
          <w:sz w:val="24"/>
          <w:szCs w:val="24"/>
          <w:vertAlign w:val="superscript"/>
        </w:rPr>
        <w:footnoteReference w:customMarkFollows="0" w:id="35"/>
      </w:r>
      <w:r w:rsidDel="00000000" w:rsidR="00000000" w:rsidRPr="00000000">
        <w:rPr>
          <w:rFonts w:ascii="Calibri" w:cs="Calibri" w:eastAsia="Calibri" w:hAnsi="Calibri"/>
          <w:color w:val="202122"/>
          <w:sz w:val="24"/>
          <w:szCs w:val="24"/>
          <w:rtl w:val="0"/>
        </w:rPr>
        <w:t xml:space="preserve"> </w:t>
      </w:r>
    </w:p>
    <w:p w:rsidR="00000000" w:rsidDel="00000000" w:rsidP="00000000" w:rsidRDefault="00000000" w:rsidRPr="00000000" w14:paraId="0000008C">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It is first important to become grounded in the narratives of the myths that will be compared. The first myths to be reviewed and summarised are the Greek myths about the sun and the moon. These stories describe both the story of Helios, the primordial sun god and Selene the primordial moon goddess. Helios, the personification of the Sun, is portrayed as driving a stallion drawn chariot across the sky on a daily basis. Everyday he would rise to the highest point of the heavens and linger there until he would plunge into the ocean yielding the sky to his Titan goddess sister Selene.  She was the goddess of the moon, and also drove every night across the skies. Selene drove the silver moon chariot which was carried by horses with long flowing manes.</w:t>
      </w:r>
    </w:p>
    <w:p w:rsidR="00000000" w:rsidDel="00000000" w:rsidP="00000000" w:rsidRDefault="00000000" w:rsidRPr="00000000" w14:paraId="0000008D">
      <w:pPr>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ab/>
        <w:t xml:space="preserve">In the Norse myths, Mani and Sol were the children of a man named Mundilfari. They were so beautiful that the man named his son Mani (moon) and his daughter Sol (sun). Their father married Sol off to a man named Glen which angered the gods so they placed the siblings up in the heavens. There Sol was made to drive a horse drawn chariot of the sun to illuminate the worlds with burning embers from Muspelheim. In order to cool the horses the gods placed two bellows under their shoulders. It is Mani who guides the path of the moon and controls its waxing and waning. Mani took two children named Bil and Hjuki from the earth and can be seen from earth following Mani. </w:t>
      </w:r>
    </w:p>
    <w:p w:rsidR="00000000" w:rsidDel="00000000" w:rsidP="00000000" w:rsidRDefault="00000000" w:rsidRPr="00000000" w14:paraId="0000008E">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Both the Greek and the Norse myths personify the sun and the moon as gods and describe them as a part of a family structure with a parent(s). More specifically the sun and the moon in both cultures are in fact siblings. Helios, the primordial god of the sun, was the only son of the Titans Hyperion and Theia, also called Euryphaessa. The couple had two daughters Selene, the moon, and Eos, the dawn. In the Greek myth, Helios is brother to his sister Selene. In the Norse myth, Mani and Sol are also a part of a family and were the children of a man named Mundilfari. They were so beautiful that the man named his son Mani (moon) and his daughter Sol (sun). Like the Greek myth the sun and the moon in the Norse myth are brother and sister however the genders are reversed. </w:t>
      </w:r>
    </w:p>
    <w:p w:rsidR="00000000" w:rsidDel="00000000" w:rsidP="00000000" w:rsidRDefault="00000000" w:rsidRPr="00000000" w14:paraId="0000008F">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In the Homeric hymn to Selene the Muses are instructed to sing the story of the ‘long-winded Moon’. The primordial moon goddess positions her immortal head in ‘heaven’ which in other words locates her in the sky. Her light is described as glistening, radiating and shiny where great beauty comes. Thus, the moon was seen and experienced by the Greeks as a great beauty that radiates, encircles and disperses her light around the earth.</w:t>
      </w:r>
    </w:p>
    <w:p w:rsidR="00000000" w:rsidDel="00000000" w:rsidP="00000000" w:rsidRDefault="00000000" w:rsidRPr="00000000" w14:paraId="00000090">
      <w:pPr>
        <w:ind w:firstLine="720"/>
        <w:rPr>
          <w:rFonts w:ascii="Calibri" w:cs="Calibri" w:eastAsia="Calibri" w:hAnsi="Calibri"/>
          <w:i w:val="1"/>
          <w:color w:val="202122"/>
          <w:sz w:val="24"/>
          <w:szCs w:val="24"/>
        </w:rPr>
      </w:pPr>
      <w:r w:rsidDel="00000000" w:rsidR="00000000" w:rsidRPr="00000000">
        <w:rPr>
          <w:rFonts w:ascii="Calibri" w:cs="Calibri" w:eastAsia="Calibri" w:hAnsi="Calibri"/>
          <w:color w:val="202122"/>
          <w:sz w:val="24"/>
          <w:szCs w:val="24"/>
          <w:rtl w:val="0"/>
        </w:rPr>
        <w:br w:type="textWrapping"/>
        <w:tab/>
      </w:r>
      <w:r w:rsidDel="00000000" w:rsidR="00000000" w:rsidRPr="00000000">
        <w:rPr>
          <w:rFonts w:ascii="Calibri" w:cs="Calibri" w:eastAsia="Calibri" w:hAnsi="Calibri"/>
          <w:i w:val="1"/>
          <w:color w:val="202122"/>
          <w:sz w:val="24"/>
          <w:szCs w:val="24"/>
          <w:rtl w:val="0"/>
        </w:rPr>
        <w:t xml:space="preserve">Glistening in heaven</w:t>
      </w:r>
    </w:p>
    <w:p w:rsidR="00000000" w:rsidDel="00000000" w:rsidP="00000000" w:rsidRDefault="00000000" w:rsidRPr="00000000" w14:paraId="00000091">
      <w:pPr>
        <w:ind w:firstLine="720"/>
        <w:rPr>
          <w:rFonts w:ascii="Calibri" w:cs="Calibri" w:eastAsia="Calibri" w:hAnsi="Calibri"/>
          <w:i w:val="1"/>
          <w:color w:val="202122"/>
          <w:sz w:val="24"/>
          <w:szCs w:val="24"/>
        </w:rPr>
      </w:pPr>
      <w:r w:rsidDel="00000000" w:rsidR="00000000" w:rsidRPr="00000000">
        <w:rPr>
          <w:rFonts w:ascii="Calibri" w:cs="Calibri" w:eastAsia="Calibri" w:hAnsi="Calibri"/>
          <w:i w:val="1"/>
          <w:color w:val="202122"/>
          <w:sz w:val="24"/>
          <w:szCs w:val="24"/>
          <w:rtl w:val="0"/>
        </w:rPr>
        <w:t xml:space="preserve">from her immortal head, </w:t>
      </w:r>
    </w:p>
    <w:p w:rsidR="00000000" w:rsidDel="00000000" w:rsidP="00000000" w:rsidRDefault="00000000" w:rsidRPr="00000000" w14:paraId="00000092">
      <w:pPr>
        <w:ind w:firstLine="720"/>
        <w:rPr>
          <w:rFonts w:ascii="Calibri" w:cs="Calibri" w:eastAsia="Calibri" w:hAnsi="Calibri"/>
          <w:i w:val="1"/>
          <w:color w:val="202122"/>
          <w:sz w:val="24"/>
          <w:szCs w:val="24"/>
        </w:rPr>
      </w:pPr>
      <w:r w:rsidDel="00000000" w:rsidR="00000000" w:rsidRPr="00000000">
        <w:rPr>
          <w:rFonts w:ascii="Calibri" w:cs="Calibri" w:eastAsia="Calibri" w:hAnsi="Calibri"/>
          <w:i w:val="1"/>
          <w:color w:val="202122"/>
          <w:sz w:val="24"/>
          <w:szCs w:val="24"/>
          <w:rtl w:val="0"/>
        </w:rPr>
        <w:t xml:space="preserve">a radiance encircles earth</w:t>
      </w:r>
    </w:p>
    <w:p w:rsidR="00000000" w:rsidDel="00000000" w:rsidP="00000000" w:rsidRDefault="00000000" w:rsidRPr="00000000" w14:paraId="00000093">
      <w:pPr>
        <w:ind w:firstLine="720"/>
        <w:rPr>
          <w:rFonts w:ascii="Calibri" w:cs="Calibri" w:eastAsia="Calibri" w:hAnsi="Calibri"/>
          <w:i w:val="1"/>
          <w:color w:val="202122"/>
          <w:sz w:val="24"/>
          <w:szCs w:val="24"/>
        </w:rPr>
      </w:pPr>
      <w:r w:rsidDel="00000000" w:rsidR="00000000" w:rsidRPr="00000000">
        <w:rPr>
          <w:rFonts w:ascii="Calibri" w:cs="Calibri" w:eastAsia="Calibri" w:hAnsi="Calibri"/>
          <w:i w:val="1"/>
          <w:color w:val="202122"/>
          <w:sz w:val="24"/>
          <w:szCs w:val="24"/>
          <w:rtl w:val="0"/>
        </w:rPr>
        <w:t xml:space="preserve">and from her shining light great beauty comes</w:t>
      </w:r>
      <w:r w:rsidDel="00000000" w:rsidR="00000000" w:rsidRPr="00000000">
        <w:rPr>
          <w:rFonts w:ascii="Calibri" w:cs="Calibri" w:eastAsia="Calibri" w:hAnsi="Calibri"/>
          <w:i w:val="1"/>
          <w:color w:val="202122"/>
          <w:sz w:val="24"/>
          <w:szCs w:val="24"/>
          <w:vertAlign w:val="superscript"/>
        </w:rPr>
        <w:footnoteReference w:customMarkFollows="0" w:id="36"/>
      </w:r>
      <w:r w:rsidDel="00000000" w:rsidR="00000000" w:rsidRPr="00000000">
        <w:rPr>
          <w:rtl w:val="0"/>
        </w:rPr>
      </w:r>
    </w:p>
    <w:p w:rsidR="00000000" w:rsidDel="00000000" w:rsidP="00000000" w:rsidRDefault="00000000" w:rsidRPr="00000000" w14:paraId="00000094">
      <w:pPr>
        <w:ind w:firstLine="720"/>
        <w:rPr>
          <w:rFonts w:ascii="Calibri" w:cs="Calibri" w:eastAsia="Calibri" w:hAnsi="Calibri"/>
          <w:i w:val="1"/>
          <w:color w:val="202122"/>
          <w:sz w:val="24"/>
          <w:szCs w:val="24"/>
        </w:rPr>
      </w:pPr>
      <w:r w:rsidDel="00000000" w:rsidR="00000000" w:rsidRPr="00000000">
        <w:rPr>
          <w:rtl w:val="0"/>
        </w:rPr>
      </w:r>
    </w:p>
    <w:p w:rsidR="00000000" w:rsidDel="00000000" w:rsidP="00000000" w:rsidRDefault="00000000" w:rsidRPr="00000000" w14:paraId="00000095">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Helios, the primordial Greek sun god, while not specifically described and located in the ‘heavens’ is described as he who ‘shines down upon all things’</w:t>
      </w:r>
      <w:r w:rsidDel="00000000" w:rsidR="00000000" w:rsidRPr="00000000">
        <w:rPr>
          <w:rFonts w:ascii="Calibri" w:cs="Calibri" w:eastAsia="Calibri" w:hAnsi="Calibri"/>
          <w:color w:val="202122"/>
          <w:sz w:val="24"/>
          <w:szCs w:val="24"/>
          <w:vertAlign w:val="superscript"/>
        </w:rPr>
        <w:footnoteReference w:customMarkFollows="0" w:id="37"/>
      </w:r>
      <w:r w:rsidDel="00000000" w:rsidR="00000000" w:rsidRPr="00000000">
        <w:rPr>
          <w:rFonts w:ascii="Calibri" w:cs="Calibri" w:eastAsia="Calibri" w:hAnsi="Calibri"/>
          <w:color w:val="202122"/>
          <w:sz w:val="24"/>
          <w:szCs w:val="24"/>
          <w:rtl w:val="0"/>
        </w:rPr>
        <w:t xml:space="preserve">. He too is located in the sky, perhaps even further out beyond the limits and boundaries of the moon. Helios is also described as a beautiful child.  From the beginning of the hymn, Helios is described with veracity as ‘the blazing Sun’. Many more words are used to describe the magnificence, abundance and power of the sun’s light; bright, flash, brilliant, glow, shimmer, gleam. In the Norse myth, the moon is described as the brother and therefore male. Mani is located also like Selene ‘in the heavens’. Mani like Selene is described as beautiful, ‘They were so fair and beautiful that he called one Moon [Mani] and the other, a daughter, he called Sun [Sol].’</w:t>
      </w:r>
      <w:r w:rsidDel="00000000" w:rsidR="00000000" w:rsidRPr="00000000">
        <w:rPr>
          <w:rFonts w:ascii="Calibri" w:cs="Calibri" w:eastAsia="Calibri" w:hAnsi="Calibri"/>
          <w:color w:val="202122"/>
          <w:sz w:val="24"/>
          <w:szCs w:val="24"/>
          <w:vertAlign w:val="superscript"/>
        </w:rPr>
        <w:footnoteReference w:customMarkFollows="0" w:id="38"/>
      </w:r>
      <w:r w:rsidDel="00000000" w:rsidR="00000000" w:rsidRPr="00000000">
        <w:rPr>
          <w:rFonts w:ascii="Calibri" w:cs="Calibri" w:eastAsia="Calibri" w:hAnsi="Calibri"/>
          <w:color w:val="202122"/>
          <w:sz w:val="24"/>
          <w:szCs w:val="24"/>
          <w:rtl w:val="0"/>
        </w:rPr>
        <w:t xml:space="preserve"> A difference between the Greek and Norse myths is the gender of the sun and moon. Most cultures associate the moon with the female/feminine. The Norse myth however describes the moon as a male.</w:t>
      </w:r>
    </w:p>
    <w:p w:rsidR="00000000" w:rsidDel="00000000" w:rsidP="00000000" w:rsidRDefault="00000000" w:rsidRPr="00000000" w14:paraId="00000096">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Both cultural myths describe the sun's physical motion across the sky by describing how the sun characters, Helios and Sol, drive chariots across the sky. In the Greek hymns Helios is said to be ‘Riding his chariot of horses, he shines upon all things…’</w:t>
      </w:r>
      <w:r w:rsidDel="00000000" w:rsidR="00000000" w:rsidRPr="00000000">
        <w:rPr>
          <w:rFonts w:ascii="Calibri" w:cs="Calibri" w:eastAsia="Calibri" w:hAnsi="Calibri"/>
          <w:color w:val="202122"/>
          <w:sz w:val="24"/>
          <w:szCs w:val="24"/>
          <w:vertAlign w:val="superscript"/>
        </w:rPr>
        <w:footnoteReference w:customMarkFollows="0" w:id="39"/>
      </w:r>
      <w:r w:rsidDel="00000000" w:rsidR="00000000" w:rsidRPr="00000000">
        <w:rPr>
          <w:rFonts w:ascii="Calibri" w:cs="Calibri" w:eastAsia="Calibri" w:hAnsi="Calibri"/>
          <w:color w:val="202122"/>
          <w:sz w:val="24"/>
          <w:szCs w:val="24"/>
          <w:rtl w:val="0"/>
        </w:rPr>
        <w:t xml:space="preserve"> In the Norse myth the gods ‘made the Sun drive the horses that drew the chariot of the sun, which the gods, in order to illuminate the worlds, had created from burning embers flying from Muspellsheiim.’</w:t>
      </w:r>
      <w:r w:rsidDel="00000000" w:rsidR="00000000" w:rsidRPr="00000000">
        <w:rPr>
          <w:rFonts w:ascii="Calibri" w:cs="Calibri" w:eastAsia="Calibri" w:hAnsi="Calibri"/>
          <w:color w:val="202122"/>
          <w:sz w:val="24"/>
          <w:szCs w:val="24"/>
          <w:vertAlign w:val="superscript"/>
        </w:rPr>
        <w:footnoteReference w:customMarkFollows="0" w:id="40"/>
      </w:r>
      <w:r w:rsidDel="00000000" w:rsidR="00000000" w:rsidRPr="00000000">
        <w:rPr>
          <w:rFonts w:ascii="Calibri" w:cs="Calibri" w:eastAsia="Calibri" w:hAnsi="Calibri"/>
          <w:color w:val="202122"/>
          <w:sz w:val="24"/>
          <w:szCs w:val="24"/>
          <w:rtl w:val="0"/>
        </w:rPr>
        <w:t xml:space="preserve"> Before moving vehicles like aeroplanes and cars, the ancients used the symbolism of a human driving a chariot of horse as a means to describe the movement of the heavenly bodies. The horses which are animals that can reach great speed help to convey the speed of the sun moving from east to west across the sky and the waxing and waning of the moon. In addition, in the Norse myth the sun's quick speed across the sky was a result of a wolf named Skoll chasing her. The moon is chased by a second wolf named Hati.</w:t>
      </w:r>
      <w:r w:rsidDel="00000000" w:rsidR="00000000" w:rsidRPr="00000000">
        <w:rPr>
          <w:rFonts w:ascii="Calibri" w:cs="Calibri" w:eastAsia="Calibri" w:hAnsi="Calibri"/>
          <w:color w:val="202122"/>
          <w:sz w:val="24"/>
          <w:szCs w:val="24"/>
          <w:vertAlign w:val="superscript"/>
        </w:rPr>
        <w:footnoteReference w:customMarkFollows="0" w:id="41"/>
      </w:r>
      <w:r w:rsidDel="00000000" w:rsidR="00000000" w:rsidRPr="00000000">
        <w:rPr>
          <w:rFonts w:ascii="Calibri" w:cs="Calibri" w:eastAsia="Calibri" w:hAnsi="Calibri"/>
          <w:color w:val="202122"/>
          <w:sz w:val="24"/>
          <w:szCs w:val="24"/>
          <w:rtl w:val="0"/>
        </w:rPr>
        <w:t xml:space="preserve">  </w:t>
      </w:r>
    </w:p>
    <w:p w:rsidR="00000000" w:rsidDel="00000000" w:rsidP="00000000" w:rsidRDefault="00000000" w:rsidRPr="00000000" w14:paraId="00000097">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In respect to understanding the moon’s changing appearance or cycles, the Greek myth describes that at the middle of the month ‘where her great orb swells to the full…’ the moon becomes both a pledge and a sign for human beings. This suggests that the Greeks used the phases of the moon as signs, symbols and for calendrical purposes. In the Norse myth, it is Mani that guides the path of the moon and controls its waxing and waning suggesting that the Norse were also cognizant of the phases of the moon.  </w:t>
      </w:r>
    </w:p>
    <w:p w:rsidR="00000000" w:rsidDel="00000000" w:rsidP="00000000" w:rsidRDefault="00000000" w:rsidRPr="00000000" w14:paraId="00000098">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While the Norse myth does not describe or specify exactly why or how the sun and moon descend from the heavens beneath the horizon. The Greek myth explains the descent of the sun and moon by describing how Helios and Selene drive their chariots from the heavens down toward the ocean. Helios is described as driving his chariot down through heaven to Ocean</w:t>
      </w:r>
      <w:r w:rsidDel="00000000" w:rsidR="00000000" w:rsidRPr="00000000">
        <w:rPr>
          <w:rFonts w:ascii="Calibri" w:cs="Calibri" w:eastAsia="Calibri" w:hAnsi="Calibri"/>
          <w:color w:val="202122"/>
          <w:sz w:val="24"/>
          <w:szCs w:val="24"/>
          <w:vertAlign w:val="superscript"/>
        </w:rPr>
        <w:footnoteReference w:customMarkFollows="0" w:id="42"/>
      </w:r>
      <w:r w:rsidDel="00000000" w:rsidR="00000000" w:rsidRPr="00000000">
        <w:rPr>
          <w:rFonts w:ascii="Calibri" w:cs="Calibri" w:eastAsia="Calibri" w:hAnsi="Calibri"/>
          <w:color w:val="202122"/>
          <w:sz w:val="24"/>
          <w:szCs w:val="24"/>
          <w:rtl w:val="0"/>
        </w:rPr>
        <w:t xml:space="preserve"> while Selene is described as washing ‘her beautiful body in the waters of Ocean…’</w:t>
      </w:r>
      <w:r w:rsidDel="00000000" w:rsidR="00000000" w:rsidRPr="00000000">
        <w:rPr>
          <w:rFonts w:ascii="Calibri" w:cs="Calibri" w:eastAsia="Calibri" w:hAnsi="Calibri"/>
          <w:color w:val="202122"/>
          <w:sz w:val="24"/>
          <w:szCs w:val="24"/>
          <w:vertAlign w:val="superscript"/>
        </w:rPr>
        <w:footnoteReference w:customMarkFollows="0" w:id="43"/>
      </w:r>
      <w:r w:rsidDel="00000000" w:rsidR="00000000" w:rsidRPr="00000000">
        <w:rPr>
          <w:rFonts w:ascii="Calibri" w:cs="Calibri" w:eastAsia="Calibri" w:hAnsi="Calibri"/>
          <w:color w:val="202122"/>
          <w:sz w:val="24"/>
          <w:szCs w:val="24"/>
          <w:rtl w:val="0"/>
        </w:rPr>
        <w:t xml:space="preserve"> The description of the sun is energetic and active as would be expected for day activity while the moon’s description is more sensual as might be expected with the mysterious nature of the night.</w:t>
      </w:r>
    </w:p>
    <w:p w:rsidR="00000000" w:rsidDel="00000000" w:rsidP="00000000" w:rsidRDefault="00000000" w:rsidRPr="00000000" w14:paraId="00000099">
      <w:pPr>
        <w:ind w:firstLine="720"/>
        <w:rPr>
          <w:rFonts w:ascii="Calibri" w:cs="Calibri" w:eastAsia="Calibri" w:hAnsi="Calibri"/>
          <w:color w:val="202122"/>
          <w:sz w:val="24"/>
          <w:szCs w:val="24"/>
        </w:rPr>
      </w:pPr>
      <w:r w:rsidDel="00000000" w:rsidR="00000000" w:rsidRPr="00000000">
        <w:rPr>
          <w:rFonts w:ascii="Calibri" w:cs="Calibri" w:eastAsia="Calibri" w:hAnsi="Calibri"/>
          <w:color w:val="202122"/>
          <w:sz w:val="24"/>
          <w:szCs w:val="24"/>
          <w:rtl w:val="0"/>
        </w:rPr>
        <w:t xml:space="preserve">The sun and moon play a consistent and constant presence in the lives of human beings and for living beings in general.  Anyone who looks up to the moon and observes the phases of the moon and the rising and setting of the sun would be hard pressed not to want to make sense of what they were witnessing. In conclusion, the cultural purpose of the sky myths reviewed about the sun and moon would be considered as Eliade says to be cosmogonic  in that it offers an explanation of the sun and moons relationship to each other as well as the reason behind the setting and rising of the sun and the waxing and waning of the moon. It is no surprise that ancient people and civilizations devised narratives to explain what they were witnessing in the sky. Without formal definitions, about the sun and moon, afforded to them by science and technology, ‘primitive’ cultures created stories to help them better understand and recount as Eliade says the ‘sacred story’ referenced earlier about the luminaries.  As Kane states ‘Myths are not stories about the god in the abstract; they are about “something mysterious,” intelligent, invisible and whole.’</w:t>
      </w:r>
      <w:r w:rsidDel="00000000" w:rsidR="00000000" w:rsidRPr="00000000">
        <w:rPr>
          <w:rFonts w:ascii="Calibri" w:cs="Calibri" w:eastAsia="Calibri" w:hAnsi="Calibri"/>
          <w:color w:val="202122"/>
          <w:sz w:val="24"/>
          <w:szCs w:val="24"/>
          <w:vertAlign w:val="superscript"/>
        </w:rPr>
        <w:footnoteReference w:customMarkFollows="0" w:id="44"/>
      </w:r>
      <w:r w:rsidDel="00000000" w:rsidR="00000000" w:rsidRPr="00000000">
        <w:rPr>
          <w:rFonts w:ascii="Calibri" w:cs="Calibri" w:eastAsia="Calibri" w:hAnsi="Calibri"/>
          <w:color w:val="202122"/>
          <w:sz w:val="24"/>
          <w:szCs w:val="24"/>
          <w:rtl w:val="0"/>
        </w:rPr>
        <w:t xml:space="preserve"> When people looked up to the sky and at the sun and moon with their naked eye, ancient civilizations were reflecting upon the sun and moon and their mysterious relationship and ultimately trying to understand what their human relationship was with the heavenly bodies. The Greeks, it can be argued, were enchanted by what they were seeing in the sky. Their description of the sun and moon is lyrical, poetic and uses a lot of ornamental and descriptive language to communicate what they were seeing. One can argue this was an example of an experience of wonder and awe or what Curry says in an experience of enchantment</w:t>
      </w:r>
      <w:r w:rsidDel="00000000" w:rsidR="00000000" w:rsidRPr="00000000">
        <w:rPr>
          <w:rFonts w:ascii="Calibri" w:cs="Calibri" w:eastAsia="Calibri" w:hAnsi="Calibri"/>
          <w:color w:val="202122"/>
          <w:sz w:val="24"/>
          <w:szCs w:val="24"/>
          <w:vertAlign w:val="superscript"/>
        </w:rPr>
        <w:footnoteReference w:customMarkFollows="0" w:id="45"/>
      </w:r>
      <w:r w:rsidDel="00000000" w:rsidR="00000000" w:rsidRPr="00000000">
        <w:rPr>
          <w:rFonts w:ascii="Calibri" w:cs="Calibri" w:eastAsia="Calibri" w:hAnsi="Calibri"/>
          <w:color w:val="202122"/>
          <w:sz w:val="24"/>
          <w:szCs w:val="24"/>
          <w:rtl w:val="0"/>
        </w:rPr>
        <w:t xml:space="preserve"> that is also hopelessly non-modern, rather that something that can be fully explained by science and rational thought.</w:t>
      </w:r>
      <w:r w:rsidDel="00000000" w:rsidR="00000000" w:rsidRPr="00000000">
        <w:rPr>
          <w:rFonts w:ascii="Calibri" w:cs="Calibri" w:eastAsia="Calibri" w:hAnsi="Calibri"/>
          <w:color w:val="202122"/>
          <w:sz w:val="24"/>
          <w:szCs w:val="24"/>
          <w:vertAlign w:val="superscript"/>
        </w:rPr>
        <w:footnoteReference w:customMarkFollows="0" w:id="46"/>
      </w:r>
      <w:r w:rsidDel="00000000" w:rsidR="00000000" w:rsidRPr="00000000">
        <w:rPr>
          <w:rFonts w:ascii="Calibri" w:cs="Calibri" w:eastAsia="Calibri" w:hAnsi="Calibri"/>
          <w:color w:val="202122"/>
          <w:sz w:val="24"/>
          <w:szCs w:val="24"/>
          <w:rtl w:val="0"/>
        </w:rPr>
        <w:t xml:space="preserve">  What these two particular cultural sky myths  may also tell us about the nature of myth is that there are no national boundaries to the shared night sky as Bradey contends. There is a real connection and participation with what humans experience seeing in the sky. The recounting of these experiences across different cultures show how powerful and fundamental to humanity the myths are and why they have endured over thousands of years.</w:t>
      </w:r>
    </w:p>
    <w:p w:rsidR="00000000" w:rsidDel="00000000" w:rsidP="00000000" w:rsidRDefault="00000000" w:rsidRPr="00000000" w14:paraId="0000009A">
      <w:pPr>
        <w:ind w:firstLine="720"/>
        <w:rPr>
          <w:rFonts w:ascii="Calibri" w:cs="Calibri" w:eastAsia="Calibri" w:hAnsi="Calibri"/>
          <w:color w:val="202122"/>
          <w:sz w:val="24"/>
          <w:szCs w:val="24"/>
        </w:rPr>
      </w:pPr>
      <w:r w:rsidDel="00000000" w:rsidR="00000000" w:rsidRPr="00000000">
        <w:rPr>
          <w:rtl w:val="0"/>
        </w:rPr>
      </w:r>
    </w:p>
    <w:p w:rsidR="00000000" w:rsidDel="00000000" w:rsidP="00000000" w:rsidRDefault="00000000" w:rsidRPr="00000000" w14:paraId="0000009B">
      <w:pPr>
        <w:rPr>
          <w:rFonts w:ascii="Calibri" w:cs="Calibri" w:eastAsia="Calibri" w:hAnsi="Calibri"/>
          <w:b w:val="1"/>
          <w:color w:val="202122"/>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9C">
      <w:pPr>
        <w:rPr>
          <w:rFonts w:ascii="Calibri" w:cs="Calibri" w:eastAsia="Calibri" w:hAnsi="Calibri"/>
          <w:b w:val="1"/>
          <w:color w:val="202122"/>
          <w:sz w:val="24"/>
          <w:szCs w:val="24"/>
          <w:highlight w:val="white"/>
        </w:rPr>
      </w:pPr>
      <w:r w:rsidDel="00000000" w:rsidR="00000000" w:rsidRPr="00000000">
        <w:rPr>
          <w:rFonts w:ascii="Calibri" w:cs="Calibri" w:eastAsia="Calibri" w:hAnsi="Calibri"/>
          <w:b w:val="1"/>
          <w:color w:val="202122"/>
          <w:sz w:val="24"/>
          <w:szCs w:val="24"/>
          <w:highlight w:val="white"/>
          <w:rtl w:val="0"/>
        </w:rPr>
        <w:t xml:space="preserve">Bibliography</w:t>
      </w:r>
    </w:p>
    <w:p w:rsidR="00000000" w:rsidDel="00000000" w:rsidP="00000000" w:rsidRDefault="00000000" w:rsidRPr="00000000" w14:paraId="0000009D">
      <w:pPr>
        <w:rPr>
          <w:rFonts w:ascii="Calibri" w:cs="Calibri" w:eastAsia="Calibri" w:hAnsi="Calibri"/>
          <w:b w:val="1"/>
          <w:color w:val="202122"/>
          <w:sz w:val="24"/>
          <w:szCs w:val="24"/>
          <w:highlight w:val="white"/>
        </w:rPr>
      </w:pPr>
      <w:r w:rsidDel="00000000" w:rsidR="00000000" w:rsidRPr="00000000">
        <w:rPr>
          <w:rtl w:val="0"/>
        </w:rPr>
      </w:r>
    </w:p>
    <w:p w:rsidR="00000000" w:rsidDel="00000000" w:rsidP="00000000" w:rsidRDefault="00000000" w:rsidRPr="00000000" w14:paraId="0000009E">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Bradey, Bernadette, ‘Images in Heaven’ in Darrelyn Gunzberg, Ed., ‘</w:t>
      </w:r>
      <w:r w:rsidDel="00000000" w:rsidR="00000000" w:rsidRPr="00000000">
        <w:rPr>
          <w:rFonts w:ascii="Calibri" w:cs="Calibri" w:eastAsia="Calibri" w:hAnsi="Calibri"/>
          <w:i w:val="1"/>
          <w:sz w:val="24"/>
          <w:szCs w:val="24"/>
          <w:rtl w:val="0"/>
        </w:rPr>
        <w:t xml:space="preserve">The Imagined Sky. Cultural Perspectives</w:t>
      </w:r>
      <w:r w:rsidDel="00000000" w:rsidR="00000000" w:rsidRPr="00000000">
        <w:rPr>
          <w:rFonts w:ascii="Calibri" w:cs="Calibri" w:eastAsia="Calibri" w:hAnsi="Calibri"/>
          <w:sz w:val="24"/>
          <w:szCs w:val="24"/>
          <w:rtl w:val="0"/>
        </w:rPr>
        <w:t xml:space="preserve">.’ (South Yorkshire: Equinox Publishing Ltd., 2016)</w:t>
      </w:r>
    </w:p>
    <w:p w:rsidR="00000000" w:rsidDel="00000000" w:rsidP="00000000" w:rsidRDefault="00000000" w:rsidRPr="00000000" w14:paraId="0000009F">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0">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Cashford, Jules and Richardson, Nicholas, T</w:t>
      </w:r>
      <w:r w:rsidDel="00000000" w:rsidR="00000000" w:rsidRPr="00000000">
        <w:rPr>
          <w:rFonts w:ascii="Calibri" w:cs="Calibri" w:eastAsia="Calibri" w:hAnsi="Calibri"/>
          <w:i w:val="1"/>
          <w:sz w:val="24"/>
          <w:szCs w:val="24"/>
          <w:rtl w:val="0"/>
        </w:rPr>
        <w:t xml:space="preserve">he Homeric Hymns, </w:t>
      </w:r>
      <w:r w:rsidDel="00000000" w:rsidR="00000000" w:rsidRPr="00000000">
        <w:rPr>
          <w:rFonts w:ascii="Calibri" w:cs="Calibri" w:eastAsia="Calibri" w:hAnsi="Calibri"/>
          <w:sz w:val="24"/>
          <w:szCs w:val="24"/>
          <w:rtl w:val="0"/>
        </w:rPr>
        <w:t xml:space="preserve">trans. by Jules Cashford,</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(London: Penguin Books, 2003)</w:t>
      </w:r>
    </w:p>
    <w:p w:rsidR="00000000" w:rsidDel="00000000" w:rsidP="00000000" w:rsidRDefault="00000000" w:rsidRPr="00000000" w14:paraId="000000A1">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br w:type="textWrapping"/>
        <w:t xml:space="preserve">Curry, Patrick, </w:t>
      </w:r>
      <w:r w:rsidDel="00000000" w:rsidR="00000000" w:rsidRPr="00000000">
        <w:rPr>
          <w:rFonts w:ascii="Calibri" w:cs="Calibri" w:eastAsia="Calibri" w:hAnsi="Calibri"/>
          <w:i w:val="1"/>
          <w:sz w:val="24"/>
          <w:szCs w:val="24"/>
          <w:rtl w:val="0"/>
        </w:rPr>
        <w:t xml:space="preserve">Enchantment. Wonder in Modern Life</w:t>
      </w:r>
      <w:r w:rsidDel="00000000" w:rsidR="00000000" w:rsidRPr="00000000">
        <w:rPr>
          <w:rFonts w:ascii="Calibri" w:cs="Calibri" w:eastAsia="Calibri" w:hAnsi="Calibri"/>
          <w:sz w:val="24"/>
          <w:szCs w:val="24"/>
          <w:rtl w:val="0"/>
        </w:rPr>
        <w:t xml:space="preserve">, (Edinburgh, Floris Books, 2019)</w:t>
      </w:r>
    </w:p>
    <w:p w:rsidR="00000000" w:rsidDel="00000000" w:rsidP="00000000" w:rsidRDefault="00000000" w:rsidRPr="00000000" w14:paraId="000000A2">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3">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Curry, Patrick, ‘Divination, Enchantment and Platonism’ in Jean H. Lall and Angela Voss eds., </w:t>
      </w:r>
      <w:r w:rsidDel="00000000" w:rsidR="00000000" w:rsidRPr="00000000">
        <w:rPr>
          <w:rFonts w:ascii="Calibri" w:cs="Calibri" w:eastAsia="Calibri" w:hAnsi="Calibri"/>
          <w:i w:val="1"/>
          <w:sz w:val="24"/>
          <w:szCs w:val="24"/>
          <w:rtl w:val="0"/>
        </w:rPr>
        <w:t xml:space="preserve">The Imaginal Cosmos</w:t>
      </w:r>
      <w:r w:rsidDel="00000000" w:rsidR="00000000" w:rsidRPr="00000000">
        <w:rPr>
          <w:rFonts w:ascii="Calibri" w:cs="Calibri" w:eastAsia="Calibri" w:hAnsi="Calibri"/>
          <w:sz w:val="24"/>
          <w:szCs w:val="24"/>
          <w:rtl w:val="0"/>
        </w:rPr>
        <w:t xml:space="preserve"> (Canterbury: University of Kent, 2006)</w:t>
      </w:r>
    </w:p>
    <w:p w:rsidR="00000000" w:rsidDel="00000000" w:rsidP="00000000" w:rsidRDefault="00000000" w:rsidRPr="00000000" w14:paraId="000000A4">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5">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Eagleton, Terry, ‘Versions of Culture’, </w:t>
      </w:r>
      <w:r w:rsidDel="00000000" w:rsidR="00000000" w:rsidRPr="00000000">
        <w:rPr>
          <w:rFonts w:ascii="Calibri" w:cs="Calibri" w:eastAsia="Calibri" w:hAnsi="Calibri"/>
          <w:i w:val="1"/>
          <w:sz w:val="24"/>
          <w:szCs w:val="24"/>
          <w:rtl w:val="0"/>
        </w:rPr>
        <w:t xml:space="preserve">The Idea of Culture</w:t>
      </w:r>
      <w:r w:rsidDel="00000000" w:rsidR="00000000" w:rsidRPr="00000000">
        <w:rPr>
          <w:rFonts w:ascii="Calibri" w:cs="Calibri" w:eastAsia="Calibri" w:hAnsi="Calibri"/>
          <w:sz w:val="24"/>
          <w:szCs w:val="24"/>
          <w:rtl w:val="0"/>
        </w:rPr>
        <w:t xml:space="preserve">, (Oxford: Blackwell, 2000)</w:t>
      </w:r>
    </w:p>
    <w:p w:rsidR="00000000" w:rsidDel="00000000" w:rsidP="00000000" w:rsidRDefault="00000000" w:rsidRPr="00000000" w14:paraId="000000A6">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Eliade, Mircea,</w:t>
      </w:r>
      <w:r w:rsidDel="00000000" w:rsidR="00000000" w:rsidRPr="00000000">
        <w:rPr>
          <w:rFonts w:ascii="Calibri" w:cs="Calibri" w:eastAsia="Calibri" w:hAnsi="Calibri"/>
          <w:i w:val="1"/>
          <w:sz w:val="24"/>
          <w:szCs w:val="24"/>
          <w:rtl w:val="0"/>
        </w:rPr>
        <w:t xml:space="preserve"> Cosmogonic Myth and “Sacred History”, </w:t>
      </w:r>
      <w:r w:rsidDel="00000000" w:rsidR="00000000" w:rsidRPr="00000000">
        <w:rPr>
          <w:rFonts w:ascii="Calibri" w:cs="Calibri" w:eastAsia="Calibri" w:hAnsi="Calibri"/>
          <w:sz w:val="24"/>
          <w:szCs w:val="24"/>
          <w:rtl w:val="0"/>
        </w:rPr>
        <w:t xml:space="preserve">Religious Studies, 2.</w:t>
      </w:r>
      <w:r w:rsidDel="00000000" w:rsidR="00000000" w:rsidRPr="00000000">
        <w:rPr>
          <w:rFonts w:ascii="Calibri" w:cs="Calibri" w:eastAsia="Calibri" w:hAnsi="Calibri"/>
          <w:i w:val="1"/>
          <w:sz w:val="24"/>
          <w:szCs w:val="24"/>
          <w:rtl w:val="0"/>
        </w:rPr>
        <w:t xml:space="preserve">2 </w:t>
      </w:r>
      <w:r w:rsidDel="00000000" w:rsidR="00000000" w:rsidRPr="00000000">
        <w:rPr>
          <w:rFonts w:ascii="Calibri" w:cs="Calibri" w:eastAsia="Calibri" w:hAnsi="Calibri"/>
          <w:sz w:val="24"/>
          <w:szCs w:val="24"/>
          <w:rtl w:val="0"/>
        </w:rPr>
        <w:t xml:space="preserve">(Cambridge: Cambridge University Press, 1967)</w:t>
      </w:r>
    </w:p>
    <w:p w:rsidR="00000000" w:rsidDel="00000000" w:rsidP="00000000" w:rsidRDefault="00000000" w:rsidRPr="00000000" w14:paraId="000000A8">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9">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Eliade, Mircea, </w:t>
      </w:r>
      <w:r w:rsidDel="00000000" w:rsidR="00000000" w:rsidRPr="00000000">
        <w:rPr>
          <w:rFonts w:ascii="Calibri" w:cs="Calibri" w:eastAsia="Calibri" w:hAnsi="Calibri"/>
          <w:i w:val="1"/>
          <w:sz w:val="24"/>
          <w:szCs w:val="24"/>
          <w:rtl w:val="0"/>
        </w:rPr>
        <w:t xml:space="preserve">Myth and Reality, </w:t>
      </w:r>
      <w:r w:rsidDel="00000000" w:rsidR="00000000" w:rsidRPr="00000000">
        <w:rPr>
          <w:rFonts w:ascii="Calibri" w:cs="Calibri" w:eastAsia="Calibri" w:hAnsi="Calibri"/>
          <w:sz w:val="24"/>
          <w:szCs w:val="24"/>
          <w:rtl w:val="0"/>
        </w:rPr>
        <w:t xml:space="preserve">(Illinois: Waveland Press, Inc., 1998)</w:t>
      </w:r>
    </w:p>
    <w:p w:rsidR="00000000" w:rsidDel="00000000" w:rsidP="00000000" w:rsidRDefault="00000000" w:rsidRPr="00000000" w14:paraId="000000AA">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B">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Gunzberg, Darrelyn, ed., </w:t>
      </w:r>
      <w:r w:rsidDel="00000000" w:rsidR="00000000" w:rsidRPr="00000000">
        <w:rPr>
          <w:rFonts w:ascii="Calibri" w:cs="Calibri" w:eastAsia="Calibri" w:hAnsi="Calibri"/>
          <w:i w:val="1"/>
          <w:sz w:val="24"/>
          <w:szCs w:val="24"/>
          <w:rtl w:val="0"/>
        </w:rPr>
        <w:t xml:space="preserve">The Imagined Sky. Cultural Perspectives</w:t>
      </w:r>
      <w:r w:rsidDel="00000000" w:rsidR="00000000" w:rsidRPr="00000000">
        <w:rPr>
          <w:rFonts w:ascii="Calibri" w:cs="Calibri" w:eastAsia="Calibri" w:hAnsi="Calibri"/>
          <w:sz w:val="24"/>
          <w:szCs w:val="24"/>
          <w:rtl w:val="0"/>
        </w:rPr>
        <w:t xml:space="preserve">, (South Yorkshire: Equinox Publishing Ltd., 2016)</w:t>
      </w:r>
    </w:p>
    <w:p w:rsidR="00000000" w:rsidDel="00000000" w:rsidP="00000000" w:rsidRDefault="00000000" w:rsidRPr="00000000" w14:paraId="000000AC">
      <w:pPr>
        <w:spacing w:line="240" w:lineRule="auto"/>
        <w:rPr>
          <w:sz w:val="20"/>
          <w:szCs w:val="20"/>
        </w:rPr>
      </w:pPr>
      <w:r w:rsidDel="00000000" w:rsidR="00000000" w:rsidRPr="00000000">
        <w:rPr>
          <w:rtl w:val="0"/>
        </w:rPr>
      </w:r>
    </w:p>
    <w:p w:rsidR="00000000" w:rsidDel="00000000" w:rsidP="00000000" w:rsidRDefault="00000000" w:rsidRPr="00000000" w14:paraId="000000AD">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Kane, Sean, </w:t>
      </w:r>
      <w:r w:rsidDel="00000000" w:rsidR="00000000" w:rsidRPr="00000000">
        <w:rPr>
          <w:rFonts w:ascii="Calibri" w:cs="Calibri" w:eastAsia="Calibri" w:hAnsi="Calibri"/>
          <w:i w:val="1"/>
          <w:sz w:val="24"/>
          <w:szCs w:val="24"/>
          <w:rtl w:val="0"/>
        </w:rPr>
        <w:t xml:space="preserve">Wisdom of the Mythtellers, </w:t>
      </w:r>
      <w:r w:rsidDel="00000000" w:rsidR="00000000" w:rsidRPr="00000000">
        <w:rPr>
          <w:rFonts w:ascii="Calibri" w:cs="Calibri" w:eastAsia="Calibri" w:hAnsi="Calibri"/>
          <w:sz w:val="24"/>
          <w:szCs w:val="24"/>
          <w:rtl w:val="0"/>
        </w:rPr>
        <w:t xml:space="preserve">2nd edn., (Peterborough: Broadview Press, 1998)</w:t>
      </w:r>
    </w:p>
    <w:p w:rsidR="00000000" w:rsidDel="00000000" w:rsidP="00000000" w:rsidRDefault="00000000" w:rsidRPr="00000000" w14:paraId="000000AE">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Lévi-Strauss, Claude, ‘“Primitive” Thinking and the “Civilized” Mind’, in </w:t>
      </w:r>
      <w:r w:rsidDel="00000000" w:rsidR="00000000" w:rsidRPr="00000000">
        <w:rPr>
          <w:rFonts w:ascii="Calibri" w:cs="Calibri" w:eastAsia="Calibri" w:hAnsi="Calibri"/>
          <w:i w:val="1"/>
          <w:sz w:val="24"/>
          <w:szCs w:val="24"/>
          <w:highlight w:val="white"/>
          <w:rtl w:val="0"/>
        </w:rPr>
        <w:t xml:space="preserve">Myth and Meaning</w:t>
      </w:r>
      <w:r w:rsidDel="00000000" w:rsidR="00000000" w:rsidRPr="00000000">
        <w:rPr>
          <w:rFonts w:ascii="Calibri" w:cs="Calibri" w:eastAsia="Calibri" w:hAnsi="Calibri"/>
          <w:sz w:val="24"/>
          <w:szCs w:val="24"/>
          <w:highlight w:val="white"/>
          <w:rtl w:val="0"/>
        </w:rPr>
        <w:t xml:space="preserve"> (Toronto: University of Toronto Press, 1978)</w:t>
      </w:r>
      <w:r w:rsidDel="00000000" w:rsidR="00000000" w:rsidRPr="00000000">
        <w:rPr>
          <w:rtl w:val="0"/>
        </w:rPr>
      </w:r>
    </w:p>
    <w:p w:rsidR="00000000" w:rsidDel="00000000" w:rsidP="00000000" w:rsidRDefault="00000000" w:rsidRPr="00000000" w14:paraId="000000B0">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1">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Levy-Bruhl, Lucien, “The Law of Participation’, </w:t>
      </w:r>
      <w:r w:rsidDel="00000000" w:rsidR="00000000" w:rsidRPr="00000000">
        <w:rPr>
          <w:rFonts w:ascii="Calibri" w:cs="Calibri" w:eastAsia="Calibri" w:hAnsi="Calibri"/>
          <w:i w:val="1"/>
          <w:sz w:val="24"/>
          <w:szCs w:val="24"/>
          <w:rtl w:val="0"/>
        </w:rPr>
        <w:t xml:space="preserve">How Natives Think. </w:t>
      </w:r>
      <w:r w:rsidDel="00000000" w:rsidR="00000000" w:rsidRPr="00000000">
        <w:rPr>
          <w:rFonts w:ascii="Calibri" w:cs="Calibri" w:eastAsia="Calibri" w:hAnsi="Calibri"/>
          <w:sz w:val="24"/>
          <w:szCs w:val="24"/>
          <w:rtl w:val="0"/>
        </w:rPr>
        <w:t xml:space="preserve">(London: George Allen &amp; Unwin Ltd., 1926) </w:t>
      </w:r>
    </w:p>
    <w:p w:rsidR="00000000" w:rsidDel="00000000" w:rsidP="00000000" w:rsidRDefault="00000000" w:rsidRPr="00000000" w14:paraId="000000B2">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3">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Menzies, James W., </w:t>
      </w:r>
      <w:r w:rsidDel="00000000" w:rsidR="00000000" w:rsidRPr="00000000">
        <w:rPr>
          <w:rFonts w:ascii="Calibri" w:cs="Calibri" w:eastAsia="Calibri" w:hAnsi="Calibri"/>
          <w:i w:val="1"/>
          <w:sz w:val="24"/>
          <w:szCs w:val="24"/>
          <w:rtl w:val="0"/>
        </w:rPr>
        <w:t xml:space="preserve">True Myth : C. S. Lewis and Joseph Campbell on the Veracity of Christianity</w:t>
      </w:r>
      <w:r w:rsidDel="00000000" w:rsidR="00000000" w:rsidRPr="00000000">
        <w:rPr>
          <w:rFonts w:ascii="Calibri" w:cs="Calibri" w:eastAsia="Calibri" w:hAnsi="Calibri"/>
          <w:sz w:val="24"/>
          <w:szCs w:val="24"/>
          <w:rtl w:val="0"/>
        </w:rPr>
        <w:t xml:space="preserve"> (Cambridge: The Lutterworth Press, 2015)</w:t>
      </w:r>
    </w:p>
    <w:p w:rsidR="00000000" w:rsidDel="00000000" w:rsidP="00000000" w:rsidRDefault="00000000" w:rsidRPr="00000000" w14:paraId="000000B4">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5">
      <w:pPr>
        <w:spacing w:line="240" w:lineRule="auto"/>
        <w:rPr>
          <w:rFonts w:ascii="Calibri" w:cs="Calibri" w:eastAsia="Calibri" w:hAnsi="Calibri"/>
          <w:sz w:val="26"/>
          <w:szCs w:val="26"/>
        </w:rPr>
      </w:pPr>
      <w:r w:rsidDel="00000000" w:rsidR="00000000" w:rsidRPr="00000000">
        <w:rPr>
          <w:rFonts w:ascii="Calibri" w:cs="Calibri" w:eastAsia="Calibri" w:hAnsi="Calibri"/>
          <w:sz w:val="24"/>
          <w:szCs w:val="24"/>
          <w:highlight w:val="white"/>
          <w:rtl w:val="0"/>
        </w:rPr>
        <w:t xml:space="preserve">Ruggles, Clive L. N., ‘Pushing Back the Frontiers or Still Running Around the Same Circles? “Interpretative Archaeoastronomy” Thirty Years On’, </w:t>
      </w:r>
      <w:r w:rsidDel="00000000" w:rsidR="00000000" w:rsidRPr="00000000">
        <w:rPr>
          <w:rFonts w:ascii="Calibri" w:cs="Calibri" w:eastAsia="Calibri" w:hAnsi="Calibri"/>
          <w:i w:val="1"/>
          <w:sz w:val="24"/>
          <w:szCs w:val="24"/>
          <w:highlight w:val="white"/>
          <w:rtl w:val="0"/>
        </w:rPr>
        <w:t xml:space="preserve">Proceedings of the International Astronomical Union</w:t>
      </w:r>
      <w:r w:rsidDel="00000000" w:rsidR="00000000" w:rsidRPr="00000000">
        <w:rPr>
          <w:rFonts w:ascii="Calibri" w:cs="Calibri" w:eastAsia="Calibri" w:hAnsi="Calibri"/>
          <w:sz w:val="24"/>
          <w:szCs w:val="24"/>
          <w:highlight w:val="white"/>
          <w:rtl w:val="0"/>
        </w:rPr>
        <w:t xml:space="preserve">, 7.S278 (2011), 1–18</w:t>
      </w:r>
      <w:r w:rsidDel="00000000" w:rsidR="00000000" w:rsidRPr="00000000">
        <w:rPr>
          <w:rtl w:val="0"/>
        </w:rPr>
      </w:r>
    </w:p>
    <w:p w:rsidR="00000000" w:rsidDel="00000000" w:rsidP="00000000" w:rsidRDefault="00000000" w:rsidRPr="00000000" w14:paraId="000000B6">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7">
      <w:pPr>
        <w:spacing w:line="24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Rayor, Diane J., </w:t>
      </w:r>
      <w:r w:rsidDel="00000000" w:rsidR="00000000" w:rsidRPr="00000000">
        <w:rPr>
          <w:rFonts w:ascii="Calibri" w:cs="Calibri" w:eastAsia="Calibri" w:hAnsi="Calibri"/>
          <w:i w:val="1"/>
          <w:sz w:val="24"/>
          <w:szCs w:val="24"/>
          <w:highlight w:val="white"/>
          <w:rtl w:val="0"/>
        </w:rPr>
        <w:t xml:space="preserve">The Homeric Hymns</w:t>
      </w:r>
      <w:r w:rsidDel="00000000" w:rsidR="00000000" w:rsidRPr="00000000">
        <w:rPr>
          <w:rFonts w:ascii="Calibri" w:cs="Calibri" w:eastAsia="Calibri" w:hAnsi="Calibri"/>
          <w:sz w:val="24"/>
          <w:szCs w:val="24"/>
          <w:highlight w:val="white"/>
          <w:rtl w:val="0"/>
        </w:rPr>
        <w:t xml:space="preserve">, trans. by Diane J. Rayor, Updated edition. (Berkeley: University of California Press, 2014)</w:t>
      </w:r>
    </w:p>
    <w:p w:rsidR="00000000" w:rsidDel="00000000" w:rsidP="00000000" w:rsidRDefault="00000000" w:rsidRPr="00000000" w14:paraId="000000B8">
      <w:pPr>
        <w:spacing w:line="240" w:lineRule="auto"/>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B9">
      <w:pPr>
        <w:spacing w:line="240" w:lineRule="auto"/>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Segal, Robert E., </w:t>
      </w:r>
      <w:r w:rsidDel="00000000" w:rsidR="00000000" w:rsidRPr="00000000">
        <w:rPr>
          <w:rFonts w:ascii="Calibri" w:cs="Calibri" w:eastAsia="Calibri" w:hAnsi="Calibri"/>
          <w:i w:val="1"/>
          <w:sz w:val="24"/>
          <w:szCs w:val="24"/>
          <w:rtl w:val="0"/>
        </w:rPr>
        <w:t xml:space="preserve">Myth. A Very Short Introduction, </w:t>
      </w:r>
      <w:r w:rsidDel="00000000" w:rsidR="00000000" w:rsidRPr="00000000">
        <w:rPr>
          <w:rFonts w:ascii="Calibri" w:cs="Calibri" w:eastAsia="Calibri" w:hAnsi="Calibri"/>
          <w:sz w:val="24"/>
          <w:szCs w:val="24"/>
          <w:rtl w:val="0"/>
        </w:rPr>
        <w:t xml:space="preserve">(New York, Oxford University Press,</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2004</w:t>
      </w:r>
      <w:r w:rsidDel="00000000" w:rsidR="00000000" w:rsidRPr="00000000">
        <w:rPr>
          <w:rFonts w:ascii="Calibri" w:cs="Calibri" w:eastAsia="Calibri" w:hAnsi="Calibri"/>
          <w:sz w:val="24"/>
          <w:szCs w:val="24"/>
          <w:rtl w:val="0"/>
        </w:rPr>
        <w:t xml:space="preserve">)</w:t>
      </w:r>
      <w:r w:rsidDel="00000000" w:rsidR="00000000" w:rsidRPr="00000000">
        <w:rPr>
          <w:rtl w:val="0"/>
        </w:rPr>
      </w:r>
    </w:p>
    <w:p w:rsidR="00000000" w:rsidDel="00000000" w:rsidP="00000000" w:rsidRDefault="00000000" w:rsidRPr="00000000" w14:paraId="000000BA">
      <w:pPr>
        <w:spacing w:line="240" w:lineRule="auto"/>
        <w:rPr>
          <w:rFonts w:ascii="Calibri" w:cs="Calibri" w:eastAsia="Calibri" w:hAnsi="Calibri"/>
          <w:color w:val="3a3a3a"/>
          <w:sz w:val="24"/>
          <w:szCs w:val="24"/>
          <w:highlight w:val="white"/>
        </w:rPr>
      </w:pPr>
      <w:r w:rsidDel="00000000" w:rsidR="00000000" w:rsidRPr="00000000">
        <w:rPr>
          <w:rtl w:val="0"/>
        </w:rPr>
      </w:r>
    </w:p>
    <w:p w:rsidR="00000000" w:rsidDel="00000000" w:rsidP="00000000" w:rsidRDefault="00000000" w:rsidRPr="00000000" w14:paraId="000000BB">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Sturluson, Snorri, </w:t>
      </w:r>
      <w:r w:rsidDel="00000000" w:rsidR="00000000" w:rsidRPr="00000000">
        <w:rPr>
          <w:rFonts w:ascii="Calibri" w:cs="Calibri" w:eastAsia="Calibri" w:hAnsi="Calibri"/>
          <w:i w:val="1"/>
          <w:sz w:val="24"/>
          <w:szCs w:val="24"/>
          <w:rtl w:val="0"/>
        </w:rPr>
        <w:t xml:space="preserve">The Prose Edda, </w:t>
      </w:r>
      <w:r w:rsidDel="00000000" w:rsidR="00000000" w:rsidRPr="00000000">
        <w:rPr>
          <w:rFonts w:ascii="Calibri" w:cs="Calibri" w:eastAsia="Calibri" w:hAnsi="Calibri"/>
          <w:sz w:val="24"/>
          <w:szCs w:val="24"/>
          <w:rtl w:val="0"/>
        </w:rPr>
        <w:t xml:space="preserve">(London: Penguin Classics, 2005)</w:t>
      </w:r>
    </w:p>
    <w:sectPr>
      <w:headerReference r:id="rId8" w:type="default"/>
      <w:headerReference r:id="rId9" w:type="first"/>
      <w:footerReference r:id="rId10" w:type="default"/>
      <w:footerReference r:id="rId1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0">
    <w:pPr>
      <w:ind w:left="0" w:firstLine="0"/>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C1">
    <w:pPr>
      <w:jc w:val="right"/>
      <w:rPr/>
    </w:pPr>
    <w:r w:rsidDel="00000000" w:rsidR="00000000" w:rsidRPr="00000000">
      <w:rPr>
        <w:rFonts w:ascii="Georgia" w:cs="Georgia" w:eastAsia="Georgia" w:hAnsi="Georgia"/>
        <w:sz w:val="21"/>
        <w:szCs w:val="21"/>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1">
    <w:p w:rsidR="00000000" w:rsidDel="00000000" w:rsidP="00000000" w:rsidRDefault="00000000" w:rsidRPr="00000000" w14:paraId="000000C2">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Segal ‘</w:t>
      </w:r>
      <w:r w:rsidDel="00000000" w:rsidR="00000000" w:rsidRPr="00000000">
        <w:rPr>
          <w:i w:val="1"/>
          <w:sz w:val="20"/>
          <w:szCs w:val="20"/>
          <w:rtl w:val="0"/>
        </w:rPr>
        <w:t xml:space="preserve">Myth’, p.3.</w:t>
      </w:r>
    </w:p>
  </w:footnote>
  <w:footnote w:id="19">
    <w:p w:rsidR="00000000" w:rsidDel="00000000" w:rsidP="00000000" w:rsidRDefault="00000000" w:rsidRPr="00000000" w14:paraId="000000C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Segal ‘</w:t>
      </w:r>
      <w:r w:rsidDel="00000000" w:rsidR="00000000" w:rsidRPr="00000000">
        <w:rPr>
          <w:i w:val="1"/>
          <w:sz w:val="20"/>
          <w:szCs w:val="20"/>
          <w:rtl w:val="0"/>
        </w:rPr>
        <w:t xml:space="preserve">Myth’, p.7.</w:t>
      </w:r>
      <w:r w:rsidDel="00000000" w:rsidR="00000000" w:rsidRPr="00000000">
        <w:rPr>
          <w:rtl w:val="0"/>
        </w:rPr>
      </w:r>
    </w:p>
  </w:footnote>
  <w:footnote w:id="8">
    <w:p w:rsidR="00000000" w:rsidDel="00000000" w:rsidP="00000000" w:rsidRDefault="00000000" w:rsidRPr="00000000" w14:paraId="000000C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Mircea Eliade, </w:t>
      </w:r>
      <w:r w:rsidDel="00000000" w:rsidR="00000000" w:rsidRPr="00000000">
        <w:rPr>
          <w:i w:val="1"/>
          <w:sz w:val="20"/>
          <w:szCs w:val="20"/>
          <w:rtl w:val="0"/>
        </w:rPr>
        <w:t xml:space="preserve">‘Cosmogonic Myth and “Sacred History”, </w:t>
      </w:r>
      <w:r w:rsidDel="00000000" w:rsidR="00000000" w:rsidRPr="00000000">
        <w:rPr>
          <w:sz w:val="20"/>
          <w:szCs w:val="20"/>
          <w:rtl w:val="0"/>
        </w:rPr>
        <w:t xml:space="preserve">Religious Studies, 2.2 </w:t>
      </w:r>
      <w:r w:rsidDel="00000000" w:rsidR="00000000" w:rsidRPr="00000000">
        <w:rPr>
          <w:sz w:val="20"/>
          <w:szCs w:val="20"/>
          <w:rtl w:val="0"/>
        </w:rPr>
        <w:t xml:space="preserve">(Cambridge: Cambridge University Press, 1967), p. 171</w:t>
      </w:r>
      <w:r w:rsidDel="00000000" w:rsidR="00000000" w:rsidRPr="00000000">
        <w:rPr>
          <w:rtl w:val="0"/>
        </w:rPr>
      </w:r>
    </w:p>
  </w:footnote>
  <w:footnote w:id="9">
    <w:p w:rsidR="00000000" w:rsidDel="00000000" w:rsidP="00000000" w:rsidRDefault="00000000" w:rsidRPr="00000000" w14:paraId="000000C5">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James W. Mezies., ‘</w:t>
      </w:r>
      <w:r w:rsidDel="00000000" w:rsidR="00000000" w:rsidRPr="00000000">
        <w:rPr>
          <w:i w:val="1"/>
          <w:sz w:val="20"/>
          <w:szCs w:val="20"/>
          <w:rtl w:val="0"/>
        </w:rPr>
        <w:t xml:space="preserve">True Myth : C. S. Lewis and Joseph Campbell on the Veracity of Christianity’</w:t>
      </w:r>
      <w:r w:rsidDel="00000000" w:rsidR="00000000" w:rsidRPr="00000000">
        <w:rPr>
          <w:sz w:val="20"/>
          <w:szCs w:val="20"/>
          <w:rtl w:val="0"/>
        </w:rPr>
        <w:t xml:space="preserve"> (Cambridge, England: The Lutterworth Press, 2015) p.23.</w:t>
      </w:r>
      <w:r w:rsidDel="00000000" w:rsidR="00000000" w:rsidRPr="00000000">
        <w:rPr>
          <w:rtl w:val="0"/>
        </w:rPr>
      </w:r>
    </w:p>
  </w:footnote>
  <w:footnote w:id="15">
    <w:p w:rsidR="00000000" w:rsidDel="00000000" w:rsidP="00000000" w:rsidRDefault="00000000" w:rsidRPr="00000000" w14:paraId="000000C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‘Enchantment. Wonder in Modern Life’, (Edinburgh: Floris Books, 2019) p.90.</w:t>
      </w:r>
    </w:p>
  </w:footnote>
  <w:footnote w:id="7">
    <w:p w:rsidR="00000000" w:rsidDel="00000000" w:rsidP="00000000" w:rsidRDefault="00000000" w:rsidRPr="00000000" w14:paraId="000000C7">
      <w:pPr>
        <w:spacing w:line="240" w:lineRule="auto"/>
        <w:rPr>
          <w:sz w:val="16"/>
          <w:szCs w:val="16"/>
        </w:rPr>
      </w:pPr>
      <w:r w:rsidDel="00000000" w:rsidR="00000000" w:rsidRPr="00000000">
        <w:rPr>
          <w:rStyle w:val="FootnoteReference"/>
          <w:vertAlign w:val="superscript"/>
        </w:rPr>
        <w:footnoteRef/>
      </w:r>
      <w:r w:rsidDel="00000000" w:rsidR="00000000" w:rsidRPr="00000000">
        <w:rPr>
          <w:sz w:val="16"/>
          <w:szCs w:val="16"/>
          <w:rtl w:val="0"/>
        </w:rPr>
        <w:t xml:space="preserve"> </w:t>
      </w:r>
      <w:r w:rsidDel="00000000" w:rsidR="00000000" w:rsidRPr="00000000">
        <w:rPr>
          <w:sz w:val="20"/>
          <w:szCs w:val="20"/>
          <w:rtl w:val="0"/>
        </w:rPr>
        <w:t xml:space="preserve">James W. Menzies, ‘</w:t>
      </w:r>
      <w:r w:rsidDel="00000000" w:rsidR="00000000" w:rsidRPr="00000000">
        <w:rPr>
          <w:i w:val="1"/>
          <w:sz w:val="20"/>
          <w:szCs w:val="20"/>
          <w:rtl w:val="0"/>
        </w:rPr>
        <w:t xml:space="preserve">True Myth : C. S. Lewis and Joseph Campbell on the Veracity of Christianity’</w:t>
      </w:r>
      <w:r w:rsidDel="00000000" w:rsidR="00000000" w:rsidRPr="00000000">
        <w:rPr>
          <w:sz w:val="20"/>
          <w:szCs w:val="20"/>
          <w:rtl w:val="0"/>
        </w:rPr>
        <w:t xml:space="preserve"> (Cambridge, England: The Lutterworth Press, 2015) p.28.</w:t>
      </w:r>
      <w:r w:rsidDel="00000000" w:rsidR="00000000" w:rsidRPr="00000000">
        <w:rPr>
          <w:rtl w:val="0"/>
        </w:rPr>
      </w:r>
    </w:p>
  </w:footnote>
  <w:footnote w:id="20">
    <w:p w:rsidR="00000000" w:rsidDel="00000000" w:rsidP="00000000" w:rsidRDefault="00000000" w:rsidRPr="00000000" w14:paraId="000000C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Segal ‘</w:t>
      </w:r>
      <w:r w:rsidDel="00000000" w:rsidR="00000000" w:rsidRPr="00000000">
        <w:rPr>
          <w:i w:val="1"/>
          <w:sz w:val="20"/>
          <w:szCs w:val="20"/>
          <w:rtl w:val="0"/>
        </w:rPr>
        <w:t xml:space="preserve">Myth’, p.7.</w:t>
      </w:r>
      <w:r w:rsidDel="00000000" w:rsidR="00000000" w:rsidRPr="00000000">
        <w:rPr>
          <w:rtl w:val="0"/>
        </w:rPr>
      </w:r>
    </w:p>
  </w:footnote>
  <w:footnote w:id="21">
    <w:p w:rsidR="00000000" w:rsidDel="00000000" w:rsidP="00000000" w:rsidRDefault="00000000" w:rsidRPr="00000000" w14:paraId="000000C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Eliade, ‘Cosmogonic Myth’, p.173.</w:t>
      </w:r>
      <w:r w:rsidDel="00000000" w:rsidR="00000000" w:rsidRPr="00000000">
        <w:rPr>
          <w:rtl w:val="0"/>
        </w:rPr>
      </w:r>
    </w:p>
  </w:footnote>
  <w:footnote w:id="3">
    <w:p w:rsidR="00000000" w:rsidDel="00000000" w:rsidP="00000000" w:rsidRDefault="00000000" w:rsidRPr="00000000" w14:paraId="000000C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Gunzberg, ed., ‘</w:t>
      </w:r>
      <w:r w:rsidDel="00000000" w:rsidR="00000000" w:rsidRPr="00000000">
        <w:rPr>
          <w:i w:val="1"/>
          <w:sz w:val="20"/>
          <w:szCs w:val="20"/>
          <w:rtl w:val="0"/>
        </w:rPr>
        <w:t xml:space="preserve">The Imagined Sky’, </w:t>
      </w:r>
      <w:r w:rsidDel="00000000" w:rsidR="00000000" w:rsidRPr="00000000">
        <w:rPr>
          <w:sz w:val="20"/>
          <w:szCs w:val="20"/>
          <w:rtl w:val="0"/>
        </w:rPr>
        <w:t xml:space="preserve">p.xvii.</w:t>
      </w:r>
    </w:p>
  </w:footnote>
  <w:footnote w:id="0">
    <w:p w:rsidR="00000000" w:rsidDel="00000000" w:rsidP="00000000" w:rsidRDefault="00000000" w:rsidRPr="00000000" w14:paraId="000000CB">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20"/>
          <w:szCs w:val="20"/>
          <w:highlight w:val="white"/>
          <w:rtl w:val="0"/>
        </w:rPr>
        <w:t xml:space="preserve">Clive L. N. Ruggles, ‘Pushing Back the Frontiers or Still Running Around the Same Circles? “Interpretative Archaeoastronomy” Thirty Years On’, </w:t>
      </w:r>
      <w:r w:rsidDel="00000000" w:rsidR="00000000" w:rsidRPr="00000000">
        <w:rPr>
          <w:i w:val="1"/>
          <w:sz w:val="20"/>
          <w:szCs w:val="20"/>
          <w:highlight w:val="white"/>
          <w:rtl w:val="0"/>
        </w:rPr>
        <w:t xml:space="preserve">Proceedings of the International Astronomical Union</w:t>
      </w:r>
      <w:r w:rsidDel="00000000" w:rsidR="00000000" w:rsidRPr="00000000">
        <w:rPr>
          <w:sz w:val="20"/>
          <w:szCs w:val="20"/>
          <w:highlight w:val="white"/>
          <w:rtl w:val="0"/>
        </w:rPr>
        <w:t xml:space="preserve">, 7.S278 (2011), 1–18.</w:t>
      </w:r>
      <w:r w:rsidDel="00000000" w:rsidR="00000000" w:rsidRPr="00000000">
        <w:rPr>
          <w:rtl w:val="0"/>
        </w:rPr>
      </w:r>
    </w:p>
  </w:footnote>
  <w:footnote w:id="1">
    <w:p w:rsidR="00000000" w:rsidDel="00000000" w:rsidP="00000000" w:rsidRDefault="00000000" w:rsidRPr="00000000" w14:paraId="000000C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Darrelyn Gunzberg, Ed., ‘</w:t>
      </w:r>
      <w:r w:rsidDel="00000000" w:rsidR="00000000" w:rsidRPr="00000000">
        <w:rPr>
          <w:i w:val="1"/>
          <w:sz w:val="20"/>
          <w:szCs w:val="20"/>
          <w:rtl w:val="0"/>
        </w:rPr>
        <w:t xml:space="preserve">The Imagined Sky. Cultural Perspectives</w:t>
      </w:r>
      <w:r w:rsidDel="00000000" w:rsidR="00000000" w:rsidRPr="00000000">
        <w:rPr>
          <w:sz w:val="20"/>
          <w:szCs w:val="20"/>
          <w:rtl w:val="0"/>
        </w:rPr>
        <w:t xml:space="preserve">.’ (South Yorkshire: Equinox Publishing Ltd., 2016) p. xi.</w:t>
      </w:r>
    </w:p>
  </w:footnote>
  <w:footnote w:id="14">
    <w:p w:rsidR="00000000" w:rsidDel="00000000" w:rsidP="00000000" w:rsidRDefault="00000000" w:rsidRPr="00000000" w14:paraId="000000C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‘Divination, Enchantment and Platonism’ in Jean H. Lall and Angela Voss eds., </w:t>
      </w:r>
      <w:r w:rsidDel="00000000" w:rsidR="00000000" w:rsidRPr="00000000">
        <w:rPr>
          <w:i w:val="1"/>
          <w:sz w:val="20"/>
          <w:szCs w:val="20"/>
          <w:rtl w:val="0"/>
        </w:rPr>
        <w:t xml:space="preserve">The Imaginal Cosmos</w:t>
      </w:r>
      <w:r w:rsidDel="00000000" w:rsidR="00000000" w:rsidRPr="00000000">
        <w:rPr>
          <w:sz w:val="20"/>
          <w:szCs w:val="20"/>
          <w:rtl w:val="0"/>
        </w:rPr>
        <w:t xml:space="preserve"> (Canterbury: University of Kent, 2006). pp.</w:t>
      </w:r>
    </w:p>
  </w:footnote>
  <w:footnote w:id="4">
    <w:p w:rsidR="00000000" w:rsidDel="00000000" w:rsidP="00000000" w:rsidRDefault="00000000" w:rsidRPr="00000000" w14:paraId="000000C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Clive Ruggles and Gary Urton, Eds., ‘Skywatching in the Ancient World. New Perspectives in Cultural Astronomy’, (Colorado: University Press of Colorado, 2007), p.12.</w:t>
      </w:r>
    </w:p>
  </w:footnote>
  <w:footnote w:id="22">
    <w:p w:rsidR="00000000" w:rsidDel="00000000" w:rsidP="00000000" w:rsidRDefault="00000000" w:rsidRPr="00000000" w14:paraId="000000C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Eliade, </w:t>
      </w:r>
      <w:r w:rsidDel="00000000" w:rsidR="00000000" w:rsidRPr="00000000">
        <w:rPr>
          <w:i w:val="1"/>
          <w:sz w:val="20"/>
          <w:szCs w:val="20"/>
          <w:rtl w:val="0"/>
        </w:rPr>
        <w:t xml:space="preserve">‘Myth and Reality’, </w:t>
      </w:r>
      <w:r w:rsidDel="00000000" w:rsidR="00000000" w:rsidRPr="00000000">
        <w:rPr>
          <w:sz w:val="20"/>
          <w:szCs w:val="20"/>
          <w:rtl w:val="0"/>
        </w:rPr>
        <w:t xml:space="preserve">(Illinois: Waveland Press, Inc., 1998) p.5.</w:t>
      </w:r>
    </w:p>
  </w:footnote>
  <w:footnote w:id="10">
    <w:p w:rsidR="00000000" w:rsidDel="00000000" w:rsidP="00000000" w:rsidRDefault="00000000" w:rsidRPr="00000000" w14:paraId="000000D0">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Robert E. Segal ‘</w:t>
      </w:r>
      <w:r w:rsidDel="00000000" w:rsidR="00000000" w:rsidRPr="00000000">
        <w:rPr>
          <w:i w:val="1"/>
          <w:sz w:val="20"/>
          <w:szCs w:val="20"/>
          <w:rtl w:val="0"/>
        </w:rPr>
        <w:t xml:space="preserve">Myth. A Very Short Introduction’, (</w:t>
      </w:r>
      <w:r w:rsidDel="00000000" w:rsidR="00000000" w:rsidRPr="00000000">
        <w:rPr>
          <w:sz w:val="20"/>
          <w:szCs w:val="20"/>
          <w:rtl w:val="0"/>
        </w:rPr>
        <w:t xml:space="preserve">New York: Oxford University Press, 2004</w:t>
      </w:r>
      <w:r w:rsidDel="00000000" w:rsidR="00000000" w:rsidRPr="00000000">
        <w:rPr>
          <w:i w:val="1"/>
          <w:sz w:val="20"/>
          <w:szCs w:val="20"/>
          <w:rtl w:val="0"/>
        </w:rPr>
        <w:t xml:space="preserve">), p.1.</w:t>
      </w:r>
    </w:p>
  </w:footnote>
  <w:footnote w:id="16">
    <w:p w:rsidR="00000000" w:rsidDel="00000000" w:rsidP="00000000" w:rsidRDefault="00000000" w:rsidRPr="00000000" w14:paraId="000000D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Sean Kane, </w:t>
      </w:r>
      <w:r w:rsidDel="00000000" w:rsidR="00000000" w:rsidRPr="00000000">
        <w:rPr>
          <w:i w:val="1"/>
          <w:sz w:val="20"/>
          <w:szCs w:val="20"/>
          <w:rtl w:val="0"/>
        </w:rPr>
        <w:t xml:space="preserve">‘Wisdom of the Mythtellers’, </w:t>
      </w:r>
      <w:r w:rsidDel="00000000" w:rsidR="00000000" w:rsidRPr="00000000">
        <w:rPr>
          <w:sz w:val="20"/>
          <w:szCs w:val="20"/>
          <w:rtl w:val="0"/>
        </w:rPr>
        <w:t xml:space="preserve">2nd edn., (Peterborough: Broadview Press, 1998) p.43.</w:t>
      </w:r>
    </w:p>
  </w:footnote>
  <w:footnote w:id="17">
    <w:p w:rsidR="00000000" w:rsidDel="00000000" w:rsidP="00000000" w:rsidRDefault="00000000" w:rsidRPr="00000000" w14:paraId="000000D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Kane, </w:t>
      </w:r>
      <w:r w:rsidDel="00000000" w:rsidR="00000000" w:rsidRPr="00000000">
        <w:rPr>
          <w:i w:val="1"/>
          <w:sz w:val="20"/>
          <w:szCs w:val="20"/>
          <w:rtl w:val="0"/>
        </w:rPr>
        <w:t xml:space="preserve">‘Wisdom of the Mythtellers’, </w:t>
      </w:r>
      <w:r w:rsidDel="00000000" w:rsidR="00000000" w:rsidRPr="00000000">
        <w:rPr>
          <w:sz w:val="20"/>
          <w:szCs w:val="20"/>
          <w:rtl w:val="0"/>
        </w:rPr>
        <w:t xml:space="preserve">p.39.</w:t>
      </w:r>
    </w:p>
  </w:footnote>
  <w:footnote w:id="12">
    <w:p w:rsidR="00000000" w:rsidDel="00000000" w:rsidP="00000000" w:rsidRDefault="00000000" w:rsidRPr="00000000" w14:paraId="000000D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Mezies., ‘</w:t>
      </w:r>
      <w:r w:rsidDel="00000000" w:rsidR="00000000" w:rsidRPr="00000000">
        <w:rPr>
          <w:i w:val="1"/>
          <w:sz w:val="20"/>
          <w:szCs w:val="20"/>
          <w:rtl w:val="0"/>
        </w:rPr>
        <w:t xml:space="preserve">True Myth’ </w:t>
      </w:r>
      <w:r w:rsidDel="00000000" w:rsidR="00000000" w:rsidRPr="00000000">
        <w:rPr>
          <w:sz w:val="20"/>
          <w:szCs w:val="20"/>
          <w:rtl w:val="0"/>
        </w:rPr>
        <w:t xml:space="preserve">p.31.</w:t>
      </w:r>
    </w:p>
  </w:footnote>
  <w:footnote w:id="2">
    <w:p w:rsidR="00000000" w:rsidDel="00000000" w:rsidP="00000000" w:rsidRDefault="00000000" w:rsidRPr="00000000" w14:paraId="000000D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Gunzberg, ed., ‘</w:t>
      </w:r>
      <w:r w:rsidDel="00000000" w:rsidR="00000000" w:rsidRPr="00000000">
        <w:rPr>
          <w:i w:val="1"/>
          <w:sz w:val="20"/>
          <w:szCs w:val="20"/>
          <w:rtl w:val="0"/>
        </w:rPr>
        <w:t xml:space="preserve">The Imagined Sky’, </w:t>
      </w:r>
      <w:r w:rsidDel="00000000" w:rsidR="00000000" w:rsidRPr="00000000">
        <w:rPr>
          <w:sz w:val="20"/>
          <w:szCs w:val="20"/>
          <w:rtl w:val="0"/>
        </w:rPr>
        <w:t xml:space="preserve">p.xvii.</w:t>
      </w:r>
      <w:r w:rsidDel="00000000" w:rsidR="00000000" w:rsidRPr="00000000">
        <w:rPr>
          <w:rtl w:val="0"/>
        </w:rPr>
      </w:r>
    </w:p>
  </w:footnote>
  <w:footnote w:id="13">
    <w:p w:rsidR="00000000" w:rsidDel="00000000" w:rsidP="00000000" w:rsidRDefault="00000000" w:rsidRPr="00000000" w14:paraId="000000D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Lucian Levy-Bruhl, “The Law of Participation’, </w:t>
      </w:r>
      <w:r w:rsidDel="00000000" w:rsidR="00000000" w:rsidRPr="00000000">
        <w:rPr>
          <w:i w:val="1"/>
          <w:sz w:val="20"/>
          <w:szCs w:val="20"/>
          <w:rtl w:val="0"/>
        </w:rPr>
        <w:t xml:space="preserve">How Natives Think. </w:t>
      </w:r>
      <w:r w:rsidDel="00000000" w:rsidR="00000000" w:rsidRPr="00000000">
        <w:rPr>
          <w:sz w:val="20"/>
          <w:szCs w:val="20"/>
          <w:rtl w:val="0"/>
        </w:rPr>
        <w:t xml:space="preserve">(George Allen &amp; Unwin Ltd., 1932) p.82.</w:t>
      </w:r>
    </w:p>
  </w:footnote>
  <w:footnote w:id="24">
    <w:p w:rsidR="00000000" w:rsidDel="00000000" w:rsidP="00000000" w:rsidRDefault="00000000" w:rsidRPr="00000000" w14:paraId="000000D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Eliade, ‘Cosmogonic Myth’, p.174.</w:t>
      </w:r>
      <w:r w:rsidDel="00000000" w:rsidR="00000000" w:rsidRPr="00000000">
        <w:rPr>
          <w:rtl w:val="0"/>
        </w:rPr>
      </w:r>
    </w:p>
  </w:footnote>
  <w:footnote w:id="25">
    <w:p w:rsidR="00000000" w:rsidDel="00000000" w:rsidP="00000000" w:rsidRDefault="00000000" w:rsidRPr="00000000" w14:paraId="000000D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Jules Cashford and Nicholas Richardson, Trans, ‘</w:t>
      </w:r>
      <w:r w:rsidDel="00000000" w:rsidR="00000000" w:rsidRPr="00000000">
        <w:rPr>
          <w:i w:val="1"/>
          <w:sz w:val="20"/>
          <w:szCs w:val="20"/>
          <w:rtl w:val="0"/>
        </w:rPr>
        <w:t xml:space="preserve">The Homeric Hymns’ </w:t>
      </w:r>
      <w:r w:rsidDel="00000000" w:rsidR="00000000" w:rsidRPr="00000000">
        <w:rPr>
          <w:sz w:val="20"/>
          <w:szCs w:val="20"/>
          <w:rtl w:val="0"/>
        </w:rPr>
        <w:t xml:space="preserve">(London: Penguin Books, 2003), pp.142-3.</w:t>
      </w:r>
    </w:p>
  </w:footnote>
  <w:footnote w:id="26">
    <w:p w:rsidR="00000000" w:rsidDel="00000000" w:rsidP="00000000" w:rsidRDefault="00000000" w:rsidRPr="00000000" w14:paraId="000000D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pp. 144-5.</w:t>
      </w:r>
    </w:p>
  </w:footnote>
  <w:footnote w:id="27">
    <w:p w:rsidR="00000000" w:rsidDel="00000000" w:rsidP="00000000" w:rsidRDefault="00000000" w:rsidRPr="00000000" w14:paraId="000000D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w:t>
      </w:r>
      <w:r w:rsidDel="00000000" w:rsidR="00000000" w:rsidRPr="00000000">
        <w:rPr>
          <w:sz w:val="20"/>
          <w:szCs w:val="20"/>
          <w:rtl w:val="0"/>
        </w:rPr>
        <w:t xml:space="preserve"> pp.19-20.</w:t>
      </w:r>
    </w:p>
  </w:footnote>
  <w:footnote w:id="28">
    <w:p w:rsidR="00000000" w:rsidDel="00000000" w:rsidP="00000000" w:rsidRDefault="00000000" w:rsidRPr="00000000" w14:paraId="000000D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p.vii.</w:t>
      </w:r>
    </w:p>
  </w:footnote>
  <w:footnote w:id="29">
    <w:p w:rsidR="00000000" w:rsidDel="00000000" w:rsidP="00000000" w:rsidRDefault="00000000" w:rsidRPr="00000000" w14:paraId="000000DB">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 Diane J. Rayor, </w:t>
      </w:r>
      <w:r w:rsidDel="00000000" w:rsidR="00000000" w:rsidRPr="00000000">
        <w:rPr>
          <w:i w:val="1"/>
          <w:sz w:val="20"/>
          <w:szCs w:val="20"/>
          <w:highlight w:val="white"/>
          <w:rtl w:val="0"/>
        </w:rPr>
        <w:t xml:space="preserve">The Homeric Hymns</w:t>
      </w:r>
      <w:r w:rsidDel="00000000" w:rsidR="00000000" w:rsidRPr="00000000">
        <w:rPr>
          <w:sz w:val="20"/>
          <w:szCs w:val="20"/>
          <w:highlight w:val="white"/>
          <w:rtl w:val="0"/>
        </w:rPr>
        <w:t xml:space="preserve">, trans. by Diane J. Rayor, Updated edition. (Berkeley: University of California Press, 2014), p.2. </w:t>
      </w:r>
      <w:r w:rsidDel="00000000" w:rsidR="00000000" w:rsidRPr="00000000">
        <w:rPr>
          <w:rtl w:val="0"/>
        </w:rPr>
      </w:r>
    </w:p>
  </w:footnote>
  <w:footnote w:id="30">
    <w:p w:rsidR="00000000" w:rsidDel="00000000" w:rsidP="00000000" w:rsidRDefault="00000000" w:rsidRPr="00000000" w14:paraId="000000D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 xii.</w:t>
      </w:r>
    </w:p>
  </w:footnote>
  <w:footnote w:id="31">
    <w:p w:rsidR="00000000" w:rsidDel="00000000" w:rsidP="00000000" w:rsidRDefault="00000000" w:rsidRPr="00000000" w14:paraId="000000D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pp. ix-x.</w:t>
      </w:r>
    </w:p>
  </w:footnote>
  <w:footnote w:id="32">
    <w:p w:rsidR="00000000" w:rsidDel="00000000" w:rsidP="00000000" w:rsidRDefault="00000000" w:rsidRPr="00000000" w14:paraId="000000D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pp. x.</w:t>
      </w:r>
    </w:p>
  </w:footnote>
  <w:footnote w:id="18">
    <w:p w:rsidR="00000000" w:rsidDel="00000000" w:rsidP="00000000" w:rsidRDefault="00000000" w:rsidRPr="00000000" w14:paraId="000000DF">
      <w:pPr>
        <w:spacing w:line="240" w:lineRule="auto"/>
        <w:rPr>
          <w:sz w:val="16"/>
          <w:szCs w:val="16"/>
        </w:rPr>
      </w:pPr>
      <w:r w:rsidDel="00000000" w:rsidR="00000000" w:rsidRPr="00000000">
        <w:rPr>
          <w:rStyle w:val="FootnoteReference"/>
          <w:vertAlign w:val="superscript"/>
        </w:rPr>
        <w:footnoteRef/>
      </w:r>
      <w:r w:rsidDel="00000000" w:rsidR="00000000" w:rsidRPr="00000000">
        <w:rPr>
          <w:sz w:val="16"/>
          <w:szCs w:val="16"/>
          <w:rtl w:val="0"/>
        </w:rPr>
        <w:t xml:space="preserve">  </w:t>
      </w:r>
      <w:r w:rsidDel="00000000" w:rsidR="00000000" w:rsidRPr="00000000">
        <w:rPr>
          <w:sz w:val="19"/>
          <w:szCs w:val="19"/>
          <w:highlight w:val="white"/>
          <w:rtl w:val="0"/>
        </w:rPr>
        <w:t xml:space="preserve">Claude Lévi-Strauss, ‘“Primitive” Thinking and the “Civilized” Mind’, in </w:t>
      </w:r>
      <w:r w:rsidDel="00000000" w:rsidR="00000000" w:rsidRPr="00000000">
        <w:rPr>
          <w:i w:val="1"/>
          <w:sz w:val="19"/>
          <w:szCs w:val="19"/>
          <w:highlight w:val="white"/>
          <w:rtl w:val="0"/>
        </w:rPr>
        <w:t xml:space="preserve">Myth and Meaning</w:t>
      </w:r>
      <w:r w:rsidDel="00000000" w:rsidR="00000000" w:rsidRPr="00000000">
        <w:rPr>
          <w:sz w:val="19"/>
          <w:szCs w:val="19"/>
          <w:highlight w:val="white"/>
          <w:rtl w:val="0"/>
        </w:rPr>
        <w:t xml:space="preserve"> (Toronto: University of Toronto Press, 1978), p.24.</w:t>
      </w:r>
      <w:r w:rsidDel="00000000" w:rsidR="00000000" w:rsidRPr="00000000">
        <w:rPr>
          <w:rtl w:val="0"/>
        </w:rPr>
      </w:r>
    </w:p>
  </w:footnote>
  <w:footnote w:id="36">
    <w:p w:rsidR="00000000" w:rsidDel="00000000" w:rsidP="00000000" w:rsidRDefault="00000000" w:rsidRPr="00000000" w14:paraId="000000E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p.144.</w:t>
      </w:r>
    </w:p>
  </w:footnote>
  <w:footnote w:id="38">
    <w:p w:rsidR="00000000" w:rsidDel="00000000" w:rsidP="00000000" w:rsidRDefault="00000000" w:rsidRPr="00000000" w14:paraId="000000E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pp.142-3.</w:t>
      </w:r>
    </w:p>
  </w:footnote>
  <w:footnote w:id="40">
    <w:p w:rsidR="00000000" w:rsidDel="00000000" w:rsidP="00000000" w:rsidRDefault="00000000" w:rsidRPr="00000000" w14:paraId="000000E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p.19.</w:t>
      </w:r>
    </w:p>
  </w:footnote>
  <w:footnote w:id="43">
    <w:p w:rsidR="00000000" w:rsidDel="00000000" w:rsidP="00000000" w:rsidRDefault="00000000" w:rsidRPr="00000000" w14:paraId="000000E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p.144.</w:t>
      </w:r>
    </w:p>
  </w:footnote>
  <w:footnote w:id="42">
    <w:p w:rsidR="00000000" w:rsidDel="00000000" w:rsidP="00000000" w:rsidRDefault="00000000" w:rsidRPr="00000000" w14:paraId="000000E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p.143.</w:t>
      </w:r>
    </w:p>
  </w:footnote>
  <w:footnote w:id="33">
    <w:p w:rsidR="00000000" w:rsidDel="00000000" w:rsidP="00000000" w:rsidRDefault="00000000" w:rsidRPr="00000000" w14:paraId="000000E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Rayor, </w:t>
      </w:r>
      <w:r w:rsidDel="00000000" w:rsidR="00000000" w:rsidRPr="00000000">
        <w:rPr>
          <w:i w:val="1"/>
          <w:sz w:val="20"/>
          <w:szCs w:val="20"/>
          <w:highlight w:val="white"/>
          <w:rtl w:val="0"/>
        </w:rPr>
        <w:t xml:space="preserve">The Homeric Hymns</w:t>
      </w:r>
      <w:r w:rsidDel="00000000" w:rsidR="00000000" w:rsidRPr="00000000">
        <w:rPr>
          <w:sz w:val="20"/>
          <w:szCs w:val="20"/>
          <w:highlight w:val="white"/>
          <w:rtl w:val="0"/>
        </w:rPr>
        <w:t xml:space="preserve">, p.2. </w:t>
      </w:r>
      <w:r w:rsidDel="00000000" w:rsidR="00000000" w:rsidRPr="00000000">
        <w:rPr>
          <w:rtl w:val="0"/>
        </w:rPr>
      </w:r>
    </w:p>
  </w:footnote>
  <w:footnote w:id="45">
    <w:p w:rsidR="00000000" w:rsidDel="00000000" w:rsidP="00000000" w:rsidRDefault="00000000" w:rsidRPr="00000000" w14:paraId="000000E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Curry, ‘</w:t>
      </w:r>
      <w:r w:rsidDel="00000000" w:rsidR="00000000" w:rsidRPr="00000000">
        <w:rPr>
          <w:i w:val="1"/>
          <w:sz w:val="20"/>
          <w:szCs w:val="20"/>
          <w:rtl w:val="0"/>
        </w:rPr>
        <w:t xml:space="preserve">Enchantment. Wonder in Modern Life</w:t>
      </w:r>
      <w:r w:rsidDel="00000000" w:rsidR="00000000" w:rsidRPr="00000000">
        <w:rPr>
          <w:sz w:val="20"/>
          <w:szCs w:val="20"/>
          <w:rtl w:val="0"/>
        </w:rPr>
        <w:t xml:space="preserve">’, p.7.</w:t>
      </w:r>
    </w:p>
  </w:footnote>
  <w:footnote w:id="46">
    <w:p w:rsidR="00000000" w:rsidDel="00000000" w:rsidP="00000000" w:rsidRDefault="00000000" w:rsidRPr="00000000" w14:paraId="000000E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Curry, </w:t>
      </w:r>
      <w:r w:rsidDel="00000000" w:rsidR="00000000" w:rsidRPr="00000000">
        <w:rPr>
          <w:i w:val="1"/>
          <w:sz w:val="20"/>
          <w:szCs w:val="20"/>
          <w:rtl w:val="0"/>
        </w:rPr>
        <w:t xml:space="preserve">Enchantment. Wonder in Modern Life,</w:t>
      </w:r>
      <w:r w:rsidDel="00000000" w:rsidR="00000000" w:rsidRPr="00000000">
        <w:rPr>
          <w:sz w:val="20"/>
          <w:szCs w:val="20"/>
          <w:rtl w:val="0"/>
        </w:rPr>
        <w:t xml:space="preserve"> p.24.</w:t>
      </w:r>
    </w:p>
  </w:footnote>
  <w:footnote w:id="5">
    <w:p w:rsidR="00000000" w:rsidDel="00000000" w:rsidP="00000000" w:rsidRDefault="00000000" w:rsidRPr="00000000" w14:paraId="000000E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Terry Eagleton, ‘Versions of Culture’, </w:t>
      </w:r>
      <w:r w:rsidDel="00000000" w:rsidR="00000000" w:rsidRPr="00000000">
        <w:rPr>
          <w:i w:val="1"/>
          <w:sz w:val="20"/>
          <w:szCs w:val="20"/>
          <w:rtl w:val="0"/>
        </w:rPr>
        <w:t xml:space="preserve">The Idea of Culture</w:t>
      </w:r>
      <w:r w:rsidDel="00000000" w:rsidR="00000000" w:rsidRPr="00000000">
        <w:rPr>
          <w:sz w:val="20"/>
          <w:szCs w:val="20"/>
          <w:rtl w:val="0"/>
        </w:rPr>
        <w:t xml:space="preserve">, (Oxford: Blackwell, 2000), p.2.</w:t>
      </w:r>
    </w:p>
  </w:footnote>
  <w:footnote w:id="37">
    <w:p w:rsidR="00000000" w:rsidDel="00000000" w:rsidP="00000000" w:rsidRDefault="00000000" w:rsidRPr="00000000" w14:paraId="000000E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pp.142.</w:t>
      </w:r>
    </w:p>
  </w:footnote>
  <w:footnote w:id="39">
    <w:p w:rsidR="00000000" w:rsidDel="00000000" w:rsidP="00000000" w:rsidRDefault="00000000" w:rsidRPr="00000000" w14:paraId="000000E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pp.142.</w:t>
      </w:r>
    </w:p>
  </w:footnote>
  <w:footnote w:id="41">
    <w:p w:rsidR="00000000" w:rsidDel="00000000" w:rsidP="00000000" w:rsidRDefault="00000000" w:rsidRPr="00000000" w14:paraId="000000E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Sturluson, </w:t>
      </w:r>
      <w:r w:rsidDel="00000000" w:rsidR="00000000" w:rsidRPr="00000000">
        <w:rPr>
          <w:i w:val="1"/>
          <w:sz w:val="20"/>
          <w:szCs w:val="20"/>
          <w:rtl w:val="0"/>
        </w:rPr>
        <w:t xml:space="preserve">‘The Prose Edda’, </w:t>
      </w:r>
      <w:r w:rsidDel="00000000" w:rsidR="00000000" w:rsidRPr="00000000">
        <w:rPr>
          <w:sz w:val="20"/>
          <w:szCs w:val="20"/>
          <w:rtl w:val="0"/>
        </w:rPr>
        <w:t xml:space="preserve">p.20.</w:t>
      </w:r>
    </w:p>
  </w:footnote>
  <w:footnote w:id="44">
    <w:p w:rsidR="00000000" w:rsidDel="00000000" w:rsidP="00000000" w:rsidRDefault="00000000" w:rsidRPr="00000000" w14:paraId="000000E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Kane, </w:t>
      </w:r>
      <w:r w:rsidDel="00000000" w:rsidR="00000000" w:rsidRPr="00000000">
        <w:rPr>
          <w:i w:val="1"/>
          <w:sz w:val="20"/>
          <w:szCs w:val="20"/>
          <w:rtl w:val="0"/>
        </w:rPr>
        <w:t xml:space="preserve">‘Wisdom of the Mythtellers’, </w:t>
      </w:r>
      <w:r w:rsidDel="00000000" w:rsidR="00000000" w:rsidRPr="00000000">
        <w:rPr>
          <w:sz w:val="20"/>
          <w:szCs w:val="20"/>
          <w:rtl w:val="0"/>
        </w:rPr>
        <w:t xml:space="preserve">p.45.</w:t>
      </w:r>
    </w:p>
  </w:footnote>
  <w:footnote w:id="35">
    <w:p w:rsidR="00000000" w:rsidDel="00000000" w:rsidP="00000000" w:rsidRDefault="00000000" w:rsidRPr="00000000" w14:paraId="000000E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p.xxiii.</w:t>
      </w:r>
    </w:p>
  </w:footnote>
  <w:footnote w:id="6">
    <w:p w:rsidR="00000000" w:rsidDel="00000000" w:rsidP="00000000" w:rsidRDefault="00000000" w:rsidRPr="00000000" w14:paraId="000000E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Bernadette Bradey, ‘Images in Heaven’ in Darrelyn Gunzberg, Ed., ‘</w:t>
      </w:r>
      <w:r w:rsidDel="00000000" w:rsidR="00000000" w:rsidRPr="00000000">
        <w:rPr>
          <w:i w:val="1"/>
          <w:sz w:val="20"/>
          <w:szCs w:val="20"/>
          <w:rtl w:val="0"/>
        </w:rPr>
        <w:t xml:space="preserve">The Imagined Sky. Cultural Perspectives</w:t>
      </w:r>
      <w:r w:rsidDel="00000000" w:rsidR="00000000" w:rsidRPr="00000000">
        <w:rPr>
          <w:sz w:val="20"/>
          <w:szCs w:val="20"/>
          <w:rtl w:val="0"/>
        </w:rPr>
        <w:t xml:space="preserve">.’ (South Yorkshire: Equinox Publishing Ltd., 2016) p. 255</w:t>
      </w:r>
    </w:p>
  </w:footnote>
  <w:footnote w:id="23">
    <w:p w:rsidR="00000000" w:rsidDel="00000000" w:rsidP="00000000" w:rsidRDefault="00000000" w:rsidRPr="00000000" w14:paraId="000000E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Snorri Sturluson, </w:t>
      </w:r>
      <w:r w:rsidDel="00000000" w:rsidR="00000000" w:rsidRPr="00000000">
        <w:rPr>
          <w:i w:val="1"/>
          <w:sz w:val="20"/>
          <w:szCs w:val="20"/>
          <w:rtl w:val="0"/>
        </w:rPr>
        <w:t xml:space="preserve">‘The Prose Edda’, </w:t>
      </w:r>
      <w:r w:rsidDel="00000000" w:rsidR="00000000" w:rsidRPr="00000000">
        <w:rPr>
          <w:sz w:val="20"/>
          <w:szCs w:val="20"/>
          <w:rtl w:val="0"/>
        </w:rPr>
        <w:t xml:space="preserve">(London: Penguin Classics, 2005), p. xvii.</w:t>
      </w:r>
    </w:p>
  </w:footnote>
  <w:footnote w:id="34">
    <w:p w:rsidR="00000000" w:rsidDel="00000000" w:rsidP="00000000" w:rsidRDefault="00000000" w:rsidRPr="00000000" w14:paraId="000000F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Cashford, ‘</w:t>
      </w:r>
      <w:r w:rsidDel="00000000" w:rsidR="00000000" w:rsidRPr="00000000">
        <w:rPr>
          <w:i w:val="1"/>
          <w:sz w:val="20"/>
          <w:szCs w:val="20"/>
          <w:rtl w:val="0"/>
        </w:rPr>
        <w:t xml:space="preserve">The Homeric Hymns’, </w:t>
      </w:r>
      <w:r w:rsidDel="00000000" w:rsidR="00000000" w:rsidRPr="00000000">
        <w:rPr>
          <w:sz w:val="20"/>
          <w:szCs w:val="20"/>
          <w:rtl w:val="0"/>
        </w:rPr>
        <w:t xml:space="preserve">p.xxxiii</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C">
    <w:pPr>
      <w:rPr>
        <w:rFonts w:ascii="Calibri" w:cs="Calibri" w:eastAsia="Calibri" w:hAnsi="Calibri"/>
        <w:sz w:val="24"/>
        <w:szCs w:val="24"/>
      </w:rPr>
    </w:pPr>
    <w:r w:rsidDel="00000000" w:rsidR="00000000" w:rsidRPr="00000000">
      <w:rPr>
        <w:rFonts w:ascii="Calibri" w:cs="Calibri" w:eastAsia="Calibri" w:hAnsi="Calibri"/>
        <w:rtl w:val="0"/>
      </w:rPr>
      <w:t xml:space="preserve">Katherine Azima 2219013 </w:t>
      <w:tab/>
      <w:tab/>
    </w:r>
    <w:r w:rsidDel="00000000" w:rsidR="00000000" w:rsidRPr="00000000">
      <w:rPr>
        <w:rtl w:val="0"/>
      </w:rPr>
    </w:r>
  </w:p>
  <w:p w:rsidR="00000000" w:rsidDel="00000000" w:rsidP="00000000" w:rsidRDefault="00000000" w:rsidRPr="00000000" w14:paraId="000000BD">
    <w:pPr>
      <w:rPr/>
    </w:pPr>
    <w:r w:rsidDel="00000000" w:rsidR="00000000" w:rsidRPr="00000000">
      <w:rPr>
        <w:rtl w:val="0"/>
      </w:rPr>
      <w:tab/>
      <w:tab/>
      <w:tab/>
      <w:tab/>
      <w:tab/>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