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5F3E80C6" w14:textId="77777777" w:rsidR="00B6045F" w:rsidRPr="003B42B8" w:rsidRDefault="00473B83" w:rsidP="00B6045F">
          <w:pPr>
            <w:pStyle w:val="NoSpacing"/>
            <w:spacing w:before="1540" w:after="240"/>
            <w:rPr>
              <w:rFonts w:ascii="Arial" w:eastAsiaTheme="minorHAnsi" w:hAnsi="Arial" w:cs="Arial"/>
              <w:color w:val="5B9BD5" w:themeColor="accent1"/>
              <w:lang w:val="en-GB"/>
            </w:rPr>
          </w:pPr>
          <w:r w:rsidRPr="003B42B8">
            <w:rPr>
              <w:rFonts w:ascii="Arial" w:eastAsiaTheme="minorHAnsi" w:hAnsi="Arial" w:cs="Arial"/>
              <w:color w:val="5B9BD5" w:themeColor="accent1"/>
              <w:lang w:val="en-GB"/>
            </w:rPr>
            <w:t xml:space="preserve"> </w:t>
          </w:r>
          <w:r w:rsidRPr="003B42B8">
            <w:rPr>
              <w:rFonts w:ascii="Arial" w:hAnsi="Arial" w:cs="Arial"/>
              <w:b/>
              <w:bCs/>
              <w:noProof/>
              <w:sz w:val="44"/>
              <w:szCs w:val="44"/>
            </w:rPr>
            <w:drawing>
              <wp:inline distT="0" distB="0" distL="0" distR="0" wp14:anchorId="697F8EBB" wp14:editId="193AFF5C">
                <wp:extent cx="1546860" cy="86015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1323" cy="868195"/>
                        </a:xfrm>
                        <a:prstGeom prst="rect">
                          <a:avLst/>
                        </a:prstGeom>
                        <a:noFill/>
                        <a:ln>
                          <a:noFill/>
                        </a:ln>
                      </pic:spPr>
                    </pic:pic>
                  </a:graphicData>
                </a:graphic>
              </wp:inline>
            </w:drawing>
          </w:r>
        </w:p>
        <w:p w14:paraId="6C331FDB" w14:textId="73FFB0AE" w:rsidR="00920A5B" w:rsidRPr="005168AE" w:rsidRDefault="00920A5B" w:rsidP="00B6045F">
          <w:pPr>
            <w:pStyle w:val="NoSpacing"/>
            <w:spacing w:before="1540" w:after="240" w:line="360" w:lineRule="auto"/>
            <w:jc w:val="center"/>
            <w:rPr>
              <w:rFonts w:ascii="Arial" w:eastAsiaTheme="majorEastAsia" w:hAnsi="Arial" w:cs="Arial"/>
              <w:b/>
              <w:bCs/>
              <w:caps/>
              <w:color w:val="000000" w:themeColor="text1"/>
              <w:sz w:val="36"/>
              <w:szCs w:val="36"/>
              <w:lang w:val="en-IN"/>
            </w:rPr>
          </w:pPr>
          <w:r w:rsidRPr="005168AE">
            <w:rPr>
              <w:rFonts w:ascii="Arial" w:eastAsiaTheme="majorEastAsia" w:hAnsi="Arial" w:cs="Arial"/>
              <w:b/>
              <w:bCs/>
              <w:caps/>
              <w:color w:val="000000" w:themeColor="text1"/>
              <w:sz w:val="36"/>
              <w:szCs w:val="36"/>
              <w:lang w:val="en-IN"/>
            </w:rPr>
            <w:t xml:space="preserve">Business Report to the Directors of </w:t>
          </w:r>
          <w:r w:rsidR="0075046F" w:rsidRPr="005168AE">
            <w:rPr>
              <w:rFonts w:ascii="Arial" w:eastAsiaTheme="majorEastAsia" w:hAnsi="Arial" w:cs="Arial"/>
              <w:b/>
              <w:bCs/>
              <w:caps/>
              <w:color w:val="000000" w:themeColor="text1"/>
              <w:sz w:val="36"/>
              <w:szCs w:val="36"/>
              <w:lang w:val="en-IN"/>
            </w:rPr>
            <w:t xml:space="preserve">Lloyds Banking Group plc and </w:t>
          </w:r>
          <w:r w:rsidRPr="005168AE">
            <w:rPr>
              <w:rFonts w:ascii="Arial" w:eastAsiaTheme="majorEastAsia" w:hAnsi="Arial" w:cs="Arial"/>
              <w:b/>
              <w:bCs/>
              <w:caps/>
              <w:color w:val="000000" w:themeColor="text1"/>
              <w:sz w:val="36"/>
              <w:szCs w:val="36"/>
              <w:lang w:val="en-IN"/>
            </w:rPr>
            <w:t>Jordons Plc</w:t>
          </w:r>
        </w:p>
        <w:p w14:paraId="37A9C753" w14:textId="74DC35C2" w:rsidR="00CA5C2C" w:rsidRPr="003B42B8" w:rsidRDefault="005168AE" w:rsidP="00D1155D">
          <w:pPr>
            <w:spacing w:line="360" w:lineRule="auto"/>
            <w:jc w:val="center"/>
            <w:rPr>
              <w:rFonts w:ascii="Arial" w:hAnsi="Arial" w:cs="Arial"/>
              <w:b/>
              <w:bCs/>
              <w:sz w:val="32"/>
              <w:szCs w:val="32"/>
            </w:rPr>
          </w:pPr>
          <w:r>
            <w:rPr>
              <w:rFonts w:ascii="Arial" w:hAnsi="Arial" w:cs="Arial"/>
              <w:b/>
              <w:bCs/>
              <w:noProof/>
              <w:sz w:val="32"/>
              <w:szCs w:val="32"/>
            </w:rPr>
            <w:drawing>
              <wp:inline distT="0" distB="0" distL="0" distR="0" wp14:anchorId="2ACE7101" wp14:editId="199AD94D">
                <wp:extent cx="1493520" cy="12592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9138" cy="1272410"/>
                        </a:xfrm>
                        <a:prstGeom prst="rect">
                          <a:avLst/>
                        </a:prstGeom>
                        <a:noFill/>
                        <a:ln>
                          <a:noFill/>
                        </a:ln>
                      </pic:spPr>
                    </pic:pic>
                  </a:graphicData>
                </a:graphic>
              </wp:inline>
            </w:drawing>
          </w:r>
        </w:p>
        <w:p w14:paraId="196F6AF6" w14:textId="5CCCCB8D" w:rsidR="00B6045F" w:rsidRPr="003B42B8" w:rsidRDefault="00B6045F" w:rsidP="00D1155D">
          <w:pPr>
            <w:spacing w:line="360" w:lineRule="auto"/>
            <w:jc w:val="center"/>
            <w:rPr>
              <w:rFonts w:ascii="Arial" w:hAnsi="Arial" w:cs="Arial"/>
              <w:b/>
              <w:bCs/>
              <w:sz w:val="32"/>
              <w:szCs w:val="32"/>
            </w:rPr>
          </w:pPr>
          <w:r w:rsidRPr="003B42B8">
            <w:rPr>
              <w:rFonts w:ascii="Arial" w:hAnsi="Arial" w:cs="Arial"/>
              <w:b/>
              <w:bCs/>
              <w:sz w:val="32"/>
              <w:szCs w:val="32"/>
            </w:rPr>
            <w:t xml:space="preserve">Module Name/ Code: Finance for Business Managers / </w:t>
          </w:r>
          <w:r w:rsidRPr="003B42B8">
            <w:rPr>
              <w:rFonts w:ascii="Arial" w:hAnsi="Arial" w:cs="Arial"/>
              <w:b/>
              <w:sz w:val="32"/>
              <w:szCs w:val="32"/>
            </w:rPr>
            <w:t>BMMB7005D</w:t>
          </w:r>
        </w:p>
        <w:p w14:paraId="47BEEB2D" w14:textId="6A1A9913" w:rsidR="00B6045F" w:rsidRPr="003B42B8" w:rsidRDefault="00B6045F" w:rsidP="00D1155D">
          <w:pPr>
            <w:spacing w:line="360" w:lineRule="auto"/>
            <w:jc w:val="center"/>
            <w:rPr>
              <w:rFonts w:ascii="Arial" w:hAnsi="Arial" w:cs="Arial"/>
              <w:b/>
              <w:bCs/>
              <w:sz w:val="32"/>
              <w:szCs w:val="32"/>
            </w:rPr>
          </w:pPr>
          <w:r w:rsidRPr="003B42B8">
            <w:rPr>
              <w:rFonts w:ascii="Arial" w:hAnsi="Arial" w:cs="Arial"/>
              <w:b/>
              <w:bCs/>
              <w:sz w:val="32"/>
              <w:szCs w:val="32"/>
            </w:rPr>
            <w:t xml:space="preserve">Full Name: Dissanayake </w:t>
          </w:r>
          <w:proofErr w:type="spellStart"/>
          <w:r w:rsidRPr="003B42B8">
            <w:rPr>
              <w:rFonts w:ascii="Arial" w:hAnsi="Arial" w:cs="Arial"/>
              <w:b/>
              <w:bCs/>
              <w:sz w:val="32"/>
              <w:szCs w:val="32"/>
            </w:rPr>
            <w:t>Mudiyanselage</w:t>
          </w:r>
          <w:proofErr w:type="spellEnd"/>
          <w:r w:rsidRPr="003B42B8">
            <w:rPr>
              <w:rFonts w:ascii="Arial" w:hAnsi="Arial" w:cs="Arial"/>
              <w:b/>
              <w:bCs/>
              <w:sz w:val="32"/>
              <w:szCs w:val="32"/>
            </w:rPr>
            <w:t xml:space="preserve"> Lahiru Chathuranga Dissanayake</w:t>
          </w:r>
        </w:p>
        <w:p w14:paraId="3329EB36" w14:textId="1BC8D405" w:rsidR="00B6045F" w:rsidRPr="003B42B8" w:rsidRDefault="00B6045F" w:rsidP="00D1155D">
          <w:pPr>
            <w:spacing w:line="360" w:lineRule="auto"/>
            <w:jc w:val="center"/>
            <w:rPr>
              <w:rFonts w:ascii="Arial" w:hAnsi="Arial" w:cs="Arial"/>
              <w:b/>
              <w:bCs/>
              <w:sz w:val="32"/>
              <w:szCs w:val="32"/>
            </w:rPr>
          </w:pPr>
          <w:r w:rsidRPr="003B42B8">
            <w:rPr>
              <w:rFonts w:ascii="Arial" w:hAnsi="Arial" w:cs="Arial"/>
              <w:b/>
              <w:bCs/>
              <w:sz w:val="32"/>
              <w:szCs w:val="32"/>
            </w:rPr>
            <w:t>Student Number: 2414277</w:t>
          </w:r>
        </w:p>
        <w:p w14:paraId="3914AA16" w14:textId="77777777" w:rsidR="00CA5C2C" w:rsidRPr="003B42B8" w:rsidRDefault="00CA5C2C" w:rsidP="002E7449">
          <w:pPr>
            <w:spacing w:line="360" w:lineRule="auto"/>
            <w:rPr>
              <w:rFonts w:ascii="Arial" w:hAnsi="Arial" w:cs="Arial"/>
              <w:b/>
              <w:bCs/>
              <w:sz w:val="32"/>
              <w:szCs w:val="32"/>
            </w:rPr>
          </w:pPr>
        </w:p>
        <w:p w14:paraId="2F30EA91" w14:textId="503F3F76" w:rsidR="005423BC" w:rsidRPr="003B42B8" w:rsidRDefault="005423BC" w:rsidP="00D1155D">
          <w:pPr>
            <w:spacing w:line="360" w:lineRule="auto"/>
            <w:jc w:val="center"/>
            <w:rPr>
              <w:rFonts w:ascii="Arial" w:hAnsi="Arial" w:cs="Arial"/>
              <w:b/>
              <w:bCs/>
              <w:sz w:val="28"/>
              <w:szCs w:val="28"/>
            </w:rPr>
          </w:pPr>
          <w:r w:rsidRPr="003B42B8">
            <w:rPr>
              <w:rFonts w:ascii="Arial" w:hAnsi="Arial" w:cs="Arial"/>
              <w:b/>
              <w:bCs/>
              <w:sz w:val="28"/>
              <w:szCs w:val="28"/>
            </w:rPr>
            <w:t>21</w:t>
          </w:r>
          <w:r w:rsidRPr="003B42B8">
            <w:rPr>
              <w:rFonts w:ascii="Arial" w:hAnsi="Arial" w:cs="Arial"/>
              <w:b/>
              <w:bCs/>
              <w:sz w:val="28"/>
              <w:szCs w:val="28"/>
              <w:vertAlign w:val="superscript"/>
            </w:rPr>
            <w:t>st</w:t>
          </w:r>
          <w:r w:rsidRPr="003B42B8">
            <w:rPr>
              <w:rFonts w:ascii="Arial" w:hAnsi="Arial" w:cs="Arial"/>
              <w:b/>
              <w:bCs/>
              <w:sz w:val="28"/>
              <w:szCs w:val="28"/>
            </w:rPr>
            <w:t xml:space="preserve"> July 2025</w:t>
          </w:r>
        </w:p>
        <w:p w14:paraId="027A76EC" w14:textId="02A38450" w:rsidR="005423BC" w:rsidRPr="003B42B8" w:rsidRDefault="005423BC" w:rsidP="00D1155D">
          <w:pPr>
            <w:spacing w:line="360" w:lineRule="auto"/>
            <w:jc w:val="center"/>
            <w:rPr>
              <w:rFonts w:ascii="Arial" w:hAnsi="Arial" w:cs="Arial"/>
              <w:b/>
              <w:bCs/>
              <w:sz w:val="28"/>
              <w:szCs w:val="28"/>
            </w:rPr>
          </w:pPr>
          <w:r w:rsidRPr="003B42B8">
            <w:rPr>
              <w:rFonts w:ascii="Arial" w:hAnsi="Arial" w:cs="Arial"/>
              <w:b/>
              <w:bCs/>
              <w:sz w:val="28"/>
              <w:szCs w:val="28"/>
            </w:rPr>
            <w:t>University of Wales Trinity Saint David</w:t>
          </w:r>
        </w:p>
        <w:p w14:paraId="0340ABF9" w14:textId="520F3BB4" w:rsidR="00F872EA" w:rsidRPr="00352991" w:rsidRDefault="007D1947" w:rsidP="00352991">
          <w:pPr>
            <w:pStyle w:val="Heading1"/>
            <w:numPr>
              <w:ilvl w:val="0"/>
              <w:numId w:val="0"/>
            </w:numPr>
            <w:spacing w:line="360" w:lineRule="auto"/>
            <w:ind w:left="360" w:hanging="360"/>
            <w:jc w:val="both"/>
            <w:rPr>
              <w:rFonts w:ascii="Arial" w:hAnsi="Arial" w:cs="Arial"/>
              <w:b/>
              <w:bCs/>
              <w:color w:val="000000" w:themeColor="text1"/>
              <w:sz w:val="24"/>
              <w:szCs w:val="24"/>
            </w:rPr>
          </w:pPr>
          <w:r w:rsidRPr="003B42B8">
            <w:br w:type="page"/>
          </w:r>
          <w:bookmarkStart w:id="0" w:name="_Toc203860071"/>
          <w:bookmarkStart w:id="1" w:name="_Toc204002537"/>
          <w:r w:rsidRPr="00F872EA">
            <w:rPr>
              <w:rFonts w:ascii="Arial" w:hAnsi="Arial" w:cs="Arial"/>
              <w:b/>
              <w:bCs/>
              <w:color w:val="000000" w:themeColor="text1"/>
              <w:sz w:val="28"/>
              <w:szCs w:val="28"/>
            </w:rPr>
            <w:lastRenderedPageBreak/>
            <w:t>Executive Summary</w:t>
          </w:r>
          <w:bookmarkEnd w:id="0"/>
          <w:bookmarkEnd w:id="1"/>
        </w:p>
        <w:p w14:paraId="21C22833" w14:textId="61A57757" w:rsidR="000F2250" w:rsidRPr="00F872EA" w:rsidRDefault="004D724A" w:rsidP="00F872EA">
          <w:pPr>
            <w:spacing w:line="360" w:lineRule="auto"/>
            <w:jc w:val="both"/>
            <w:rPr>
              <w:rFonts w:ascii="Arial" w:hAnsi="Arial" w:cs="Arial"/>
              <w:sz w:val="24"/>
              <w:szCs w:val="24"/>
            </w:rPr>
          </w:pPr>
          <w:r>
            <w:rPr>
              <w:rFonts w:ascii="Arial" w:hAnsi="Arial" w:cs="Arial"/>
              <w:sz w:val="24"/>
              <w:szCs w:val="24"/>
            </w:rPr>
            <w:t>Part</w:t>
          </w:r>
          <w:r w:rsidR="000F2250" w:rsidRPr="00F872EA">
            <w:rPr>
              <w:rFonts w:ascii="Arial" w:hAnsi="Arial" w:cs="Arial"/>
              <w:sz w:val="24"/>
              <w:szCs w:val="24"/>
            </w:rPr>
            <w:t xml:space="preserve"> 1 presents a detailed financial analysis of </w:t>
          </w:r>
          <w:bookmarkStart w:id="2" w:name="_Hlk203510576"/>
          <w:r w:rsidR="000F2250" w:rsidRPr="00F872EA">
            <w:rPr>
              <w:rFonts w:ascii="Arial" w:hAnsi="Arial" w:cs="Arial"/>
              <w:sz w:val="24"/>
              <w:szCs w:val="24"/>
            </w:rPr>
            <w:t>Lloyds Banking Group plc</w:t>
          </w:r>
          <w:bookmarkEnd w:id="2"/>
          <w:r w:rsidR="000F2250" w:rsidRPr="00F872EA">
            <w:rPr>
              <w:rFonts w:ascii="Arial" w:hAnsi="Arial" w:cs="Arial"/>
              <w:sz w:val="24"/>
              <w:szCs w:val="24"/>
            </w:rPr>
            <w:t xml:space="preserve">, with a specific look at the company’s performance the past two years financial years of 2023 and 2024. The report evaluated Lloyds’ business condition through key financial ratios that looked at profitability, liquidity, gearing, efficiency, and returns to investors to identify strengths, weaknesses, and areas of improvement. This analysis found that while Lloyds experienced significant new economic challenges, and had higher than expected regulatory provisions, their Net Profit Margin was stable at 13.06%.  However, the company’s Return on Capital Employed (ROCE) decreased from 1.77% to 1.41%.  This indicates Lloyds is not as efficient in using capital for generating profitability. Based on the company’s liquidity ratios, the Loan-to-Deposit Ratio (95%) and Liquidity Coverage Ratio (LCR, 146%), Lloyds effectively manages risks and is compliant with Basel III requirements. </w:t>
          </w:r>
        </w:p>
        <w:p w14:paraId="548F8A86" w14:textId="308CE71F" w:rsidR="000F2250" w:rsidRPr="00F872EA" w:rsidRDefault="000F2250" w:rsidP="00F872EA">
          <w:pPr>
            <w:spacing w:line="360" w:lineRule="auto"/>
            <w:jc w:val="both"/>
            <w:rPr>
              <w:rFonts w:ascii="Arial" w:hAnsi="Arial" w:cs="Arial"/>
              <w:sz w:val="24"/>
              <w:szCs w:val="24"/>
            </w:rPr>
          </w:pPr>
          <w:r w:rsidRPr="00F872EA">
            <w:rPr>
              <w:rFonts w:ascii="Arial" w:hAnsi="Arial" w:cs="Arial"/>
              <w:sz w:val="24"/>
              <w:szCs w:val="24"/>
            </w:rPr>
            <w:t>Gearing measures show strong capital adequacy, with the companies Common Equity Tier 1 (CET1) increasing to 14.2%.  However, the Cost-to-Income ratio increased significantly in 2024, suggesting an inefficient operational environment.  Overall, the Earnings per Share (EPS) decreased, but dividend yields increased, signalling a commitment to shareholders and shareholders' returns. The report recommends addressing the operational inefficiencies, optimizing capital allocation planning, and taking advantage of digital transformation to diversify income streams. These are intended to improve Lloyd's financial performance, as well as provide for sustainable shareholder value in the challenging environments anticipated.</w:t>
          </w:r>
        </w:p>
        <w:p w14:paraId="1B3007CF" w14:textId="5DC52900" w:rsidR="001E77A2" w:rsidRPr="00F872EA" w:rsidRDefault="004D724A" w:rsidP="00F872EA">
          <w:pPr>
            <w:spacing w:line="360" w:lineRule="auto"/>
            <w:jc w:val="both"/>
            <w:rPr>
              <w:rFonts w:ascii="Arial" w:hAnsi="Arial" w:cs="Arial"/>
              <w:sz w:val="24"/>
              <w:szCs w:val="24"/>
            </w:rPr>
          </w:pPr>
          <w:r>
            <w:rPr>
              <w:rFonts w:ascii="Arial" w:hAnsi="Arial" w:cs="Arial"/>
              <w:sz w:val="24"/>
              <w:szCs w:val="24"/>
            </w:rPr>
            <w:t>Part</w:t>
          </w:r>
          <w:r w:rsidR="000F2250" w:rsidRPr="00F872EA">
            <w:rPr>
              <w:rFonts w:ascii="Arial" w:hAnsi="Arial" w:cs="Arial"/>
              <w:sz w:val="24"/>
              <w:szCs w:val="24"/>
            </w:rPr>
            <w:t xml:space="preserve"> 2</w:t>
          </w:r>
          <w:r w:rsidR="001E77A2" w:rsidRPr="00F872EA">
            <w:rPr>
              <w:rFonts w:ascii="Arial" w:hAnsi="Arial" w:cs="Arial"/>
              <w:sz w:val="24"/>
              <w:szCs w:val="24"/>
            </w:rPr>
            <w:t xml:space="preserve"> reflects on the three strategic investment opportunities in its four-year strategic expansion plan of </w:t>
          </w:r>
          <w:proofErr w:type="spellStart"/>
          <w:r w:rsidR="001E77A2" w:rsidRPr="00F872EA">
            <w:rPr>
              <w:rFonts w:ascii="Arial" w:hAnsi="Arial" w:cs="Arial"/>
              <w:sz w:val="24"/>
              <w:szCs w:val="24"/>
            </w:rPr>
            <w:t>Jordons</w:t>
          </w:r>
          <w:proofErr w:type="spellEnd"/>
          <w:r w:rsidR="001E77A2" w:rsidRPr="00F872EA">
            <w:rPr>
              <w:rFonts w:ascii="Arial" w:hAnsi="Arial" w:cs="Arial"/>
              <w:sz w:val="24"/>
              <w:szCs w:val="24"/>
            </w:rPr>
            <w:t xml:space="preserve"> Plc as follows: (A) Expansion of retail outlet, (B) Employing internet sales and (C) manufacturing curtains and Roman blinds. The report uses financial appraisal methods such as Net Present Value (NPV) and Internal Rate of Return (IRR) to evaluate the feasibility of each of the options, to find out the one that would create highest shareholder value.</w:t>
          </w:r>
          <w:r w:rsidR="000F2250" w:rsidRPr="00F872EA">
            <w:rPr>
              <w:rFonts w:ascii="Arial" w:hAnsi="Arial" w:cs="Arial"/>
              <w:sz w:val="24"/>
              <w:szCs w:val="24"/>
            </w:rPr>
            <w:t xml:space="preserve"> </w:t>
          </w:r>
          <w:r w:rsidR="001E77A2" w:rsidRPr="00F872EA">
            <w:rPr>
              <w:rFonts w:ascii="Arial" w:hAnsi="Arial" w:cs="Arial"/>
              <w:sz w:val="24"/>
              <w:szCs w:val="24"/>
            </w:rPr>
            <w:t>Option B, which consists of the development of an online sales system, has the largest NPV (574,600-pound sterling) and the IRR of around 13.7 percent, which is much higher than the cost of capital (6 percent). The option is also comparable to trends in the market currently over e-commerce and scalable and therefore the most cost effective as well as strategic.</w:t>
          </w:r>
        </w:p>
        <w:p w14:paraId="0882E422" w14:textId="7C12AF91" w:rsidR="000E325C" w:rsidRDefault="001E77A2" w:rsidP="000E325C">
          <w:pPr>
            <w:spacing w:line="360" w:lineRule="auto"/>
            <w:jc w:val="both"/>
            <w:rPr>
              <w:rFonts w:ascii="Arial" w:hAnsi="Arial" w:cs="Arial"/>
              <w:sz w:val="24"/>
              <w:szCs w:val="24"/>
            </w:rPr>
          </w:pPr>
          <w:r w:rsidRPr="00F872EA">
            <w:rPr>
              <w:rFonts w:ascii="Arial" w:hAnsi="Arial" w:cs="Arial"/>
              <w:sz w:val="24"/>
              <w:szCs w:val="24"/>
            </w:rPr>
            <w:lastRenderedPageBreak/>
            <w:t>There is also an alternative scenario presented in the report where the budget has a maximum limit of non-salary expenses to be got to the extent of 2 million pounds. With the profitability index (PI), it suggests an optimal investment policy, which provides a maximum amount of NPV by proportionally allocating the capital.</w:t>
          </w:r>
          <w:r w:rsidR="000F2250" w:rsidRPr="00F872EA">
            <w:rPr>
              <w:rFonts w:ascii="Arial" w:hAnsi="Arial" w:cs="Arial"/>
              <w:sz w:val="24"/>
              <w:szCs w:val="24"/>
            </w:rPr>
            <w:t xml:space="preserve"> </w:t>
          </w:r>
          <w:r w:rsidRPr="00F872EA">
            <w:rPr>
              <w:rFonts w:ascii="Arial" w:hAnsi="Arial" w:cs="Arial"/>
              <w:sz w:val="24"/>
              <w:szCs w:val="24"/>
            </w:rPr>
            <w:t xml:space="preserve">Lastly, the report examines possible methods of financing proposing a mixed financing strategy that includes issuing retained earnings and moderate level debt financing. This strategy reconciles financial flexibility and risk management so that there is sustainable growth. The ideas will assist </w:t>
          </w:r>
          <w:proofErr w:type="spellStart"/>
          <w:r w:rsidRPr="00F872EA">
            <w:rPr>
              <w:rFonts w:ascii="Arial" w:hAnsi="Arial" w:cs="Arial"/>
              <w:sz w:val="24"/>
              <w:szCs w:val="24"/>
            </w:rPr>
            <w:t>Jordons</w:t>
          </w:r>
          <w:proofErr w:type="spellEnd"/>
          <w:r w:rsidRPr="00F872EA">
            <w:rPr>
              <w:rFonts w:ascii="Arial" w:hAnsi="Arial" w:cs="Arial"/>
              <w:sz w:val="24"/>
              <w:szCs w:val="24"/>
            </w:rPr>
            <w:t xml:space="preserve"> Plc to make an informed investment decision to enhance its competitive advantage.</w:t>
          </w:r>
        </w:p>
        <w:p w14:paraId="73E639F2" w14:textId="77777777" w:rsidR="000E325C" w:rsidRDefault="000E325C">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109629433"/>
            <w:docPartObj>
              <w:docPartGallery w:val="Table of Contents"/>
              <w:docPartUnique/>
            </w:docPartObj>
          </w:sdtPr>
          <w:sdtEndPr>
            <w:rPr>
              <w:b/>
              <w:bCs/>
              <w:noProof/>
            </w:rPr>
          </w:sdtEndPr>
          <w:sdtContent>
            <w:p w14:paraId="6E20C47D" w14:textId="1983CDA9" w:rsidR="0019112E" w:rsidRPr="0019112E" w:rsidRDefault="0019112E" w:rsidP="0019112E">
              <w:pPr>
                <w:pStyle w:val="TOCHeading"/>
                <w:numPr>
                  <w:ilvl w:val="0"/>
                  <w:numId w:val="0"/>
                </w:numPr>
                <w:spacing w:line="360" w:lineRule="auto"/>
                <w:ind w:left="360" w:hanging="360"/>
                <w:rPr>
                  <w:rFonts w:ascii="Arial" w:hAnsi="Arial" w:cs="Arial"/>
                  <w:sz w:val="28"/>
                  <w:szCs w:val="28"/>
                </w:rPr>
              </w:pPr>
              <w:r w:rsidRPr="0019112E">
                <w:rPr>
                  <w:rFonts w:ascii="Arial" w:hAnsi="Arial" w:cs="Arial"/>
                  <w:sz w:val="28"/>
                  <w:szCs w:val="28"/>
                </w:rPr>
                <w:t>Table of Contents</w:t>
              </w:r>
            </w:p>
            <w:p w14:paraId="3488373B" w14:textId="0CA90E6F" w:rsidR="0019112E" w:rsidRPr="0019112E" w:rsidRDefault="0019112E" w:rsidP="0019112E">
              <w:pPr>
                <w:pStyle w:val="TOC1"/>
                <w:tabs>
                  <w:tab w:val="right" w:leader="dot" w:pos="9060"/>
                </w:tabs>
                <w:spacing w:line="360" w:lineRule="auto"/>
                <w:rPr>
                  <w:rFonts w:ascii="Arial" w:eastAsiaTheme="minorEastAsia" w:hAnsi="Arial" w:cs="Arial"/>
                  <w:noProof/>
                  <w:sz w:val="24"/>
                  <w:szCs w:val="24"/>
                  <w:lang w:val="en-US" w:bidi="si-LK"/>
                </w:rPr>
              </w:pPr>
              <w:r w:rsidRPr="0019112E">
                <w:rPr>
                  <w:rFonts w:ascii="Arial" w:hAnsi="Arial" w:cs="Arial"/>
                  <w:sz w:val="24"/>
                  <w:szCs w:val="24"/>
                </w:rPr>
                <w:fldChar w:fldCharType="begin"/>
              </w:r>
              <w:r w:rsidRPr="0019112E">
                <w:rPr>
                  <w:rFonts w:ascii="Arial" w:hAnsi="Arial" w:cs="Arial"/>
                  <w:sz w:val="24"/>
                  <w:szCs w:val="24"/>
                </w:rPr>
                <w:instrText xml:space="preserve"> TOC \o "1-3" \h \z \u </w:instrText>
              </w:r>
              <w:r w:rsidRPr="0019112E">
                <w:rPr>
                  <w:rFonts w:ascii="Arial" w:hAnsi="Arial" w:cs="Arial"/>
                  <w:sz w:val="24"/>
                  <w:szCs w:val="24"/>
                </w:rPr>
                <w:fldChar w:fldCharType="separate"/>
              </w:r>
              <w:hyperlink w:anchor="_Toc204002537" w:history="1">
                <w:r w:rsidRPr="0019112E">
                  <w:rPr>
                    <w:rStyle w:val="Hyperlink"/>
                    <w:rFonts w:ascii="Arial" w:hAnsi="Arial" w:cs="Arial"/>
                    <w:b/>
                    <w:bCs/>
                    <w:noProof/>
                    <w:sz w:val="24"/>
                    <w:szCs w:val="24"/>
                  </w:rPr>
                  <w:t>Executive Summary</w:t>
                </w:r>
                <w:r w:rsidRPr="0019112E">
                  <w:rPr>
                    <w:rFonts w:ascii="Arial" w:hAnsi="Arial" w:cs="Arial"/>
                    <w:noProof/>
                    <w:webHidden/>
                    <w:sz w:val="24"/>
                    <w:szCs w:val="24"/>
                  </w:rPr>
                  <w:tab/>
                </w:r>
                <w:r w:rsidRPr="0019112E">
                  <w:rPr>
                    <w:rFonts w:ascii="Arial" w:hAnsi="Arial" w:cs="Arial"/>
                    <w:noProof/>
                    <w:webHidden/>
                    <w:sz w:val="24"/>
                    <w:szCs w:val="24"/>
                  </w:rPr>
                  <w:fldChar w:fldCharType="begin"/>
                </w:r>
                <w:r w:rsidRPr="0019112E">
                  <w:rPr>
                    <w:rFonts w:ascii="Arial" w:hAnsi="Arial" w:cs="Arial"/>
                    <w:noProof/>
                    <w:webHidden/>
                    <w:sz w:val="24"/>
                    <w:szCs w:val="24"/>
                  </w:rPr>
                  <w:instrText xml:space="preserve"> PAGEREF _Toc204002537 \h </w:instrText>
                </w:r>
                <w:r w:rsidRPr="0019112E">
                  <w:rPr>
                    <w:rFonts w:ascii="Arial" w:hAnsi="Arial" w:cs="Arial"/>
                    <w:noProof/>
                    <w:webHidden/>
                    <w:sz w:val="24"/>
                    <w:szCs w:val="24"/>
                  </w:rPr>
                </w:r>
                <w:r w:rsidRPr="0019112E">
                  <w:rPr>
                    <w:rFonts w:ascii="Arial" w:hAnsi="Arial" w:cs="Arial"/>
                    <w:noProof/>
                    <w:webHidden/>
                    <w:sz w:val="24"/>
                    <w:szCs w:val="24"/>
                  </w:rPr>
                  <w:fldChar w:fldCharType="separate"/>
                </w:r>
                <w:r w:rsidRPr="0019112E">
                  <w:rPr>
                    <w:rFonts w:ascii="Arial" w:hAnsi="Arial" w:cs="Arial"/>
                    <w:noProof/>
                    <w:webHidden/>
                    <w:sz w:val="24"/>
                    <w:szCs w:val="24"/>
                  </w:rPr>
                  <w:t>1</w:t>
                </w:r>
                <w:r w:rsidRPr="0019112E">
                  <w:rPr>
                    <w:rFonts w:ascii="Arial" w:hAnsi="Arial" w:cs="Arial"/>
                    <w:noProof/>
                    <w:webHidden/>
                    <w:sz w:val="24"/>
                    <w:szCs w:val="24"/>
                  </w:rPr>
                  <w:fldChar w:fldCharType="end"/>
                </w:r>
              </w:hyperlink>
            </w:p>
            <w:p w14:paraId="68BB9EC9" w14:textId="5C5AF7FF" w:rsidR="0019112E" w:rsidRPr="0019112E" w:rsidRDefault="00AA269E" w:rsidP="0019112E">
              <w:pPr>
                <w:pStyle w:val="TOC1"/>
                <w:tabs>
                  <w:tab w:val="right" w:leader="dot" w:pos="9060"/>
                </w:tabs>
                <w:spacing w:line="360" w:lineRule="auto"/>
                <w:rPr>
                  <w:rFonts w:ascii="Arial" w:eastAsiaTheme="minorEastAsia" w:hAnsi="Arial" w:cs="Arial"/>
                  <w:noProof/>
                  <w:sz w:val="24"/>
                  <w:szCs w:val="24"/>
                  <w:lang w:val="en-US" w:bidi="si-LK"/>
                </w:rPr>
              </w:pPr>
              <w:hyperlink w:anchor="_Toc204002538" w:history="1">
                <w:r w:rsidR="0019112E" w:rsidRPr="0019112E">
                  <w:rPr>
                    <w:rStyle w:val="Hyperlink"/>
                    <w:rFonts w:ascii="Arial" w:hAnsi="Arial" w:cs="Arial"/>
                    <w:b/>
                    <w:bCs/>
                    <w:noProof/>
                    <w:sz w:val="24"/>
                    <w:szCs w:val="24"/>
                  </w:rPr>
                  <w:t>Main Findings</w:t>
                </w:r>
                <w:r w:rsidR="0019112E" w:rsidRPr="0019112E">
                  <w:rPr>
                    <w:rFonts w:ascii="Arial" w:hAnsi="Arial" w:cs="Arial"/>
                    <w:noProof/>
                    <w:webHidden/>
                    <w:sz w:val="24"/>
                    <w:szCs w:val="24"/>
                  </w:rPr>
                  <w:tab/>
                </w:r>
                <w:r w:rsidR="0019112E" w:rsidRPr="0019112E">
                  <w:rPr>
                    <w:rFonts w:ascii="Arial" w:hAnsi="Arial" w:cs="Arial"/>
                    <w:noProof/>
                    <w:webHidden/>
                    <w:sz w:val="24"/>
                    <w:szCs w:val="24"/>
                  </w:rPr>
                  <w:fldChar w:fldCharType="begin"/>
                </w:r>
                <w:r w:rsidR="0019112E" w:rsidRPr="0019112E">
                  <w:rPr>
                    <w:rFonts w:ascii="Arial" w:hAnsi="Arial" w:cs="Arial"/>
                    <w:noProof/>
                    <w:webHidden/>
                    <w:sz w:val="24"/>
                    <w:szCs w:val="24"/>
                  </w:rPr>
                  <w:instrText xml:space="preserve"> PAGEREF _Toc204002538 \h </w:instrText>
                </w:r>
                <w:r w:rsidR="0019112E" w:rsidRPr="0019112E">
                  <w:rPr>
                    <w:rFonts w:ascii="Arial" w:hAnsi="Arial" w:cs="Arial"/>
                    <w:noProof/>
                    <w:webHidden/>
                    <w:sz w:val="24"/>
                    <w:szCs w:val="24"/>
                  </w:rPr>
                </w:r>
                <w:r w:rsidR="0019112E" w:rsidRPr="0019112E">
                  <w:rPr>
                    <w:rFonts w:ascii="Arial" w:hAnsi="Arial" w:cs="Arial"/>
                    <w:noProof/>
                    <w:webHidden/>
                    <w:sz w:val="24"/>
                    <w:szCs w:val="24"/>
                  </w:rPr>
                  <w:fldChar w:fldCharType="separate"/>
                </w:r>
                <w:r w:rsidR="0019112E" w:rsidRPr="0019112E">
                  <w:rPr>
                    <w:rFonts w:ascii="Arial" w:hAnsi="Arial" w:cs="Arial"/>
                    <w:noProof/>
                    <w:webHidden/>
                    <w:sz w:val="24"/>
                    <w:szCs w:val="24"/>
                  </w:rPr>
                  <w:t>4</w:t>
                </w:r>
                <w:r w:rsidR="0019112E" w:rsidRPr="0019112E">
                  <w:rPr>
                    <w:rFonts w:ascii="Arial" w:hAnsi="Arial" w:cs="Arial"/>
                    <w:noProof/>
                    <w:webHidden/>
                    <w:sz w:val="24"/>
                    <w:szCs w:val="24"/>
                  </w:rPr>
                  <w:fldChar w:fldCharType="end"/>
                </w:r>
              </w:hyperlink>
            </w:p>
            <w:p w14:paraId="00C76262" w14:textId="4F0152B1" w:rsidR="0019112E" w:rsidRPr="0019112E" w:rsidRDefault="00AA269E" w:rsidP="0019112E">
              <w:pPr>
                <w:pStyle w:val="TOC2"/>
                <w:tabs>
                  <w:tab w:val="right" w:leader="dot" w:pos="9060"/>
                </w:tabs>
                <w:spacing w:line="360" w:lineRule="auto"/>
                <w:rPr>
                  <w:rFonts w:ascii="Arial" w:eastAsiaTheme="minorEastAsia" w:hAnsi="Arial" w:cs="Arial"/>
                  <w:noProof/>
                  <w:sz w:val="24"/>
                  <w:szCs w:val="24"/>
                  <w:lang w:val="en-US" w:bidi="si-LK"/>
                </w:rPr>
              </w:pPr>
              <w:hyperlink w:anchor="_Toc204002539" w:history="1">
                <w:r w:rsidR="0019112E" w:rsidRPr="0019112E">
                  <w:rPr>
                    <w:rStyle w:val="Hyperlink"/>
                    <w:rFonts w:ascii="Arial" w:hAnsi="Arial" w:cs="Arial"/>
                    <w:b/>
                    <w:bCs/>
                    <w:noProof/>
                    <w:sz w:val="24"/>
                    <w:szCs w:val="24"/>
                  </w:rPr>
                  <w:t>PART 1</w:t>
                </w:r>
                <w:r w:rsidR="0019112E" w:rsidRPr="0019112E">
                  <w:rPr>
                    <w:rFonts w:ascii="Arial" w:hAnsi="Arial" w:cs="Arial"/>
                    <w:noProof/>
                    <w:webHidden/>
                    <w:sz w:val="24"/>
                    <w:szCs w:val="24"/>
                  </w:rPr>
                  <w:tab/>
                </w:r>
                <w:r w:rsidR="0019112E" w:rsidRPr="0019112E">
                  <w:rPr>
                    <w:rFonts w:ascii="Arial" w:hAnsi="Arial" w:cs="Arial"/>
                    <w:noProof/>
                    <w:webHidden/>
                    <w:sz w:val="24"/>
                    <w:szCs w:val="24"/>
                  </w:rPr>
                  <w:fldChar w:fldCharType="begin"/>
                </w:r>
                <w:r w:rsidR="0019112E" w:rsidRPr="0019112E">
                  <w:rPr>
                    <w:rFonts w:ascii="Arial" w:hAnsi="Arial" w:cs="Arial"/>
                    <w:noProof/>
                    <w:webHidden/>
                    <w:sz w:val="24"/>
                    <w:szCs w:val="24"/>
                  </w:rPr>
                  <w:instrText xml:space="preserve"> PAGEREF _Toc204002539 \h </w:instrText>
                </w:r>
                <w:r w:rsidR="0019112E" w:rsidRPr="0019112E">
                  <w:rPr>
                    <w:rFonts w:ascii="Arial" w:hAnsi="Arial" w:cs="Arial"/>
                    <w:noProof/>
                    <w:webHidden/>
                    <w:sz w:val="24"/>
                    <w:szCs w:val="24"/>
                  </w:rPr>
                </w:r>
                <w:r w:rsidR="0019112E" w:rsidRPr="0019112E">
                  <w:rPr>
                    <w:rFonts w:ascii="Arial" w:hAnsi="Arial" w:cs="Arial"/>
                    <w:noProof/>
                    <w:webHidden/>
                    <w:sz w:val="24"/>
                    <w:szCs w:val="24"/>
                  </w:rPr>
                  <w:fldChar w:fldCharType="separate"/>
                </w:r>
                <w:r w:rsidR="0019112E" w:rsidRPr="0019112E">
                  <w:rPr>
                    <w:rFonts w:ascii="Arial" w:hAnsi="Arial" w:cs="Arial"/>
                    <w:noProof/>
                    <w:webHidden/>
                    <w:sz w:val="24"/>
                    <w:szCs w:val="24"/>
                  </w:rPr>
                  <w:t>4</w:t>
                </w:r>
                <w:r w:rsidR="0019112E" w:rsidRPr="0019112E">
                  <w:rPr>
                    <w:rFonts w:ascii="Arial" w:hAnsi="Arial" w:cs="Arial"/>
                    <w:noProof/>
                    <w:webHidden/>
                    <w:sz w:val="24"/>
                    <w:szCs w:val="24"/>
                  </w:rPr>
                  <w:fldChar w:fldCharType="end"/>
                </w:r>
              </w:hyperlink>
            </w:p>
            <w:p w14:paraId="7C160983" w14:textId="69D3807A" w:rsidR="0019112E" w:rsidRPr="0019112E" w:rsidRDefault="00AA269E" w:rsidP="0019112E">
              <w:pPr>
                <w:pStyle w:val="TOC2"/>
                <w:tabs>
                  <w:tab w:val="right" w:leader="dot" w:pos="9060"/>
                </w:tabs>
                <w:spacing w:line="360" w:lineRule="auto"/>
                <w:rPr>
                  <w:rFonts w:ascii="Arial" w:eastAsiaTheme="minorEastAsia" w:hAnsi="Arial" w:cs="Arial"/>
                  <w:noProof/>
                  <w:sz w:val="24"/>
                  <w:szCs w:val="24"/>
                  <w:lang w:val="en-US" w:bidi="si-LK"/>
                </w:rPr>
              </w:pPr>
              <w:hyperlink w:anchor="_Toc204002540" w:history="1">
                <w:r w:rsidR="0019112E" w:rsidRPr="0019112E">
                  <w:rPr>
                    <w:rStyle w:val="Hyperlink"/>
                    <w:rFonts w:ascii="Arial" w:hAnsi="Arial" w:cs="Arial"/>
                    <w:b/>
                    <w:bCs/>
                    <w:noProof/>
                    <w:sz w:val="24"/>
                    <w:szCs w:val="24"/>
                  </w:rPr>
                  <w:t>Introduction</w:t>
                </w:r>
                <w:r w:rsidR="0019112E" w:rsidRPr="0019112E">
                  <w:rPr>
                    <w:rFonts w:ascii="Arial" w:hAnsi="Arial" w:cs="Arial"/>
                    <w:noProof/>
                    <w:webHidden/>
                    <w:sz w:val="24"/>
                    <w:szCs w:val="24"/>
                  </w:rPr>
                  <w:tab/>
                </w:r>
                <w:r w:rsidR="0019112E" w:rsidRPr="0019112E">
                  <w:rPr>
                    <w:rFonts w:ascii="Arial" w:hAnsi="Arial" w:cs="Arial"/>
                    <w:noProof/>
                    <w:webHidden/>
                    <w:sz w:val="24"/>
                    <w:szCs w:val="24"/>
                  </w:rPr>
                  <w:fldChar w:fldCharType="begin"/>
                </w:r>
                <w:r w:rsidR="0019112E" w:rsidRPr="0019112E">
                  <w:rPr>
                    <w:rFonts w:ascii="Arial" w:hAnsi="Arial" w:cs="Arial"/>
                    <w:noProof/>
                    <w:webHidden/>
                    <w:sz w:val="24"/>
                    <w:szCs w:val="24"/>
                  </w:rPr>
                  <w:instrText xml:space="preserve"> PAGEREF _Toc204002540 \h </w:instrText>
                </w:r>
                <w:r w:rsidR="0019112E" w:rsidRPr="0019112E">
                  <w:rPr>
                    <w:rFonts w:ascii="Arial" w:hAnsi="Arial" w:cs="Arial"/>
                    <w:noProof/>
                    <w:webHidden/>
                    <w:sz w:val="24"/>
                    <w:szCs w:val="24"/>
                  </w:rPr>
                </w:r>
                <w:r w:rsidR="0019112E" w:rsidRPr="0019112E">
                  <w:rPr>
                    <w:rFonts w:ascii="Arial" w:hAnsi="Arial" w:cs="Arial"/>
                    <w:noProof/>
                    <w:webHidden/>
                    <w:sz w:val="24"/>
                    <w:szCs w:val="24"/>
                  </w:rPr>
                  <w:fldChar w:fldCharType="separate"/>
                </w:r>
                <w:r w:rsidR="0019112E" w:rsidRPr="0019112E">
                  <w:rPr>
                    <w:rFonts w:ascii="Arial" w:hAnsi="Arial" w:cs="Arial"/>
                    <w:noProof/>
                    <w:webHidden/>
                    <w:sz w:val="24"/>
                    <w:szCs w:val="24"/>
                  </w:rPr>
                  <w:t>4</w:t>
                </w:r>
                <w:r w:rsidR="0019112E" w:rsidRPr="0019112E">
                  <w:rPr>
                    <w:rFonts w:ascii="Arial" w:hAnsi="Arial" w:cs="Arial"/>
                    <w:noProof/>
                    <w:webHidden/>
                    <w:sz w:val="24"/>
                    <w:szCs w:val="24"/>
                  </w:rPr>
                  <w:fldChar w:fldCharType="end"/>
                </w:r>
              </w:hyperlink>
            </w:p>
            <w:p w14:paraId="7477E478" w14:textId="15FA0609" w:rsidR="0019112E" w:rsidRPr="0019112E" w:rsidRDefault="00AA269E" w:rsidP="0019112E">
              <w:pPr>
                <w:pStyle w:val="TOC2"/>
                <w:tabs>
                  <w:tab w:val="right" w:leader="dot" w:pos="9060"/>
                </w:tabs>
                <w:spacing w:line="360" w:lineRule="auto"/>
                <w:rPr>
                  <w:rFonts w:ascii="Arial" w:eastAsiaTheme="minorEastAsia" w:hAnsi="Arial" w:cs="Arial"/>
                  <w:noProof/>
                  <w:sz w:val="24"/>
                  <w:szCs w:val="24"/>
                  <w:lang w:val="en-US" w:bidi="si-LK"/>
                </w:rPr>
              </w:pPr>
              <w:hyperlink w:anchor="_Toc204002541" w:history="1">
                <w:r w:rsidR="0019112E" w:rsidRPr="0019112E">
                  <w:rPr>
                    <w:rStyle w:val="Hyperlink"/>
                    <w:rFonts w:ascii="Arial" w:hAnsi="Arial" w:cs="Arial"/>
                    <w:b/>
                    <w:bCs/>
                    <w:noProof/>
                    <w:sz w:val="24"/>
                    <w:szCs w:val="24"/>
                  </w:rPr>
                  <w:t>Conclusion</w:t>
                </w:r>
                <w:r w:rsidR="0019112E" w:rsidRPr="0019112E">
                  <w:rPr>
                    <w:rFonts w:ascii="Arial" w:hAnsi="Arial" w:cs="Arial"/>
                    <w:noProof/>
                    <w:webHidden/>
                    <w:sz w:val="24"/>
                    <w:szCs w:val="24"/>
                  </w:rPr>
                  <w:tab/>
                </w:r>
                <w:r w:rsidR="0019112E" w:rsidRPr="0019112E">
                  <w:rPr>
                    <w:rFonts w:ascii="Arial" w:hAnsi="Arial" w:cs="Arial"/>
                    <w:noProof/>
                    <w:webHidden/>
                    <w:sz w:val="24"/>
                    <w:szCs w:val="24"/>
                  </w:rPr>
                  <w:fldChar w:fldCharType="begin"/>
                </w:r>
                <w:r w:rsidR="0019112E" w:rsidRPr="0019112E">
                  <w:rPr>
                    <w:rFonts w:ascii="Arial" w:hAnsi="Arial" w:cs="Arial"/>
                    <w:noProof/>
                    <w:webHidden/>
                    <w:sz w:val="24"/>
                    <w:szCs w:val="24"/>
                  </w:rPr>
                  <w:instrText xml:space="preserve"> PAGEREF _Toc204002541 \h </w:instrText>
                </w:r>
                <w:r w:rsidR="0019112E" w:rsidRPr="0019112E">
                  <w:rPr>
                    <w:rFonts w:ascii="Arial" w:hAnsi="Arial" w:cs="Arial"/>
                    <w:noProof/>
                    <w:webHidden/>
                    <w:sz w:val="24"/>
                    <w:szCs w:val="24"/>
                  </w:rPr>
                </w:r>
                <w:r w:rsidR="0019112E" w:rsidRPr="0019112E">
                  <w:rPr>
                    <w:rFonts w:ascii="Arial" w:hAnsi="Arial" w:cs="Arial"/>
                    <w:noProof/>
                    <w:webHidden/>
                    <w:sz w:val="24"/>
                    <w:szCs w:val="24"/>
                  </w:rPr>
                  <w:fldChar w:fldCharType="separate"/>
                </w:r>
                <w:r w:rsidR="0019112E" w:rsidRPr="0019112E">
                  <w:rPr>
                    <w:rFonts w:ascii="Arial" w:hAnsi="Arial" w:cs="Arial"/>
                    <w:noProof/>
                    <w:webHidden/>
                    <w:sz w:val="24"/>
                    <w:szCs w:val="24"/>
                  </w:rPr>
                  <w:t>13</w:t>
                </w:r>
                <w:r w:rsidR="0019112E" w:rsidRPr="0019112E">
                  <w:rPr>
                    <w:rFonts w:ascii="Arial" w:hAnsi="Arial" w:cs="Arial"/>
                    <w:noProof/>
                    <w:webHidden/>
                    <w:sz w:val="24"/>
                    <w:szCs w:val="24"/>
                  </w:rPr>
                  <w:fldChar w:fldCharType="end"/>
                </w:r>
              </w:hyperlink>
            </w:p>
            <w:p w14:paraId="3684BAF8" w14:textId="0A14BFEA" w:rsidR="0019112E" w:rsidRPr="0019112E" w:rsidRDefault="00AA269E" w:rsidP="0019112E">
              <w:pPr>
                <w:pStyle w:val="TOC2"/>
                <w:tabs>
                  <w:tab w:val="right" w:leader="dot" w:pos="9060"/>
                </w:tabs>
                <w:spacing w:line="360" w:lineRule="auto"/>
                <w:rPr>
                  <w:rFonts w:ascii="Arial" w:eastAsiaTheme="minorEastAsia" w:hAnsi="Arial" w:cs="Arial"/>
                  <w:noProof/>
                  <w:sz w:val="24"/>
                  <w:szCs w:val="24"/>
                  <w:lang w:val="en-US" w:bidi="si-LK"/>
                </w:rPr>
              </w:pPr>
              <w:hyperlink w:anchor="_Toc204002542" w:history="1">
                <w:r w:rsidR="0019112E" w:rsidRPr="0019112E">
                  <w:rPr>
                    <w:rStyle w:val="Hyperlink"/>
                    <w:rFonts w:ascii="Arial" w:hAnsi="Arial" w:cs="Arial"/>
                    <w:b/>
                    <w:bCs/>
                    <w:noProof/>
                    <w:sz w:val="24"/>
                    <w:szCs w:val="24"/>
                  </w:rPr>
                  <w:t>PART 2</w:t>
                </w:r>
                <w:r w:rsidR="0019112E" w:rsidRPr="0019112E">
                  <w:rPr>
                    <w:rFonts w:ascii="Arial" w:hAnsi="Arial" w:cs="Arial"/>
                    <w:noProof/>
                    <w:webHidden/>
                    <w:sz w:val="24"/>
                    <w:szCs w:val="24"/>
                  </w:rPr>
                  <w:tab/>
                </w:r>
                <w:r w:rsidR="0019112E" w:rsidRPr="0019112E">
                  <w:rPr>
                    <w:rFonts w:ascii="Arial" w:hAnsi="Arial" w:cs="Arial"/>
                    <w:noProof/>
                    <w:webHidden/>
                    <w:sz w:val="24"/>
                    <w:szCs w:val="24"/>
                  </w:rPr>
                  <w:fldChar w:fldCharType="begin"/>
                </w:r>
                <w:r w:rsidR="0019112E" w:rsidRPr="0019112E">
                  <w:rPr>
                    <w:rFonts w:ascii="Arial" w:hAnsi="Arial" w:cs="Arial"/>
                    <w:noProof/>
                    <w:webHidden/>
                    <w:sz w:val="24"/>
                    <w:szCs w:val="24"/>
                  </w:rPr>
                  <w:instrText xml:space="preserve"> PAGEREF _Toc204002542 \h </w:instrText>
                </w:r>
                <w:r w:rsidR="0019112E" w:rsidRPr="0019112E">
                  <w:rPr>
                    <w:rFonts w:ascii="Arial" w:hAnsi="Arial" w:cs="Arial"/>
                    <w:noProof/>
                    <w:webHidden/>
                    <w:sz w:val="24"/>
                    <w:szCs w:val="24"/>
                  </w:rPr>
                </w:r>
                <w:r w:rsidR="0019112E" w:rsidRPr="0019112E">
                  <w:rPr>
                    <w:rFonts w:ascii="Arial" w:hAnsi="Arial" w:cs="Arial"/>
                    <w:noProof/>
                    <w:webHidden/>
                    <w:sz w:val="24"/>
                    <w:szCs w:val="24"/>
                  </w:rPr>
                  <w:fldChar w:fldCharType="separate"/>
                </w:r>
                <w:r w:rsidR="0019112E" w:rsidRPr="0019112E">
                  <w:rPr>
                    <w:rFonts w:ascii="Arial" w:hAnsi="Arial" w:cs="Arial"/>
                    <w:noProof/>
                    <w:webHidden/>
                    <w:sz w:val="24"/>
                    <w:szCs w:val="24"/>
                  </w:rPr>
                  <w:t>14</w:t>
                </w:r>
                <w:r w:rsidR="0019112E" w:rsidRPr="0019112E">
                  <w:rPr>
                    <w:rFonts w:ascii="Arial" w:hAnsi="Arial" w:cs="Arial"/>
                    <w:noProof/>
                    <w:webHidden/>
                    <w:sz w:val="24"/>
                    <w:szCs w:val="24"/>
                  </w:rPr>
                  <w:fldChar w:fldCharType="end"/>
                </w:r>
              </w:hyperlink>
            </w:p>
            <w:p w14:paraId="1D057AD0" w14:textId="62B8E815" w:rsidR="0019112E" w:rsidRPr="0019112E" w:rsidRDefault="00AA269E" w:rsidP="0019112E">
              <w:pPr>
                <w:pStyle w:val="TOC2"/>
                <w:tabs>
                  <w:tab w:val="right" w:leader="dot" w:pos="9060"/>
                </w:tabs>
                <w:spacing w:line="360" w:lineRule="auto"/>
                <w:rPr>
                  <w:rFonts w:ascii="Arial" w:eastAsiaTheme="minorEastAsia" w:hAnsi="Arial" w:cs="Arial"/>
                  <w:noProof/>
                  <w:sz w:val="24"/>
                  <w:szCs w:val="24"/>
                  <w:lang w:val="en-US" w:bidi="si-LK"/>
                </w:rPr>
              </w:pPr>
              <w:hyperlink w:anchor="_Toc204002543" w:history="1">
                <w:r w:rsidR="0019112E" w:rsidRPr="0019112E">
                  <w:rPr>
                    <w:rStyle w:val="Hyperlink"/>
                    <w:rFonts w:ascii="Arial" w:hAnsi="Arial" w:cs="Arial"/>
                    <w:b/>
                    <w:bCs/>
                    <w:noProof/>
                    <w:sz w:val="24"/>
                    <w:szCs w:val="24"/>
                  </w:rPr>
                  <w:t>Introduction</w:t>
                </w:r>
                <w:r w:rsidR="0019112E" w:rsidRPr="0019112E">
                  <w:rPr>
                    <w:rFonts w:ascii="Arial" w:hAnsi="Arial" w:cs="Arial"/>
                    <w:noProof/>
                    <w:webHidden/>
                    <w:sz w:val="24"/>
                    <w:szCs w:val="24"/>
                  </w:rPr>
                  <w:tab/>
                </w:r>
                <w:r w:rsidR="0019112E" w:rsidRPr="0019112E">
                  <w:rPr>
                    <w:rFonts w:ascii="Arial" w:hAnsi="Arial" w:cs="Arial"/>
                    <w:noProof/>
                    <w:webHidden/>
                    <w:sz w:val="24"/>
                    <w:szCs w:val="24"/>
                  </w:rPr>
                  <w:fldChar w:fldCharType="begin"/>
                </w:r>
                <w:r w:rsidR="0019112E" w:rsidRPr="0019112E">
                  <w:rPr>
                    <w:rFonts w:ascii="Arial" w:hAnsi="Arial" w:cs="Arial"/>
                    <w:noProof/>
                    <w:webHidden/>
                    <w:sz w:val="24"/>
                    <w:szCs w:val="24"/>
                  </w:rPr>
                  <w:instrText xml:space="preserve"> PAGEREF _Toc204002543 \h </w:instrText>
                </w:r>
                <w:r w:rsidR="0019112E" w:rsidRPr="0019112E">
                  <w:rPr>
                    <w:rFonts w:ascii="Arial" w:hAnsi="Arial" w:cs="Arial"/>
                    <w:noProof/>
                    <w:webHidden/>
                    <w:sz w:val="24"/>
                    <w:szCs w:val="24"/>
                  </w:rPr>
                </w:r>
                <w:r w:rsidR="0019112E" w:rsidRPr="0019112E">
                  <w:rPr>
                    <w:rFonts w:ascii="Arial" w:hAnsi="Arial" w:cs="Arial"/>
                    <w:noProof/>
                    <w:webHidden/>
                    <w:sz w:val="24"/>
                    <w:szCs w:val="24"/>
                  </w:rPr>
                  <w:fldChar w:fldCharType="separate"/>
                </w:r>
                <w:r w:rsidR="0019112E" w:rsidRPr="0019112E">
                  <w:rPr>
                    <w:rFonts w:ascii="Arial" w:hAnsi="Arial" w:cs="Arial"/>
                    <w:noProof/>
                    <w:webHidden/>
                    <w:sz w:val="24"/>
                    <w:szCs w:val="24"/>
                  </w:rPr>
                  <w:t>14</w:t>
                </w:r>
                <w:r w:rsidR="0019112E" w:rsidRPr="0019112E">
                  <w:rPr>
                    <w:rFonts w:ascii="Arial" w:hAnsi="Arial" w:cs="Arial"/>
                    <w:noProof/>
                    <w:webHidden/>
                    <w:sz w:val="24"/>
                    <w:szCs w:val="24"/>
                  </w:rPr>
                  <w:fldChar w:fldCharType="end"/>
                </w:r>
              </w:hyperlink>
            </w:p>
            <w:p w14:paraId="7645324F" w14:textId="19089830" w:rsidR="0019112E" w:rsidRPr="0019112E" w:rsidRDefault="00AA269E" w:rsidP="0019112E">
              <w:pPr>
                <w:pStyle w:val="TOC2"/>
                <w:tabs>
                  <w:tab w:val="right" w:leader="dot" w:pos="9060"/>
                </w:tabs>
                <w:spacing w:line="360" w:lineRule="auto"/>
                <w:rPr>
                  <w:rFonts w:ascii="Arial" w:eastAsiaTheme="minorEastAsia" w:hAnsi="Arial" w:cs="Arial"/>
                  <w:noProof/>
                  <w:sz w:val="24"/>
                  <w:szCs w:val="24"/>
                  <w:lang w:val="en-US" w:bidi="si-LK"/>
                </w:rPr>
              </w:pPr>
              <w:hyperlink w:anchor="_Toc204002544" w:history="1">
                <w:r w:rsidR="0019112E" w:rsidRPr="0019112E">
                  <w:rPr>
                    <w:rStyle w:val="Hyperlink"/>
                    <w:rFonts w:ascii="Arial" w:hAnsi="Arial" w:cs="Arial"/>
                    <w:b/>
                    <w:bCs/>
                    <w:noProof/>
                    <w:sz w:val="24"/>
                    <w:szCs w:val="24"/>
                  </w:rPr>
                  <w:t>Conclusion</w:t>
                </w:r>
                <w:r w:rsidR="0019112E" w:rsidRPr="0019112E">
                  <w:rPr>
                    <w:rFonts w:ascii="Arial" w:hAnsi="Arial" w:cs="Arial"/>
                    <w:noProof/>
                    <w:webHidden/>
                    <w:sz w:val="24"/>
                    <w:szCs w:val="24"/>
                  </w:rPr>
                  <w:tab/>
                </w:r>
                <w:r w:rsidR="0019112E" w:rsidRPr="0019112E">
                  <w:rPr>
                    <w:rFonts w:ascii="Arial" w:hAnsi="Arial" w:cs="Arial"/>
                    <w:noProof/>
                    <w:webHidden/>
                    <w:sz w:val="24"/>
                    <w:szCs w:val="24"/>
                  </w:rPr>
                  <w:fldChar w:fldCharType="begin"/>
                </w:r>
                <w:r w:rsidR="0019112E" w:rsidRPr="0019112E">
                  <w:rPr>
                    <w:rFonts w:ascii="Arial" w:hAnsi="Arial" w:cs="Arial"/>
                    <w:noProof/>
                    <w:webHidden/>
                    <w:sz w:val="24"/>
                    <w:szCs w:val="24"/>
                  </w:rPr>
                  <w:instrText xml:space="preserve"> PAGEREF _Toc204002544 \h </w:instrText>
                </w:r>
                <w:r w:rsidR="0019112E" w:rsidRPr="0019112E">
                  <w:rPr>
                    <w:rFonts w:ascii="Arial" w:hAnsi="Arial" w:cs="Arial"/>
                    <w:noProof/>
                    <w:webHidden/>
                    <w:sz w:val="24"/>
                    <w:szCs w:val="24"/>
                  </w:rPr>
                </w:r>
                <w:r w:rsidR="0019112E" w:rsidRPr="0019112E">
                  <w:rPr>
                    <w:rFonts w:ascii="Arial" w:hAnsi="Arial" w:cs="Arial"/>
                    <w:noProof/>
                    <w:webHidden/>
                    <w:sz w:val="24"/>
                    <w:szCs w:val="24"/>
                  </w:rPr>
                  <w:fldChar w:fldCharType="separate"/>
                </w:r>
                <w:r w:rsidR="0019112E" w:rsidRPr="0019112E">
                  <w:rPr>
                    <w:rFonts w:ascii="Arial" w:hAnsi="Arial" w:cs="Arial"/>
                    <w:noProof/>
                    <w:webHidden/>
                    <w:sz w:val="24"/>
                    <w:szCs w:val="24"/>
                  </w:rPr>
                  <w:t>21</w:t>
                </w:r>
                <w:r w:rsidR="0019112E" w:rsidRPr="0019112E">
                  <w:rPr>
                    <w:rFonts w:ascii="Arial" w:hAnsi="Arial" w:cs="Arial"/>
                    <w:noProof/>
                    <w:webHidden/>
                    <w:sz w:val="24"/>
                    <w:szCs w:val="24"/>
                  </w:rPr>
                  <w:fldChar w:fldCharType="end"/>
                </w:r>
              </w:hyperlink>
            </w:p>
            <w:p w14:paraId="57A7FC1B" w14:textId="33072891" w:rsidR="0019112E" w:rsidRPr="0019112E" w:rsidRDefault="00AA269E" w:rsidP="0019112E">
              <w:pPr>
                <w:pStyle w:val="TOC1"/>
                <w:tabs>
                  <w:tab w:val="right" w:leader="dot" w:pos="9060"/>
                </w:tabs>
                <w:spacing w:line="360" w:lineRule="auto"/>
                <w:rPr>
                  <w:rFonts w:ascii="Arial" w:eastAsiaTheme="minorEastAsia" w:hAnsi="Arial" w:cs="Arial"/>
                  <w:noProof/>
                  <w:sz w:val="24"/>
                  <w:szCs w:val="24"/>
                  <w:lang w:val="en-US" w:bidi="si-LK"/>
                </w:rPr>
              </w:pPr>
              <w:hyperlink w:anchor="_Toc204002545" w:history="1">
                <w:r w:rsidR="0019112E" w:rsidRPr="0019112E">
                  <w:rPr>
                    <w:rStyle w:val="Hyperlink"/>
                    <w:rFonts w:ascii="Arial" w:hAnsi="Arial" w:cs="Arial"/>
                    <w:b/>
                    <w:bCs/>
                    <w:noProof/>
                    <w:sz w:val="24"/>
                    <w:szCs w:val="24"/>
                  </w:rPr>
                  <w:t>References</w:t>
                </w:r>
                <w:r w:rsidR="0019112E" w:rsidRPr="0019112E">
                  <w:rPr>
                    <w:rFonts w:ascii="Arial" w:hAnsi="Arial" w:cs="Arial"/>
                    <w:noProof/>
                    <w:webHidden/>
                    <w:sz w:val="24"/>
                    <w:szCs w:val="24"/>
                  </w:rPr>
                  <w:tab/>
                </w:r>
                <w:r w:rsidR="0019112E" w:rsidRPr="0019112E">
                  <w:rPr>
                    <w:rFonts w:ascii="Arial" w:hAnsi="Arial" w:cs="Arial"/>
                    <w:noProof/>
                    <w:webHidden/>
                    <w:sz w:val="24"/>
                    <w:szCs w:val="24"/>
                  </w:rPr>
                  <w:fldChar w:fldCharType="begin"/>
                </w:r>
                <w:r w:rsidR="0019112E" w:rsidRPr="0019112E">
                  <w:rPr>
                    <w:rFonts w:ascii="Arial" w:hAnsi="Arial" w:cs="Arial"/>
                    <w:noProof/>
                    <w:webHidden/>
                    <w:sz w:val="24"/>
                    <w:szCs w:val="24"/>
                  </w:rPr>
                  <w:instrText xml:space="preserve"> PAGEREF _Toc204002545 \h </w:instrText>
                </w:r>
                <w:r w:rsidR="0019112E" w:rsidRPr="0019112E">
                  <w:rPr>
                    <w:rFonts w:ascii="Arial" w:hAnsi="Arial" w:cs="Arial"/>
                    <w:noProof/>
                    <w:webHidden/>
                    <w:sz w:val="24"/>
                    <w:szCs w:val="24"/>
                  </w:rPr>
                </w:r>
                <w:r w:rsidR="0019112E" w:rsidRPr="0019112E">
                  <w:rPr>
                    <w:rFonts w:ascii="Arial" w:hAnsi="Arial" w:cs="Arial"/>
                    <w:noProof/>
                    <w:webHidden/>
                    <w:sz w:val="24"/>
                    <w:szCs w:val="24"/>
                  </w:rPr>
                  <w:fldChar w:fldCharType="separate"/>
                </w:r>
                <w:r w:rsidR="0019112E" w:rsidRPr="0019112E">
                  <w:rPr>
                    <w:rFonts w:ascii="Arial" w:hAnsi="Arial" w:cs="Arial"/>
                    <w:noProof/>
                    <w:webHidden/>
                    <w:sz w:val="24"/>
                    <w:szCs w:val="24"/>
                  </w:rPr>
                  <w:t>22</w:t>
                </w:r>
                <w:r w:rsidR="0019112E" w:rsidRPr="0019112E">
                  <w:rPr>
                    <w:rFonts w:ascii="Arial" w:hAnsi="Arial" w:cs="Arial"/>
                    <w:noProof/>
                    <w:webHidden/>
                    <w:sz w:val="24"/>
                    <w:szCs w:val="24"/>
                  </w:rPr>
                  <w:fldChar w:fldCharType="end"/>
                </w:r>
              </w:hyperlink>
            </w:p>
            <w:p w14:paraId="627F77F1" w14:textId="7A5D58F9" w:rsidR="0019112E" w:rsidRPr="0019112E" w:rsidRDefault="00AA269E" w:rsidP="0019112E">
              <w:pPr>
                <w:pStyle w:val="TOC1"/>
                <w:tabs>
                  <w:tab w:val="right" w:leader="dot" w:pos="9060"/>
                </w:tabs>
                <w:spacing w:line="360" w:lineRule="auto"/>
                <w:rPr>
                  <w:rFonts w:ascii="Arial" w:eastAsiaTheme="minorEastAsia" w:hAnsi="Arial" w:cs="Arial"/>
                  <w:noProof/>
                  <w:sz w:val="24"/>
                  <w:szCs w:val="24"/>
                  <w:lang w:val="en-US" w:bidi="si-LK"/>
                </w:rPr>
              </w:pPr>
              <w:hyperlink w:anchor="_Toc204002546" w:history="1">
                <w:r w:rsidR="0019112E" w:rsidRPr="0019112E">
                  <w:rPr>
                    <w:rStyle w:val="Hyperlink"/>
                    <w:rFonts w:ascii="Arial" w:hAnsi="Arial" w:cs="Arial"/>
                    <w:b/>
                    <w:bCs/>
                    <w:noProof/>
                    <w:sz w:val="24"/>
                    <w:szCs w:val="24"/>
                  </w:rPr>
                  <w:t>Appendix</w:t>
                </w:r>
                <w:r w:rsidR="0019112E" w:rsidRPr="0019112E">
                  <w:rPr>
                    <w:rFonts w:ascii="Arial" w:hAnsi="Arial" w:cs="Arial"/>
                    <w:noProof/>
                    <w:webHidden/>
                    <w:sz w:val="24"/>
                    <w:szCs w:val="24"/>
                  </w:rPr>
                  <w:tab/>
                </w:r>
                <w:r w:rsidR="0019112E" w:rsidRPr="0019112E">
                  <w:rPr>
                    <w:rFonts w:ascii="Arial" w:hAnsi="Arial" w:cs="Arial"/>
                    <w:noProof/>
                    <w:webHidden/>
                    <w:sz w:val="24"/>
                    <w:szCs w:val="24"/>
                  </w:rPr>
                  <w:fldChar w:fldCharType="begin"/>
                </w:r>
                <w:r w:rsidR="0019112E" w:rsidRPr="0019112E">
                  <w:rPr>
                    <w:rFonts w:ascii="Arial" w:hAnsi="Arial" w:cs="Arial"/>
                    <w:noProof/>
                    <w:webHidden/>
                    <w:sz w:val="24"/>
                    <w:szCs w:val="24"/>
                  </w:rPr>
                  <w:instrText xml:space="preserve"> PAGEREF _Toc204002546 \h </w:instrText>
                </w:r>
                <w:r w:rsidR="0019112E" w:rsidRPr="0019112E">
                  <w:rPr>
                    <w:rFonts w:ascii="Arial" w:hAnsi="Arial" w:cs="Arial"/>
                    <w:noProof/>
                    <w:webHidden/>
                    <w:sz w:val="24"/>
                    <w:szCs w:val="24"/>
                  </w:rPr>
                </w:r>
                <w:r w:rsidR="0019112E" w:rsidRPr="0019112E">
                  <w:rPr>
                    <w:rFonts w:ascii="Arial" w:hAnsi="Arial" w:cs="Arial"/>
                    <w:noProof/>
                    <w:webHidden/>
                    <w:sz w:val="24"/>
                    <w:szCs w:val="24"/>
                  </w:rPr>
                  <w:fldChar w:fldCharType="separate"/>
                </w:r>
                <w:r w:rsidR="0019112E" w:rsidRPr="0019112E">
                  <w:rPr>
                    <w:rFonts w:ascii="Arial" w:hAnsi="Arial" w:cs="Arial"/>
                    <w:noProof/>
                    <w:webHidden/>
                    <w:sz w:val="24"/>
                    <w:szCs w:val="24"/>
                  </w:rPr>
                  <w:t>25</w:t>
                </w:r>
                <w:r w:rsidR="0019112E" w:rsidRPr="0019112E">
                  <w:rPr>
                    <w:rFonts w:ascii="Arial" w:hAnsi="Arial" w:cs="Arial"/>
                    <w:noProof/>
                    <w:webHidden/>
                    <w:sz w:val="24"/>
                    <w:szCs w:val="24"/>
                  </w:rPr>
                  <w:fldChar w:fldCharType="end"/>
                </w:r>
              </w:hyperlink>
            </w:p>
            <w:p w14:paraId="7A1ED396" w14:textId="6A2B485B" w:rsidR="0019112E" w:rsidRDefault="0019112E" w:rsidP="0019112E">
              <w:pPr>
                <w:spacing w:line="360" w:lineRule="auto"/>
              </w:pPr>
              <w:r w:rsidRPr="0019112E">
                <w:rPr>
                  <w:rFonts w:ascii="Arial" w:hAnsi="Arial" w:cs="Arial"/>
                  <w:b/>
                  <w:bCs/>
                  <w:noProof/>
                  <w:sz w:val="24"/>
                  <w:szCs w:val="24"/>
                </w:rPr>
                <w:fldChar w:fldCharType="end"/>
              </w:r>
            </w:p>
          </w:sdtContent>
        </w:sdt>
        <w:p w14:paraId="4DBA3867" w14:textId="23F6DEA5" w:rsidR="00516E4B" w:rsidRDefault="00516E4B" w:rsidP="000E325C">
          <w:pPr>
            <w:spacing w:line="360" w:lineRule="auto"/>
            <w:jc w:val="both"/>
            <w:rPr>
              <w:rFonts w:ascii="Arial" w:hAnsi="Arial" w:cs="Arial"/>
              <w:sz w:val="24"/>
              <w:szCs w:val="24"/>
            </w:rPr>
          </w:pPr>
        </w:p>
        <w:p w14:paraId="5A977727" w14:textId="77777777" w:rsidR="00C43B90" w:rsidRDefault="00C43B90">
          <w:pPr>
            <w:rPr>
              <w:rFonts w:ascii="Arial" w:hAnsi="Arial" w:cs="Arial"/>
              <w:b/>
              <w:bCs/>
            </w:rPr>
          </w:pPr>
          <w:bookmarkStart w:id="3" w:name="_Toc203510820"/>
          <w:bookmarkStart w:id="4" w:name="_Toc203860073"/>
          <w:r>
            <w:rPr>
              <w:rFonts w:ascii="Arial" w:hAnsi="Arial" w:cs="Arial"/>
              <w:b/>
              <w:bCs/>
            </w:rPr>
            <w:br w:type="page"/>
          </w:r>
        </w:p>
        <w:p w14:paraId="79A35B80" w14:textId="6FE5FDA0" w:rsidR="00E02184" w:rsidRDefault="003700A7" w:rsidP="00E02184">
          <w:pPr>
            <w:pStyle w:val="Heading1"/>
            <w:numPr>
              <w:ilvl w:val="0"/>
              <w:numId w:val="0"/>
            </w:numPr>
            <w:spacing w:line="360" w:lineRule="auto"/>
            <w:ind w:left="360" w:hanging="360"/>
            <w:jc w:val="both"/>
            <w:rPr>
              <w:rFonts w:ascii="Arial" w:hAnsi="Arial" w:cs="Arial"/>
              <w:b/>
              <w:bCs/>
              <w:color w:val="000000" w:themeColor="text1"/>
              <w:sz w:val="28"/>
              <w:szCs w:val="28"/>
            </w:rPr>
          </w:pPr>
          <w:bookmarkStart w:id="5" w:name="_Toc204002538"/>
          <w:r w:rsidRPr="00E02184">
            <w:rPr>
              <w:rFonts w:ascii="Arial" w:hAnsi="Arial" w:cs="Arial"/>
              <w:b/>
              <w:bCs/>
              <w:color w:val="000000" w:themeColor="text1"/>
              <w:sz w:val="28"/>
              <w:szCs w:val="28"/>
            </w:rPr>
            <w:lastRenderedPageBreak/>
            <w:t>Main Findings</w:t>
          </w:r>
          <w:bookmarkEnd w:id="5"/>
        </w:p>
        <w:p w14:paraId="653FDA8F" w14:textId="77777777" w:rsidR="00077772" w:rsidRPr="00077772" w:rsidRDefault="00077772" w:rsidP="00077772"/>
        <w:p w14:paraId="00EF1ADB" w14:textId="628D016B" w:rsidR="00077772" w:rsidRPr="00077772" w:rsidRDefault="006C4A75" w:rsidP="001B782F">
          <w:pPr>
            <w:pStyle w:val="Heading2"/>
            <w:numPr>
              <w:ilvl w:val="0"/>
              <w:numId w:val="0"/>
            </w:numPr>
            <w:spacing w:line="360" w:lineRule="auto"/>
            <w:jc w:val="both"/>
            <w:rPr>
              <w:rFonts w:ascii="Arial" w:hAnsi="Arial" w:cs="Arial"/>
              <w:b/>
              <w:bCs/>
              <w:color w:val="000000" w:themeColor="text1"/>
              <w:sz w:val="28"/>
              <w:szCs w:val="28"/>
              <w:u w:val="single"/>
            </w:rPr>
          </w:pPr>
          <w:bookmarkStart w:id="6" w:name="_Toc204002539"/>
          <w:r>
            <w:rPr>
              <w:rFonts w:ascii="Arial" w:hAnsi="Arial" w:cs="Arial"/>
              <w:b/>
              <w:bCs/>
              <w:color w:val="000000" w:themeColor="text1"/>
              <w:sz w:val="28"/>
              <w:szCs w:val="28"/>
              <w:u w:val="single"/>
            </w:rPr>
            <w:t>PART</w:t>
          </w:r>
          <w:r w:rsidR="00E02184" w:rsidRPr="00E02184">
            <w:rPr>
              <w:rFonts w:ascii="Arial" w:hAnsi="Arial" w:cs="Arial"/>
              <w:b/>
              <w:bCs/>
              <w:color w:val="000000" w:themeColor="text1"/>
              <w:sz w:val="28"/>
              <w:szCs w:val="28"/>
              <w:u w:val="single"/>
            </w:rPr>
            <w:t xml:space="preserve"> 1</w:t>
          </w:r>
          <w:bookmarkEnd w:id="6"/>
        </w:p>
        <w:p w14:paraId="2E0DC9F1" w14:textId="49681902" w:rsidR="005862F1" w:rsidRPr="00E02184" w:rsidRDefault="005862F1" w:rsidP="001B782F">
          <w:pPr>
            <w:pStyle w:val="Heading2"/>
            <w:numPr>
              <w:ilvl w:val="0"/>
              <w:numId w:val="0"/>
            </w:numPr>
            <w:spacing w:line="360" w:lineRule="auto"/>
            <w:jc w:val="both"/>
            <w:rPr>
              <w:rFonts w:ascii="Arial" w:hAnsi="Arial" w:cs="Arial"/>
              <w:b/>
              <w:bCs/>
              <w:color w:val="000000" w:themeColor="text1"/>
              <w:sz w:val="28"/>
              <w:szCs w:val="28"/>
            </w:rPr>
          </w:pPr>
          <w:bookmarkStart w:id="7" w:name="_Toc204002540"/>
          <w:r w:rsidRPr="00E02184">
            <w:rPr>
              <w:rFonts w:ascii="Arial" w:hAnsi="Arial" w:cs="Arial"/>
              <w:b/>
              <w:bCs/>
              <w:color w:val="000000" w:themeColor="text1"/>
              <w:sz w:val="28"/>
              <w:szCs w:val="28"/>
            </w:rPr>
            <w:t>Introduction</w:t>
          </w:r>
          <w:bookmarkEnd w:id="3"/>
          <w:bookmarkEnd w:id="4"/>
          <w:bookmarkEnd w:id="7"/>
          <w:r w:rsidRPr="00E02184">
            <w:rPr>
              <w:rFonts w:ascii="Arial" w:hAnsi="Arial" w:cs="Arial"/>
              <w:b/>
              <w:bCs/>
              <w:color w:val="000000" w:themeColor="text1"/>
              <w:sz w:val="28"/>
              <w:szCs w:val="28"/>
            </w:rPr>
            <w:t xml:space="preserve"> </w:t>
          </w:r>
        </w:p>
        <w:p w14:paraId="6208F379" w14:textId="73E8B3F7" w:rsidR="005862F1" w:rsidRPr="00E02184" w:rsidRDefault="005862F1" w:rsidP="00E02184">
          <w:pPr>
            <w:spacing w:line="360" w:lineRule="auto"/>
            <w:jc w:val="both"/>
            <w:rPr>
              <w:rFonts w:ascii="Arial" w:hAnsi="Arial" w:cs="Arial"/>
              <w:sz w:val="24"/>
              <w:szCs w:val="24"/>
            </w:rPr>
          </w:pPr>
          <w:r w:rsidRPr="00E02184">
            <w:rPr>
              <w:rFonts w:ascii="Arial" w:hAnsi="Arial" w:cs="Arial"/>
              <w:sz w:val="24"/>
              <w:szCs w:val="24"/>
            </w:rPr>
            <w:t>Lloyds Banking Group plc is among the largest providers of banking and financial services in the UK, with its headquarters situated in London. Formed in 2009, it has a deep-rooted history of over 325 years and offers retail banking, commercial, insurance, pension, and wealth management services through Lloyds Bank, Halifax, Bank of Scotland, and Scottish Widows</w:t>
          </w:r>
          <w:sdt>
            <w:sdtPr>
              <w:rPr>
                <w:rFonts w:ascii="Arial" w:hAnsi="Arial" w:cs="Arial"/>
                <w:sz w:val="24"/>
                <w:szCs w:val="24"/>
              </w:rPr>
              <w:id w:val="-1036194973"/>
              <w:citation/>
            </w:sdtPr>
            <w:sdtEndPr/>
            <w:sdtContent>
              <w:r w:rsidR="005F31AF">
                <w:rPr>
                  <w:rFonts w:ascii="Arial" w:hAnsi="Arial" w:cs="Arial"/>
                  <w:sz w:val="24"/>
                  <w:szCs w:val="24"/>
                </w:rPr>
                <w:fldChar w:fldCharType="begin"/>
              </w:r>
              <w:r w:rsidR="005F31AF">
                <w:rPr>
                  <w:rFonts w:ascii="Arial" w:hAnsi="Arial" w:cs="Arial"/>
                  <w:sz w:val="24"/>
                  <w:szCs w:val="24"/>
                  <w:lang w:val="en-US"/>
                </w:rPr>
                <w:instrText xml:space="preserve"> CITATION Llo25 \l 1033 </w:instrText>
              </w:r>
              <w:r w:rsidR="005F31AF">
                <w:rPr>
                  <w:rFonts w:ascii="Arial" w:hAnsi="Arial" w:cs="Arial"/>
                  <w:sz w:val="24"/>
                  <w:szCs w:val="24"/>
                </w:rPr>
                <w:fldChar w:fldCharType="separate"/>
              </w:r>
              <w:r w:rsidR="005F31AF">
                <w:rPr>
                  <w:rFonts w:ascii="Arial" w:hAnsi="Arial" w:cs="Arial"/>
                  <w:noProof/>
                  <w:sz w:val="24"/>
                  <w:szCs w:val="24"/>
                  <w:lang w:val="en-US"/>
                </w:rPr>
                <w:t xml:space="preserve"> </w:t>
              </w:r>
              <w:r w:rsidR="005F31AF" w:rsidRPr="005F31AF">
                <w:rPr>
                  <w:rFonts w:ascii="Arial" w:hAnsi="Arial" w:cs="Arial"/>
                  <w:noProof/>
                  <w:sz w:val="24"/>
                  <w:szCs w:val="24"/>
                  <w:lang w:val="en-US"/>
                </w:rPr>
                <w:t>(Lloyds Banking Group plc, 2025)</w:t>
              </w:r>
              <w:r w:rsidR="005F31AF">
                <w:rPr>
                  <w:rFonts w:ascii="Arial" w:hAnsi="Arial" w:cs="Arial"/>
                  <w:sz w:val="24"/>
                  <w:szCs w:val="24"/>
                </w:rPr>
                <w:fldChar w:fldCharType="end"/>
              </w:r>
            </w:sdtContent>
          </w:sdt>
          <w:r w:rsidR="005F31AF">
            <w:rPr>
              <w:rFonts w:ascii="Arial" w:hAnsi="Arial" w:cs="Arial"/>
              <w:sz w:val="24"/>
              <w:szCs w:val="24"/>
            </w:rPr>
            <w:t>.</w:t>
          </w:r>
          <w:r w:rsidRPr="00E02184">
            <w:rPr>
              <w:rFonts w:ascii="Arial" w:hAnsi="Arial" w:cs="Arial"/>
              <w:sz w:val="24"/>
              <w:szCs w:val="24"/>
            </w:rPr>
            <w:t xml:space="preserve"> The Group proudly serves over 30 million customers.</w:t>
          </w:r>
        </w:p>
        <w:p w14:paraId="0C714965" w14:textId="2581F225" w:rsidR="005862F1" w:rsidRPr="00E02184" w:rsidRDefault="005862F1" w:rsidP="00E02184">
          <w:pPr>
            <w:spacing w:line="360" w:lineRule="auto"/>
            <w:jc w:val="both"/>
            <w:rPr>
              <w:rFonts w:ascii="Arial" w:hAnsi="Arial" w:cs="Arial"/>
              <w:sz w:val="24"/>
              <w:szCs w:val="24"/>
            </w:rPr>
          </w:pPr>
          <w:r w:rsidRPr="00E02184">
            <w:rPr>
              <w:rFonts w:ascii="Arial" w:hAnsi="Arial" w:cs="Arial"/>
              <w:sz w:val="24"/>
              <w:szCs w:val="24"/>
            </w:rPr>
            <w:t>Through detailed ratio analysis, this report seeks to evaluate Lloyds’ financial performance in the two-year period from 2023 to 2024. In alignment with the Group’s strategic focus</w:t>
          </w:r>
          <w:r w:rsidR="00076007" w:rsidRPr="00E02184">
            <w:rPr>
              <w:rFonts w:ascii="Arial" w:hAnsi="Arial" w:cs="Arial"/>
              <w:sz w:val="24"/>
              <w:szCs w:val="24"/>
            </w:rPr>
            <w:t>- “</w:t>
          </w:r>
          <w:r w:rsidRPr="00E02184">
            <w:rPr>
              <w:rFonts w:ascii="Arial" w:hAnsi="Arial" w:cs="Arial"/>
              <w:sz w:val="24"/>
              <w:szCs w:val="24"/>
            </w:rPr>
            <w:t>Helping Britain Prosper”</w:t>
          </w:r>
          <w:r w:rsidR="00A93614" w:rsidRPr="00E02184">
            <w:rPr>
              <w:rFonts w:ascii="Arial" w:hAnsi="Arial" w:cs="Arial"/>
              <w:sz w:val="24"/>
              <w:szCs w:val="24"/>
            </w:rPr>
            <w:t xml:space="preserve">, </w:t>
          </w:r>
          <w:r w:rsidRPr="00E02184">
            <w:rPr>
              <w:rFonts w:ascii="Arial" w:hAnsi="Arial" w:cs="Arial"/>
              <w:sz w:val="24"/>
              <w:szCs w:val="24"/>
            </w:rPr>
            <w:t>the analysis focuses on key financial ratios, including profitability, liquidity, efficiency, gearing, and investor metrics. The analysis captures the context of Lloyds’ initiatives which include digital transformation, cost efficiency drives, capital management, and motor finance remediation provisions.</w:t>
          </w:r>
        </w:p>
        <w:p w14:paraId="71195266" w14:textId="77777777" w:rsidR="005862F1" w:rsidRPr="00E02184" w:rsidRDefault="005862F1" w:rsidP="00E02184">
          <w:pPr>
            <w:spacing w:line="360" w:lineRule="auto"/>
            <w:jc w:val="both"/>
            <w:rPr>
              <w:rFonts w:ascii="Arial" w:hAnsi="Arial" w:cs="Arial"/>
              <w:sz w:val="24"/>
              <w:szCs w:val="24"/>
            </w:rPr>
          </w:pPr>
          <w:r w:rsidRPr="00E02184">
            <w:rPr>
              <w:rFonts w:ascii="Arial" w:hAnsi="Arial" w:cs="Arial"/>
              <w:sz w:val="24"/>
              <w:szCs w:val="24"/>
            </w:rPr>
            <w:t>In evaluating fiscal years 2023 and 2024, this report identifies trends alongside strengths and weaknesses in Lloyds’ financial and operational performance. Further, the report seeks to explain these dynamics in the context of broader economic conditions such as interest rate changes and recessionary pressures, as well as bank-specific considerations like the motor finance provisions and overall cost containment measures.</w:t>
          </w:r>
        </w:p>
        <w:p w14:paraId="737B016C" w14:textId="77777777" w:rsidR="005862F1" w:rsidRPr="00E02184" w:rsidRDefault="005862F1" w:rsidP="00E02184">
          <w:pPr>
            <w:spacing w:line="360" w:lineRule="auto"/>
            <w:jc w:val="both"/>
            <w:rPr>
              <w:rFonts w:ascii="Arial" w:hAnsi="Arial" w:cs="Arial"/>
              <w:sz w:val="24"/>
              <w:szCs w:val="24"/>
            </w:rPr>
          </w:pPr>
          <w:r w:rsidRPr="00E02184">
            <w:rPr>
              <w:rFonts w:ascii="Arial" w:hAnsi="Arial" w:cs="Arial"/>
              <w:sz w:val="24"/>
              <w:szCs w:val="24"/>
            </w:rPr>
            <w:t>Ultimately, the recommendations developed will allow for opinion-lead recommendations to improve Lloyds' financial management. The sustainable return, shareholder position and customer resilience strategy of the Group will be supported with recommendations focused on areas of consideration such as capital optimisation, cost management, revenue diversification and front-running prudential provisions.</w:t>
          </w:r>
        </w:p>
        <w:p w14:paraId="7B5D3A51" w14:textId="77777777" w:rsidR="000660FB" w:rsidRDefault="000660FB">
          <w:pPr>
            <w:rPr>
              <w:rFonts w:ascii="Arial" w:hAnsi="Arial" w:cs="Arial"/>
            </w:rPr>
          </w:pPr>
          <w:r>
            <w:rPr>
              <w:rFonts w:ascii="Arial" w:hAnsi="Arial" w:cs="Arial"/>
            </w:rPr>
            <w:br w:type="page"/>
          </w:r>
        </w:p>
        <w:p w14:paraId="0178D3AB" w14:textId="604CBF8C" w:rsidR="005862F1" w:rsidRPr="000E0487" w:rsidRDefault="005862F1" w:rsidP="00A32D33">
          <w:pPr>
            <w:spacing w:line="360" w:lineRule="auto"/>
            <w:jc w:val="both"/>
            <w:rPr>
              <w:rFonts w:ascii="Arial" w:eastAsiaTheme="majorEastAsia" w:hAnsi="Arial" w:cs="Arial"/>
              <w:color w:val="2E74B5" w:themeColor="accent1" w:themeShade="BF"/>
              <w:sz w:val="24"/>
              <w:szCs w:val="24"/>
            </w:rPr>
          </w:pPr>
          <w:r w:rsidRPr="000E0487">
            <w:rPr>
              <w:rFonts w:ascii="Arial" w:hAnsi="Arial" w:cs="Arial"/>
              <w:b/>
              <w:sz w:val="24"/>
              <w:szCs w:val="24"/>
              <w:u w:val="single"/>
            </w:rPr>
            <w:lastRenderedPageBreak/>
            <w:t>Profitability Ratios</w:t>
          </w:r>
        </w:p>
        <w:p w14:paraId="135CE565" w14:textId="77777777" w:rsidR="005862F1" w:rsidRPr="000E0487" w:rsidRDefault="005862F1" w:rsidP="00A32D33">
          <w:pPr>
            <w:spacing w:line="360" w:lineRule="auto"/>
            <w:jc w:val="both"/>
            <w:rPr>
              <w:rFonts w:ascii="Arial" w:hAnsi="Arial" w:cs="Arial"/>
              <w:b/>
              <w:i/>
              <w:sz w:val="24"/>
              <w:szCs w:val="24"/>
            </w:rPr>
          </w:pPr>
          <w:r w:rsidRPr="000E0487">
            <w:rPr>
              <w:rFonts w:ascii="Arial" w:hAnsi="Arial" w:cs="Arial"/>
              <w:b/>
              <w:i/>
              <w:sz w:val="24"/>
              <w:szCs w:val="24"/>
            </w:rPr>
            <w:t>Net Profit Margin: Net income ÷ Revenue</w:t>
          </w:r>
        </w:p>
        <w:tbl>
          <w:tblPr>
            <w:tblStyle w:val="TableGrid"/>
            <w:tblW w:w="0" w:type="auto"/>
            <w:tblLook w:val="04A0" w:firstRow="1" w:lastRow="0" w:firstColumn="1" w:lastColumn="0" w:noHBand="0" w:noVBand="1"/>
          </w:tblPr>
          <w:tblGrid>
            <w:gridCol w:w="2257"/>
            <w:gridCol w:w="2264"/>
            <w:gridCol w:w="2271"/>
            <w:gridCol w:w="2268"/>
          </w:tblGrid>
          <w:tr w:rsidR="005862F1" w:rsidRPr="000E0487" w14:paraId="27CFA633" w14:textId="77777777" w:rsidTr="00D221F8">
            <w:tc>
              <w:tcPr>
                <w:tcW w:w="2310" w:type="dxa"/>
                <w:vAlign w:val="center"/>
              </w:tcPr>
              <w:p w14:paraId="6DD915DA" w14:textId="77777777" w:rsidR="005862F1" w:rsidRPr="000E0487" w:rsidRDefault="005862F1" w:rsidP="00A32D33">
                <w:pPr>
                  <w:spacing w:line="360" w:lineRule="auto"/>
                  <w:jc w:val="both"/>
                  <w:rPr>
                    <w:rFonts w:ascii="Arial" w:hAnsi="Arial" w:cs="Arial"/>
                    <w:b/>
                    <w:bCs/>
                    <w:sz w:val="24"/>
                    <w:szCs w:val="24"/>
                  </w:rPr>
                </w:pPr>
                <w:r w:rsidRPr="000E0487">
                  <w:rPr>
                    <w:rFonts w:ascii="Arial" w:hAnsi="Arial" w:cs="Arial"/>
                    <w:b/>
                    <w:bCs/>
                    <w:sz w:val="24"/>
                    <w:szCs w:val="24"/>
                  </w:rPr>
                  <w:t>Year</w:t>
                </w:r>
              </w:p>
            </w:tc>
            <w:tc>
              <w:tcPr>
                <w:tcW w:w="2310" w:type="dxa"/>
                <w:vAlign w:val="center"/>
              </w:tcPr>
              <w:p w14:paraId="3C284072" w14:textId="77777777" w:rsidR="005862F1" w:rsidRPr="000E0487" w:rsidRDefault="005862F1" w:rsidP="00A32D33">
                <w:pPr>
                  <w:spacing w:line="360" w:lineRule="auto"/>
                  <w:jc w:val="both"/>
                  <w:rPr>
                    <w:rFonts w:ascii="Arial" w:hAnsi="Arial" w:cs="Arial"/>
                    <w:b/>
                    <w:bCs/>
                    <w:sz w:val="24"/>
                    <w:szCs w:val="24"/>
                  </w:rPr>
                </w:pPr>
                <w:r w:rsidRPr="000E0487">
                  <w:rPr>
                    <w:rFonts w:ascii="Arial" w:hAnsi="Arial" w:cs="Arial"/>
                    <w:b/>
                    <w:bCs/>
                    <w:sz w:val="24"/>
                    <w:szCs w:val="24"/>
                  </w:rPr>
                  <w:t>Net Income (£m)</w:t>
                </w:r>
              </w:p>
            </w:tc>
            <w:tc>
              <w:tcPr>
                <w:tcW w:w="2311" w:type="dxa"/>
                <w:vAlign w:val="center"/>
              </w:tcPr>
              <w:p w14:paraId="6F3D3B64" w14:textId="77777777" w:rsidR="005862F1" w:rsidRPr="000E0487" w:rsidRDefault="005862F1" w:rsidP="00A32D33">
                <w:pPr>
                  <w:spacing w:line="360" w:lineRule="auto"/>
                  <w:jc w:val="both"/>
                  <w:rPr>
                    <w:rFonts w:ascii="Arial" w:hAnsi="Arial" w:cs="Arial"/>
                    <w:b/>
                    <w:bCs/>
                    <w:sz w:val="24"/>
                    <w:szCs w:val="24"/>
                  </w:rPr>
                </w:pPr>
                <w:r w:rsidRPr="000E0487">
                  <w:rPr>
                    <w:rFonts w:ascii="Arial" w:hAnsi="Arial" w:cs="Arial"/>
                    <w:b/>
                    <w:bCs/>
                    <w:sz w:val="24"/>
                    <w:szCs w:val="24"/>
                  </w:rPr>
                  <w:t>Revenue (£m)</w:t>
                </w:r>
              </w:p>
            </w:tc>
            <w:tc>
              <w:tcPr>
                <w:tcW w:w="2311" w:type="dxa"/>
                <w:vAlign w:val="center"/>
              </w:tcPr>
              <w:p w14:paraId="1B1C4D56" w14:textId="77777777" w:rsidR="005862F1" w:rsidRPr="000E0487" w:rsidRDefault="005862F1" w:rsidP="00A32D33">
                <w:pPr>
                  <w:spacing w:line="360" w:lineRule="auto"/>
                  <w:jc w:val="both"/>
                  <w:rPr>
                    <w:rFonts w:ascii="Arial" w:hAnsi="Arial" w:cs="Arial"/>
                    <w:b/>
                    <w:bCs/>
                    <w:sz w:val="24"/>
                    <w:szCs w:val="24"/>
                  </w:rPr>
                </w:pPr>
                <w:r w:rsidRPr="000E0487">
                  <w:rPr>
                    <w:rFonts w:ascii="Arial" w:hAnsi="Arial" w:cs="Arial"/>
                    <w:b/>
                    <w:bCs/>
                    <w:sz w:val="24"/>
                    <w:szCs w:val="24"/>
                  </w:rPr>
                  <w:t>Net Profit Margin</w:t>
                </w:r>
              </w:p>
            </w:tc>
          </w:tr>
          <w:tr w:rsidR="005862F1" w:rsidRPr="000E0487" w14:paraId="3F543627"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0E0487" w14:paraId="61B3538A" w14:textId="77777777" w:rsidTr="00D221F8">
                  <w:trPr>
                    <w:tblCellSpacing w:w="15" w:type="dxa"/>
                  </w:trPr>
                  <w:tc>
                    <w:tcPr>
                      <w:tcW w:w="0" w:type="auto"/>
                      <w:vAlign w:val="center"/>
                      <w:hideMark/>
                    </w:tcPr>
                    <w:p w14:paraId="6427B0B7"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2023</w:t>
                      </w:r>
                    </w:p>
                  </w:tc>
                </w:tr>
              </w:tbl>
              <w:p w14:paraId="3798C706" w14:textId="77777777" w:rsidR="005862F1" w:rsidRPr="000E0487" w:rsidRDefault="005862F1" w:rsidP="00A32D33">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1"/>
                </w:tblGrid>
                <w:tr w:rsidR="005862F1" w:rsidRPr="000E0487" w14:paraId="64F58A47" w14:textId="77777777" w:rsidTr="00D221F8">
                  <w:trPr>
                    <w:tblCellSpacing w:w="15" w:type="dxa"/>
                  </w:trPr>
                  <w:tc>
                    <w:tcPr>
                      <w:tcW w:w="0" w:type="auto"/>
                      <w:vAlign w:val="center"/>
                      <w:hideMark/>
                    </w:tcPr>
                    <w:p w14:paraId="7B180E9D"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4,477</w:t>
                      </w:r>
                    </w:p>
                  </w:tc>
                </w:tr>
              </w:tbl>
              <w:p w14:paraId="3AC6BFB4" w14:textId="77777777" w:rsidR="005862F1" w:rsidRPr="000E0487" w:rsidRDefault="005862F1" w:rsidP="00A32D33">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5"/>
                </w:tblGrid>
                <w:tr w:rsidR="005862F1" w:rsidRPr="000E0487" w14:paraId="41398646" w14:textId="77777777" w:rsidTr="00D221F8">
                  <w:trPr>
                    <w:tblCellSpacing w:w="15" w:type="dxa"/>
                  </w:trPr>
                  <w:tc>
                    <w:tcPr>
                      <w:tcW w:w="0" w:type="auto"/>
                      <w:vAlign w:val="center"/>
                      <w:hideMark/>
                    </w:tcPr>
                    <w:p w14:paraId="75B5242B"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34,281</w:t>
                      </w:r>
                    </w:p>
                  </w:tc>
                </w:tr>
              </w:tbl>
              <w:p w14:paraId="56E1009F" w14:textId="77777777" w:rsidR="005862F1" w:rsidRPr="000E0487" w:rsidRDefault="005862F1" w:rsidP="00A32D33">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4"/>
                </w:tblGrid>
                <w:tr w:rsidR="005862F1" w:rsidRPr="000E0487" w14:paraId="3FD2FBD4" w14:textId="77777777" w:rsidTr="00D221F8">
                  <w:trPr>
                    <w:tblCellSpacing w:w="15" w:type="dxa"/>
                  </w:trPr>
                  <w:tc>
                    <w:tcPr>
                      <w:tcW w:w="0" w:type="auto"/>
                      <w:vAlign w:val="center"/>
                      <w:hideMark/>
                    </w:tcPr>
                    <w:p w14:paraId="10E1C1C2"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13.06%</w:t>
                      </w:r>
                    </w:p>
                  </w:tc>
                </w:tr>
              </w:tbl>
              <w:p w14:paraId="1C13D161" w14:textId="77777777" w:rsidR="005862F1" w:rsidRPr="000E0487" w:rsidRDefault="005862F1" w:rsidP="00A32D33">
                <w:pPr>
                  <w:spacing w:line="360" w:lineRule="auto"/>
                  <w:jc w:val="both"/>
                  <w:rPr>
                    <w:rFonts w:ascii="Arial" w:hAnsi="Arial" w:cs="Arial"/>
                    <w:sz w:val="24"/>
                    <w:szCs w:val="24"/>
                  </w:rPr>
                </w:pPr>
              </w:p>
            </w:tc>
          </w:tr>
          <w:tr w:rsidR="005862F1" w:rsidRPr="000E0487" w14:paraId="6A5342DA"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0E0487" w14:paraId="65E71268" w14:textId="77777777" w:rsidTr="00D221F8">
                  <w:trPr>
                    <w:tblCellSpacing w:w="15" w:type="dxa"/>
                  </w:trPr>
                  <w:tc>
                    <w:tcPr>
                      <w:tcW w:w="0" w:type="auto"/>
                      <w:vAlign w:val="center"/>
                      <w:hideMark/>
                    </w:tcPr>
                    <w:p w14:paraId="1CAE4DB0"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2024</w:t>
                      </w:r>
                    </w:p>
                  </w:tc>
                </w:tr>
              </w:tbl>
              <w:p w14:paraId="6CBA05D5" w14:textId="77777777" w:rsidR="005862F1" w:rsidRPr="000E0487" w:rsidRDefault="005862F1" w:rsidP="00A32D33">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4"/>
                </w:tblGrid>
                <w:tr w:rsidR="005862F1" w:rsidRPr="000E0487" w14:paraId="109A59F8" w14:textId="77777777" w:rsidTr="00D221F8">
                  <w:trPr>
                    <w:tblCellSpacing w:w="15" w:type="dxa"/>
                  </w:trPr>
                  <w:tc>
                    <w:tcPr>
                      <w:tcW w:w="0" w:type="auto"/>
                      <w:vAlign w:val="center"/>
                      <w:hideMark/>
                    </w:tcPr>
                    <w:p w14:paraId="377EA55B"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4,477*</w:t>
                      </w:r>
                    </w:p>
                  </w:tc>
                </w:tr>
              </w:tbl>
              <w:p w14:paraId="0C7A44A1" w14:textId="77777777" w:rsidR="005862F1" w:rsidRPr="000E0487" w:rsidRDefault="005862F1" w:rsidP="00A32D33">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8"/>
                </w:tblGrid>
                <w:tr w:rsidR="005862F1" w:rsidRPr="000E0487" w14:paraId="3E53BB28" w14:textId="77777777" w:rsidTr="00D221F8">
                  <w:trPr>
                    <w:tblCellSpacing w:w="15" w:type="dxa"/>
                  </w:trPr>
                  <w:tc>
                    <w:tcPr>
                      <w:tcW w:w="0" w:type="auto"/>
                      <w:vAlign w:val="center"/>
                      <w:hideMark/>
                    </w:tcPr>
                    <w:p w14:paraId="49A79D8B"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34,281*</w:t>
                      </w:r>
                    </w:p>
                  </w:tc>
                </w:tr>
              </w:tbl>
              <w:p w14:paraId="2D3FC952" w14:textId="77777777" w:rsidR="005862F1" w:rsidRPr="000E0487" w:rsidRDefault="005862F1" w:rsidP="00A32D33">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4"/>
                </w:tblGrid>
                <w:tr w:rsidR="005862F1" w:rsidRPr="000E0487" w14:paraId="4120FA9F" w14:textId="77777777" w:rsidTr="00D221F8">
                  <w:trPr>
                    <w:tblCellSpacing w:w="15" w:type="dxa"/>
                  </w:trPr>
                  <w:tc>
                    <w:tcPr>
                      <w:tcW w:w="0" w:type="auto"/>
                      <w:vAlign w:val="center"/>
                      <w:hideMark/>
                    </w:tcPr>
                    <w:p w14:paraId="031B15D3"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13.06%</w:t>
                      </w:r>
                    </w:p>
                  </w:tc>
                </w:tr>
              </w:tbl>
              <w:p w14:paraId="293B7DBB" w14:textId="77777777" w:rsidR="005862F1" w:rsidRPr="000E0487" w:rsidRDefault="005862F1" w:rsidP="00A32D33">
                <w:pPr>
                  <w:spacing w:line="360" w:lineRule="auto"/>
                  <w:jc w:val="both"/>
                  <w:rPr>
                    <w:rFonts w:ascii="Arial" w:hAnsi="Arial" w:cs="Arial"/>
                    <w:sz w:val="24"/>
                    <w:szCs w:val="24"/>
                  </w:rPr>
                </w:pPr>
              </w:p>
            </w:tc>
          </w:tr>
        </w:tbl>
        <w:p w14:paraId="17388FD2" w14:textId="77777777" w:rsidR="005862F1" w:rsidRPr="000E0487" w:rsidRDefault="005862F1" w:rsidP="00A32D33">
          <w:pPr>
            <w:spacing w:line="360" w:lineRule="auto"/>
            <w:jc w:val="both"/>
            <w:rPr>
              <w:rFonts w:ascii="Arial" w:hAnsi="Arial" w:cs="Arial"/>
              <w:sz w:val="24"/>
              <w:szCs w:val="24"/>
            </w:rPr>
          </w:pPr>
        </w:p>
        <w:p w14:paraId="6FF230F8"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 xml:space="preserve">The Net Profit Margin is the percentage of revenue generated from which net income is calculated, giving an overview of total profitability after all expenses, taxes and provisions. For Lloyds Banking Group the margin levelled off at 13.06% in 2023 and 2024 even with some economic uncertainty and provisions for remediation to customers. The stability of the margin indicates successful cost constraints, as well as being strong enough to withstand external pressures in a low-interest environment, regulatory constraints and varied consumer sentiment. However, being a bank, whose primary income source is interest-based means that Lloyds will still be vulnerable to macroeconomic pressures. </w:t>
          </w:r>
        </w:p>
        <w:p w14:paraId="394D9773" w14:textId="77777777" w:rsidR="005862F1" w:rsidRPr="000E0487" w:rsidRDefault="005862F1" w:rsidP="00A32D33">
          <w:pPr>
            <w:spacing w:line="360" w:lineRule="auto"/>
            <w:jc w:val="both"/>
            <w:rPr>
              <w:rFonts w:ascii="Arial" w:hAnsi="Arial" w:cs="Arial"/>
              <w:b/>
              <w:i/>
              <w:sz w:val="24"/>
              <w:szCs w:val="24"/>
            </w:rPr>
          </w:pPr>
          <w:r w:rsidRPr="000E0487">
            <w:rPr>
              <w:rFonts w:ascii="Arial" w:hAnsi="Arial" w:cs="Arial"/>
              <w:b/>
              <w:i/>
              <w:sz w:val="24"/>
              <w:szCs w:val="24"/>
            </w:rPr>
            <w:t>ROCE (Return on Capital Employed): PBT ÷ (Total assets – current liabilities)</w:t>
          </w:r>
        </w:p>
        <w:tbl>
          <w:tblPr>
            <w:tblStyle w:val="TableGrid"/>
            <w:tblW w:w="0" w:type="auto"/>
            <w:tblLook w:val="04A0" w:firstRow="1" w:lastRow="0" w:firstColumn="1" w:lastColumn="0" w:noHBand="0" w:noVBand="1"/>
          </w:tblPr>
          <w:tblGrid>
            <w:gridCol w:w="2257"/>
            <w:gridCol w:w="2262"/>
            <w:gridCol w:w="2278"/>
            <w:gridCol w:w="2263"/>
          </w:tblGrid>
          <w:tr w:rsidR="005862F1" w:rsidRPr="000E0487" w14:paraId="1FABAB28" w14:textId="77777777" w:rsidTr="00D221F8">
            <w:tc>
              <w:tcPr>
                <w:tcW w:w="2310" w:type="dxa"/>
                <w:vAlign w:val="center"/>
              </w:tcPr>
              <w:p w14:paraId="70B7EC45" w14:textId="77777777" w:rsidR="005862F1" w:rsidRPr="000E0487" w:rsidRDefault="005862F1" w:rsidP="00A32D33">
                <w:pPr>
                  <w:spacing w:line="360" w:lineRule="auto"/>
                  <w:jc w:val="both"/>
                  <w:rPr>
                    <w:rFonts w:ascii="Arial" w:hAnsi="Arial" w:cs="Arial"/>
                    <w:b/>
                    <w:bCs/>
                    <w:sz w:val="24"/>
                    <w:szCs w:val="24"/>
                  </w:rPr>
                </w:pPr>
                <w:r w:rsidRPr="000E0487">
                  <w:rPr>
                    <w:rFonts w:ascii="Arial" w:hAnsi="Arial" w:cs="Arial"/>
                    <w:b/>
                    <w:bCs/>
                    <w:sz w:val="24"/>
                    <w:szCs w:val="24"/>
                  </w:rPr>
                  <w:t>Year</w:t>
                </w: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4"/>
                </w:tblGrid>
                <w:tr w:rsidR="005862F1" w:rsidRPr="000E0487" w14:paraId="42D32145" w14:textId="77777777" w:rsidTr="00D221F8">
                  <w:trPr>
                    <w:tblCellSpacing w:w="15" w:type="dxa"/>
                  </w:trPr>
                  <w:tc>
                    <w:tcPr>
                      <w:tcW w:w="0" w:type="auto"/>
                      <w:vAlign w:val="center"/>
                      <w:hideMark/>
                    </w:tcPr>
                    <w:p w14:paraId="5AEFF692" w14:textId="77777777" w:rsidR="005862F1" w:rsidRPr="000E0487" w:rsidRDefault="005862F1" w:rsidP="00A32D33">
                      <w:pPr>
                        <w:spacing w:line="360" w:lineRule="auto"/>
                        <w:jc w:val="both"/>
                        <w:rPr>
                          <w:rFonts w:ascii="Arial" w:hAnsi="Arial" w:cs="Arial"/>
                          <w:b/>
                          <w:bCs/>
                          <w:sz w:val="24"/>
                          <w:szCs w:val="24"/>
                        </w:rPr>
                      </w:pPr>
                      <w:r w:rsidRPr="000E0487">
                        <w:rPr>
                          <w:rFonts w:ascii="Arial" w:hAnsi="Arial" w:cs="Arial"/>
                          <w:b/>
                          <w:bCs/>
                          <w:sz w:val="24"/>
                          <w:szCs w:val="24"/>
                        </w:rPr>
                        <w:t>PBT (£m)</w:t>
                      </w:r>
                    </w:p>
                  </w:tc>
                </w:tr>
              </w:tbl>
              <w:p w14:paraId="38B032ED" w14:textId="77777777" w:rsidR="005862F1" w:rsidRPr="000E0487" w:rsidRDefault="005862F1" w:rsidP="00A32D33">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2"/>
                </w:tblGrid>
                <w:tr w:rsidR="005862F1" w:rsidRPr="000E0487" w14:paraId="0E9296B5" w14:textId="77777777" w:rsidTr="00D221F8">
                  <w:trPr>
                    <w:tblCellSpacing w:w="15" w:type="dxa"/>
                  </w:trPr>
                  <w:tc>
                    <w:tcPr>
                      <w:tcW w:w="0" w:type="auto"/>
                      <w:vAlign w:val="center"/>
                      <w:hideMark/>
                    </w:tcPr>
                    <w:p w14:paraId="5A9E8649" w14:textId="77777777" w:rsidR="005862F1" w:rsidRPr="000E0487" w:rsidRDefault="005862F1" w:rsidP="00A32D33">
                      <w:pPr>
                        <w:spacing w:line="360" w:lineRule="auto"/>
                        <w:jc w:val="both"/>
                        <w:rPr>
                          <w:rFonts w:ascii="Arial" w:hAnsi="Arial" w:cs="Arial"/>
                          <w:b/>
                          <w:bCs/>
                          <w:sz w:val="24"/>
                          <w:szCs w:val="24"/>
                        </w:rPr>
                      </w:pPr>
                      <w:r w:rsidRPr="000E0487">
                        <w:rPr>
                          <w:rFonts w:ascii="Arial" w:hAnsi="Arial" w:cs="Arial"/>
                          <w:b/>
                          <w:bCs/>
                          <w:sz w:val="24"/>
                          <w:szCs w:val="24"/>
                        </w:rPr>
                        <w:t>Assets – Current Liabilities (£m)</w:t>
                      </w:r>
                    </w:p>
                  </w:tc>
                </w:tr>
              </w:tbl>
              <w:p w14:paraId="28AC5EB8" w14:textId="77777777" w:rsidR="005862F1" w:rsidRPr="000E0487" w:rsidRDefault="005862F1" w:rsidP="00A32D33">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4"/>
                </w:tblGrid>
                <w:tr w:rsidR="005862F1" w:rsidRPr="000E0487" w14:paraId="48A05784" w14:textId="77777777" w:rsidTr="00D221F8">
                  <w:trPr>
                    <w:tblCellSpacing w:w="15" w:type="dxa"/>
                  </w:trPr>
                  <w:tc>
                    <w:tcPr>
                      <w:tcW w:w="0" w:type="auto"/>
                      <w:vAlign w:val="center"/>
                      <w:hideMark/>
                    </w:tcPr>
                    <w:p w14:paraId="77BA7ED3" w14:textId="77777777" w:rsidR="005862F1" w:rsidRPr="000E0487" w:rsidRDefault="005862F1" w:rsidP="00A32D33">
                      <w:pPr>
                        <w:spacing w:line="360" w:lineRule="auto"/>
                        <w:jc w:val="both"/>
                        <w:rPr>
                          <w:rFonts w:ascii="Arial" w:hAnsi="Arial" w:cs="Arial"/>
                          <w:b/>
                          <w:bCs/>
                          <w:sz w:val="24"/>
                          <w:szCs w:val="24"/>
                        </w:rPr>
                      </w:pPr>
                      <w:r w:rsidRPr="000E0487">
                        <w:rPr>
                          <w:rFonts w:ascii="Arial" w:hAnsi="Arial" w:cs="Arial"/>
                          <w:b/>
                          <w:bCs/>
                          <w:sz w:val="24"/>
                          <w:szCs w:val="24"/>
                        </w:rPr>
                        <w:t>ROCE</w:t>
                      </w:r>
                    </w:p>
                  </w:tc>
                </w:tr>
              </w:tbl>
              <w:p w14:paraId="4A4A4E53" w14:textId="77777777" w:rsidR="005862F1" w:rsidRPr="000E0487" w:rsidRDefault="005862F1" w:rsidP="00A32D33">
                <w:pPr>
                  <w:spacing w:line="360" w:lineRule="auto"/>
                  <w:jc w:val="both"/>
                  <w:rPr>
                    <w:rFonts w:ascii="Arial" w:hAnsi="Arial" w:cs="Arial"/>
                    <w:sz w:val="24"/>
                    <w:szCs w:val="24"/>
                  </w:rPr>
                </w:pPr>
              </w:p>
            </w:tc>
          </w:tr>
          <w:tr w:rsidR="005862F1" w:rsidRPr="000E0487" w14:paraId="6708AC68"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0E0487" w14:paraId="6C315303" w14:textId="77777777" w:rsidTr="00D221F8">
                  <w:trPr>
                    <w:tblCellSpacing w:w="15" w:type="dxa"/>
                  </w:trPr>
                  <w:tc>
                    <w:tcPr>
                      <w:tcW w:w="0" w:type="auto"/>
                      <w:vAlign w:val="center"/>
                      <w:hideMark/>
                    </w:tcPr>
                    <w:p w14:paraId="17D1F1AE" w14:textId="77777777" w:rsidR="005862F1" w:rsidRPr="000E0487" w:rsidRDefault="005862F1" w:rsidP="008C08D8">
                      <w:pPr>
                        <w:spacing w:line="360" w:lineRule="auto"/>
                        <w:rPr>
                          <w:rFonts w:ascii="Arial" w:hAnsi="Arial" w:cs="Arial"/>
                          <w:sz w:val="24"/>
                          <w:szCs w:val="24"/>
                        </w:rPr>
                      </w:pPr>
                      <w:r w:rsidRPr="000E0487">
                        <w:rPr>
                          <w:rFonts w:ascii="Arial" w:hAnsi="Arial" w:cs="Arial"/>
                          <w:sz w:val="24"/>
                          <w:szCs w:val="24"/>
                        </w:rPr>
                        <w:t>2023</w:t>
                      </w:r>
                    </w:p>
                  </w:tc>
                </w:tr>
              </w:tbl>
              <w:p w14:paraId="3B4A79C6" w14:textId="77777777" w:rsidR="005862F1" w:rsidRPr="000E0487" w:rsidRDefault="005862F1" w:rsidP="008C08D8">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4"/>
                </w:tblGrid>
                <w:tr w:rsidR="005862F1" w:rsidRPr="000E0487" w14:paraId="18E96C16" w14:textId="77777777" w:rsidTr="00D221F8">
                  <w:trPr>
                    <w:tblCellSpacing w:w="15" w:type="dxa"/>
                  </w:trPr>
                  <w:tc>
                    <w:tcPr>
                      <w:tcW w:w="0" w:type="auto"/>
                      <w:vAlign w:val="center"/>
                      <w:hideMark/>
                    </w:tcPr>
                    <w:p w14:paraId="332E791F" w14:textId="77777777" w:rsidR="005862F1" w:rsidRPr="000E0487" w:rsidRDefault="005862F1" w:rsidP="008C08D8">
                      <w:pPr>
                        <w:spacing w:line="360" w:lineRule="auto"/>
                        <w:rPr>
                          <w:rFonts w:ascii="Arial" w:hAnsi="Arial" w:cs="Arial"/>
                          <w:sz w:val="24"/>
                          <w:szCs w:val="24"/>
                        </w:rPr>
                      </w:pPr>
                      <w:r w:rsidRPr="000E0487">
                        <w:rPr>
                          <w:rFonts w:ascii="Arial" w:hAnsi="Arial" w:cs="Arial"/>
                          <w:sz w:val="24"/>
                          <w:szCs w:val="24"/>
                        </w:rPr>
                        <w:t>7,500*</w:t>
                      </w:r>
                    </w:p>
                  </w:tc>
                </w:tr>
              </w:tbl>
              <w:p w14:paraId="4DE448F4" w14:textId="77777777" w:rsidR="005862F1" w:rsidRPr="000E0487" w:rsidRDefault="005862F1" w:rsidP="008C08D8">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2"/>
                </w:tblGrid>
                <w:tr w:rsidR="005862F1" w:rsidRPr="000E0487" w14:paraId="3DF94A6A" w14:textId="77777777" w:rsidTr="00D221F8">
                  <w:trPr>
                    <w:tblCellSpacing w:w="15" w:type="dxa"/>
                  </w:trPr>
                  <w:tc>
                    <w:tcPr>
                      <w:tcW w:w="0" w:type="auto"/>
                      <w:vAlign w:val="center"/>
                      <w:hideMark/>
                    </w:tcPr>
                    <w:p w14:paraId="49CFA4FD" w14:textId="77777777" w:rsidR="005862F1" w:rsidRPr="000E0487" w:rsidRDefault="005862F1" w:rsidP="008C08D8">
                      <w:pPr>
                        <w:spacing w:line="360" w:lineRule="auto"/>
                        <w:rPr>
                          <w:rFonts w:ascii="Arial" w:hAnsi="Arial" w:cs="Arial"/>
                          <w:sz w:val="24"/>
                          <w:szCs w:val="24"/>
                        </w:rPr>
                      </w:pPr>
                      <w:r w:rsidRPr="000E0487">
                        <w:rPr>
                          <w:rStyle w:val="relative"/>
                          <w:rFonts w:ascii="Arial" w:hAnsi="Arial" w:cs="Arial"/>
                          <w:sz w:val="24"/>
                          <w:szCs w:val="24"/>
                        </w:rPr>
                        <w:t>(906,697 – 482,700) ≈ 423,997</w:t>
                      </w:r>
                    </w:p>
                  </w:tc>
                </w:tr>
              </w:tbl>
              <w:p w14:paraId="1FA88972" w14:textId="77777777" w:rsidR="005862F1" w:rsidRPr="000E0487" w:rsidRDefault="005862F1" w:rsidP="008C08D8">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1"/>
                </w:tblGrid>
                <w:tr w:rsidR="005862F1" w:rsidRPr="000E0487" w14:paraId="60CA2E42" w14:textId="77777777" w:rsidTr="00D221F8">
                  <w:trPr>
                    <w:tblCellSpacing w:w="15" w:type="dxa"/>
                  </w:trPr>
                  <w:tc>
                    <w:tcPr>
                      <w:tcW w:w="0" w:type="auto"/>
                      <w:vAlign w:val="center"/>
                      <w:hideMark/>
                    </w:tcPr>
                    <w:p w14:paraId="1FAD9217"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1.77%</w:t>
                      </w:r>
                    </w:p>
                  </w:tc>
                </w:tr>
              </w:tbl>
              <w:p w14:paraId="475D72C4" w14:textId="77777777" w:rsidR="005862F1" w:rsidRPr="000E0487" w:rsidRDefault="005862F1" w:rsidP="00A32D33">
                <w:pPr>
                  <w:spacing w:line="360" w:lineRule="auto"/>
                  <w:jc w:val="both"/>
                  <w:rPr>
                    <w:rFonts w:ascii="Arial" w:hAnsi="Arial" w:cs="Arial"/>
                    <w:sz w:val="24"/>
                    <w:szCs w:val="24"/>
                  </w:rPr>
                </w:pPr>
              </w:p>
            </w:tc>
          </w:tr>
          <w:tr w:rsidR="005862F1" w:rsidRPr="000E0487" w14:paraId="1DBB6530"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0E0487" w14:paraId="509263D8" w14:textId="77777777" w:rsidTr="00D221F8">
                  <w:trPr>
                    <w:tblCellSpacing w:w="15" w:type="dxa"/>
                  </w:trPr>
                  <w:tc>
                    <w:tcPr>
                      <w:tcW w:w="0" w:type="auto"/>
                      <w:vAlign w:val="center"/>
                      <w:hideMark/>
                    </w:tcPr>
                    <w:p w14:paraId="52CAFE80" w14:textId="77777777" w:rsidR="005862F1" w:rsidRPr="000E0487" w:rsidRDefault="005862F1" w:rsidP="008C08D8">
                      <w:pPr>
                        <w:spacing w:line="360" w:lineRule="auto"/>
                        <w:rPr>
                          <w:rFonts w:ascii="Arial" w:hAnsi="Arial" w:cs="Arial"/>
                          <w:sz w:val="24"/>
                          <w:szCs w:val="24"/>
                        </w:rPr>
                      </w:pPr>
                      <w:r w:rsidRPr="000E0487">
                        <w:rPr>
                          <w:rFonts w:ascii="Arial" w:hAnsi="Arial" w:cs="Arial"/>
                          <w:sz w:val="24"/>
                          <w:szCs w:val="24"/>
                        </w:rPr>
                        <w:t>2024</w:t>
                      </w:r>
                    </w:p>
                  </w:tc>
                </w:tr>
              </w:tbl>
              <w:p w14:paraId="1B0D2C2A" w14:textId="77777777" w:rsidR="005862F1" w:rsidRPr="000E0487" w:rsidRDefault="005862F1" w:rsidP="008C08D8">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1"/>
                </w:tblGrid>
                <w:tr w:rsidR="005862F1" w:rsidRPr="000E0487" w14:paraId="0E7FA57F" w14:textId="77777777" w:rsidTr="00D221F8">
                  <w:trPr>
                    <w:tblCellSpacing w:w="15" w:type="dxa"/>
                  </w:trPr>
                  <w:tc>
                    <w:tcPr>
                      <w:tcW w:w="0" w:type="auto"/>
                      <w:vAlign w:val="center"/>
                      <w:hideMark/>
                    </w:tcPr>
                    <w:p w14:paraId="636400CD" w14:textId="77777777" w:rsidR="005862F1" w:rsidRPr="000E0487" w:rsidRDefault="005862F1" w:rsidP="008C08D8">
                      <w:pPr>
                        <w:spacing w:line="360" w:lineRule="auto"/>
                        <w:rPr>
                          <w:rFonts w:ascii="Arial" w:hAnsi="Arial" w:cs="Arial"/>
                          <w:sz w:val="24"/>
                          <w:szCs w:val="24"/>
                        </w:rPr>
                      </w:pPr>
                      <w:r w:rsidRPr="000E0487">
                        <w:rPr>
                          <w:rFonts w:ascii="Arial" w:hAnsi="Arial" w:cs="Arial"/>
                          <w:sz w:val="24"/>
                          <w:szCs w:val="24"/>
                        </w:rPr>
                        <w:t>5,971</w:t>
                      </w:r>
                    </w:p>
                  </w:tc>
                </w:tr>
              </w:tbl>
              <w:p w14:paraId="51FCB7A0" w14:textId="77777777" w:rsidR="005862F1" w:rsidRPr="000E0487" w:rsidRDefault="005862F1" w:rsidP="008C08D8">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2"/>
                </w:tblGrid>
                <w:tr w:rsidR="005862F1" w:rsidRPr="000E0487" w14:paraId="6D39CB12" w14:textId="77777777" w:rsidTr="00D221F8">
                  <w:trPr>
                    <w:tblCellSpacing w:w="15" w:type="dxa"/>
                  </w:trPr>
                  <w:tc>
                    <w:tcPr>
                      <w:tcW w:w="0" w:type="auto"/>
                      <w:vAlign w:val="center"/>
                      <w:hideMark/>
                    </w:tcPr>
                    <w:p w14:paraId="671D61B2" w14:textId="77777777" w:rsidR="005862F1" w:rsidRPr="000E0487" w:rsidRDefault="005862F1" w:rsidP="008C08D8">
                      <w:pPr>
                        <w:spacing w:line="360" w:lineRule="auto"/>
                        <w:rPr>
                          <w:rFonts w:ascii="Arial" w:hAnsi="Arial" w:cs="Arial"/>
                          <w:sz w:val="24"/>
                          <w:szCs w:val="24"/>
                        </w:rPr>
                      </w:pPr>
                      <w:r w:rsidRPr="000E0487">
                        <w:rPr>
                          <w:rStyle w:val="relative"/>
                          <w:rFonts w:ascii="Arial" w:hAnsi="Arial" w:cs="Arial"/>
                          <w:sz w:val="24"/>
                          <w:szCs w:val="24"/>
                        </w:rPr>
                        <w:t>(906,697 – 482,700)</w:t>
                      </w:r>
                    </w:p>
                  </w:tc>
                </w:tr>
              </w:tbl>
              <w:p w14:paraId="5D305079" w14:textId="77777777" w:rsidR="005862F1" w:rsidRPr="000E0487" w:rsidRDefault="005862F1" w:rsidP="008C08D8">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1"/>
                </w:tblGrid>
                <w:tr w:rsidR="005862F1" w:rsidRPr="000E0487" w14:paraId="157C5979" w14:textId="77777777" w:rsidTr="00D221F8">
                  <w:trPr>
                    <w:tblCellSpacing w:w="15" w:type="dxa"/>
                  </w:trPr>
                  <w:tc>
                    <w:tcPr>
                      <w:tcW w:w="0" w:type="auto"/>
                      <w:vAlign w:val="center"/>
                      <w:hideMark/>
                    </w:tcPr>
                    <w:p w14:paraId="218C1131"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1.41%</w:t>
                      </w:r>
                    </w:p>
                  </w:tc>
                </w:tr>
              </w:tbl>
              <w:p w14:paraId="5E81342C" w14:textId="77777777" w:rsidR="005862F1" w:rsidRPr="000E0487" w:rsidRDefault="005862F1" w:rsidP="00A32D33">
                <w:pPr>
                  <w:spacing w:line="360" w:lineRule="auto"/>
                  <w:jc w:val="both"/>
                  <w:rPr>
                    <w:rFonts w:ascii="Arial" w:hAnsi="Arial" w:cs="Arial"/>
                    <w:sz w:val="24"/>
                    <w:szCs w:val="24"/>
                  </w:rPr>
                </w:pPr>
              </w:p>
            </w:tc>
          </w:tr>
        </w:tbl>
        <w:p w14:paraId="392596D0" w14:textId="77777777" w:rsidR="005862F1" w:rsidRPr="000E0487" w:rsidRDefault="005862F1" w:rsidP="00A32D33">
          <w:pPr>
            <w:spacing w:line="360" w:lineRule="auto"/>
            <w:jc w:val="both"/>
            <w:rPr>
              <w:rFonts w:ascii="Arial" w:hAnsi="Arial" w:cs="Arial"/>
              <w:sz w:val="24"/>
              <w:szCs w:val="24"/>
            </w:rPr>
          </w:pPr>
        </w:p>
        <w:p w14:paraId="72178220" w14:textId="77777777" w:rsidR="005862F1" w:rsidRPr="000E0487" w:rsidRDefault="005862F1" w:rsidP="00A32D33">
          <w:pPr>
            <w:spacing w:line="360" w:lineRule="auto"/>
            <w:jc w:val="both"/>
            <w:rPr>
              <w:rFonts w:ascii="Arial" w:hAnsi="Arial" w:cs="Arial"/>
              <w:sz w:val="24"/>
              <w:szCs w:val="24"/>
            </w:rPr>
          </w:pPr>
          <w:r w:rsidRPr="000E0487">
            <w:rPr>
              <w:rFonts w:ascii="Arial" w:hAnsi="Arial" w:cs="Arial"/>
              <w:sz w:val="24"/>
              <w:szCs w:val="24"/>
            </w:rPr>
            <w:t xml:space="preserve">The full form of ROCE is 'return on capital employed', and it is used to measure the efficiency with which a company uses its capital to earn profits. Lloyds' ROCE decreased from 1.77% in 2023 to 1.41% in 2024, which indicates weaker returns on capital employed. In this case, it’s indicative of reduced profits before tax, increased </w:t>
          </w:r>
          <w:r w:rsidRPr="000E0487">
            <w:rPr>
              <w:rFonts w:ascii="Arial" w:hAnsi="Arial" w:cs="Arial"/>
              <w:sz w:val="24"/>
              <w:szCs w:val="24"/>
            </w:rPr>
            <w:lastRenderedPageBreak/>
            <w:t xml:space="preserve">provisions and flat lending which would have impacted earnings per share most of all. ROCE is extremely relevant to banking as it is a capital-intensive industry and returns for shareholders depend on how effectively capital is allocated. </w:t>
          </w:r>
        </w:p>
        <w:p w14:paraId="0AE7FA4B" w14:textId="77777777" w:rsidR="005862F1" w:rsidRPr="004F138B" w:rsidRDefault="005862F1" w:rsidP="004F138B">
          <w:pPr>
            <w:spacing w:line="360" w:lineRule="auto"/>
            <w:jc w:val="both"/>
            <w:rPr>
              <w:rFonts w:ascii="Arial" w:hAnsi="Arial" w:cs="Arial"/>
              <w:b/>
              <w:sz w:val="24"/>
              <w:szCs w:val="24"/>
              <w:u w:val="single"/>
            </w:rPr>
          </w:pPr>
          <w:r w:rsidRPr="004F138B">
            <w:rPr>
              <w:rFonts w:ascii="Arial" w:hAnsi="Arial" w:cs="Arial"/>
              <w:b/>
              <w:sz w:val="24"/>
              <w:szCs w:val="24"/>
              <w:u w:val="single"/>
            </w:rPr>
            <w:t>Liquidity Ratios</w:t>
          </w:r>
        </w:p>
        <w:p w14:paraId="0079BBAF" w14:textId="77777777" w:rsidR="005862F1" w:rsidRPr="004F138B" w:rsidRDefault="005862F1" w:rsidP="004F138B">
          <w:pPr>
            <w:spacing w:line="360" w:lineRule="auto"/>
            <w:jc w:val="both"/>
            <w:rPr>
              <w:rFonts w:ascii="Arial" w:hAnsi="Arial" w:cs="Arial"/>
              <w:b/>
              <w:i/>
              <w:sz w:val="24"/>
              <w:szCs w:val="24"/>
            </w:rPr>
          </w:pPr>
          <w:r w:rsidRPr="004F138B">
            <w:rPr>
              <w:rFonts w:ascii="Arial" w:hAnsi="Arial" w:cs="Arial"/>
              <w:b/>
              <w:i/>
              <w:sz w:val="24"/>
              <w:szCs w:val="24"/>
            </w:rPr>
            <w:t>Loan-to-Deposit Ratio: Loans ÷ Deposits</w:t>
          </w:r>
        </w:p>
        <w:tbl>
          <w:tblPr>
            <w:tblStyle w:val="TableGrid"/>
            <w:tblW w:w="0" w:type="auto"/>
            <w:tblLook w:val="04A0" w:firstRow="1" w:lastRow="0" w:firstColumn="1" w:lastColumn="0" w:noHBand="0" w:noVBand="1"/>
          </w:tblPr>
          <w:tblGrid>
            <w:gridCol w:w="2256"/>
            <w:gridCol w:w="2268"/>
            <w:gridCol w:w="2274"/>
            <w:gridCol w:w="2262"/>
          </w:tblGrid>
          <w:tr w:rsidR="005862F1" w:rsidRPr="004F138B" w14:paraId="19A3B61F" w14:textId="77777777" w:rsidTr="00D221F8">
            <w:tc>
              <w:tcPr>
                <w:tcW w:w="2310" w:type="dxa"/>
                <w:vAlign w:val="center"/>
              </w:tcPr>
              <w:p w14:paraId="5921D109" w14:textId="77777777" w:rsidR="005862F1" w:rsidRPr="004F138B" w:rsidRDefault="005862F1" w:rsidP="004F138B">
                <w:pPr>
                  <w:spacing w:line="360" w:lineRule="auto"/>
                  <w:jc w:val="both"/>
                  <w:rPr>
                    <w:rFonts w:ascii="Arial" w:hAnsi="Arial" w:cs="Arial"/>
                    <w:b/>
                    <w:bCs/>
                    <w:sz w:val="24"/>
                    <w:szCs w:val="24"/>
                  </w:rPr>
                </w:pPr>
                <w:r w:rsidRPr="004F138B">
                  <w:rPr>
                    <w:rFonts w:ascii="Arial" w:hAnsi="Arial" w:cs="Arial"/>
                    <w:b/>
                    <w:bCs/>
                    <w:sz w:val="24"/>
                    <w:szCs w:val="24"/>
                  </w:rPr>
                  <w:t>Year</w:t>
                </w: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1"/>
                </w:tblGrid>
                <w:tr w:rsidR="005862F1" w:rsidRPr="004F138B" w14:paraId="6D24299D" w14:textId="77777777" w:rsidTr="00D221F8">
                  <w:trPr>
                    <w:tblCellSpacing w:w="15" w:type="dxa"/>
                  </w:trPr>
                  <w:tc>
                    <w:tcPr>
                      <w:tcW w:w="0" w:type="auto"/>
                      <w:vAlign w:val="center"/>
                      <w:hideMark/>
                    </w:tcPr>
                    <w:p w14:paraId="015D2369" w14:textId="77777777" w:rsidR="005862F1" w:rsidRPr="004F138B" w:rsidRDefault="005862F1" w:rsidP="004F138B">
                      <w:pPr>
                        <w:spacing w:line="360" w:lineRule="auto"/>
                        <w:jc w:val="both"/>
                        <w:rPr>
                          <w:rFonts w:ascii="Arial" w:hAnsi="Arial" w:cs="Arial"/>
                          <w:b/>
                          <w:bCs/>
                          <w:sz w:val="24"/>
                          <w:szCs w:val="24"/>
                        </w:rPr>
                      </w:pPr>
                      <w:r w:rsidRPr="004F138B">
                        <w:rPr>
                          <w:rFonts w:ascii="Arial" w:hAnsi="Arial" w:cs="Arial"/>
                          <w:b/>
                          <w:bCs/>
                          <w:sz w:val="24"/>
                          <w:szCs w:val="24"/>
                        </w:rPr>
                        <w:t>Loans (£m)</w:t>
                      </w:r>
                    </w:p>
                  </w:tc>
                </w:tr>
              </w:tbl>
              <w:p w14:paraId="1F5D6E44" w14:textId="77777777" w:rsidR="005862F1" w:rsidRPr="004F138B" w:rsidRDefault="005862F1" w:rsidP="004F138B">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7"/>
                </w:tblGrid>
                <w:tr w:rsidR="005862F1" w:rsidRPr="004F138B" w14:paraId="04C268E7" w14:textId="77777777" w:rsidTr="00D221F8">
                  <w:trPr>
                    <w:tblCellSpacing w:w="15" w:type="dxa"/>
                  </w:trPr>
                  <w:tc>
                    <w:tcPr>
                      <w:tcW w:w="0" w:type="auto"/>
                      <w:vAlign w:val="center"/>
                      <w:hideMark/>
                    </w:tcPr>
                    <w:p w14:paraId="5E5BD9E1" w14:textId="77777777" w:rsidR="005862F1" w:rsidRPr="004F138B" w:rsidRDefault="005862F1" w:rsidP="004F138B">
                      <w:pPr>
                        <w:spacing w:line="360" w:lineRule="auto"/>
                        <w:jc w:val="both"/>
                        <w:rPr>
                          <w:rFonts w:ascii="Arial" w:hAnsi="Arial" w:cs="Arial"/>
                          <w:b/>
                          <w:bCs/>
                          <w:sz w:val="24"/>
                          <w:szCs w:val="24"/>
                        </w:rPr>
                      </w:pPr>
                      <w:r w:rsidRPr="004F138B">
                        <w:rPr>
                          <w:rFonts w:ascii="Arial" w:hAnsi="Arial" w:cs="Arial"/>
                          <w:b/>
                          <w:bCs/>
                          <w:sz w:val="24"/>
                          <w:szCs w:val="24"/>
                        </w:rPr>
                        <w:t>Deposits (£m)</w:t>
                      </w:r>
                    </w:p>
                  </w:tc>
                </w:tr>
              </w:tbl>
              <w:p w14:paraId="313F296E" w14:textId="77777777" w:rsidR="005862F1" w:rsidRPr="004F138B" w:rsidRDefault="005862F1" w:rsidP="004F138B">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0"/>
                </w:tblGrid>
                <w:tr w:rsidR="005862F1" w:rsidRPr="004F138B" w14:paraId="305692C7" w14:textId="77777777" w:rsidTr="00D221F8">
                  <w:trPr>
                    <w:tblCellSpacing w:w="15" w:type="dxa"/>
                  </w:trPr>
                  <w:tc>
                    <w:tcPr>
                      <w:tcW w:w="0" w:type="auto"/>
                      <w:vAlign w:val="center"/>
                      <w:hideMark/>
                    </w:tcPr>
                    <w:p w14:paraId="5F252DB0" w14:textId="77777777" w:rsidR="005862F1" w:rsidRPr="004F138B" w:rsidRDefault="005862F1" w:rsidP="004F138B">
                      <w:pPr>
                        <w:spacing w:line="360" w:lineRule="auto"/>
                        <w:jc w:val="both"/>
                        <w:rPr>
                          <w:rFonts w:ascii="Arial" w:hAnsi="Arial" w:cs="Arial"/>
                          <w:b/>
                          <w:bCs/>
                          <w:sz w:val="24"/>
                          <w:szCs w:val="24"/>
                        </w:rPr>
                      </w:pPr>
                      <w:r w:rsidRPr="004F138B">
                        <w:rPr>
                          <w:rFonts w:ascii="Arial" w:hAnsi="Arial" w:cs="Arial"/>
                          <w:b/>
                          <w:bCs/>
                          <w:sz w:val="24"/>
                          <w:szCs w:val="24"/>
                        </w:rPr>
                        <w:t>Ratio</w:t>
                      </w:r>
                    </w:p>
                  </w:tc>
                </w:tr>
              </w:tbl>
              <w:p w14:paraId="0449ADF8" w14:textId="77777777" w:rsidR="005862F1" w:rsidRPr="004F138B" w:rsidRDefault="005862F1" w:rsidP="004F138B">
                <w:pPr>
                  <w:spacing w:line="360" w:lineRule="auto"/>
                  <w:jc w:val="both"/>
                  <w:rPr>
                    <w:rFonts w:ascii="Arial" w:hAnsi="Arial" w:cs="Arial"/>
                    <w:sz w:val="24"/>
                    <w:szCs w:val="24"/>
                  </w:rPr>
                </w:pPr>
              </w:p>
            </w:tc>
          </w:tr>
          <w:tr w:rsidR="005862F1" w:rsidRPr="004F138B" w14:paraId="5CC20C48"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4F138B" w14:paraId="50703429" w14:textId="77777777" w:rsidTr="00D221F8">
                  <w:trPr>
                    <w:tblCellSpacing w:w="15" w:type="dxa"/>
                  </w:trPr>
                  <w:tc>
                    <w:tcPr>
                      <w:tcW w:w="0" w:type="auto"/>
                      <w:vAlign w:val="center"/>
                      <w:hideMark/>
                    </w:tcPr>
                    <w:p w14:paraId="388E917D"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2023</w:t>
                      </w:r>
                    </w:p>
                  </w:tc>
                </w:tr>
              </w:tbl>
              <w:p w14:paraId="7B8DFB3B" w14:textId="77777777" w:rsidR="005862F1" w:rsidRPr="004F138B" w:rsidRDefault="005862F1" w:rsidP="004F138B">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8"/>
                </w:tblGrid>
                <w:tr w:rsidR="005862F1" w:rsidRPr="004F138B" w14:paraId="4AD5A0CE" w14:textId="77777777" w:rsidTr="00D221F8">
                  <w:trPr>
                    <w:tblCellSpacing w:w="15" w:type="dxa"/>
                  </w:trPr>
                  <w:tc>
                    <w:tcPr>
                      <w:tcW w:w="0" w:type="auto"/>
                      <w:vAlign w:val="center"/>
                      <w:hideMark/>
                    </w:tcPr>
                    <w:p w14:paraId="10EC0DAF"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449,700</w:t>
                      </w:r>
                    </w:p>
                  </w:tc>
                </w:tr>
              </w:tbl>
              <w:p w14:paraId="0086DB74" w14:textId="77777777" w:rsidR="005862F1" w:rsidRPr="004F138B" w:rsidRDefault="005862F1" w:rsidP="004F138B">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8"/>
                </w:tblGrid>
                <w:tr w:rsidR="005862F1" w:rsidRPr="004F138B" w14:paraId="47ECB3A9" w14:textId="77777777" w:rsidTr="00D221F8">
                  <w:trPr>
                    <w:tblCellSpacing w:w="15" w:type="dxa"/>
                  </w:trPr>
                  <w:tc>
                    <w:tcPr>
                      <w:tcW w:w="0" w:type="auto"/>
                      <w:vAlign w:val="center"/>
                      <w:hideMark/>
                    </w:tcPr>
                    <w:p w14:paraId="509D91BC"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471,400</w:t>
                      </w:r>
                    </w:p>
                  </w:tc>
                </w:tr>
              </w:tbl>
              <w:p w14:paraId="5EB541F2" w14:textId="77777777" w:rsidR="005862F1" w:rsidRPr="004F138B" w:rsidRDefault="005862F1" w:rsidP="004F138B">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1"/>
                </w:tblGrid>
                <w:tr w:rsidR="005862F1" w:rsidRPr="004F138B" w14:paraId="72C48DF9" w14:textId="77777777" w:rsidTr="00D221F8">
                  <w:trPr>
                    <w:tblCellSpacing w:w="15" w:type="dxa"/>
                  </w:trPr>
                  <w:tc>
                    <w:tcPr>
                      <w:tcW w:w="0" w:type="auto"/>
                      <w:vAlign w:val="center"/>
                      <w:hideMark/>
                    </w:tcPr>
                    <w:p w14:paraId="6AAFBBCD"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95.4%</w:t>
                      </w:r>
                    </w:p>
                  </w:tc>
                </w:tr>
              </w:tbl>
              <w:p w14:paraId="798775E0" w14:textId="77777777" w:rsidR="005862F1" w:rsidRPr="004F138B" w:rsidRDefault="005862F1" w:rsidP="004F138B">
                <w:pPr>
                  <w:spacing w:line="360" w:lineRule="auto"/>
                  <w:jc w:val="both"/>
                  <w:rPr>
                    <w:rFonts w:ascii="Arial" w:hAnsi="Arial" w:cs="Arial"/>
                    <w:sz w:val="24"/>
                    <w:szCs w:val="24"/>
                  </w:rPr>
                </w:pPr>
              </w:p>
            </w:tc>
          </w:tr>
          <w:tr w:rsidR="005862F1" w:rsidRPr="004F138B" w14:paraId="4A453083"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4F138B" w14:paraId="03408823" w14:textId="77777777" w:rsidTr="00D221F8">
                  <w:trPr>
                    <w:tblCellSpacing w:w="15" w:type="dxa"/>
                  </w:trPr>
                  <w:tc>
                    <w:tcPr>
                      <w:tcW w:w="0" w:type="auto"/>
                      <w:vAlign w:val="center"/>
                      <w:hideMark/>
                    </w:tcPr>
                    <w:p w14:paraId="1B5E1461"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2024</w:t>
                      </w:r>
                    </w:p>
                  </w:tc>
                </w:tr>
              </w:tbl>
              <w:p w14:paraId="5DB35159" w14:textId="77777777" w:rsidR="005862F1" w:rsidRPr="004F138B" w:rsidRDefault="005862F1" w:rsidP="004F138B">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8"/>
                </w:tblGrid>
                <w:tr w:rsidR="005862F1" w:rsidRPr="004F138B" w14:paraId="3C56D240" w14:textId="77777777" w:rsidTr="00D221F8">
                  <w:trPr>
                    <w:tblCellSpacing w:w="15" w:type="dxa"/>
                  </w:trPr>
                  <w:tc>
                    <w:tcPr>
                      <w:tcW w:w="0" w:type="auto"/>
                      <w:vAlign w:val="center"/>
                      <w:hideMark/>
                    </w:tcPr>
                    <w:p w14:paraId="4344AABC"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459,100</w:t>
                      </w:r>
                    </w:p>
                  </w:tc>
                </w:tr>
              </w:tbl>
              <w:p w14:paraId="69CCC6ED" w14:textId="77777777" w:rsidR="005862F1" w:rsidRPr="004F138B" w:rsidRDefault="005862F1" w:rsidP="004F138B">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8"/>
                </w:tblGrid>
                <w:tr w:rsidR="005862F1" w:rsidRPr="004F138B" w14:paraId="2651C7A9" w14:textId="77777777" w:rsidTr="00D221F8">
                  <w:trPr>
                    <w:tblCellSpacing w:w="15" w:type="dxa"/>
                  </w:trPr>
                  <w:tc>
                    <w:tcPr>
                      <w:tcW w:w="0" w:type="auto"/>
                      <w:vAlign w:val="center"/>
                      <w:hideMark/>
                    </w:tcPr>
                    <w:p w14:paraId="6FF85E97"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482,700</w:t>
                      </w:r>
                    </w:p>
                  </w:tc>
                </w:tr>
              </w:tbl>
              <w:p w14:paraId="2A655B2A" w14:textId="77777777" w:rsidR="005862F1" w:rsidRPr="004F138B" w:rsidRDefault="005862F1" w:rsidP="004F138B">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1"/>
                </w:tblGrid>
                <w:tr w:rsidR="005862F1" w:rsidRPr="004F138B" w14:paraId="474FC268" w14:textId="77777777" w:rsidTr="00D221F8">
                  <w:trPr>
                    <w:tblCellSpacing w:w="15" w:type="dxa"/>
                  </w:trPr>
                  <w:tc>
                    <w:tcPr>
                      <w:tcW w:w="0" w:type="auto"/>
                      <w:vAlign w:val="center"/>
                      <w:hideMark/>
                    </w:tcPr>
                    <w:p w14:paraId="0D6719A7"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95.1%</w:t>
                      </w:r>
                    </w:p>
                  </w:tc>
                </w:tr>
              </w:tbl>
              <w:p w14:paraId="59E1E619" w14:textId="77777777" w:rsidR="005862F1" w:rsidRPr="004F138B" w:rsidRDefault="005862F1" w:rsidP="004F138B">
                <w:pPr>
                  <w:spacing w:line="360" w:lineRule="auto"/>
                  <w:jc w:val="both"/>
                  <w:rPr>
                    <w:rFonts w:ascii="Arial" w:hAnsi="Arial" w:cs="Arial"/>
                    <w:sz w:val="24"/>
                    <w:szCs w:val="24"/>
                  </w:rPr>
                </w:pPr>
              </w:p>
            </w:tc>
          </w:tr>
        </w:tbl>
        <w:p w14:paraId="5B62ECDA" w14:textId="77777777" w:rsidR="005862F1" w:rsidRPr="004F138B" w:rsidRDefault="005862F1" w:rsidP="004F138B">
          <w:pPr>
            <w:spacing w:line="360" w:lineRule="auto"/>
            <w:jc w:val="both"/>
            <w:rPr>
              <w:rFonts w:ascii="Arial" w:hAnsi="Arial" w:cs="Arial"/>
              <w:sz w:val="24"/>
              <w:szCs w:val="24"/>
            </w:rPr>
          </w:pPr>
        </w:p>
        <w:p w14:paraId="7D254A2C" w14:textId="77777777" w:rsidR="005862F1" w:rsidRPr="004F138B" w:rsidRDefault="005862F1" w:rsidP="004F138B">
          <w:pPr>
            <w:spacing w:line="360" w:lineRule="auto"/>
            <w:jc w:val="both"/>
            <w:rPr>
              <w:rFonts w:ascii="Arial" w:hAnsi="Arial" w:cs="Arial"/>
              <w:b/>
              <w:i/>
              <w:sz w:val="24"/>
              <w:szCs w:val="24"/>
            </w:rPr>
          </w:pPr>
          <w:r w:rsidRPr="004F138B">
            <w:rPr>
              <w:rFonts w:ascii="Arial" w:hAnsi="Arial" w:cs="Arial"/>
              <w:sz w:val="24"/>
              <w:szCs w:val="24"/>
            </w:rPr>
            <w:t xml:space="preserve">The Loan-to-Deposit Ratio (LDR) shows a bank's liquidity risk by looking at how much of customer deposits are gotten loaned out. Lloyds' LDR marginally improved from 95.4% in 2023 to 95.1% in 2024, suggesting stable liquidity and reasonable lending. An LDR below 100% shows the bank has enough deposits to be able to finance these loans which decrease its reliance on external funding. Having a low LDR can lend credence to maintaining a conservative amount so that could withstand shocks in the economy according to the Basel III requirements. </w:t>
          </w:r>
          <w:r w:rsidRPr="004F138B">
            <w:rPr>
              <w:rFonts w:ascii="Arial" w:hAnsi="Arial" w:cs="Arial"/>
              <w:b/>
              <w:i/>
              <w:sz w:val="24"/>
              <w:szCs w:val="24"/>
            </w:rPr>
            <w:t>Liquidity Coverage Ratio (LCR)</w:t>
          </w:r>
        </w:p>
        <w:tbl>
          <w:tblPr>
            <w:tblStyle w:val="TableGrid"/>
            <w:tblW w:w="0" w:type="auto"/>
            <w:tblLook w:val="04A0" w:firstRow="1" w:lastRow="0" w:firstColumn="1" w:lastColumn="0" w:noHBand="0" w:noVBand="1"/>
          </w:tblPr>
          <w:tblGrid>
            <w:gridCol w:w="2310"/>
            <w:gridCol w:w="2310"/>
          </w:tblGrid>
          <w:tr w:rsidR="005862F1" w:rsidRPr="004F138B" w14:paraId="7B7FC183" w14:textId="77777777" w:rsidTr="00D221F8">
            <w:tc>
              <w:tcPr>
                <w:tcW w:w="2310" w:type="dxa"/>
                <w:vAlign w:val="center"/>
              </w:tcPr>
              <w:p w14:paraId="1A9B782B" w14:textId="77777777" w:rsidR="005862F1" w:rsidRPr="004F138B" w:rsidRDefault="005862F1" w:rsidP="004F138B">
                <w:pPr>
                  <w:spacing w:line="360" w:lineRule="auto"/>
                  <w:jc w:val="both"/>
                  <w:rPr>
                    <w:rFonts w:ascii="Arial" w:hAnsi="Arial" w:cs="Arial"/>
                    <w:b/>
                    <w:bCs/>
                    <w:sz w:val="24"/>
                    <w:szCs w:val="24"/>
                  </w:rPr>
                </w:pPr>
                <w:r w:rsidRPr="004F138B">
                  <w:rPr>
                    <w:rFonts w:ascii="Arial" w:hAnsi="Arial" w:cs="Arial"/>
                    <w:b/>
                    <w:bCs/>
                    <w:sz w:val="24"/>
                    <w:szCs w:val="24"/>
                  </w:rPr>
                  <w:t>Year</w:t>
                </w:r>
              </w:p>
            </w:tc>
            <w:tc>
              <w:tcPr>
                <w:tcW w:w="2310" w:type="dxa"/>
                <w:vAlign w:val="center"/>
              </w:tcPr>
              <w:p w14:paraId="595DB89A" w14:textId="77777777" w:rsidR="005862F1" w:rsidRPr="004F138B" w:rsidRDefault="005862F1" w:rsidP="004F138B">
                <w:pPr>
                  <w:spacing w:line="360" w:lineRule="auto"/>
                  <w:jc w:val="both"/>
                  <w:rPr>
                    <w:rFonts w:ascii="Arial" w:hAnsi="Arial" w:cs="Arial"/>
                    <w:b/>
                    <w:bCs/>
                    <w:sz w:val="24"/>
                    <w:szCs w:val="24"/>
                  </w:rPr>
                </w:pPr>
                <w:r w:rsidRPr="004F138B">
                  <w:rPr>
                    <w:rFonts w:ascii="Arial" w:hAnsi="Arial" w:cs="Arial"/>
                    <w:sz w:val="24"/>
                    <w:szCs w:val="24"/>
                  </w:rPr>
                  <w:t>LCR</w:t>
                </w:r>
              </w:p>
            </w:tc>
          </w:tr>
          <w:tr w:rsidR="005862F1" w:rsidRPr="004F138B" w14:paraId="43D44F2A"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4F138B" w14:paraId="1275A900" w14:textId="77777777" w:rsidTr="00D221F8">
                  <w:trPr>
                    <w:tblCellSpacing w:w="15" w:type="dxa"/>
                  </w:trPr>
                  <w:tc>
                    <w:tcPr>
                      <w:tcW w:w="0" w:type="auto"/>
                      <w:vAlign w:val="center"/>
                      <w:hideMark/>
                    </w:tcPr>
                    <w:p w14:paraId="6F2FA90F"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2023</w:t>
                      </w:r>
                    </w:p>
                  </w:tc>
                </w:tr>
              </w:tbl>
              <w:p w14:paraId="46E124EA" w14:textId="77777777" w:rsidR="005862F1" w:rsidRPr="004F138B" w:rsidRDefault="005862F1" w:rsidP="004F138B">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4"/>
                </w:tblGrid>
                <w:tr w:rsidR="005862F1" w:rsidRPr="004F138B" w14:paraId="141EF6A7" w14:textId="77777777" w:rsidTr="00D221F8">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4"/>
                      </w:tblGrid>
                      <w:tr w:rsidR="005862F1" w:rsidRPr="004F138B" w14:paraId="52518083" w14:textId="77777777" w:rsidTr="00D221F8">
                        <w:trPr>
                          <w:tblCellSpacing w:w="15" w:type="dxa"/>
                        </w:trPr>
                        <w:tc>
                          <w:tcPr>
                            <w:tcW w:w="0" w:type="auto"/>
                            <w:vAlign w:val="center"/>
                            <w:hideMark/>
                          </w:tcPr>
                          <w:p w14:paraId="4651FC86" w14:textId="77777777" w:rsidR="005862F1" w:rsidRPr="004F138B" w:rsidRDefault="005862F1" w:rsidP="004F138B">
                            <w:pPr>
                              <w:spacing w:after="0" w:line="360" w:lineRule="auto"/>
                              <w:jc w:val="both"/>
                              <w:rPr>
                                <w:rFonts w:ascii="Arial" w:eastAsia="Times New Roman" w:hAnsi="Arial" w:cs="Arial"/>
                                <w:sz w:val="24"/>
                                <w:szCs w:val="24"/>
                                <w:lang w:val="en-US"/>
                              </w:rPr>
                            </w:pPr>
                            <w:r w:rsidRPr="004F138B">
                              <w:rPr>
                                <w:rFonts w:ascii="Arial" w:eastAsia="Times New Roman" w:hAnsi="Arial" w:cs="Arial"/>
                                <w:sz w:val="24"/>
                                <w:szCs w:val="24"/>
                                <w:lang w:val="en-US"/>
                              </w:rPr>
                              <w:t>142%</w:t>
                            </w:r>
                          </w:p>
                        </w:tc>
                      </w:tr>
                    </w:tbl>
                    <w:p w14:paraId="1BBC07A5" w14:textId="77777777" w:rsidR="005862F1" w:rsidRPr="004F138B" w:rsidRDefault="005862F1" w:rsidP="004F138B">
                      <w:pPr>
                        <w:spacing w:after="0" w:line="360" w:lineRule="auto"/>
                        <w:jc w:val="both"/>
                        <w:rPr>
                          <w:rFonts w:ascii="Arial" w:eastAsia="Times New Roman" w:hAnsi="Arial" w:cs="Arial"/>
                          <w:vanish/>
                          <w:sz w:val="24"/>
                          <w:szCs w:val="24"/>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862F1" w:rsidRPr="004F138B" w14:paraId="58F4986B" w14:textId="77777777" w:rsidTr="00D221F8">
                        <w:trPr>
                          <w:tblCellSpacing w:w="15" w:type="dxa"/>
                        </w:trPr>
                        <w:tc>
                          <w:tcPr>
                            <w:tcW w:w="0" w:type="auto"/>
                            <w:vAlign w:val="center"/>
                            <w:hideMark/>
                          </w:tcPr>
                          <w:p w14:paraId="177E078E" w14:textId="77777777" w:rsidR="005862F1" w:rsidRPr="004F138B" w:rsidRDefault="005862F1" w:rsidP="004F138B">
                            <w:pPr>
                              <w:spacing w:after="0" w:line="360" w:lineRule="auto"/>
                              <w:jc w:val="both"/>
                              <w:rPr>
                                <w:rFonts w:ascii="Arial" w:eastAsia="Times New Roman" w:hAnsi="Arial" w:cs="Arial"/>
                                <w:sz w:val="24"/>
                                <w:szCs w:val="24"/>
                                <w:lang w:val="en-US"/>
                              </w:rPr>
                            </w:pPr>
                          </w:p>
                        </w:tc>
                      </w:tr>
                    </w:tbl>
                    <w:p w14:paraId="3A8825CD" w14:textId="77777777" w:rsidR="005862F1" w:rsidRPr="004F138B" w:rsidRDefault="005862F1" w:rsidP="004F138B">
                      <w:pPr>
                        <w:spacing w:line="360" w:lineRule="auto"/>
                        <w:jc w:val="both"/>
                        <w:rPr>
                          <w:rFonts w:ascii="Arial" w:hAnsi="Arial" w:cs="Arial"/>
                          <w:sz w:val="24"/>
                          <w:szCs w:val="24"/>
                        </w:rPr>
                      </w:pPr>
                    </w:p>
                  </w:tc>
                </w:tr>
              </w:tbl>
              <w:p w14:paraId="02E91B98" w14:textId="77777777" w:rsidR="005862F1" w:rsidRPr="004F138B" w:rsidRDefault="005862F1" w:rsidP="004F138B">
                <w:pPr>
                  <w:spacing w:line="360" w:lineRule="auto"/>
                  <w:jc w:val="both"/>
                  <w:rPr>
                    <w:rFonts w:ascii="Arial" w:hAnsi="Arial" w:cs="Arial"/>
                    <w:vanish/>
                    <w:sz w:val="24"/>
                    <w:szCs w:val="24"/>
                  </w:rPr>
                </w:pPr>
              </w:p>
            </w:tc>
          </w:tr>
          <w:tr w:rsidR="005862F1" w:rsidRPr="004F138B" w14:paraId="0232B2C0"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4F138B" w14:paraId="39CD1CA7" w14:textId="77777777" w:rsidTr="00D221F8">
                  <w:trPr>
                    <w:tblCellSpacing w:w="15" w:type="dxa"/>
                  </w:trPr>
                  <w:tc>
                    <w:tcPr>
                      <w:tcW w:w="0" w:type="auto"/>
                      <w:vAlign w:val="center"/>
                      <w:hideMark/>
                    </w:tcPr>
                    <w:p w14:paraId="42EDD9E6"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2024</w:t>
                      </w:r>
                    </w:p>
                  </w:tc>
                </w:tr>
              </w:tbl>
              <w:p w14:paraId="0CD1132E" w14:textId="77777777" w:rsidR="005862F1" w:rsidRPr="004F138B" w:rsidRDefault="005862F1" w:rsidP="004F138B">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4"/>
                </w:tblGrid>
                <w:tr w:rsidR="005862F1" w:rsidRPr="004F138B" w14:paraId="71AC2936" w14:textId="77777777" w:rsidTr="00D221F8">
                  <w:trPr>
                    <w:tblCellSpacing w:w="15" w:type="dxa"/>
                  </w:trPr>
                  <w:tc>
                    <w:tcPr>
                      <w:tcW w:w="0" w:type="auto"/>
                      <w:vAlign w:val="center"/>
                      <w:hideMark/>
                    </w:tcPr>
                    <w:p w14:paraId="4BD97D63"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146%</w:t>
                      </w:r>
                    </w:p>
                  </w:tc>
                </w:tr>
              </w:tbl>
              <w:p w14:paraId="74B5EC2F" w14:textId="77777777" w:rsidR="005862F1" w:rsidRPr="004F138B" w:rsidRDefault="005862F1" w:rsidP="004F138B">
                <w:pPr>
                  <w:spacing w:line="360" w:lineRule="auto"/>
                  <w:jc w:val="both"/>
                  <w:rPr>
                    <w:rFonts w:ascii="Arial" w:hAnsi="Arial" w:cs="Arial"/>
                    <w:vanish/>
                    <w:sz w:val="24"/>
                    <w:szCs w:val="24"/>
                  </w:rPr>
                </w:pPr>
              </w:p>
            </w:tc>
          </w:tr>
        </w:tbl>
        <w:p w14:paraId="6E0023F9" w14:textId="77777777" w:rsidR="005862F1" w:rsidRPr="004F138B" w:rsidRDefault="005862F1" w:rsidP="004F138B">
          <w:pPr>
            <w:spacing w:line="360" w:lineRule="auto"/>
            <w:jc w:val="both"/>
            <w:rPr>
              <w:rFonts w:ascii="Arial" w:hAnsi="Arial" w:cs="Arial"/>
              <w:sz w:val="24"/>
              <w:szCs w:val="24"/>
            </w:rPr>
          </w:pPr>
        </w:p>
        <w:p w14:paraId="1670F874" w14:textId="77777777" w:rsidR="005862F1" w:rsidRPr="004F138B" w:rsidRDefault="005862F1" w:rsidP="004F138B">
          <w:pPr>
            <w:spacing w:line="360" w:lineRule="auto"/>
            <w:jc w:val="both"/>
            <w:rPr>
              <w:rFonts w:ascii="Arial" w:hAnsi="Arial" w:cs="Arial"/>
              <w:sz w:val="24"/>
              <w:szCs w:val="24"/>
            </w:rPr>
          </w:pPr>
          <w:r w:rsidRPr="004F138B">
            <w:rPr>
              <w:rFonts w:ascii="Arial" w:hAnsi="Arial" w:cs="Arial"/>
              <w:sz w:val="24"/>
              <w:szCs w:val="24"/>
            </w:rPr>
            <w:t xml:space="preserve">LCR measures a bank’s ability to pay short-term claims in times of stress. Lloyds' LCR increased from 142% in 2023 to 146% in 2024, which is above the Basel III regulatory minimum of 100%. This change is indicative of considerably more high-quality liquid assets, as well as managing liquidity responsibly in line with PRA's stress test measures. A very strong LCR testifies to the bank's ability to deal with current and future market disruption and satisfies stakeholders. An LCR that is too strong could be a disadvantage to earnings potential because holding liquid assets can be and is often </w:t>
          </w:r>
          <w:r w:rsidRPr="004F138B">
            <w:rPr>
              <w:rFonts w:ascii="Arial" w:hAnsi="Arial" w:cs="Arial"/>
              <w:sz w:val="24"/>
              <w:szCs w:val="24"/>
            </w:rPr>
            <w:lastRenderedPageBreak/>
            <w:t xml:space="preserve">low yielding. </w:t>
          </w:r>
          <w:proofErr w:type="spellStart"/>
          <w:r w:rsidRPr="004F138B">
            <w:rPr>
              <w:rFonts w:ascii="Arial" w:hAnsi="Arial" w:cs="Arial"/>
              <w:sz w:val="24"/>
              <w:szCs w:val="24"/>
            </w:rPr>
            <w:t>Dermine</w:t>
          </w:r>
          <w:proofErr w:type="spellEnd"/>
          <w:r w:rsidRPr="004F138B">
            <w:rPr>
              <w:rFonts w:ascii="Arial" w:hAnsi="Arial" w:cs="Arial"/>
              <w:sz w:val="24"/>
              <w:szCs w:val="24"/>
            </w:rPr>
            <w:t xml:space="preserve"> and </w:t>
          </w:r>
          <w:proofErr w:type="spellStart"/>
          <w:r w:rsidRPr="004F138B">
            <w:rPr>
              <w:rFonts w:ascii="Arial" w:hAnsi="Arial" w:cs="Arial"/>
              <w:sz w:val="24"/>
              <w:szCs w:val="24"/>
            </w:rPr>
            <w:t>Oertmann</w:t>
          </w:r>
          <w:proofErr w:type="spellEnd"/>
          <w:r w:rsidRPr="004F138B">
            <w:rPr>
              <w:rFonts w:ascii="Arial" w:hAnsi="Arial" w:cs="Arial"/>
              <w:sz w:val="24"/>
              <w:szCs w:val="24"/>
            </w:rPr>
            <w:t xml:space="preserve"> (2022) argue that Banks need to balance liquidity with profits to create shareholder value.</w:t>
          </w:r>
        </w:p>
        <w:p w14:paraId="06F84167" w14:textId="77777777" w:rsidR="005862F1" w:rsidRPr="00747066" w:rsidRDefault="005862F1" w:rsidP="00747066">
          <w:pPr>
            <w:spacing w:line="360" w:lineRule="auto"/>
            <w:jc w:val="both"/>
            <w:rPr>
              <w:rFonts w:ascii="Arial" w:hAnsi="Arial" w:cs="Arial"/>
              <w:b/>
              <w:sz w:val="24"/>
              <w:szCs w:val="24"/>
              <w:u w:val="single"/>
            </w:rPr>
          </w:pPr>
          <w:r w:rsidRPr="00747066">
            <w:rPr>
              <w:rFonts w:ascii="Arial" w:hAnsi="Arial" w:cs="Arial"/>
              <w:b/>
              <w:sz w:val="24"/>
              <w:szCs w:val="24"/>
              <w:u w:val="single"/>
            </w:rPr>
            <w:t>Gearing / Capital Adequacy</w:t>
          </w:r>
        </w:p>
        <w:p w14:paraId="7CF1B5ED" w14:textId="77777777" w:rsidR="005862F1" w:rsidRPr="00747066" w:rsidRDefault="005862F1" w:rsidP="00747066">
          <w:pPr>
            <w:spacing w:line="360" w:lineRule="auto"/>
            <w:jc w:val="both"/>
            <w:rPr>
              <w:rFonts w:ascii="Arial" w:hAnsi="Arial" w:cs="Arial"/>
              <w:b/>
              <w:i/>
              <w:sz w:val="24"/>
              <w:szCs w:val="24"/>
            </w:rPr>
          </w:pPr>
          <w:r w:rsidRPr="00747066">
            <w:rPr>
              <w:rFonts w:ascii="Arial" w:hAnsi="Arial" w:cs="Arial"/>
              <w:b/>
              <w:i/>
              <w:sz w:val="24"/>
              <w:szCs w:val="24"/>
            </w:rPr>
            <w:t>CET1 Ratio</w:t>
          </w:r>
        </w:p>
        <w:tbl>
          <w:tblPr>
            <w:tblStyle w:val="TableGrid"/>
            <w:tblW w:w="0" w:type="auto"/>
            <w:tblLook w:val="04A0" w:firstRow="1" w:lastRow="0" w:firstColumn="1" w:lastColumn="0" w:noHBand="0" w:noVBand="1"/>
          </w:tblPr>
          <w:tblGrid>
            <w:gridCol w:w="2310"/>
            <w:gridCol w:w="2310"/>
          </w:tblGrid>
          <w:tr w:rsidR="005862F1" w:rsidRPr="00747066" w14:paraId="53ED17FA" w14:textId="77777777" w:rsidTr="00D221F8">
            <w:tc>
              <w:tcPr>
                <w:tcW w:w="2310" w:type="dxa"/>
                <w:vAlign w:val="center"/>
              </w:tcPr>
              <w:p w14:paraId="5FDD3710" w14:textId="77777777" w:rsidR="005862F1" w:rsidRPr="00747066" w:rsidRDefault="005862F1" w:rsidP="00747066">
                <w:pPr>
                  <w:spacing w:line="360" w:lineRule="auto"/>
                  <w:jc w:val="both"/>
                  <w:rPr>
                    <w:rFonts w:ascii="Arial" w:hAnsi="Arial" w:cs="Arial"/>
                    <w:b/>
                    <w:bCs/>
                    <w:sz w:val="24"/>
                    <w:szCs w:val="24"/>
                  </w:rPr>
                </w:pPr>
                <w:r w:rsidRPr="00747066">
                  <w:rPr>
                    <w:rFonts w:ascii="Arial" w:hAnsi="Arial" w:cs="Arial"/>
                    <w:b/>
                    <w:bCs/>
                    <w:sz w:val="24"/>
                    <w:szCs w:val="24"/>
                  </w:rPr>
                  <w:t>Year</w:t>
                </w:r>
              </w:p>
            </w:tc>
            <w:tc>
              <w:tcPr>
                <w:tcW w:w="2310" w:type="dxa"/>
                <w:vAlign w:val="center"/>
              </w:tcPr>
              <w:p w14:paraId="4496454B" w14:textId="77777777" w:rsidR="005862F1" w:rsidRPr="00747066" w:rsidRDefault="005862F1" w:rsidP="00747066">
                <w:pPr>
                  <w:spacing w:line="360" w:lineRule="auto"/>
                  <w:jc w:val="both"/>
                  <w:rPr>
                    <w:rFonts w:ascii="Arial" w:hAnsi="Arial" w:cs="Arial"/>
                    <w:b/>
                    <w:bCs/>
                    <w:sz w:val="24"/>
                    <w:szCs w:val="24"/>
                  </w:rPr>
                </w:pPr>
                <w:r w:rsidRPr="00747066">
                  <w:rPr>
                    <w:rFonts w:ascii="Arial" w:hAnsi="Arial" w:cs="Arial"/>
                    <w:b/>
                    <w:sz w:val="24"/>
                    <w:szCs w:val="24"/>
                  </w:rPr>
                  <w:t>CET1 Ratio</w:t>
                </w:r>
              </w:p>
            </w:tc>
          </w:tr>
          <w:tr w:rsidR="005862F1" w:rsidRPr="00747066" w14:paraId="2AFAD485"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747066" w14:paraId="0AE855A9" w14:textId="77777777" w:rsidTr="00D221F8">
                  <w:trPr>
                    <w:tblCellSpacing w:w="15" w:type="dxa"/>
                  </w:trPr>
                  <w:tc>
                    <w:tcPr>
                      <w:tcW w:w="0" w:type="auto"/>
                      <w:vAlign w:val="center"/>
                      <w:hideMark/>
                    </w:tcPr>
                    <w:p w14:paraId="49BDA178"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2023</w:t>
                      </w:r>
                    </w:p>
                  </w:tc>
                </w:tr>
              </w:tbl>
              <w:p w14:paraId="0E2AD870" w14:textId="77777777" w:rsidR="005862F1" w:rsidRPr="00747066" w:rsidRDefault="005862F1" w:rsidP="00747066">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1"/>
                </w:tblGrid>
                <w:tr w:rsidR="005862F1" w:rsidRPr="00747066" w14:paraId="00E5DD9E" w14:textId="77777777" w:rsidTr="00D221F8">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1"/>
                      </w:tblGrid>
                      <w:tr w:rsidR="005862F1" w:rsidRPr="00747066" w14:paraId="406C087D" w14:textId="77777777" w:rsidTr="00D221F8">
                        <w:trPr>
                          <w:tblCellSpacing w:w="15" w:type="dxa"/>
                        </w:trPr>
                        <w:tc>
                          <w:tcPr>
                            <w:tcW w:w="0" w:type="auto"/>
                            <w:vAlign w:val="center"/>
                            <w:hideMark/>
                          </w:tcPr>
                          <w:p w14:paraId="1CBE0254" w14:textId="77777777" w:rsidR="005862F1" w:rsidRPr="00747066" w:rsidRDefault="005862F1" w:rsidP="00747066">
                            <w:pPr>
                              <w:spacing w:after="0" w:line="360" w:lineRule="auto"/>
                              <w:jc w:val="both"/>
                              <w:rPr>
                                <w:rFonts w:ascii="Arial" w:eastAsia="Times New Roman" w:hAnsi="Arial" w:cs="Arial"/>
                                <w:sz w:val="24"/>
                                <w:szCs w:val="24"/>
                                <w:lang w:val="en-US"/>
                              </w:rPr>
                            </w:pPr>
                            <w:r w:rsidRPr="00747066">
                              <w:rPr>
                                <w:rFonts w:ascii="Arial" w:eastAsia="Times New Roman" w:hAnsi="Arial" w:cs="Arial"/>
                                <w:sz w:val="24"/>
                                <w:szCs w:val="24"/>
                                <w:lang w:val="en-US"/>
                              </w:rPr>
                              <w:t>13.7%</w:t>
                            </w:r>
                          </w:p>
                        </w:tc>
                      </w:tr>
                    </w:tbl>
                    <w:p w14:paraId="0B8E7130" w14:textId="77777777" w:rsidR="005862F1" w:rsidRPr="00747066" w:rsidRDefault="005862F1" w:rsidP="00747066">
                      <w:pPr>
                        <w:spacing w:after="0" w:line="360" w:lineRule="auto"/>
                        <w:jc w:val="both"/>
                        <w:rPr>
                          <w:rFonts w:ascii="Arial" w:eastAsia="Times New Roman" w:hAnsi="Arial" w:cs="Arial"/>
                          <w:vanish/>
                          <w:sz w:val="24"/>
                          <w:szCs w:val="24"/>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862F1" w:rsidRPr="00747066" w14:paraId="73A48BB9" w14:textId="77777777" w:rsidTr="00D221F8">
                        <w:trPr>
                          <w:tblCellSpacing w:w="15" w:type="dxa"/>
                        </w:trPr>
                        <w:tc>
                          <w:tcPr>
                            <w:tcW w:w="0" w:type="auto"/>
                            <w:vAlign w:val="center"/>
                            <w:hideMark/>
                          </w:tcPr>
                          <w:p w14:paraId="729906BE" w14:textId="77777777" w:rsidR="005862F1" w:rsidRPr="00747066" w:rsidRDefault="005862F1" w:rsidP="00747066">
                            <w:pPr>
                              <w:spacing w:after="0" w:line="360" w:lineRule="auto"/>
                              <w:jc w:val="both"/>
                              <w:rPr>
                                <w:rFonts w:ascii="Arial" w:eastAsia="Times New Roman" w:hAnsi="Arial" w:cs="Arial"/>
                                <w:sz w:val="24"/>
                                <w:szCs w:val="24"/>
                                <w:lang w:val="en-US"/>
                              </w:rPr>
                            </w:pPr>
                          </w:p>
                        </w:tc>
                      </w:tr>
                    </w:tbl>
                    <w:p w14:paraId="0A913D35" w14:textId="77777777" w:rsidR="005862F1" w:rsidRPr="00747066" w:rsidRDefault="005862F1" w:rsidP="00747066">
                      <w:pPr>
                        <w:spacing w:line="360" w:lineRule="auto"/>
                        <w:jc w:val="both"/>
                        <w:rPr>
                          <w:rFonts w:ascii="Arial" w:hAnsi="Arial" w:cs="Arial"/>
                          <w:sz w:val="24"/>
                          <w:szCs w:val="24"/>
                        </w:rPr>
                      </w:pPr>
                    </w:p>
                  </w:tc>
                </w:tr>
              </w:tbl>
              <w:p w14:paraId="0D73B531" w14:textId="77777777" w:rsidR="005862F1" w:rsidRPr="00747066" w:rsidRDefault="005862F1" w:rsidP="00747066">
                <w:pPr>
                  <w:spacing w:line="360" w:lineRule="auto"/>
                  <w:jc w:val="both"/>
                  <w:rPr>
                    <w:rFonts w:ascii="Arial" w:hAnsi="Arial" w:cs="Arial"/>
                    <w:vanish/>
                    <w:sz w:val="24"/>
                    <w:szCs w:val="24"/>
                  </w:rPr>
                </w:pPr>
              </w:p>
            </w:tc>
          </w:tr>
          <w:tr w:rsidR="005862F1" w:rsidRPr="00747066" w14:paraId="62F7F0CF"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747066" w14:paraId="6D8317BD" w14:textId="77777777" w:rsidTr="00D221F8">
                  <w:trPr>
                    <w:tblCellSpacing w:w="15" w:type="dxa"/>
                  </w:trPr>
                  <w:tc>
                    <w:tcPr>
                      <w:tcW w:w="0" w:type="auto"/>
                      <w:vAlign w:val="center"/>
                      <w:hideMark/>
                    </w:tcPr>
                    <w:p w14:paraId="73B7CEBD"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2024</w:t>
                      </w:r>
                    </w:p>
                  </w:tc>
                </w:tr>
              </w:tbl>
              <w:p w14:paraId="5932A59F" w14:textId="77777777" w:rsidR="005862F1" w:rsidRPr="00747066" w:rsidRDefault="005862F1" w:rsidP="00747066">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1"/>
                </w:tblGrid>
                <w:tr w:rsidR="005862F1" w:rsidRPr="00747066" w14:paraId="6F9F984A" w14:textId="77777777" w:rsidTr="00D221F8">
                  <w:trPr>
                    <w:tblCellSpacing w:w="15" w:type="dxa"/>
                  </w:trPr>
                  <w:tc>
                    <w:tcPr>
                      <w:tcW w:w="0" w:type="auto"/>
                      <w:vAlign w:val="center"/>
                      <w:hideMark/>
                    </w:tcPr>
                    <w:p w14:paraId="07089743"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14.2%</w:t>
                      </w:r>
                    </w:p>
                  </w:tc>
                </w:tr>
              </w:tbl>
              <w:p w14:paraId="58A23C80" w14:textId="77777777" w:rsidR="005862F1" w:rsidRPr="00747066" w:rsidRDefault="005862F1" w:rsidP="00747066">
                <w:pPr>
                  <w:spacing w:line="360" w:lineRule="auto"/>
                  <w:jc w:val="both"/>
                  <w:rPr>
                    <w:rFonts w:ascii="Arial" w:hAnsi="Arial" w:cs="Arial"/>
                    <w:vanish/>
                    <w:sz w:val="24"/>
                    <w:szCs w:val="24"/>
                  </w:rPr>
                </w:pPr>
              </w:p>
            </w:tc>
          </w:tr>
        </w:tbl>
        <w:p w14:paraId="5CDE2E22" w14:textId="77777777" w:rsidR="005862F1" w:rsidRPr="00747066" w:rsidRDefault="005862F1" w:rsidP="00747066">
          <w:pPr>
            <w:spacing w:line="360" w:lineRule="auto"/>
            <w:jc w:val="both"/>
            <w:rPr>
              <w:rFonts w:ascii="Arial" w:hAnsi="Arial" w:cs="Arial"/>
              <w:sz w:val="24"/>
              <w:szCs w:val="24"/>
            </w:rPr>
          </w:pPr>
        </w:p>
        <w:p w14:paraId="529CAEA2"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The Common Equity Tier 1 (CET1) ratio is calculated by taking a bank's equity capital and dividing it by their risk-weighted assets, which is ultimately said to be the easiest way to assess a bank's capital adequacy. With Lloyds, CET1 went from 13.7% in 2023, up to 14.2% in 2024. This move is significantly greater than the regulatory minimum required CET1 of 11%, which should indicate, as a base assumption, that Lloyds is well capitalized and resilient enough to accept unexpected losses and meet Prudential Regulation Authority's (PRA) defined target overall.</w:t>
          </w:r>
        </w:p>
        <w:p w14:paraId="5FE46659" w14:textId="77777777" w:rsidR="005862F1" w:rsidRPr="00747066" w:rsidRDefault="005862F1" w:rsidP="00747066">
          <w:pPr>
            <w:spacing w:line="360" w:lineRule="auto"/>
            <w:jc w:val="both"/>
            <w:rPr>
              <w:rFonts w:ascii="Arial" w:hAnsi="Arial" w:cs="Arial"/>
              <w:b/>
              <w:sz w:val="24"/>
              <w:szCs w:val="24"/>
              <w:u w:val="single"/>
            </w:rPr>
          </w:pPr>
          <w:r w:rsidRPr="00747066">
            <w:rPr>
              <w:rFonts w:ascii="Arial" w:hAnsi="Arial" w:cs="Arial"/>
              <w:b/>
              <w:sz w:val="24"/>
              <w:szCs w:val="24"/>
              <w:u w:val="single"/>
            </w:rPr>
            <w:t>Efficiency Ratios</w:t>
          </w:r>
        </w:p>
        <w:p w14:paraId="58375AF1" w14:textId="77777777" w:rsidR="005862F1" w:rsidRPr="00747066" w:rsidRDefault="005862F1" w:rsidP="00747066">
          <w:pPr>
            <w:spacing w:line="360" w:lineRule="auto"/>
            <w:jc w:val="both"/>
            <w:rPr>
              <w:rFonts w:ascii="Arial" w:hAnsi="Arial" w:cs="Arial"/>
              <w:b/>
              <w:i/>
              <w:sz w:val="24"/>
              <w:szCs w:val="24"/>
            </w:rPr>
          </w:pPr>
          <w:r w:rsidRPr="00747066">
            <w:rPr>
              <w:rFonts w:ascii="Arial" w:hAnsi="Arial" w:cs="Arial"/>
              <w:b/>
              <w:i/>
              <w:sz w:val="24"/>
              <w:szCs w:val="24"/>
            </w:rPr>
            <w:t>Cost-to-Income Ratio (C/I)</w:t>
          </w:r>
        </w:p>
        <w:tbl>
          <w:tblPr>
            <w:tblStyle w:val="TableGrid"/>
            <w:tblW w:w="0" w:type="auto"/>
            <w:tblLook w:val="04A0" w:firstRow="1" w:lastRow="0" w:firstColumn="1" w:lastColumn="0" w:noHBand="0" w:noVBand="1"/>
          </w:tblPr>
          <w:tblGrid>
            <w:gridCol w:w="2255"/>
            <w:gridCol w:w="2277"/>
            <w:gridCol w:w="2267"/>
            <w:gridCol w:w="2261"/>
          </w:tblGrid>
          <w:tr w:rsidR="005862F1" w:rsidRPr="00747066" w14:paraId="6F380DD8" w14:textId="77777777" w:rsidTr="00D221F8">
            <w:tc>
              <w:tcPr>
                <w:tcW w:w="2310" w:type="dxa"/>
                <w:vAlign w:val="center"/>
              </w:tcPr>
              <w:p w14:paraId="5EA8BDFE" w14:textId="77777777" w:rsidR="005862F1" w:rsidRPr="00747066" w:rsidRDefault="005862F1" w:rsidP="00747066">
                <w:pPr>
                  <w:spacing w:line="360" w:lineRule="auto"/>
                  <w:jc w:val="both"/>
                  <w:rPr>
                    <w:rFonts w:ascii="Arial" w:hAnsi="Arial" w:cs="Arial"/>
                    <w:b/>
                    <w:bCs/>
                    <w:sz w:val="24"/>
                    <w:szCs w:val="24"/>
                  </w:rPr>
                </w:pPr>
                <w:r w:rsidRPr="00747066">
                  <w:rPr>
                    <w:rFonts w:ascii="Arial" w:hAnsi="Arial" w:cs="Arial"/>
                    <w:b/>
                    <w:bCs/>
                    <w:sz w:val="24"/>
                    <w:szCs w:val="24"/>
                  </w:rPr>
                  <w:t>Year</w:t>
                </w: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7"/>
                </w:tblGrid>
                <w:tr w:rsidR="005862F1" w:rsidRPr="00747066" w14:paraId="78902052" w14:textId="77777777" w:rsidTr="00D221F8">
                  <w:trPr>
                    <w:tblCellSpacing w:w="15" w:type="dxa"/>
                  </w:trPr>
                  <w:tc>
                    <w:tcPr>
                      <w:tcW w:w="0" w:type="auto"/>
                      <w:vAlign w:val="center"/>
                      <w:hideMark/>
                    </w:tcPr>
                    <w:p w14:paraId="0A8DAF70" w14:textId="77777777" w:rsidR="005862F1" w:rsidRPr="00747066" w:rsidRDefault="005862F1" w:rsidP="00747066">
                      <w:pPr>
                        <w:spacing w:line="360" w:lineRule="auto"/>
                        <w:jc w:val="both"/>
                        <w:rPr>
                          <w:rFonts w:ascii="Arial" w:hAnsi="Arial" w:cs="Arial"/>
                          <w:b/>
                          <w:bCs/>
                          <w:sz w:val="24"/>
                          <w:szCs w:val="24"/>
                        </w:rPr>
                      </w:pPr>
                      <w:r w:rsidRPr="00747066">
                        <w:rPr>
                          <w:rFonts w:ascii="Arial" w:hAnsi="Arial" w:cs="Arial"/>
                          <w:b/>
                          <w:bCs/>
                          <w:sz w:val="24"/>
                          <w:szCs w:val="24"/>
                        </w:rPr>
                        <w:t>Operating Costs</w:t>
                      </w:r>
                    </w:p>
                  </w:tc>
                </w:tr>
              </w:tbl>
              <w:p w14:paraId="4C34D250"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1"/>
                </w:tblGrid>
                <w:tr w:rsidR="005862F1" w:rsidRPr="00747066" w14:paraId="27BAF5BA" w14:textId="77777777" w:rsidTr="00D221F8">
                  <w:trPr>
                    <w:tblCellSpacing w:w="15" w:type="dxa"/>
                  </w:trPr>
                  <w:tc>
                    <w:tcPr>
                      <w:tcW w:w="0" w:type="auto"/>
                      <w:vAlign w:val="center"/>
                      <w:hideMark/>
                    </w:tcPr>
                    <w:p w14:paraId="21752FE4" w14:textId="77777777" w:rsidR="005862F1" w:rsidRPr="00747066" w:rsidRDefault="005862F1" w:rsidP="00747066">
                      <w:pPr>
                        <w:spacing w:line="360" w:lineRule="auto"/>
                        <w:jc w:val="both"/>
                        <w:rPr>
                          <w:rFonts w:ascii="Arial" w:hAnsi="Arial" w:cs="Arial"/>
                          <w:b/>
                          <w:bCs/>
                          <w:sz w:val="24"/>
                          <w:szCs w:val="24"/>
                        </w:rPr>
                      </w:pPr>
                      <w:r w:rsidRPr="00747066">
                        <w:rPr>
                          <w:rFonts w:ascii="Arial" w:hAnsi="Arial" w:cs="Arial"/>
                          <w:b/>
                          <w:bCs/>
                          <w:sz w:val="24"/>
                          <w:szCs w:val="24"/>
                        </w:rPr>
                        <w:t>Income</w:t>
                      </w:r>
                    </w:p>
                  </w:tc>
                </w:tr>
              </w:tbl>
              <w:p w14:paraId="4A71A761"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4"/>
                </w:tblGrid>
                <w:tr w:rsidR="005862F1" w:rsidRPr="00747066" w14:paraId="77395E15" w14:textId="77777777" w:rsidTr="00D221F8">
                  <w:trPr>
                    <w:tblCellSpacing w:w="15" w:type="dxa"/>
                  </w:trPr>
                  <w:tc>
                    <w:tcPr>
                      <w:tcW w:w="0" w:type="auto"/>
                      <w:vAlign w:val="center"/>
                      <w:hideMark/>
                    </w:tcPr>
                    <w:p w14:paraId="052F00AB" w14:textId="77777777" w:rsidR="005862F1" w:rsidRPr="00747066" w:rsidRDefault="005862F1" w:rsidP="00747066">
                      <w:pPr>
                        <w:spacing w:line="360" w:lineRule="auto"/>
                        <w:jc w:val="both"/>
                        <w:rPr>
                          <w:rFonts w:ascii="Arial" w:hAnsi="Arial" w:cs="Arial"/>
                          <w:b/>
                          <w:bCs/>
                          <w:sz w:val="24"/>
                          <w:szCs w:val="24"/>
                        </w:rPr>
                      </w:pPr>
                      <w:r w:rsidRPr="00747066">
                        <w:rPr>
                          <w:rFonts w:ascii="Arial" w:hAnsi="Arial" w:cs="Arial"/>
                          <w:b/>
                          <w:bCs/>
                          <w:sz w:val="24"/>
                          <w:szCs w:val="24"/>
                        </w:rPr>
                        <w:t>C/I Ratio</w:t>
                      </w:r>
                    </w:p>
                  </w:tc>
                </w:tr>
              </w:tbl>
              <w:p w14:paraId="6EDB5425" w14:textId="77777777" w:rsidR="005862F1" w:rsidRPr="00747066" w:rsidRDefault="005862F1" w:rsidP="00747066">
                <w:pPr>
                  <w:spacing w:line="360" w:lineRule="auto"/>
                  <w:jc w:val="both"/>
                  <w:rPr>
                    <w:rFonts w:ascii="Arial" w:hAnsi="Arial" w:cs="Arial"/>
                    <w:sz w:val="24"/>
                    <w:szCs w:val="24"/>
                  </w:rPr>
                </w:pPr>
              </w:p>
            </w:tc>
          </w:tr>
          <w:tr w:rsidR="005862F1" w:rsidRPr="00747066" w14:paraId="00BD5C21"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747066" w14:paraId="1AE998FF" w14:textId="77777777" w:rsidTr="00D221F8">
                  <w:trPr>
                    <w:tblCellSpacing w:w="15" w:type="dxa"/>
                  </w:trPr>
                  <w:tc>
                    <w:tcPr>
                      <w:tcW w:w="0" w:type="auto"/>
                      <w:vAlign w:val="center"/>
                      <w:hideMark/>
                    </w:tcPr>
                    <w:p w14:paraId="547801CB"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2023</w:t>
                      </w:r>
                    </w:p>
                  </w:tc>
                </w:tr>
              </w:tbl>
              <w:p w14:paraId="0E9F36B9" w14:textId="77777777" w:rsidR="005862F1" w:rsidRPr="00747066" w:rsidRDefault="005862F1" w:rsidP="00747066">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4"/>
                </w:tblGrid>
                <w:tr w:rsidR="005862F1" w:rsidRPr="00747066" w14:paraId="473C7E93" w14:textId="77777777" w:rsidTr="00D221F8">
                  <w:trPr>
                    <w:tblCellSpacing w:w="15" w:type="dxa"/>
                  </w:trPr>
                  <w:tc>
                    <w:tcPr>
                      <w:tcW w:w="0" w:type="auto"/>
                      <w:vAlign w:val="center"/>
                      <w:hideMark/>
                    </w:tcPr>
                    <w:p w14:paraId="0D0300A5"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9,300^</w:t>
                      </w:r>
                    </w:p>
                  </w:tc>
                </w:tr>
              </w:tbl>
              <w:p w14:paraId="76D0B5ED"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7"/>
                </w:tblGrid>
                <w:tr w:rsidR="005862F1" w:rsidRPr="00747066" w14:paraId="164BB547" w14:textId="77777777" w:rsidTr="00D221F8">
                  <w:trPr>
                    <w:tblCellSpacing w:w="15" w:type="dxa"/>
                  </w:trPr>
                  <w:tc>
                    <w:tcPr>
                      <w:tcW w:w="0" w:type="auto"/>
                      <w:vAlign w:val="center"/>
                      <w:hideMark/>
                    </w:tcPr>
                    <w:p w14:paraId="3FE02DD9"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19,400^</w:t>
                      </w:r>
                    </w:p>
                  </w:tc>
                </w:tr>
              </w:tbl>
              <w:p w14:paraId="7176174B"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1"/>
                </w:tblGrid>
                <w:tr w:rsidR="005862F1" w:rsidRPr="00747066" w14:paraId="76602B8B" w14:textId="77777777" w:rsidTr="00D221F8">
                  <w:trPr>
                    <w:tblCellSpacing w:w="15" w:type="dxa"/>
                  </w:trPr>
                  <w:tc>
                    <w:tcPr>
                      <w:tcW w:w="0" w:type="auto"/>
                      <w:vAlign w:val="center"/>
                      <w:hideMark/>
                    </w:tcPr>
                    <w:p w14:paraId="5A68826B"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47.9%</w:t>
                      </w:r>
                    </w:p>
                  </w:tc>
                </w:tr>
              </w:tbl>
              <w:p w14:paraId="62736A2E" w14:textId="77777777" w:rsidR="005862F1" w:rsidRPr="00747066" w:rsidRDefault="005862F1" w:rsidP="00747066">
                <w:pPr>
                  <w:spacing w:line="360" w:lineRule="auto"/>
                  <w:jc w:val="both"/>
                  <w:rPr>
                    <w:rFonts w:ascii="Arial" w:hAnsi="Arial" w:cs="Arial"/>
                    <w:sz w:val="24"/>
                    <w:szCs w:val="24"/>
                  </w:rPr>
                </w:pPr>
              </w:p>
            </w:tc>
          </w:tr>
          <w:tr w:rsidR="005862F1" w:rsidRPr="00747066" w14:paraId="58A56887"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747066" w14:paraId="127F8C59" w14:textId="77777777" w:rsidTr="00D221F8">
                  <w:trPr>
                    <w:tblCellSpacing w:w="15" w:type="dxa"/>
                  </w:trPr>
                  <w:tc>
                    <w:tcPr>
                      <w:tcW w:w="0" w:type="auto"/>
                      <w:vAlign w:val="center"/>
                      <w:hideMark/>
                    </w:tcPr>
                    <w:p w14:paraId="7B84034D"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2024</w:t>
                      </w:r>
                    </w:p>
                  </w:tc>
                </w:tr>
              </w:tbl>
              <w:p w14:paraId="4237FC96" w14:textId="77777777" w:rsidR="005862F1" w:rsidRPr="00747066" w:rsidRDefault="005862F1" w:rsidP="00747066">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4"/>
                </w:tblGrid>
                <w:tr w:rsidR="005862F1" w:rsidRPr="00747066" w14:paraId="0C708E2B" w14:textId="77777777" w:rsidTr="00D221F8">
                  <w:trPr>
                    <w:tblCellSpacing w:w="15" w:type="dxa"/>
                  </w:trPr>
                  <w:tc>
                    <w:tcPr>
                      <w:tcW w:w="0" w:type="auto"/>
                      <w:vAlign w:val="center"/>
                      <w:hideMark/>
                    </w:tcPr>
                    <w:p w14:paraId="78E1E08E"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9,300^</w:t>
                      </w:r>
                    </w:p>
                  </w:tc>
                </w:tr>
              </w:tbl>
              <w:p w14:paraId="550AAE5C"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7"/>
                </w:tblGrid>
                <w:tr w:rsidR="005862F1" w:rsidRPr="00747066" w14:paraId="61479717" w14:textId="77777777" w:rsidTr="00D221F8">
                  <w:trPr>
                    <w:tblCellSpacing w:w="15" w:type="dxa"/>
                  </w:trPr>
                  <w:tc>
                    <w:tcPr>
                      <w:tcW w:w="0" w:type="auto"/>
                      <w:vAlign w:val="center"/>
                      <w:hideMark/>
                    </w:tcPr>
                    <w:p w14:paraId="15CFD5BE"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12,600^</w:t>
                      </w:r>
                    </w:p>
                  </w:tc>
                </w:tr>
              </w:tbl>
              <w:p w14:paraId="127C289F"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1"/>
                </w:tblGrid>
                <w:tr w:rsidR="005862F1" w:rsidRPr="00747066" w14:paraId="69C7190D" w14:textId="77777777" w:rsidTr="00D221F8">
                  <w:trPr>
                    <w:tblCellSpacing w:w="15" w:type="dxa"/>
                  </w:trPr>
                  <w:tc>
                    <w:tcPr>
                      <w:tcW w:w="0" w:type="auto"/>
                      <w:vAlign w:val="center"/>
                      <w:hideMark/>
                    </w:tcPr>
                    <w:p w14:paraId="402F1861"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73.7%</w:t>
                      </w:r>
                    </w:p>
                  </w:tc>
                </w:tr>
              </w:tbl>
              <w:p w14:paraId="1619036F" w14:textId="77777777" w:rsidR="005862F1" w:rsidRPr="00747066" w:rsidRDefault="005862F1" w:rsidP="00747066">
                <w:pPr>
                  <w:spacing w:line="360" w:lineRule="auto"/>
                  <w:jc w:val="both"/>
                  <w:rPr>
                    <w:rFonts w:ascii="Arial" w:hAnsi="Arial" w:cs="Arial"/>
                    <w:sz w:val="24"/>
                    <w:szCs w:val="24"/>
                  </w:rPr>
                </w:pPr>
              </w:p>
            </w:tc>
          </w:tr>
        </w:tbl>
        <w:p w14:paraId="5CA7ED84" w14:textId="77777777" w:rsidR="005862F1" w:rsidRPr="00747066" w:rsidRDefault="005862F1" w:rsidP="00747066">
          <w:pPr>
            <w:spacing w:line="360" w:lineRule="auto"/>
            <w:jc w:val="both"/>
            <w:rPr>
              <w:rFonts w:ascii="Arial" w:hAnsi="Arial" w:cs="Arial"/>
              <w:sz w:val="24"/>
              <w:szCs w:val="24"/>
            </w:rPr>
          </w:pPr>
        </w:p>
        <w:p w14:paraId="314FBF10"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The Cost-to-Income (C/I) ratio measures how efficiently a bank can operate, comparing operating costs to total income. Lloyds' C/I jumped to 73.7% in 2024, up from 47.9% in 2023. The increase here reflected that somewhat higher costs with respect to income; however, the absolute increase in the ratio directly suggests difficulty for the bank to maintain efficiency with slow growth PRAs issues and remediation.</w:t>
          </w:r>
        </w:p>
        <w:p w14:paraId="5B61A80C" w14:textId="77777777" w:rsidR="005862F1" w:rsidRPr="00747066" w:rsidRDefault="005862F1" w:rsidP="00747066">
          <w:pPr>
            <w:spacing w:line="360" w:lineRule="auto"/>
            <w:jc w:val="both"/>
            <w:rPr>
              <w:rFonts w:ascii="Arial" w:hAnsi="Arial" w:cs="Arial"/>
              <w:b/>
              <w:sz w:val="24"/>
              <w:szCs w:val="24"/>
              <w:u w:val="single"/>
            </w:rPr>
          </w:pPr>
          <w:r w:rsidRPr="00747066">
            <w:rPr>
              <w:rFonts w:ascii="Arial" w:hAnsi="Arial" w:cs="Arial"/>
              <w:b/>
              <w:sz w:val="24"/>
              <w:szCs w:val="24"/>
              <w:u w:val="single"/>
            </w:rPr>
            <w:lastRenderedPageBreak/>
            <w:t>Investor Ratios</w:t>
          </w:r>
        </w:p>
        <w:p w14:paraId="4C78A907" w14:textId="77777777" w:rsidR="005862F1" w:rsidRPr="00747066" w:rsidRDefault="005862F1" w:rsidP="00747066">
          <w:pPr>
            <w:spacing w:line="360" w:lineRule="auto"/>
            <w:jc w:val="both"/>
            <w:rPr>
              <w:rFonts w:ascii="Arial" w:hAnsi="Arial" w:cs="Arial"/>
              <w:b/>
              <w:i/>
              <w:sz w:val="24"/>
              <w:szCs w:val="24"/>
            </w:rPr>
          </w:pPr>
          <w:r w:rsidRPr="00747066">
            <w:rPr>
              <w:rFonts w:ascii="Arial" w:hAnsi="Arial" w:cs="Arial"/>
              <w:b/>
              <w:i/>
              <w:sz w:val="24"/>
              <w:szCs w:val="24"/>
            </w:rPr>
            <w:t>EPS &amp; Dividend Yield</w:t>
          </w:r>
        </w:p>
        <w:tbl>
          <w:tblPr>
            <w:tblStyle w:val="TableGrid"/>
            <w:tblW w:w="0" w:type="auto"/>
            <w:tblLook w:val="04A0" w:firstRow="1" w:lastRow="0" w:firstColumn="1" w:lastColumn="0" w:noHBand="0" w:noVBand="1"/>
          </w:tblPr>
          <w:tblGrid>
            <w:gridCol w:w="2256"/>
            <w:gridCol w:w="2268"/>
            <w:gridCol w:w="2274"/>
            <w:gridCol w:w="2262"/>
          </w:tblGrid>
          <w:tr w:rsidR="005862F1" w:rsidRPr="00747066" w14:paraId="2920717B" w14:textId="77777777" w:rsidTr="00D221F8">
            <w:tc>
              <w:tcPr>
                <w:tcW w:w="2310" w:type="dxa"/>
                <w:vAlign w:val="center"/>
              </w:tcPr>
              <w:p w14:paraId="4BF9551F" w14:textId="77777777" w:rsidR="005862F1" w:rsidRPr="00747066" w:rsidRDefault="005862F1" w:rsidP="00747066">
                <w:pPr>
                  <w:spacing w:line="360" w:lineRule="auto"/>
                  <w:jc w:val="both"/>
                  <w:rPr>
                    <w:rFonts w:ascii="Arial" w:hAnsi="Arial" w:cs="Arial"/>
                    <w:b/>
                    <w:bCs/>
                    <w:sz w:val="24"/>
                    <w:szCs w:val="24"/>
                  </w:rPr>
                </w:pPr>
                <w:r w:rsidRPr="00747066">
                  <w:rPr>
                    <w:rFonts w:ascii="Arial" w:hAnsi="Arial" w:cs="Arial"/>
                    <w:b/>
                    <w:bCs/>
                    <w:sz w:val="24"/>
                    <w:szCs w:val="24"/>
                  </w:rPr>
                  <w:t>Year</w:t>
                </w: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1"/>
                </w:tblGrid>
                <w:tr w:rsidR="005862F1" w:rsidRPr="00747066" w14:paraId="3117DC9B" w14:textId="77777777" w:rsidTr="00D221F8">
                  <w:trPr>
                    <w:tblCellSpacing w:w="15" w:type="dxa"/>
                  </w:trPr>
                  <w:tc>
                    <w:tcPr>
                      <w:tcW w:w="0" w:type="auto"/>
                      <w:vAlign w:val="center"/>
                      <w:hideMark/>
                    </w:tcPr>
                    <w:p w14:paraId="37436F76" w14:textId="77777777" w:rsidR="005862F1" w:rsidRPr="00747066" w:rsidRDefault="005862F1" w:rsidP="00747066">
                      <w:pPr>
                        <w:spacing w:line="360" w:lineRule="auto"/>
                        <w:jc w:val="both"/>
                        <w:rPr>
                          <w:rFonts w:ascii="Arial" w:hAnsi="Arial" w:cs="Arial"/>
                          <w:b/>
                          <w:bCs/>
                          <w:sz w:val="24"/>
                          <w:szCs w:val="24"/>
                        </w:rPr>
                      </w:pPr>
                      <w:r w:rsidRPr="00747066">
                        <w:rPr>
                          <w:rFonts w:ascii="Arial" w:hAnsi="Arial" w:cs="Arial"/>
                          <w:b/>
                          <w:bCs/>
                          <w:sz w:val="24"/>
                          <w:szCs w:val="24"/>
                        </w:rPr>
                        <w:t>EPS (pence)</w:t>
                      </w:r>
                    </w:p>
                  </w:tc>
                </w:tr>
              </w:tbl>
              <w:p w14:paraId="7B76FEDF"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4"/>
                </w:tblGrid>
                <w:tr w:rsidR="005862F1" w:rsidRPr="00747066" w14:paraId="290CB0A5" w14:textId="77777777" w:rsidTr="00D221F8">
                  <w:trPr>
                    <w:tblCellSpacing w:w="15" w:type="dxa"/>
                  </w:trPr>
                  <w:tc>
                    <w:tcPr>
                      <w:tcW w:w="0" w:type="auto"/>
                      <w:vAlign w:val="center"/>
                      <w:hideMark/>
                    </w:tcPr>
                    <w:p w14:paraId="1F1CA5AD" w14:textId="77777777" w:rsidR="005862F1" w:rsidRPr="00747066" w:rsidRDefault="005862F1" w:rsidP="00747066">
                      <w:pPr>
                        <w:spacing w:line="360" w:lineRule="auto"/>
                        <w:jc w:val="both"/>
                        <w:rPr>
                          <w:rFonts w:ascii="Arial" w:hAnsi="Arial" w:cs="Arial"/>
                          <w:b/>
                          <w:bCs/>
                          <w:sz w:val="24"/>
                          <w:szCs w:val="24"/>
                        </w:rPr>
                      </w:pPr>
                      <w:r w:rsidRPr="00747066">
                        <w:rPr>
                          <w:rFonts w:ascii="Arial" w:hAnsi="Arial" w:cs="Arial"/>
                          <w:b/>
                          <w:bCs/>
                          <w:sz w:val="24"/>
                          <w:szCs w:val="24"/>
                        </w:rPr>
                        <w:t>Dividend (pence)</w:t>
                      </w:r>
                    </w:p>
                  </w:tc>
                </w:tr>
              </w:tbl>
              <w:p w14:paraId="66E178C4"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4"/>
                </w:tblGrid>
                <w:tr w:rsidR="005862F1" w:rsidRPr="00747066" w14:paraId="02F8DEFB" w14:textId="77777777" w:rsidTr="00D221F8">
                  <w:trPr>
                    <w:tblCellSpacing w:w="15" w:type="dxa"/>
                  </w:trPr>
                  <w:tc>
                    <w:tcPr>
                      <w:tcW w:w="0" w:type="auto"/>
                      <w:vAlign w:val="center"/>
                      <w:hideMark/>
                    </w:tcPr>
                    <w:p w14:paraId="72E2D456" w14:textId="77777777" w:rsidR="005862F1" w:rsidRPr="00747066" w:rsidRDefault="005862F1" w:rsidP="00747066">
                      <w:pPr>
                        <w:spacing w:line="360" w:lineRule="auto"/>
                        <w:jc w:val="both"/>
                        <w:rPr>
                          <w:rFonts w:ascii="Arial" w:hAnsi="Arial" w:cs="Arial"/>
                          <w:b/>
                          <w:bCs/>
                          <w:sz w:val="24"/>
                          <w:szCs w:val="24"/>
                        </w:rPr>
                      </w:pPr>
                      <w:r w:rsidRPr="00747066">
                        <w:rPr>
                          <w:rFonts w:ascii="Arial" w:hAnsi="Arial" w:cs="Arial"/>
                          <w:b/>
                          <w:bCs/>
                          <w:sz w:val="24"/>
                          <w:szCs w:val="24"/>
                        </w:rPr>
                        <w:t>Yield</w:t>
                      </w:r>
                    </w:p>
                  </w:tc>
                </w:tr>
              </w:tbl>
              <w:p w14:paraId="208F00DA" w14:textId="77777777" w:rsidR="005862F1" w:rsidRPr="00747066" w:rsidRDefault="005862F1" w:rsidP="00747066">
                <w:pPr>
                  <w:spacing w:line="360" w:lineRule="auto"/>
                  <w:jc w:val="both"/>
                  <w:rPr>
                    <w:rFonts w:ascii="Arial" w:hAnsi="Arial" w:cs="Arial"/>
                    <w:sz w:val="24"/>
                    <w:szCs w:val="24"/>
                  </w:rPr>
                </w:pPr>
              </w:p>
            </w:tc>
          </w:tr>
          <w:tr w:rsidR="005862F1" w:rsidRPr="00747066" w14:paraId="21A7C1E5"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747066" w14:paraId="26F428C7" w14:textId="77777777" w:rsidTr="00D221F8">
                  <w:trPr>
                    <w:tblCellSpacing w:w="15" w:type="dxa"/>
                  </w:trPr>
                  <w:tc>
                    <w:tcPr>
                      <w:tcW w:w="0" w:type="auto"/>
                      <w:vAlign w:val="center"/>
                      <w:hideMark/>
                    </w:tcPr>
                    <w:p w14:paraId="5CAE54B2"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2023</w:t>
                      </w:r>
                    </w:p>
                  </w:tc>
                </w:tr>
              </w:tbl>
              <w:p w14:paraId="7FCD1449" w14:textId="77777777" w:rsidR="005862F1" w:rsidRPr="00747066" w:rsidRDefault="005862F1" w:rsidP="00747066">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
                </w:tblGrid>
                <w:tr w:rsidR="005862F1" w:rsidRPr="00747066" w14:paraId="29E7CA1D" w14:textId="77777777" w:rsidTr="00D221F8">
                  <w:trPr>
                    <w:tblCellSpacing w:w="15" w:type="dxa"/>
                  </w:trPr>
                  <w:tc>
                    <w:tcPr>
                      <w:tcW w:w="0" w:type="auto"/>
                      <w:vAlign w:val="center"/>
                      <w:hideMark/>
                    </w:tcPr>
                    <w:p w14:paraId="799024FC"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1.9</w:t>
                      </w:r>
                    </w:p>
                  </w:tc>
                </w:tr>
              </w:tbl>
              <w:p w14:paraId="3C418A09"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8"/>
                </w:tblGrid>
                <w:tr w:rsidR="005862F1" w:rsidRPr="00747066" w14:paraId="3187D757" w14:textId="77777777" w:rsidTr="00D221F8">
                  <w:trPr>
                    <w:tblCellSpacing w:w="15" w:type="dxa"/>
                  </w:trPr>
                  <w:tc>
                    <w:tcPr>
                      <w:tcW w:w="0" w:type="auto"/>
                      <w:vAlign w:val="center"/>
                      <w:hideMark/>
                    </w:tcPr>
                    <w:p w14:paraId="39594A65"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2.76</w:t>
                      </w:r>
                    </w:p>
                  </w:tc>
                </w:tr>
              </w:tbl>
              <w:p w14:paraId="435CE57E"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8"/>
                </w:tblGrid>
                <w:tr w:rsidR="005862F1" w:rsidRPr="00747066" w14:paraId="0128C0CC" w14:textId="77777777" w:rsidTr="00D221F8">
                  <w:trPr>
                    <w:tblCellSpacing w:w="15" w:type="dxa"/>
                  </w:trPr>
                  <w:tc>
                    <w:tcPr>
                      <w:tcW w:w="0" w:type="auto"/>
                      <w:vAlign w:val="center"/>
                      <w:hideMark/>
                    </w:tcPr>
                    <w:p w14:paraId="5DDCF826"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~6.5%</w:t>
                      </w:r>
                    </w:p>
                  </w:tc>
                </w:tr>
              </w:tbl>
              <w:p w14:paraId="1378F04F" w14:textId="77777777" w:rsidR="005862F1" w:rsidRPr="00747066" w:rsidRDefault="005862F1" w:rsidP="00747066">
                <w:pPr>
                  <w:spacing w:line="360" w:lineRule="auto"/>
                  <w:jc w:val="both"/>
                  <w:rPr>
                    <w:rFonts w:ascii="Arial" w:hAnsi="Arial" w:cs="Arial"/>
                    <w:sz w:val="24"/>
                    <w:szCs w:val="24"/>
                  </w:rPr>
                </w:pPr>
              </w:p>
            </w:tc>
          </w:tr>
          <w:tr w:rsidR="005862F1" w:rsidRPr="00747066" w14:paraId="41241A96"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4"/>
                </w:tblGrid>
                <w:tr w:rsidR="005862F1" w:rsidRPr="00747066" w14:paraId="3F99CA18" w14:textId="77777777" w:rsidTr="00D221F8">
                  <w:trPr>
                    <w:tblCellSpacing w:w="15" w:type="dxa"/>
                  </w:trPr>
                  <w:tc>
                    <w:tcPr>
                      <w:tcW w:w="0" w:type="auto"/>
                      <w:vAlign w:val="center"/>
                      <w:hideMark/>
                    </w:tcPr>
                    <w:p w14:paraId="3BC64033"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2024</w:t>
                      </w:r>
                    </w:p>
                  </w:tc>
                </w:tr>
              </w:tbl>
              <w:p w14:paraId="09EAC98C" w14:textId="77777777" w:rsidR="005862F1" w:rsidRPr="00747066" w:rsidRDefault="005862F1" w:rsidP="00747066">
                <w:pPr>
                  <w:spacing w:line="360" w:lineRule="auto"/>
                  <w:jc w:val="both"/>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4"/>
                </w:tblGrid>
                <w:tr w:rsidR="005862F1" w:rsidRPr="00747066" w14:paraId="0D65363A" w14:textId="77777777" w:rsidTr="00D221F8">
                  <w:trPr>
                    <w:tblCellSpacing w:w="15" w:type="dxa"/>
                  </w:trPr>
                  <w:tc>
                    <w:tcPr>
                      <w:tcW w:w="0" w:type="auto"/>
                      <w:vAlign w:val="center"/>
                      <w:hideMark/>
                    </w:tcPr>
                    <w:p w14:paraId="0F42B6A3"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1.0</w:t>
                      </w:r>
                    </w:p>
                  </w:tc>
                </w:tr>
              </w:tbl>
              <w:p w14:paraId="7EDE0C95"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8"/>
                </w:tblGrid>
                <w:tr w:rsidR="005862F1" w:rsidRPr="00747066" w14:paraId="35555625" w14:textId="77777777" w:rsidTr="00D221F8">
                  <w:trPr>
                    <w:tblCellSpacing w:w="15" w:type="dxa"/>
                  </w:trPr>
                  <w:tc>
                    <w:tcPr>
                      <w:tcW w:w="0" w:type="auto"/>
                      <w:vAlign w:val="center"/>
                      <w:hideMark/>
                    </w:tcPr>
                    <w:p w14:paraId="2795B534"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3.17</w:t>
                      </w:r>
                    </w:p>
                  </w:tc>
                </w:tr>
              </w:tbl>
              <w:p w14:paraId="25D6A382" w14:textId="77777777" w:rsidR="005862F1" w:rsidRPr="00747066" w:rsidRDefault="005862F1" w:rsidP="00747066">
                <w:pPr>
                  <w:spacing w:line="360" w:lineRule="auto"/>
                  <w:jc w:val="both"/>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8"/>
                </w:tblGrid>
                <w:tr w:rsidR="005862F1" w:rsidRPr="00747066" w14:paraId="07722615" w14:textId="77777777" w:rsidTr="00D221F8">
                  <w:trPr>
                    <w:tblCellSpacing w:w="15" w:type="dxa"/>
                  </w:trPr>
                  <w:tc>
                    <w:tcPr>
                      <w:tcW w:w="0" w:type="auto"/>
                      <w:vAlign w:val="center"/>
                      <w:hideMark/>
                    </w:tcPr>
                    <w:p w14:paraId="364B7271"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~7.5%</w:t>
                      </w:r>
                    </w:p>
                  </w:tc>
                </w:tr>
              </w:tbl>
              <w:p w14:paraId="412B9C9D" w14:textId="77777777" w:rsidR="005862F1" w:rsidRPr="00747066" w:rsidRDefault="005862F1" w:rsidP="00747066">
                <w:pPr>
                  <w:spacing w:line="360" w:lineRule="auto"/>
                  <w:jc w:val="both"/>
                  <w:rPr>
                    <w:rFonts w:ascii="Arial" w:hAnsi="Arial" w:cs="Arial"/>
                    <w:sz w:val="24"/>
                    <w:szCs w:val="24"/>
                  </w:rPr>
                </w:pPr>
              </w:p>
            </w:tc>
          </w:tr>
        </w:tbl>
        <w:p w14:paraId="211CC762" w14:textId="77777777" w:rsidR="005862F1" w:rsidRPr="00747066" w:rsidRDefault="005862F1" w:rsidP="00747066">
          <w:pPr>
            <w:spacing w:line="360" w:lineRule="auto"/>
            <w:jc w:val="both"/>
            <w:rPr>
              <w:rFonts w:ascii="Arial" w:hAnsi="Arial" w:cs="Arial"/>
              <w:sz w:val="24"/>
              <w:szCs w:val="24"/>
            </w:rPr>
          </w:pPr>
        </w:p>
        <w:p w14:paraId="6819BABD"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EPS (earnings per share) and dividend yield are common measures used by shareholders to understand and potentially forecast returns. In 2024, Lloyds EPS was reduced to 1.0p from 1.9p in 2023, around half the amount, partly due to more provisions for bad debts while also experiencing overall slow growth in earnings. In spite of this, the dividend payment per share increased from 2.76p in 2023, to 3.17p in 2024, yielding approximately a 6.5% to 7.5% yield increase.  This also could be interpreted to mean the managers feel strongly about returning value to shareholders despite the overall pressure on earnings going forward.</w:t>
          </w:r>
        </w:p>
        <w:p w14:paraId="3E1DD115" w14:textId="77777777" w:rsidR="005862F1" w:rsidRPr="00747066" w:rsidRDefault="005862F1" w:rsidP="00747066">
          <w:pPr>
            <w:spacing w:line="360" w:lineRule="auto"/>
            <w:jc w:val="both"/>
            <w:rPr>
              <w:rFonts w:ascii="Arial" w:hAnsi="Arial" w:cs="Arial"/>
              <w:b/>
              <w:sz w:val="24"/>
              <w:szCs w:val="24"/>
            </w:rPr>
          </w:pPr>
          <w:r w:rsidRPr="00747066">
            <w:rPr>
              <w:rFonts w:ascii="Arial" w:hAnsi="Arial" w:cs="Arial"/>
              <w:b/>
              <w:sz w:val="24"/>
              <w:szCs w:val="24"/>
            </w:rPr>
            <w:t>Profitability &amp; ROCE</w:t>
          </w:r>
        </w:p>
        <w:p w14:paraId="18EAE61A" w14:textId="59A17D0F"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The ROCE fell from approximately 1.8% to 1.4%. This was lower PBT driven by increased motor-finance provisions (£1.2bn combined) and slow UK economic growth. Decreasing ROCE</w:t>
          </w:r>
          <w:sdt>
            <w:sdtPr>
              <w:rPr>
                <w:rFonts w:ascii="Arial" w:hAnsi="Arial" w:cs="Arial"/>
                <w:sz w:val="24"/>
                <w:szCs w:val="24"/>
              </w:rPr>
              <w:id w:val="-1772223062"/>
              <w:citation/>
            </w:sdtPr>
            <w:sdtEndPr/>
            <w:sdtContent>
              <w:r w:rsidR="001B6EC3">
                <w:rPr>
                  <w:rFonts w:ascii="Arial" w:hAnsi="Arial" w:cs="Arial"/>
                  <w:sz w:val="24"/>
                  <w:szCs w:val="24"/>
                </w:rPr>
                <w:fldChar w:fldCharType="begin"/>
              </w:r>
              <w:r w:rsidR="001B6EC3">
                <w:rPr>
                  <w:rFonts w:ascii="Arial" w:hAnsi="Arial" w:cs="Arial"/>
                  <w:sz w:val="24"/>
                  <w:szCs w:val="24"/>
                  <w:lang w:val="en-US"/>
                </w:rPr>
                <w:instrText xml:space="preserve"> CITATION Gra01 \l 1033 </w:instrText>
              </w:r>
              <w:r w:rsidR="001B6EC3">
                <w:rPr>
                  <w:rFonts w:ascii="Arial" w:hAnsi="Arial" w:cs="Arial"/>
                  <w:sz w:val="24"/>
                  <w:szCs w:val="24"/>
                </w:rPr>
                <w:fldChar w:fldCharType="separate"/>
              </w:r>
              <w:r w:rsidR="001B6EC3">
                <w:rPr>
                  <w:rFonts w:ascii="Arial" w:hAnsi="Arial" w:cs="Arial"/>
                  <w:noProof/>
                  <w:sz w:val="24"/>
                  <w:szCs w:val="24"/>
                  <w:lang w:val="en-US"/>
                </w:rPr>
                <w:t xml:space="preserve"> </w:t>
              </w:r>
              <w:r w:rsidR="001B6EC3" w:rsidRPr="001B6EC3">
                <w:rPr>
                  <w:rFonts w:ascii="Arial" w:hAnsi="Arial" w:cs="Arial"/>
                  <w:noProof/>
                  <w:sz w:val="24"/>
                  <w:szCs w:val="24"/>
                  <w:lang w:val="en-US"/>
                </w:rPr>
                <w:t>(Graham, 2001)</w:t>
              </w:r>
              <w:r w:rsidR="001B6EC3">
                <w:rPr>
                  <w:rFonts w:ascii="Arial" w:hAnsi="Arial" w:cs="Arial"/>
                  <w:sz w:val="24"/>
                  <w:szCs w:val="24"/>
                </w:rPr>
                <w:fldChar w:fldCharType="end"/>
              </w:r>
            </w:sdtContent>
          </w:sdt>
          <w:r w:rsidR="001B6EC3">
            <w:rPr>
              <w:rFonts w:ascii="Arial" w:hAnsi="Arial" w:cs="Arial"/>
              <w:sz w:val="24"/>
              <w:szCs w:val="24"/>
            </w:rPr>
            <w:t xml:space="preserve"> </w:t>
          </w:r>
          <w:r w:rsidRPr="00747066">
            <w:rPr>
              <w:rFonts w:ascii="Arial" w:hAnsi="Arial" w:cs="Arial"/>
              <w:sz w:val="24"/>
              <w:szCs w:val="24"/>
            </w:rPr>
            <w:t>indicates less effective use of capital, providing a warning signal for management.</w:t>
          </w:r>
        </w:p>
        <w:p w14:paraId="068A3443" w14:textId="77777777" w:rsidR="005862F1" w:rsidRPr="00747066" w:rsidRDefault="005862F1" w:rsidP="00747066">
          <w:pPr>
            <w:spacing w:line="360" w:lineRule="auto"/>
            <w:jc w:val="both"/>
            <w:rPr>
              <w:rFonts w:ascii="Arial" w:hAnsi="Arial" w:cs="Arial"/>
              <w:b/>
              <w:sz w:val="24"/>
              <w:szCs w:val="24"/>
            </w:rPr>
          </w:pPr>
          <w:r w:rsidRPr="00747066">
            <w:rPr>
              <w:rFonts w:ascii="Arial" w:hAnsi="Arial" w:cs="Arial"/>
              <w:b/>
              <w:sz w:val="24"/>
              <w:szCs w:val="24"/>
            </w:rPr>
            <w:t>Liquidity Management</w:t>
          </w:r>
        </w:p>
        <w:p w14:paraId="7F03A662" w14:textId="382F912E"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From a loan-to-deposit ratio perspective it was stable (around 95%), demonstrating balanced growth in lending and deposits again reflecting a more conservative style of business, in keeping with Basel III principles</w:t>
          </w:r>
          <w:sdt>
            <w:sdtPr>
              <w:rPr>
                <w:rFonts w:ascii="Arial" w:hAnsi="Arial" w:cs="Arial"/>
                <w:sz w:val="24"/>
                <w:szCs w:val="24"/>
              </w:rPr>
              <w:id w:val="-2109036417"/>
              <w:citation/>
            </w:sdtPr>
            <w:sdtEndPr/>
            <w:sdtContent>
              <w:r w:rsidR="00582199">
                <w:rPr>
                  <w:rFonts w:ascii="Arial" w:hAnsi="Arial" w:cs="Arial"/>
                  <w:sz w:val="24"/>
                  <w:szCs w:val="24"/>
                </w:rPr>
                <w:fldChar w:fldCharType="begin"/>
              </w:r>
              <w:r w:rsidR="00582199">
                <w:rPr>
                  <w:rFonts w:ascii="Arial" w:hAnsi="Arial" w:cs="Arial"/>
                  <w:sz w:val="24"/>
                  <w:szCs w:val="24"/>
                  <w:lang w:val="en-US"/>
                </w:rPr>
                <w:instrText xml:space="preserve"> CITATION Deu24 \l 1033 </w:instrText>
              </w:r>
              <w:r w:rsidR="00582199">
                <w:rPr>
                  <w:rFonts w:ascii="Arial" w:hAnsi="Arial" w:cs="Arial"/>
                  <w:sz w:val="24"/>
                  <w:szCs w:val="24"/>
                </w:rPr>
                <w:fldChar w:fldCharType="separate"/>
              </w:r>
              <w:r w:rsidR="00582199">
                <w:rPr>
                  <w:rFonts w:ascii="Arial" w:hAnsi="Arial" w:cs="Arial"/>
                  <w:noProof/>
                  <w:sz w:val="24"/>
                  <w:szCs w:val="24"/>
                  <w:lang w:val="en-US"/>
                </w:rPr>
                <w:t xml:space="preserve"> </w:t>
              </w:r>
              <w:r w:rsidR="00582199" w:rsidRPr="00582199">
                <w:rPr>
                  <w:rFonts w:ascii="Arial" w:hAnsi="Arial" w:cs="Arial"/>
                  <w:noProof/>
                  <w:sz w:val="24"/>
                  <w:szCs w:val="24"/>
                  <w:lang w:val="en-US"/>
                </w:rPr>
                <w:t>(Deutsche Bundesbank, 2024)</w:t>
              </w:r>
              <w:r w:rsidR="00582199">
                <w:rPr>
                  <w:rFonts w:ascii="Arial" w:hAnsi="Arial" w:cs="Arial"/>
                  <w:sz w:val="24"/>
                  <w:szCs w:val="24"/>
                </w:rPr>
                <w:fldChar w:fldCharType="end"/>
              </w:r>
            </w:sdtContent>
          </w:sdt>
          <w:r w:rsidR="00582199">
            <w:rPr>
              <w:rFonts w:ascii="Arial" w:hAnsi="Arial" w:cs="Arial"/>
              <w:sz w:val="24"/>
              <w:szCs w:val="24"/>
            </w:rPr>
            <w:t>.</w:t>
          </w:r>
          <w:r w:rsidRPr="00747066">
            <w:rPr>
              <w:rFonts w:ascii="Arial" w:hAnsi="Arial" w:cs="Arial"/>
              <w:sz w:val="24"/>
              <w:szCs w:val="24"/>
            </w:rPr>
            <w:t xml:space="preserve"> The LCR was solid (&gt; 140%) indicating a capacity to withstand stress. Stress testing was not simply academic, since it identifies the key pillars of confidence in banking systems for academics</w:t>
          </w:r>
          <w:sdt>
            <w:sdtPr>
              <w:rPr>
                <w:rFonts w:ascii="Arial" w:hAnsi="Arial" w:cs="Arial"/>
                <w:sz w:val="24"/>
                <w:szCs w:val="24"/>
              </w:rPr>
              <w:id w:val="-1179812815"/>
              <w:citation/>
            </w:sdtPr>
            <w:sdtEndPr/>
            <w:sdtContent>
              <w:r w:rsidR="00015E33">
                <w:rPr>
                  <w:rFonts w:ascii="Arial" w:hAnsi="Arial" w:cs="Arial"/>
                  <w:sz w:val="24"/>
                  <w:szCs w:val="24"/>
                </w:rPr>
                <w:fldChar w:fldCharType="begin"/>
              </w:r>
              <w:r w:rsidR="00290C3D">
                <w:rPr>
                  <w:rFonts w:ascii="Arial" w:hAnsi="Arial" w:cs="Arial"/>
                  <w:sz w:val="24"/>
                  <w:szCs w:val="24"/>
                  <w:lang w:val="en-US"/>
                </w:rPr>
                <w:instrText xml:space="preserve">CITATION Sir21 \l 1033 </w:instrText>
              </w:r>
              <w:r w:rsidR="00015E33">
                <w:rPr>
                  <w:rFonts w:ascii="Arial" w:hAnsi="Arial" w:cs="Arial"/>
                  <w:sz w:val="24"/>
                  <w:szCs w:val="24"/>
                </w:rPr>
                <w:fldChar w:fldCharType="separate"/>
              </w:r>
              <w:r w:rsidR="00290C3D">
                <w:rPr>
                  <w:rFonts w:ascii="Arial" w:hAnsi="Arial" w:cs="Arial"/>
                  <w:noProof/>
                  <w:sz w:val="24"/>
                  <w:szCs w:val="24"/>
                </w:rPr>
                <w:t xml:space="preserve"> </w:t>
              </w:r>
              <w:r w:rsidR="00290C3D" w:rsidRPr="00290C3D">
                <w:rPr>
                  <w:rFonts w:ascii="Arial" w:hAnsi="Arial" w:cs="Arial"/>
                  <w:noProof/>
                  <w:sz w:val="24"/>
                  <w:szCs w:val="24"/>
                </w:rPr>
                <w:t>(Siri Almqvist and Oskar Nordin, 2021)</w:t>
              </w:r>
              <w:r w:rsidR="00015E33">
                <w:rPr>
                  <w:rFonts w:ascii="Arial" w:hAnsi="Arial" w:cs="Arial"/>
                  <w:sz w:val="24"/>
                  <w:szCs w:val="24"/>
                </w:rPr>
                <w:fldChar w:fldCharType="end"/>
              </w:r>
            </w:sdtContent>
          </w:sdt>
          <w:r w:rsidR="00015E33">
            <w:rPr>
              <w:rFonts w:ascii="Arial" w:hAnsi="Arial" w:cs="Arial"/>
              <w:sz w:val="24"/>
              <w:szCs w:val="24"/>
            </w:rPr>
            <w:t>.</w:t>
          </w:r>
        </w:p>
        <w:p w14:paraId="52F3CAB8" w14:textId="77777777" w:rsidR="00EF4B9A" w:rsidRDefault="00EF4B9A">
          <w:pPr>
            <w:rPr>
              <w:rFonts w:ascii="Arial" w:hAnsi="Arial" w:cs="Arial"/>
              <w:b/>
              <w:sz w:val="24"/>
              <w:szCs w:val="24"/>
            </w:rPr>
          </w:pPr>
          <w:r>
            <w:rPr>
              <w:rFonts w:ascii="Arial" w:hAnsi="Arial" w:cs="Arial"/>
              <w:b/>
              <w:sz w:val="24"/>
              <w:szCs w:val="24"/>
            </w:rPr>
            <w:br w:type="page"/>
          </w:r>
        </w:p>
        <w:p w14:paraId="4A12F8B5" w14:textId="0DC4D388" w:rsidR="005862F1" w:rsidRPr="00747066" w:rsidRDefault="005862F1" w:rsidP="00747066">
          <w:pPr>
            <w:spacing w:line="360" w:lineRule="auto"/>
            <w:jc w:val="both"/>
            <w:rPr>
              <w:rFonts w:ascii="Arial" w:hAnsi="Arial" w:cs="Arial"/>
              <w:b/>
              <w:sz w:val="24"/>
              <w:szCs w:val="24"/>
            </w:rPr>
          </w:pPr>
          <w:r w:rsidRPr="00747066">
            <w:rPr>
              <w:rFonts w:ascii="Arial" w:hAnsi="Arial" w:cs="Arial"/>
              <w:b/>
              <w:sz w:val="24"/>
              <w:szCs w:val="24"/>
            </w:rPr>
            <w:lastRenderedPageBreak/>
            <w:t>Capital Adequacy</w:t>
          </w:r>
        </w:p>
        <w:p w14:paraId="54DC2260" w14:textId="7777777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In capital the CET1 ratio improved from 13.7% to 14.2%, considerably above the required minimum ratio. A strong capital buffer will support Lloyds in its absorption of risk if arrived, plus enables a return of £3.6bn to shareholders via buybacks/dividends.</w:t>
          </w:r>
        </w:p>
        <w:p w14:paraId="1C1FA8ED" w14:textId="77777777" w:rsidR="005862F1" w:rsidRPr="00747066" w:rsidRDefault="005862F1" w:rsidP="00747066">
          <w:pPr>
            <w:spacing w:line="360" w:lineRule="auto"/>
            <w:jc w:val="both"/>
            <w:rPr>
              <w:rFonts w:ascii="Arial" w:hAnsi="Arial" w:cs="Arial"/>
              <w:b/>
              <w:sz w:val="24"/>
              <w:szCs w:val="24"/>
            </w:rPr>
          </w:pPr>
          <w:r w:rsidRPr="00747066">
            <w:rPr>
              <w:rFonts w:ascii="Arial" w:hAnsi="Arial" w:cs="Arial"/>
              <w:b/>
              <w:sz w:val="24"/>
              <w:szCs w:val="24"/>
            </w:rPr>
            <w:t>Efficiency Flattening</w:t>
          </w:r>
        </w:p>
        <w:p w14:paraId="05A03CBB" w14:textId="385F18E9"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In line with economic uncertainty the C/I ratio increased sharply from ~48% to 74%, owed largely to the reduction in PBT rather than COT increasing—since income collapsed. The literature</w:t>
          </w:r>
          <w:sdt>
            <w:sdtPr>
              <w:rPr>
                <w:rFonts w:ascii="Arial" w:hAnsi="Arial" w:cs="Arial"/>
                <w:sz w:val="24"/>
                <w:szCs w:val="24"/>
              </w:rPr>
              <w:id w:val="1653026403"/>
              <w:citation/>
            </w:sdtPr>
            <w:sdtEndPr/>
            <w:sdtContent>
              <w:r w:rsidR="00633263">
                <w:rPr>
                  <w:rFonts w:ascii="Arial" w:hAnsi="Arial" w:cs="Arial"/>
                  <w:sz w:val="24"/>
                  <w:szCs w:val="24"/>
                </w:rPr>
                <w:fldChar w:fldCharType="begin"/>
              </w:r>
              <w:r w:rsidR="00633263">
                <w:rPr>
                  <w:rFonts w:ascii="Arial" w:hAnsi="Arial" w:cs="Arial"/>
                  <w:sz w:val="24"/>
                  <w:szCs w:val="24"/>
                  <w:lang w:val="en-US"/>
                </w:rPr>
                <w:instrText xml:space="preserve"> CITATION Sau12 \l 1033 </w:instrText>
              </w:r>
              <w:r w:rsidR="00633263">
                <w:rPr>
                  <w:rFonts w:ascii="Arial" w:hAnsi="Arial" w:cs="Arial"/>
                  <w:sz w:val="24"/>
                  <w:szCs w:val="24"/>
                </w:rPr>
                <w:fldChar w:fldCharType="separate"/>
              </w:r>
              <w:r w:rsidR="00633263">
                <w:rPr>
                  <w:rFonts w:ascii="Arial" w:hAnsi="Arial" w:cs="Arial"/>
                  <w:noProof/>
                  <w:sz w:val="24"/>
                  <w:szCs w:val="24"/>
                  <w:lang w:val="en-US"/>
                </w:rPr>
                <w:t xml:space="preserve"> </w:t>
              </w:r>
              <w:r w:rsidR="00633263" w:rsidRPr="00633263">
                <w:rPr>
                  <w:rFonts w:ascii="Arial" w:hAnsi="Arial" w:cs="Arial"/>
                  <w:noProof/>
                  <w:sz w:val="24"/>
                  <w:szCs w:val="24"/>
                  <w:lang w:val="en-US"/>
                </w:rPr>
                <w:t>(Saunders, 2012)</w:t>
              </w:r>
              <w:r w:rsidR="00633263">
                <w:rPr>
                  <w:rFonts w:ascii="Arial" w:hAnsi="Arial" w:cs="Arial"/>
                  <w:sz w:val="24"/>
                  <w:szCs w:val="24"/>
                </w:rPr>
                <w:fldChar w:fldCharType="end"/>
              </w:r>
            </w:sdtContent>
          </w:sdt>
          <w:r w:rsidRPr="00747066">
            <w:rPr>
              <w:rFonts w:ascii="Arial" w:hAnsi="Arial" w:cs="Arial"/>
              <w:sz w:val="24"/>
              <w:szCs w:val="24"/>
            </w:rPr>
            <w:t xml:space="preserve"> suggests higher levels of C/I without effective cost-management, leads to ineligible measures, which constitute financial risk for a banking organisation. Digitalisation efficiencies for example: app redesign (three years?) and reductions in data-centres provide details in Lloyds 2024 strategy report which will provide direction reversibility</w:t>
          </w:r>
          <w:r w:rsidR="00B66F8D">
            <w:rPr>
              <w:rFonts w:ascii="Arial" w:hAnsi="Arial" w:cs="Arial"/>
              <w:sz w:val="24"/>
              <w:szCs w:val="24"/>
            </w:rPr>
            <w:t>.</w:t>
          </w:r>
        </w:p>
        <w:p w14:paraId="6F4680FC" w14:textId="77777777" w:rsidR="005862F1" w:rsidRPr="00747066" w:rsidRDefault="005862F1" w:rsidP="00747066">
          <w:pPr>
            <w:spacing w:line="360" w:lineRule="auto"/>
            <w:jc w:val="both"/>
            <w:rPr>
              <w:rFonts w:ascii="Arial" w:hAnsi="Arial" w:cs="Arial"/>
              <w:b/>
              <w:sz w:val="24"/>
              <w:szCs w:val="24"/>
            </w:rPr>
          </w:pPr>
          <w:r w:rsidRPr="00747066">
            <w:rPr>
              <w:rFonts w:ascii="Arial" w:hAnsi="Arial" w:cs="Arial"/>
              <w:b/>
              <w:sz w:val="24"/>
              <w:szCs w:val="24"/>
            </w:rPr>
            <w:t>Investor Perspective</w:t>
          </w:r>
        </w:p>
        <w:p w14:paraId="7ECF4671" w14:textId="0DCEDE32"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Earnings per share halved, but each dividend per share increased, by +15%; which with ~7–8% yield provides some compensation for income-seeking investors positioned against continued market volatility. Yet the academic literature</w:t>
          </w:r>
          <w:sdt>
            <w:sdtPr>
              <w:rPr>
                <w:rFonts w:ascii="Arial" w:hAnsi="Arial" w:cs="Arial"/>
                <w:sz w:val="24"/>
                <w:szCs w:val="24"/>
              </w:rPr>
              <w:id w:val="400642786"/>
              <w:citation/>
            </w:sdtPr>
            <w:sdtEndPr/>
            <w:sdtContent>
              <w:r w:rsidR="00837A21">
                <w:rPr>
                  <w:rFonts w:ascii="Arial" w:hAnsi="Arial" w:cs="Arial"/>
                  <w:sz w:val="24"/>
                  <w:szCs w:val="24"/>
                </w:rPr>
                <w:fldChar w:fldCharType="begin"/>
              </w:r>
              <w:r w:rsidR="00837A21">
                <w:rPr>
                  <w:rFonts w:ascii="Arial" w:hAnsi="Arial" w:cs="Arial"/>
                  <w:sz w:val="24"/>
                  <w:szCs w:val="24"/>
                  <w:lang w:val="en-US"/>
                </w:rPr>
                <w:instrText xml:space="preserve"> CITATION Lin56 \l 1033 </w:instrText>
              </w:r>
              <w:r w:rsidR="00837A21">
                <w:rPr>
                  <w:rFonts w:ascii="Arial" w:hAnsi="Arial" w:cs="Arial"/>
                  <w:sz w:val="24"/>
                  <w:szCs w:val="24"/>
                </w:rPr>
                <w:fldChar w:fldCharType="separate"/>
              </w:r>
              <w:r w:rsidR="00837A21">
                <w:rPr>
                  <w:rFonts w:ascii="Arial" w:hAnsi="Arial" w:cs="Arial"/>
                  <w:noProof/>
                  <w:sz w:val="24"/>
                  <w:szCs w:val="24"/>
                  <w:lang w:val="en-US"/>
                </w:rPr>
                <w:t xml:space="preserve"> </w:t>
              </w:r>
              <w:r w:rsidR="00837A21" w:rsidRPr="00837A21">
                <w:rPr>
                  <w:rFonts w:ascii="Arial" w:hAnsi="Arial" w:cs="Arial"/>
                  <w:noProof/>
                  <w:sz w:val="24"/>
                  <w:szCs w:val="24"/>
                  <w:lang w:val="en-US"/>
                </w:rPr>
                <w:t>(Lintner, 1956)</w:t>
              </w:r>
              <w:r w:rsidR="00837A21">
                <w:rPr>
                  <w:rFonts w:ascii="Arial" w:hAnsi="Arial" w:cs="Arial"/>
                  <w:sz w:val="24"/>
                  <w:szCs w:val="24"/>
                </w:rPr>
                <w:fldChar w:fldCharType="end"/>
              </w:r>
            </w:sdtContent>
          </w:sdt>
          <w:r w:rsidRPr="00747066">
            <w:rPr>
              <w:rFonts w:ascii="Arial" w:hAnsi="Arial" w:cs="Arial"/>
              <w:sz w:val="24"/>
              <w:szCs w:val="24"/>
            </w:rPr>
            <w:t xml:space="preserve"> finds that the retention of ordinary share dividend, while sacrificing ERN to maintain dividends could lead to erosion of retained earnings, thereby limiting the bank's financial position.  Such expenditures consequently represent an increased risk following greater provisions.</w:t>
          </w:r>
        </w:p>
        <w:p w14:paraId="70CE69D7" w14:textId="77777777" w:rsidR="005862F1" w:rsidRPr="00747066" w:rsidRDefault="005862F1" w:rsidP="00747066">
          <w:pPr>
            <w:spacing w:line="360" w:lineRule="auto"/>
            <w:jc w:val="both"/>
            <w:rPr>
              <w:rFonts w:ascii="Arial" w:hAnsi="Arial" w:cs="Arial"/>
              <w:sz w:val="24"/>
              <w:szCs w:val="24"/>
            </w:rPr>
          </w:pPr>
        </w:p>
        <w:p w14:paraId="77EE6CA7" w14:textId="77777777" w:rsidR="00123573" w:rsidRDefault="00123573">
          <w:pPr>
            <w:rPr>
              <w:rFonts w:ascii="Arial" w:hAnsi="Arial" w:cs="Arial"/>
              <w:b/>
              <w:sz w:val="24"/>
              <w:szCs w:val="24"/>
              <w:u w:val="single"/>
            </w:rPr>
          </w:pPr>
          <w:r>
            <w:rPr>
              <w:rFonts w:ascii="Arial" w:hAnsi="Arial" w:cs="Arial"/>
              <w:b/>
              <w:sz w:val="24"/>
              <w:szCs w:val="24"/>
              <w:u w:val="single"/>
            </w:rPr>
            <w:br w:type="page"/>
          </w:r>
        </w:p>
        <w:p w14:paraId="39BF42A2" w14:textId="452D5A4F" w:rsidR="005862F1" w:rsidRPr="00747066" w:rsidRDefault="005862F1" w:rsidP="00747066">
          <w:pPr>
            <w:spacing w:line="360" w:lineRule="auto"/>
            <w:jc w:val="both"/>
            <w:rPr>
              <w:rFonts w:ascii="Arial" w:hAnsi="Arial" w:cs="Arial"/>
              <w:b/>
              <w:sz w:val="24"/>
              <w:szCs w:val="24"/>
              <w:u w:val="single"/>
            </w:rPr>
          </w:pPr>
          <w:r w:rsidRPr="00747066">
            <w:rPr>
              <w:rFonts w:ascii="Arial" w:hAnsi="Arial" w:cs="Arial"/>
              <w:b/>
              <w:sz w:val="24"/>
              <w:szCs w:val="24"/>
              <w:u w:val="single"/>
            </w:rPr>
            <w:lastRenderedPageBreak/>
            <w:t xml:space="preserve">Discussion </w:t>
          </w:r>
        </w:p>
        <w:p w14:paraId="796C1F7C" w14:textId="08B75AF9"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 xml:space="preserve">Lloyds face deteriorating profitability, as evidenced by decline in both Net Profit Margin and ROCE. The decline in profitability for 2024 has resulted in declines in pre-tax profit, to some extent due to significantly higher provision for motor finance (£1.2 billion) and weak interest income in the slow and cynical UK economic backdrop. </w:t>
          </w:r>
          <w:sdt>
            <w:sdtPr>
              <w:rPr>
                <w:rFonts w:ascii="Arial" w:hAnsi="Arial" w:cs="Arial"/>
                <w:sz w:val="24"/>
                <w:szCs w:val="24"/>
              </w:rPr>
              <w:id w:val="-2093383332"/>
              <w:citation/>
            </w:sdtPr>
            <w:sdtEndPr/>
            <w:sdtContent>
              <w:r w:rsidR="000B1897">
                <w:rPr>
                  <w:rFonts w:ascii="Arial" w:hAnsi="Arial" w:cs="Arial"/>
                  <w:sz w:val="24"/>
                  <w:szCs w:val="24"/>
                </w:rPr>
                <w:fldChar w:fldCharType="begin"/>
              </w:r>
              <w:r w:rsidR="000B1897">
                <w:rPr>
                  <w:rFonts w:ascii="Arial" w:hAnsi="Arial" w:cs="Arial"/>
                  <w:sz w:val="24"/>
                  <w:szCs w:val="24"/>
                  <w:lang w:val="en-US"/>
                </w:rPr>
                <w:instrText xml:space="preserve"> CITATION Pal25 \l 1033 </w:instrText>
              </w:r>
              <w:r w:rsidR="000B1897">
                <w:rPr>
                  <w:rFonts w:ascii="Arial" w:hAnsi="Arial" w:cs="Arial"/>
                  <w:sz w:val="24"/>
                  <w:szCs w:val="24"/>
                </w:rPr>
                <w:fldChar w:fldCharType="separate"/>
              </w:r>
              <w:r w:rsidR="000B1897" w:rsidRPr="000B1897">
                <w:rPr>
                  <w:rFonts w:ascii="Arial" w:hAnsi="Arial" w:cs="Arial"/>
                  <w:noProof/>
                  <w:sz w:val="24"/>
                  <w:szCs w:val="24"/>
                  <w:lang w:val="en-US"/>
                </w:rPr>
                <w:t>(Palasciano, 2025)</w:t>
              </w:r>
              <w:r w:rsidR="000B1897">
                <w:rPr>
                  <w:rFonts w:ascii="Arial" w:hAnsi="Arial" w:cs="Arial"/>
                  <w:sz w:val="24"/>
                  <w:szCs w:val="24"/>
                </w:rPr>
                <w:fldChar w:fldCharType="end"/>
              </w:r>
            </w:sdtContent>
          </w:sdt>
          <w:r w:rsidRPr="00747066">
            <w:rPr>
              <w:rFonts w:ascii="Arial" w:hAnsi="Arial" w:cs="Arial"/>
              <w:sz w:val="24"/>
              <w:szCs w:val="24"/>
            </w:rPr>
            <w:t xml:space="preserve"> states a reduction in the Net Profit Margin indicate deterioration in either cost efficiency or the ability to generate revenue. When banks face systemic headwinds, provisioning for bad debts may distort the profitability measure significantly. Even if this is fully implemented in the accounts, equity capital will still be reduced from retained earnings that would otherwise be available to fund other activities</w:t>
          </w:r>
          <w:sdt>
            <w:sdtPr>
              <w:rPr>
                <w:rFonts w:ascii="Arial" w:hAnsi="Arial" w:cs="Arial"/>
                <w:sz w:val="24"/>
                <w:szCs w:val="24"/>
              </w:rPr>
              <w:id w:val="-1518917850"/>
              <w:citation/>
            </w:sdtPr>
            <w:sdtEndPr/>
            <w:sdtContent>
              <w:r w:rsidR="000D60B2">
                <w:rPr>
                  <w:rFonts w:ascii="Arial" w:hAnsi="Arial" w:cs="Arial"/>
                  <w:sz w:val="24"/>
                  <w:szCs w:val="24"/>
                </w:rPr>
                <w:fldChar w:fldCharType="begin"/>
              </w:r>
              <w:r w:rsidR="000D60B2">
                <w:rPr>
                  <w:rFonts w:ascii="Arial" w:hAnsi="Arial" w:cs="Arial"/>
                  <w:sz w:val="24"/>
                  <w:szCs w:val="24"/>
                  <w:lang w:val="en-US"/>
                </w:rPr>
                <w:instrText xml:space="preserve"> CITATION Fer25 \l 1033 </w:instrText>
              </w:r>
              <w:r w:rsidR="000D60B2">
                <w:rPr>
                  <w:rFonts w:ascii="Arial" w:hAnsi="Arial" w:cs="Arial"/>
                  <w:sz w:val="24"/>
                  <w:szCs w:val="24"/>
                </w:rPr>
                <w:fldChar w:fldCharType="separate"/>
              </w:r>
              <w:r w:rsidR="000D60B2">
                <w:rPr>
                  <w:rFonts w:ascii="Arial" w:hAnsi="Arial" w:cs="Arial"/>
                  <w:noProof/>
                  <w:sz w:val="24"/>
                  <w:szCs w:val="24"/>
                  <w:lang w:val="en-US"/>
                </w:rPr>
                <w:t xml:space="preserve"> </w:t>
              </w:r>
              <w:r w:rsidR="000D60B2" w:rsidRPr="000D60B2">
                <w:rPr>
                  <w:rFonts w:ascii="Arial" w:hAnsi="Arial" w:cs="Arial"/>
                  <w:noProof/>
                  <w:sz w:val="24"/>
                  <w:szCs w:val="24"/>
                  <w:lang w:val="en-US"/>
                </w:rPr>
                <w:t>(Fernando, 2025)</w:t>
              </w:r>
              <w:r w:rsidR="000D60B2">
                <w:rPr>
                  <w:rFonts w:ascii="Arial" w:hAnsi="Arial" w:cs="Arial"/>
                  <w:sz w:val="24"/>
                  <w:szCs w:val="24"/>
                </w:rPr>
                <w:fldChar w:fldCharType="end"/>
              </w:r>
            </w:sdtContent>
          </w:sdt>
          <w:r w:rsidR="000D60B2">
            <w:rPr>
              <w:rFonts w:ascii="Arial" w:hAnsi="Arial" w:cs="Arial"/>
              <w:sz w:val="24"/>
              <w:szCs w:val="24"/>
            </w:rPr>
            <w:t>.</w:t>
          </w:r>
          <w:r w:rsidRPr="00747066">
            <w:rPr>
              <w:rFonts w:ascii="Arial" w:hAnsi="Arial" w:cs="Arial"/>
              <w:sz w:val="24"/>
              <w:szCs w:val="24"/>
            </w:rPr>
            <w:t xml:space="preserve"> ROCE also decreased, representing a reduction in efficient application of funds. A reduced ROCE destroys overall shareholder value in a medium-term</w:t>
          </w:r>
          <w:sdt>
            <w:sdtPr>
              <w:rPr>
                <w:rFonts w:ascii="Arial" w:hAnsi="Arial" w:cs="Arial"/>
                <w:sz w:val="24"/>
                <w:szCs w:val="24"/>
              </w:rPr>
              <w:id w:val="514422607"/>
              <w:citation/>
            </w:sdtPr>
            <w:sdtEndPr/>
            <w:sdtContent>
              <w:r w:rsidR="0057690E">
                <w:rPr>
                  <w:rFonts w:ascii="Arial" w:hAnsi="Arial" w:cs="Arial"/>
                  <w:sz w:val="24"/>
                  <w:szCs w:val="24"/>
                </w:rPr>
                <w:fldChar w:fldCharType="begin"/>
              </w:r>
              <w:r w:rsidR="0057690E">
                <w:rPr>
                  <w:rFonts w:ascii="Arial" w:hAnsi="Arial" w:cs="Arial"/>
                  <w:sz w:val="24"/>
                  <w:szCs w:val="24"/>
                  <w:lang w:val="en-US"/>
                </w:rPr>
                <w:instrText xml:space="preserve"> CITATION Bos24 \l 1033 </w:instrText>
              </w:r>
              <w:r w:rsidR="0057690E">
                <w:rPr>
                  <w:rFonts w:ascii="Arial" w:hAnsi="Arial" w:cs="Arial"/>
                  <w:sz w:val="24"/>
                  <w:szCs w:val="24"/>
                </w:rPr>
                <w:fldChar w:fldCharType="separate"/>
              </w:r>
              <w:r w:rsidR="0057690E">
                <w:rPr>
                  <w:rFonts w:ascii="Arial" w:hAnsi="Arial" w:cs="Arial"/>
                  <w:noProof/>
                  <w:sz w:val="24"/>
                  <w:szCs w:val="24"/>
                  <w:lang w:val="en-US"/>
                </w:rPr>
                <w:t xml:space="preserve"> </w:t>
              </w:r>
              <w:r w:rsidR="0057690E" w:rsidRPr="0057690E">
                <w:rPr>
                  <w:rFonts w:ascii="Arial" w:hAnsi="Arial" w:cs="Arial"/>
                  <w:noProof/>
                  <w:sz w:val="24"/>
                  <w:szCs w:val="24"/>
                  <w:lang w:val="en-US"/>
                </w:rPr>
                <w:t>(Boscanean, 2024)</w:t>
              </w:r>
              <w:r w:rsidR="0057690E">
                <w:rPr>
                  <w:rFonts w:ascii="Arial" w:hAnsi="Arial" w:cs="Arial"/>
                  <w:sz w:val="24"/>
                  <w:szCs w:val="24"/>
                </w:rPr>
                <w:fldChar w:fldCharType="end"/>
              </w:r>
            </w:sdtContent>
          </w:sdt>
          <w:r w:rsidR="0057690E">
            <w:rPr>
              <w:rFonts w:ascii="Arial" w:hAnsi="Arial" w:cs="Arial"/>
              <w:sz w:val="24"/>
              <w:szCs w:val="24"/>
            </w:rPr>
            <w:t>.</w:t>
          </w:r>
          <w:r w:rsidRPr="00747066">
            <w:rPr>
              <w:rFonts w:ascii="Arial" w:hAnsi="Arial" w:cs="Arial"/>
              <w:sz w:val="24"/>
              <w:szCs w:val="24"/>
            </w:rPr>
            <w:t xml:space="preserve"> This rationale is consistent with corporate finance principles asserting that, for every pound of capital expenditure invested by the business, the capital should earn a return greater than </w:t>
          </w:r>
          <w:proofErr w:type="gramStart"/>
          <w:r w:rsidRPr="00747066">
            <w:rPr>
              <w:rFonts w:ascii="Arial" w:hAnsi="Arial" w:cs="Arial"/>
              <w:sz w:val="24"/>
              <w:szCs w:val="24"/>
            </w:rPr>
            <w:t>its</w:t>
          </w:r>
          <w:proofErr w:type="gramEnd"/>
          <w:r w:rsidRPr="00747066">
            <w:rPr>
              <w:rFonts w:ascii="Arial" w:hAnsi="Arial" w:cs="Arial"/>
              <w:sz w:val="24"/>
              <w:szCs w:val="24"/>
            </w:rPr>
            <w:t xml:space="preserve"> cost of capital, otherwise a strategic review are warranted for that activity.</w:t>
          </w:r>
        </w:p>
        <w:p w14:paraId="4400C1B2" w14:textId="31FCE5D4"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The Loan</w:t>
          </w:r>
          <w:r w:rsidRPr="00747066">
            <w:rPr>
              <w:rFonts w:ascii="Cambria Math" w:eastAsia="MS Gothic" w:hAnsi="Cambria Math" w:cs="Cambria Math"/>
              <w:sz w:val="24"/>
              <w:szCs w:val="24"/>
            </w:rPr>
            <w:t>‑</w:t>
          </w:r>
          <w:r w:rsidRPr="00747066">
            <w:rPr>
              <w:rFonts w:ascii="Arial" w:hAnsi="Arial" w:cs="Arial"/>
              <w:sz w:val="24"/>
              <w:szCs w:val="24"/>
            </w:rPr>
            <w:t>to</w:t>
          </w:r>
          <w:r w:rsidRPr="00747066">
            <w:rPr>
              <w:rFonts w:ascii="Cambria Math" w:eastAsia="MS Gothic" w:hAnsi="Cambria Math" w:cs="Cambria Math"/>
              <w:sz w:val="24"/>
              <w:szCs w:val="24"/>
            </w:rPr>
            <w:t>‑</w:t>
          </w:r>
          <w:r w:rsidRPr="00747066">
            <w:rPr>
              <w:rFonts w:ascii="Arial" w:hAnsi="Arial" w:cs="Arial"/>
              <w:sz w:val="24"/>
              <w:szCs w:val="24"/>
            </w:rPr>
            <w:t>Deposit ratio of ~95% shows that Lloyds have achieved a prudent liquidity strategy with stable funding sources, consistent with the operating risk of their business and Basel III</w:t>
          </w:r>
          <w:sdt>
            <w:sdtPr>
              <w:rPr>
                <w:rFonts w:ascii="Arial" w:hAnsi="Arial" w:cs="Arial"/>
                <w:sz w:val="24"/>
                <w:szCs w:val="24"/>
              </w:rPr>
              <w:id w:val="-2091378928"/>
              <w:citation/>
            </w:sdtPr>
            <w:sdtEndPr/>
            <w:sdtContent>
              <w:r w:rsidR="00AB177C">
                <w:rPr>
                  <w:rFonts w:ascii="Arial" w:hAnsi="Arial" w:cs="Arial"/>
                  <w:sz w:val="24"/>
                  <w:szCs w:val="24"/>
                </w:rPr>
                <w:fldChar w:fldCharType="begin"/>
              </w:r>
              <w:r w:rsidR="00AB177C">
                <w:rPr>
                  <w:rFonts w:ascii="Arial" w:hAnsi="Arial" w:cs="Arial"/>
                  <w:sz w:val="24"/>
                  <w:szCs w:val="24"/>
                  <w:lang w:val="en-US"/>
                </w:rPr>
                <w:instrText xml:space="preserve"> CITATION Llo251 \l 1033 </w:instrText>
              </w:r>
              <w:r w:rsidR="00AB177C">
                <w:rPr>
                  <w:rFonts w:ascii="Arial" w:hAnsi="Arial" w:cs="Arial"/>
                  <w:sz w:val="24"/>
                  <w:szCs w:val="24"/>
                </w:rPr>
                <w:fldChar w:fldCharType="separate"/>
              </w:r>
              <w:r w:rsidR="00AB177C">
                <w:rPr>
                  <w:rFonts w:ascii="Arial" w:hAnsi="Arial" w:cs="Arial"/>
                  <w:noProof/>
                  <w:sz w:val="24"/>
                  <w:szCs w:val="24"/>
                  <w:lang w:val="en-US"/>
                </w:rPr>
                <w:t xml:space="preserve"> </w:t>
              </w:r>
              <w:r w:rsidR="00AB177C" w:rsidRPr="00AB177C">
                <w:rPr>
                  <w:rFonts w:ascii="Arial" w:hAnsi="Arial" w:cs="Arial"/>
                  <w:noProof/>
                  <w:sz w:val="24"/>
                  <w:szCs w:val="24"/>
                  <w:lang w:val="en-US"/>
                </w:rPr>
                <w:t>(Lloyds Banking Group PLC, 2025)</w:t>
              </w:r>
              <w:r w:rsidR="00AB177C">
                <w:rPr>
                  <w:rFonts w:ascii="Arial" w:hAnsi="Arial" w:cs="Arial"/>
                  <w:sz w:val="24"/>
                  <w:szCs w:val="24"/>
                </w:rPr>
                <w:fldChar w:fldCharType="end"/>
              </w:r>
            </w:sdtContent>
          </w:sdt>
          <w:r w:rsidR="00AB177C">
            <w:rPr>
              <w:rFonts w:ascii="Arial" w:hAnsi="Arial" w:cs="Arial"/>
              <w:sz w:val="24"/>
              <w:szCs w:val="24"/>
            </w:rPr>
            <w:t>.</w:t>
          </w:r>
          <w:r w:rsidRPr="00747066">
            <w:rPr>
              <w:rFonts w:ascii="Arial" w:hAnsi="Arial" w:cs="Arial"/>
              <w:sz w:val="24"/>
              <w:szCs w:val="24"/>
            </w:rPr>
            <w:t xml:space="preserve"> Furthermore, Lloyds have a very strong Liquidity Coverage Ratio (&gt;140%) and marginal adverse economic effects during the year (Ghosh 2020) show that stakeholder anxiety on short-term shocks was eased. Hull (2018) states that liquidity reserves are vital for long-term sustainability of the business, especially for banks like Lloyds whose business model is mainly retail banking. Lloyd’s long-term liquidity status provides increased confidence to their depositors and with this that success will improve their lending capabilities in the intermediated markets assisted by fewer constraints when compared to other funding sources by other banks.</w:t>
          </w:r>
        </w:p>
        <w:p w14:paraId="6C13A7FF" w14:textId="1F5F0B5B"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Lloyds’ CET1 ratio grew from13.7% to 14.2%, demonstrating its strength over the regulatory minima requirements. Basel III reforms have prioritised this core tier 1 capital, recognised as essential for absorbing losses</w:t>
          </w:r>
          <w:sdt>
            <w:sdtPr>
              <w:rPr>
                <w:rFonts w:ascii="Arial" w:hAnsi="Arial" w:cs="Arial"/>
                <w:sz w:val="24"/>
                <w:szCs w:val="24"/>
              </w:rPr>
              <w:id w:val="385921526"/>
              <w:citation/>
            </w:sdtPr>
            <w:sdtEndPr/>
            <w:sdtContent>
              <w:r w:rsidR="00237532">
                <w:rPr>
                  <w:rFonts w:ascii="Arial" w:hAnsi="Arial" w:cs="Arial"/>
                  <w:sz w:val="24"/>
                  <w:szCs w:val="24"/>
                </w:rPr>
                <w:fldChar w:fldCharType="begin"/>
              </w:r>
              <w:r w:rsidR="00237532">
                <w:rPr>
                  <w:rFonts w:ascii="Arial" w:hAnsi="Arial" w:cs="Arial"/>
                  <w:sz w:val="24"/>
                  <w:szCs w:val="24"/>
                  <w:lang w:val="en-US"/>
                </w:rPr>
                <w:instrText xml:space="preserve"> CITATION Ban19 \l 1033 </w:instrText>
              </w:r>
              <w:r w:rsidR="00237532">
                <w:rPr>
                  <w:rFonts w:ascii="Arial" w:hAnsi="Arial" w:cs="Arial"/>
                  <w:sz w:val="24"/>
                  <w:szCs w:val="24"/>
                </w:rPr>
                <w:fldChar w:fldCharType="separate"/>
              </w:r>
              <w:r w:rsidR="00237532">
                <w:rPr>
                  <w:rFonts w:ascii="Arial" w:hAnsi="Arial" w:cs="Arial"/>
                  <w:noProof/>
                  <w:sz w:val="24"/>
                  <w:szCs w:val="24"/>
                  <w:lang w:val="en-US"/>
                </w:rPr>
                <w:t xml:space="preserve"> </w:t>
              </w:r>
              <w:r w:rsidR="00237532" w:rsidRPr="00237532">
                <w:rPr>
                  <w:rFonts w:ascii="Arial" w:hAnsi="Arial" w:cs="Arial"/>
                  <w:noProof/>
                  <w:sz w:val="24"/>
                  <w:szCs w:val="24"/>
                  <w:lang w:val="en-US"/>
                </w:rPr>
                <w:t>(Bank for International Settlements, 2019)</w:t>
              </w:r>
              <w:r w:rsidR="00237532">
                <w:rPr>
                  <w:rFonts w:ascii="Arial" w:hAnsi="Arial" w:cs="Arial"/>
                  <w:sz w:val="24"/>
                  <w:szCs w:val="24"/>
                </w:rPr>
                <w:fldChar w:fldCharType="end"/>
              </w:r>
            </w:sdtContent>
          </w:sdt>
          <w:r w:rsidR="00FC5623">
            <w:rPr>
              <w:rFonts w:ascii="Arial" w:hAnsi="Arial" w:cs="Arial"/>
              <w:sz w:val="24"/>
              <w:szCs w:val="24"/>
            </w:rPr>
            <w:t>.</w:t>
          </w:r>
          <w:r w:rsidRPr="00747066">
            <w:rPr>
              <w:rFonts w:ascii="Arial" w:hAnsi="Arial" w:cs="Arial"/>
              <w:sz w:val="24"/>
              <w:szCs w:val="24"/>
            </w:rPr>
            <w:t xml:space="preserve"> Academic commentary suggests a strong CET1 ratio improves the institution's market position and investors' confidence and enables the organisation to </w:t>
          </w:r>
          <w:r w:rsidRPr="00747066">
            <w:rPr>
              <w:rFonts w:ascii="Arial" w:hAnsi="Arial" w:cs="Arial"/>
              <w:sz w:val="24"/>
              <w:szCs w:val="24"/>
            </w:rPr>
            <w:lastRenderedPageBreak/>
            <w:t>take strategic actions such as share buybacks - Lloyds announced they will implement £3.6 billion of buybacks in 2024 - but still limits potential prudential risks</w:t>
          </w:r>
          <w:sdt>
            <w:sdtPr>
              <w:rPr>
                <w:rFonts w:ascii="Arial" w:hAnsi="Arial" w:cs="Arial"/>
                <w:sz w:val="24"/>
                <w:szCs w:val="24"/>
              </w:rPr>
              <w:id w:val="1438942842"/>
              <w:citation/>
            </w:sdtPr>
            <w:sdtEndPr/>
            <w:sdtContent>
              <w:r w:rsidR="00EE1F14">
                <w:rPr>
                  <w:rFonts w:ascii="Arial" w:hAnsi="Arial" w:cs="Arial"/>
                  <w:sz w:val="24"/>
                  <w:szCs w:val="24"/>
                </w:rPr>
                <w:fldChar w:fldCharType="begin"/>
              </w:r>
              <w:r w:rsidR="00EE1F14">
                <w:rPr>
                  <w:rFonts w:ascii="Arial" w:hAnsi="Arial" w:cs="Arial"/>
                  <w:sz w:val="24"/>
                  <w:szCs w:val="24"/>
                  <w:lang w:val="en-US"/>
                </w:rPr>
                <w:instrText xml:space="preserve"> CITATION Llo24 \l 1033 </w:instrText>
              </w:r>
              <w:r w:rsidR="00EE1F14">
                <w:rPr>
                  <w:rFonts w:ascii="Arial" w:hAnsi="Arial" w:cs="Arial"/>
                  <w:sz w:val="24"/>
                  <w:szCs w:val="24"/>
                </w:rPr>
                <w:fldChar w:fldCharType="separate"/>
              </w:r>
              <w:r w:rsidR="00EE1F14">
                <w:rPr>
                  <w:rFonts w:ascii="Arial" w:hAnsi="Arial" w:cs="Arial"/>
                  <w:noProof/>
                  <w:sz w:val="24"/>
                  <w:szCs w:val="24"/>
                  <w:lang w:val="en-US"/>
                </w:rPr>
                <w:t xml:space="preserve"> </w:t>
              </w:r>
              <w:r w:rsidR="00EE1F14" w:rsidRPr="00EE1F14">
                <w:rPr>
                  <w:rFonts w:ascii="Arial" w:hAnsi="Arial" w:cs="Arial"/>
                  <w:noProof/>
                  <w:sz w:val="24"/>
                  <w:szCs w:val="24"/>
                  <w:lang w:val="en-US"/>
                </w:rPr>
                <w:t>(Lloyds Banking Group plc, 2024)</w:t>
              </w:r>
              <w:r w:rsidR="00EE1F14">
                <w:rPr>
                  <w:rFonts w:ascii="Arial" w:hAnsi="Arial" w:cs="Arial"/>
                  <w:sz w:val="24"/>
                  <w:szCs w:val="24"/>
                </w:rPr>
                <w:fldChar w:fldCharType="end"/>
              </w:r>
            </w:sdtContent>
          </w:sdt>
          <w:r w:rsidR="00EE1F14">
            <w:rPr>
              <w:rFonts w:ascii="Arial" w:hAnsi="Arial" w:cs="Arial"/>
              <w:sz w:val="24"/>
              <w:szCs w:val="24"/>
            </w:rPr>
            <w:t>.</w:t>
          </w:r>
          <w:r w:rsidRPr="00747066">
            <w:rPr>
              <w:rFonts w:ascii="Arial" w:hAnsi="Arial" w:cs="Arial"/>
              <w:sz w:val="24"/>
              <w:szCs w:val="24"/>
            </w:rPr>
            <w:t xml:space="preserve"> Thus, this situation allows Lloyds to balance shareholder returns with the institution's capital resilience relative to its peers.</w:t>
          </w:r>
        </w:p>
        <w:p w14:paraId="4920D5C6" w14:textId="30D4F707"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Lloyds also observed a deterioration of its operating efficiency in 2024, evident in the rise of its Cost</w:t>
          </w:r>
          <w:r w:rsidRPr="00747066">
            <w:rPr>
              <w:rFonts w:ascii="Cambria Math" w:eastAsia="MS Gothic" w:hAnsi="Cambria Math" w:cs="Cambria Math"/>
              <w:sz w:val="24"/>
              <w:szCs w:val="24"/>
            </w:rPr>
            <w:t>‑</w:t>
          </w:r>
          <w:r w:rsidRPr="00747066">
            <w:rPr>
              <w:rFonts w:ascii="Arial" w:hAnsi="Arial" w:cs="Arial"/>
              <w:sz w:val="24"/>
              <w:szCs w:val="24"/>
            </w:rPr>
            <w:t>to</w:t>
          </w:r>
          <w:r w:rsidRPr="00747066">
            <w:rPr>
              <w:rFonts w:ascii="Cambria Math" w:eastAsia="MS Gothic" w:hAnsi="Cambria Math" w:cs="Cambria Math"/>
              <w:sz w:val="24"/>
              <w:szCs w:val="24"/>
            </w:rPr>
            <w:t>‑</w:t>
          </w:r>
          <w:r w:rsidRPr="00747066">
            <w:rPr>
              <w:rFonts w:ascii="Arial" w:hAnsi="Arial" w:cs="Arial"/>
              <w:sz w:val="24"/>
              <w:szCs w:val="24"/>
            </w:rPr>
            <w:t>Income ratio towards ~74%. Saunders &amp; Cornett (2022) contended that rising C/I ratios are often indicative of a bank's inability to react quickly enough to revenue shocks. The deterioration in Lloyds' ratio appears to be primarily due to a reduction in income, rather than an increase in expenses; suggesting that income diversification initiatives through insurance, wealth, and digital services had not reduced the pressure on the core banking business. Lloyds' digital transformation initiative, which includes an overhaul of its apps and back-office systems and processes, was therefore essential to turn around the C/I ratio. Historical case studies demonstrate that cost-efficiency programs need to be supplemented by revenue innovation if they are to succeed</w:t>
          </w:r>
          <w:sdt>
            <w:sdtPr>
              <w:rPr>
                <w:rFonts w:ascii="Arial" w:hAnsi="Arial" w:cs="Arial"/>
                <w:sz w:val="24"/>
                <w:szCs w:val="24"/>
              </w:rPr>
              <w:id w:val="24611733"/>
              <w:citation/>
            </w:sdtPr>
            <w:sdtEndPr/>
            <w:sdtContent>
              <w:r w:rsidR="00C7567F">
                <w:rPr>
                  <w:rFonts w:ascii="Arial" w:hAnsi="Arial" w:cs="Arial"/>
                  <w:sz w:val="24"/>
                  <w:szCs w:val="24"/>
                </w:rPr>
                <w:fldChar w:fldCharType="begin"/>
              </w:r>
              <w:r w:rsidR="00C7567F">
                <w:rPr>
                  <w:rFonts w:ascii="Arial" w:hAnsi="Arial" w:cs="Arial"/>
                  <w:sz w:val="24"/>
                  <w:szCs w:val="24"/>
                  <w:lang w:val="en-US"/>
                </w:rPr>
                <w:instrText xml:space="preserve"> CITATION Bap22 \l 1033 </w:instrText>
              </w:r>
              <w:r w:rsidR="00C7567F">
                <w:rPr>
                  <w:rFonts w:ascii="Arial" w:hAnsi="Arial" w:cs="Arial"/>
                  <w:sz w:val="24"/>
                  <w:szCs w:val="24"/>
                </w:rPr>
                <w:fldChar w:fldCharType="separate"/>
              </w:r>
              <w:r w:rsidR="00C7567F">
                <w:rPr>
                  <w:rFonts w:ascii="Arial" w:hAnsi="Arial" w:cs="Arial"/>
                  <w:noProof/>
                  <w:sz w:val="24"/>
                  <w:szCs w:val="24"/>
                  <w:lang w:val="en-US"/>
                </w:rPr>
                <w:t xml:space="preserve"> </w:t>
              </w:r>
              <w:r w:rsidR="00C7567F" w:rsidRPr="00C7567F">
                <w:rPr>
                  <w:rFonts w:ascii="Arial" w:hAnsi="Arial" w:cs="Arial"/>
                  <w:noProof/>
                  <w:sz w:val="24"/>
                  <w:szCs w:val="24"/>
                  <w:lang w:val="en-US"/>
                </w:rPr>
                <w:t>(Baporikar, 2022)</w:t>
              </w:r>
              <w:r w:rsidR="00C7567F">
                <w:rPr>
                  <w:rFonts w:ascii="Arial" w:hAnsi="Arial" w:cs="Arial"/>
                  <w:sz w:val="24"/>
                  <w:szCs w:val="24"/>
                </w:rPr>
                <w:fldChar w:fldCharType="end"/>
              </w:r>
            </w:sdtContent>
          </w:sdt>
          <w:r w:rsidR="00C7567F">
            <w:rPr>
              <w:rFonts w:ascii="Arial" w:hAnsi="Arial" w:cs="Arial"/>
              <w:sz w:val="24"/>
              <w:szCs w:val="24"/>
            </w:rPr>
            <w:t>.</w:t>
          </w:r>
          <w:r w:rsidRPr="00747066">
            <w:rPr>
              <w:rFonts w:ascii="Arial" w:hAnsi="Arial" w:cs="Arial"/>
              <w:sz w:val="24"/>
              <w:szCs w:val="24"/>
            </w:rPr>
            <w:t xml:space="preserve"> Lloyds made the interesting choice to increase its dividend despite a near halving of EPS within 2024 which resulted in a dividend yield of ~7–8%. Similar in concept to Lintner's dividend policy model (1956), consistency in dividends between time periods can be a signal of confidence and therefore can be seen in the share price.</w:t>
          </w:r>
        </w:p>
        <w:p w14:paraId="0BB5FBC1" w14:textId="257938ED"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t>Lloyds remains a more resilient position than evidenced by credit ratios when benchmarked against businesses like NatWest and Barclays. Lloyds maintains a stronger capital position (higher CET1 ratio) and strikes lower gearing ratios but are not capitalizing on income diversification and digital scalability; both NatWest with its investment bank providing a cushion for when interest income should drop, and Barclays with a presence on a global scale stabilize their revenues in a decline. Competitive advantage literature suggests that retail banks must be either a lean cost operator or have diversified incomes</w:t>
          </w:r>
          <w:sdt>
            <w:sdtPr>
              <w:rPr>
                <w:rFonts w:ascii="Arial" w:hAnsi="Arial" w:cs="Arial"/>
                <w:sz w:val="24"/>
                <w:szCs w:val="24"/>
              </w:rPr>
              <w:id w:val="1198667839"/>
              <w:citation/>
            </w:sdtPr>
            <w:sdtEndPr/>
            <w:sdtContent>
              <w:r w:rsidR="001A6BE2">
                <w:rPr>
                  <w:rFonts w:ascii="Arial" w:hAnsi="Arial" w:cs="Arial"/>
                  <w:sz w:val="24"/>
                  <w:szCs w:val="24"/>
                </w:rPr>
                <w:fldChar w:fldCharType="begin"/>
              </w:r>
              <w:r w:rsidR="001A6BE2">
                <w:rPr>
                  <w:rFonts w:ascii="Arial" w:hAnsi="Arial" w:cs="Arial"/>
                  <w:sz w:val="24"/>
                  <w:szCs w:val="24"/>
                  <w:lang w:val="en-US"/>
                </w:rPr>
                <w:instrText xml:space="preserve"> CITATION Gra03 \l 1033 </w:instrText>
              </w:r>
              <w:r w:rsidR="001A6BE2">
                <w:rPr>
                  <w:rFonts w:ascii="Arial" w:hAnsi="Arial" w:cs="Arial"/>
                  <w:sz w:val="24"/>
                  <w:szCs w:val="24"/>
                </w:rPr>
                <w:fldChar w:fldCharType="separate"/>
              </w:r>
              <w:r w:rsidR="001A6BE2">
                <w:rPr>
                  <w:rFonts w:ascii="Arial" w:hAnsi="Arial" w:cs="Arial"/>
                  <w:noProof/>
                  <w:sz w:val="24"/>
                  <w:szCs w:val="24"/>
                  <w:lang w:val="en-US"/>
                </w:rPr>
                <w:t xml:space="preserve"> </w:t>
              </w:r>
              <w:r w:rsidR="001A6BE2" w:rsidRPr="001A6BE2">
                <w:rPr>
                  <w:rFonts w:ascii="Arial" w:hAnsi="Arial" w:cs="Arial"/>
                  <w:noProof/>
                  <w:sz w:val="24"/>
                  <w:szCs w:val="24"/>
                  <w:lang w:val="en-US"/>
                </w:rPr>
                <w:t>(Graham, 2003)</w:t>
              </w:r>
              <w:r w:rsidR="001A6BE2">
                <w:rPr>
                  <w:rFonts w:ascii="Arial" w:hAnsi="Arial" w:cs="Arial"/>
                  <w:sz w:val="24"/>
                  <w:szCs w:val="24"/>
                </w:rPr>
                <w:fldChar w:fldCharType="end"/>
              </w:r>
            </w:sdtContent>
          </w:sdt>
          <w:r w:rsidR="001A6BE2">
            <w:rPr>
              <w:rFonts w:ascii="Arial" w:hAnsi="Arial" w:cs="Arial"/>
              <w:sz w:val="24"/>
              <w:szCs w:val="24"/>
            </w:rPr>
            <w:t>.</w:t>
          </w:r>
          <w:r w:rsidRPr="00747066">
            <w:rPr>
              <w:rFonts w:ascii="Arial" w:hAnsi="Arial" w:cs="Arial"/>
              <w:sz w:val="24"/>
              <w:szCs w:val="24"/>
            </w:rPr>
            <w:t xml:space="preserve"> While Lloyds' delivery cost control and conservative funding aligns itself with one half of this strategic position it highlights that as rates move and become more sensitive there is going to be a point of vulnerability.</w:t>
          </w:r>
        </w:p>
        <w:p w14:paraId="263BFFBB" w14:textId="77777777" w:rsidR="002A5605" w:rsidRDefault="002A5605">
          <w:pPr>
            <w:rPr>
              <w:rFonts w:ascii="Arial" w:hAnsi="Arial" w:cs="Arial"/>
              <w:sz w:val="24"/>
              <w:szCs w:val="24"/>
            </w:rPr>
          </w:pPr>
          <w:r>
            <w:rPr>
              <w:rFonts w:ascii="Arial" w:hAnsi="Arial" w:cs="Arial"/>
              <w:sz w:val="24"/>
              <w:szCs w:val="24"/>
            </w:rPr>
            <w:br w:type="page"/>
          </w:r>
        </w:p>
        <w:p w14:paraId="5F87C107" w14:textId="7D7F4D9B" w:rsidR="005862F1" w:rsidRPr="00747066" w:rsidRDefault="005862F1" w:rsidP="00747066">
          <w:pPr>
            <w:spacing w:line="360" w:lineRule="auto"/>
            <w:jc w:val="both"/>
            <w:rPr>
              <w:rFonts w:ascii="Arial" w:hAnsi="Arial" w:cs="Arial"/>
              <w:sz w:val="24"/>
              <w:szCs w:val="24"/>
            </w:rPr>
          </w:pPr>
          <w:r w:rsidRPr="00747066">
            <w:rPr>
              <w:rFonts w:ascii="Arial" w:hAnsi="Arial" w:cs="Arial"/>
              <w:sz w:val="24"/>
              <w:szCs w:val="24"/>
            </w:rPr>
            <w:lastRenderedPageBreak/>
            <w:t xml:space="preserve">Lloyds should consider scaling its digital investments to develop and scale revenue PRÓVE from new business channels moving away from the reliance of traditional interest spread (this is also in keeping with digital banking literature arguing that mobile and data analytics can provide significant economies of </w:t>
          </w:r>
          <w:r w:rsidR="00C71B10" w:rsidRPr="00747066">
            <w:rPr>
              <w:rFonts w:ascii="Arial" w:hAnsi="Arial" w:cs="Arial"/>
              <w:sz w:val="24"/>
              <w:szCs w:val="24"/>
            </w:rPr>
            <w:t>scale) --</w:t>
          </w:r>
          <w:r w:rsidRPr="00747066">
            <w:rPr>
              <w:rFonts w:ascii="Arial" w:hAnsi="Arial" w:cs="Arial"/>
              <w:sz w:val="24"/>
              <w:szCs w:val="24"/>
            </w:rPr>
            <w:t xml:space="preserve">McKinsey (2022) provides a topical analysis. Lloyds can further maintain a strong level of capital reserves, not just simply to satisfy regulatory requirements, but to be agile and pivot to either capture market opportunities or accommodating further unforeseen provisions. Continuing a socially responsible practice of moderating returns on dividends would be entirely consistent with </w:t>
          </w:r>
          <w:r w:rsidR="007470C7" w:rsidRPr="00747066">
            <w:rPr>
              <w:rFonts w:ascii="Arial" w:hAnsi="Arial" w:cs="Arial"/>
              <w:sz w:val="24"/>
              <w:szCs w:val="24"/>
            </w:rPr>
            <w:t>long-term</w:t>
          </w:r>
          <w:r w:rsidRPr="00747066">
            <w:rPr>
              <w:rFonts w:ascii="Arial" w:hAnsi="Arial" w:cs="Arial"/>
              <w:sz w:val="24"/>
              <w:szCs w:val="24"/>
            </w:rPr>
            <w:t xml:space="preserve"> investing and business practice--striking a balance between investor expectations and the substantive financial resilience of the business--OECD (2021).</w:t>
          </w:r>
        </w:p>
        <w:p w14:paraId="38DB5E39" w14:textId="45EC340B" w:rsidR="005862F1" w:rsidRPr="00472D5A" w:rsidRDefault="005862F1" w:rsidP="00472D5A">
          <w:pPr>
            <w:spacing w:line="360" w:lineRule="auto"/>
            <w:jc w:val="both"/>
            <w:rPr>
              <w:rFonts w:ascii="Arial" w:hAnsi="Arial" w:cs="Arial"/>
              <w:sz w:val="24"/>
              <w:szCs w:val="24"/>
            </w:rPr>
          </w:pPr>
          <w:r w:rsidRPr="00747066">
            <w:rPr>
              <w:rFonts w:ascii="Arial" w:hAnsi="Arial" w:cs="Arial"/>
              <w:sz w:val="24"/>
              <w:szCs w:val="24"/>
            </w:rPr>
            <w:t>In sum, both the financial ratio review and literature review gives a coherent storyline: Lloyds remains a strong capital institution that is liquid with temporary cash profitability stress. However, the pressure for efficiency and diversified incomes causes us to ask the question of what the strategic pivot should look like moving forward.</w:t>
          </w:r>
        </w:p>
        <w:p w14:paraId="2A7A420C" w14:textId="77777777" w:rsidR="00472D5A" w:rsidRDefault="00472D5A">
          <w:pPr>
            <w:rPr>
              <w:rFonts w:ascii="Arial" w:eastAsiaTheme="majorEastAsia" w:hAnsi="Arial" w:cs="Arial"/>
              <w:color w:val="2E74B5" w:themeColor="accent1" w:themeShade="BF"/>
              <w:sz w:val="32"/>
              <w:szCs w:val="32"/>
            </w:rPr>
          </w:pPr>
          <w:bookmarkStart w:id="8" w:name="_Toc203510823"/>
          <w:bookmarkStart w:id="9" w:name="_Toc203860075"/>
          <w:r>
            <w:rPr>
              <w:rFonts w:ascii="Arial" w:hAnsi="Arial" w:cs="Arial"/>
            </w:rPr>
            <w:br w:type="page"/>
          </w:r>
        </w:p>
        <w:p w14:paraId="52BA87D9" w14:textId="11955F6B" w:rsidR="005862F1" w:rsidRPr="007605F1" w:rsidRDefault="005862F1" w:rsidP="007605F1">
          <w:pPr>
            <w:pStyle w:val="Heading2"/>
            <w:numPr>
              <w:ilvl w:val="0"/>
              <w:numId w:val="0"/>
            </w:numPr>
            <w:spacing w:line="360" w:lineRule="auto"/>
            <w:jc w:val="both"/>
            <w:rPr>
              <w:rFonts w:ascii="Arial" w:hAnsi="Arial" w:cs="Arial"/>
              <w:b/>
              <w:bCs/>
              <w:color w:val="000000" w:themeColor="text1"/>
              <w:sz w:val="24"/>
              <w:szCs w:val="24"/>
            </w:rPr>
          </w:pPr>
          <w:bookmarkStart w:id="10" w:name="_Toc204002541"/>
          <w:r w:rsidRPr="007605F1">
            <w:rPr>
              <w:rFonts w:ascii="Arial" w:hAnsi="Arial" w:cs="Arial"/>
              <w:b/>
              <w:bCs/>
              <w:color w:val="000000" w:themeColor="text1"/>
              <w:sz w:val="28"/>
              <w:szCs w:val="28"/>
            </w:rPr>
            <w:lastRenderedPageBreak/>
            <w:t>Conclusion</w:t>
          </w:r>
          <w:bookmarkEnd w:id="8"/>
          <w:bookmarkEnd w:id="9"/>
          <w:bookmarkEnd w:id="10"/>
          <w:r w:rsidRPr="007605F1">
            <w:rPr>
              <w:rFonts w:ascii="Arial" w:hAnsi="Arial" w:cs="Arial"/>
              <w:b/>
              <w:bCs/>
              <w:color w:val="000000" w:themeColor="text1"/>
              <w:sz w:val="24"/>
              <w:szCs w:val="24"/>
            </w:rPr>
            <w:t xml:space="preserve"> </w:t>
          </w:r>
        </w:p>
        <w:p w14:paraId="58FA7330" w14:textId="77777777" w:rsidR="005862F1" w:rsidRPr="007605F1" w:rsidRDefault="005862F1" w:rsidP="007605F1">
          <w:pPr>
            <w:spacing w:line="360" w:lineRule="auto"/>
            <w:jc w:val="both"/>
            <w:rPr>
              <w:rFonts w:ascii="Arial" w:hAnsi="Arial" w:cs="Arial"/>
              <w:sz w:val="24"/>
              <w:szCs w:val="24"/>
            </w:rPr>
          </w:pPr>
          <w:r w:rsidRPr="007605F1">
            <w:rPr>
              <w:rFonts w:ascii="Arial" w:hAnsi="Arial" w:cs="Arial"/>
              <w:sz w:val="24"/>
              <w:szCs w:val="24"/>
            </w:rPr>
            <w:t>Lloyds Banking Group’s financial appraisal over the last two years indicates a mixture of resilience and areas for improvement regarding the Group’s financial management. Profitability ratios, such as Net Profit Margin, appear stable despite challenges outside the control of the Group. This likely indicates effective cost management as part of a successful core operating model. It is concerning that the decreased Return on Capital Employed (ROCE) indicates less efficiency in the asset base in generating profit, which could negatively impact the long-term value for shareholders if the risk does not abate.</w:t>
          </w:r>
        </w:p>
        <w:p w14:paraId="1B21CCBC" w14:textId="77777777" w:rsidR="005862F1" w:rsidRPr="007605F1" w:rsidRDefault="005862F1" w:rsidP="007605F1">
          <w:pPr>
            <w:spacing w:line="360" w:lineRule="auto"/>
            <w:jc w:val="both"/>
            <w:rPr>
              <w:rFonts w:ascii="Arial" w:hAnsi="Arial" w:cs="Arial"/>
              <w:sz w:val="24"/>
              <w:szCs w:val="24"/>
            </w:rPr>
          </w:pPr>
          <w:r w:rsidRPr="007605F1">
            <w:rPr>
              <w:rFonts w:ascii="Arial" w:hAnsi="Arial" w:cs="Arial"/>
              <w:sz w:val="24"/>
              <w:szCs w:val="24"/>
            </w:rPr>
            <w:t xml:space="preserve">Liquidity ratios, such as the Loan-to-Deposit Ratio and Liquidity Coverage Ratio (LCR), demonstrate excellent risk management and work to meet the Basel III standard. This means that Lloyds can remain insulated to a large extent from market or regulatory shocks and continues to provide depositors' confidence. However, it is possible that an over-cautious liquidity management strategy could deny materially </w:t>
          </w:r>
          <w:proofErr w:type="spellStart"/>
          <w:r w:rsidRPr="007605F1">
            <w:rPr>
              <w:rFonts w:ascii="Arial" w:hAnsi="Arial" w:cs="Arial"/>
              <w:sz w:val="24"/>
              <w:szCs w:val="24"/>
            </w:rPr>
            <w:t>favorable</w:t>
          </w:r>
          <w:proofErr w:type="spellEnd"/>
          <w:r w:rsidRPr="007605F1">
            <w:rPr>
              <w:rFonts w:ascii="Arial" w:hAnsi="Arial" w:cs="Arial"/>
              <w:sz w:val="24"/>
              <w:szCs w:val="24"/>
            </w:rPr>
            <w:t xml:space="preserve"> institutional growth opportunities in lending and investing.</w:t>
          </w:r>
        </w:p>
        <w:p w14:paraId="50136DA9" w14:textId="2157BE33" w:rsidR="005862F1" w:rsidRPr="007605F1" w:rsidRDefault="005862F1" w:rsidP="007605F1">
          <w:pPr>
            <w:spacing w:line="360" w:lineRule="auto"/>
            <w:jc w:val="both"/>
            <w:rPr>
              <w:rFonts w:ascii="Arial" w:hAnsi="Arial" w:cs="Arial"/>
              <w:sz w:val="24"/>
              <w:szCs w:val="24"/>
            </w:rPr>
          </w:pPr>
          <w:r w:rsidRPr="007605F1">
            <w:rPr>
              <w:rFonts w:ascii="Arial" w:hAnsi="Arial" w:cs="Arial"/>
              <w:sz w:val="24"/>
              <w:szCs w:val="24"/>
            </w:rPr>
            <w:t>Gearing and capital ratios, such as the CET1 ratio, demonstrate well-</w:t>
          </w:r>
          <w:proofErr w:type="spellStart"/>
          <w:r w:rsidRPr="007605F1">
            <w:rPr>
              <w:rFonts w:ascii="Arial" w:hAnsi="Arial" w:cs="Arial"/>
              <w:sz w:val="24"/>
              <w:szCs w:val="24"/>
            </w:rPr>
            <w:t>armored</w:t>
          </w:r>
          <w:proofErr w:type="spellEnd"/>
          <w:r w:rsidRPr="007605F1">
            <w:rPr>
              <w:rFonts w:ascii="Arial" w:hAnsi="Arial" w:cs="Arial"/>
              <w:sz w:val="24"/>
              <w:szCs w:val="24"/>
            </w:rPr>
            <w:t xml:space="preserve"> capital bases above what is mandated by regulatory standards. This indicates Lloyds has more than sufficient capital resources to absorb unexpected losses. However, a significant uptick in the Cost-to-Income (C/I) ratio suggests there are operational inefficiencies in 2024, perhaps as a result of increasing costs and declining incomes from resource investment income streams. Similarly, we see the investor ratios position as mixed with diverging conclusions; despite a declining Earnings Per Share (EPS) value, Lloyds offered higher dividend payout ratios and continuing attractive yields to shareholders. This strategy has a delicate balance of: avoiding disrupting capital.</w:t>
          </w:r>
        </w:p>
        <w:p w14:paraId="3F27DBF4" w14:textId="77777777" w:rsidR="00C82D11" w:rsidRDefault="00C82D11">
          <w:pPr>
            <w:rPr>
              <w:rFonts w:ascii="Arial" w:eastAsiaTheme="majorEastAsia" w:hAnsi="Arial" w:cs="Arial"/>
              <w:b/>
              <w:bCs/>
              <w:color w:val="000000" w:themeColor="text1"/>
              <w:sz w:val="28"/>
              <w:szCs w:val="28"/>
            </w:rPr>
          </w:pPr>
          <w:bookmarkStart w:id="11" w:name="_Toc203860077"/>
          <w:r>
            <w:rPr>
              <w:rFonts w:ascii="Arial" w:hAnsi="Arial" w:cs="Arial"/>
              <w:b/>
              <w:bCs/>
              <w:color w:val="000000" w:themeColor="text1"/>
              <w:sz w:val="28"/>
              <w:szCs w:val="28"/>
            </w:rPr>
            <w:br w:type="page"/>
          </w:r>
        </w:p>
        <w:p w14:paraId="5E9524C6" w14:textId="7C5E0D0E" w:rsidR="00F42A38" w:rsidRPr="00C82D11" w:rsidRDefault="00F42A38" w:rsidP="00A51B1D">
          <w:pPr>
            <w:pStyle w:val="Heading2"/>
            <w:numPr>
              <w:ilvl w:val="0"/>
              <w:numId w:val="0"/>
            </w:numPr>
            <w:spacing w:line="360" w:lineRule="auto"/>
            <w:jc w:val="both"/>
            <w:rPr>
              <w:rFonts w:ascii="Arial" w:hAnsi="Arial" w:cs="Arial"/>
              <w:b/>
              <w:bCs/>
              <w:color w:val="000000" w:themeColor="text1"/>
              <w:sz w:val="28"/>
              <w:szCs w:val="28"/>
            </w:rPr>
          </w:pPr>
          <w:bookmarkStart w:id="12" w:name="_Toc204002542"/>
          <w:r w:rsidRPr="00C82D11">
            <w:rPr>
              <w:rFonts w:ascii="Arial" w:hAnsi="Arial" w:cs="Arial"/>
              <w:b/>
              <w:bCs/>
              <w:color w:val="000000" w:themeColor="text1"/>
              <w:sz w:val="28"/>
              <w:szCs w:val="28"/>
            </w:rPr>
            <w:lastRenderedPageBreak/>
            <w:t>PART 2</w:t>
          </w:r>
          <w:bookmarkEnd w:id="12"/>
        </w:p>
        <w:p w14:paraId="54C81D2A" w14:textId="4FA741D3" w:rsidR="007D1947" w:rsidRPr="00C82D11" w:rsidRDefault="007D1947" w:rsidP="00A51B1D">
          <w:pPr>
            <w:pStyle w:val="Heading2"/>
            <w:numPr>
              <w:ilvl w:val="0"/>
              <w:numId w:val="0"/>
            </w:numPr>
            <w:spacing w:line="360" w:lineRule="auto"/>
            <w:jc w:val="both"/>
            <w:rPr>
              <w:rFonts w:ascii="Arial" w:hAnsi="Arial" w:cs="Arial"/>
              <w:b/>
              <w:bCs/>
              <w:color w:val="000000" w:themeColor="text1"/>
              <w:sz w:val="28"/>
              <w:szCs w:val="28"/>
            </w:rPr>
          </w:pPr>
          <w:bookmarkStart w:id="13" w:name="_Toc204002543"/>
          <w:r w:rsidRPr="00C82D11">
            <w:rPr>
              <w:rFonts w:ascii="Arial" w:hAnsi="Arial" w:cs="Arial"/>
              <w:b/>
              <w:bCs/>
              <w:color w:val="000000" w:themeColor="text1"/>
              <w:sz w:val="28"/>
              <w:szCs w:val="28"/>
            </w:rPr>
            <w:t>Introduction</w:t>
          </w:r>
          <w:bookmarkEnd w:id="11"/>
          <w:bookmarkEnd w:id="13"/>
          <w:r w:rsidR="00480872" w:rsidRPr="00C82D11">
            <w:rPr>
              <w:rFonts w:ascii="Arial" w:hAnsi="Arial" w:cs="Arial"/>
              <w:b/>
              <w:bCs/>
              <w:color w:val="000000" w:themeColor="text1"/>
              <w:sz w:val="28"/>
              <w:szCs w:val="28"/>
            </w:rPr>
            <w:t xml:space="preserve"> </w:t>
          </w:r>
        </w:p>
        <w:p w14:paraId="2705F427" w14:textId="0E5105A0" w:rsidR="00042AF0" w:rsidRPr="00A51B1D" w:rsidRDefault="006F0F00" w:rsidP="00A51B1D">
          <w:pPr>
            <w:spacing w:line="360" w:lineRule="auto"/>
            <w:jc w:val="both"/>
            <w:rPr>
              <w:rFonts w:ascii="Arial" w:hAnsi="Arial" w:cs="Arial"/>
              <w:sz w:val="24"/>
              <w:szCs w:val="24"/>
            </w:rPr>
          </w:pPr>
          <w:r w:rsidRPr="00A51B1D">
            <w:rPr>
              <w:rFonts w:ascii="Arial" w:hAnsi="Arial" w:cs="Arial"/>
              <w:sz w:val="24"/>
              <w:szCs w:val="24"/>
            </w:rPr>
            <w:t xml:space="preserve">It is a report that is able to assess the financial feasibility of three strategic investment opportunities presented to </w:t>
          </w:r>
          <w:proofErr w:type="spellStart"/>
          <w:r w:rsidRPr="00A51B1D">
            <w:rPr>
              <w:rFonts w:ascii="Arial" w:hAnsi="Arial" w:cs="Arial"/>
              <w:sz w:val="24"/>
              <w:szCs w:val="24"/>
            </w:rPr>
            <w:t>Jordons</w:t>
          </w:r>
          <w:proofErr w:type="spellEnd"/>
          <w:r w:rsidRPr="00A51B1D">
            <w:rPr>
              <w:rFonts w:ascii="Arial" w:hAnsi="Arial" w:cs="Arial"/>
              <w:sz w:val="24"/>
              <w:szCs w:val="24"/>
            </w:rPr>
            <w:t xml:space="preserve"> Plc, a company that is known to manufacture high quality of internal wooden window blinds. The company directors are hence thinking of the following in a </w:t>
          </w:r>
          <w:r w:rsidR="00827689" w:rsidRPr="00A51B1D">
            <w:rPr>
              <w:rFonts w:ascii="Arial" w:hAnsi="Arial" w:cs="Arial"/>
              <w:sz w:val="24"/>
              <w:szCs w:val="24"/>
            </w:rPr>
            <w:t>4-year</w:t>
          </w:r>
          <w:r w:rsidRPr="00A51B1D">
            <w:rPr>
              <w:rFonts w:ascii="Arial" w:hAnsi="Arial" w:cs="Arial"/>
              <w:sz w:val="24"/>
              <w:szCs w:val="24"/>
            </w:rPr>
            <w:t xml:space="preserve"> strategy of growth: (A) opening retail units that offer the full line of products, (B) selling through an online shop and (C) entering into the production of curtains and Roman blinds. Each of the options has high initial capital expenditure and forecasted cash flow over four years and need to have sufficient financial appraisal carried out to identify the most lucrative and viable option. The analysis will use that of Net Present Value (NPV) and Internal Rate of Return (IRR) to evaluate the options considering cost of capital (6%), corporation tax (25%) and capital allowances (20% published under straight-line basis). Such is because NPV is regarded as the major appraisal instrument because it takes into consideration the time value of money and presents a direct measurement of the creation of shareholder wealth. </w:t>
          </w:r>
        </w:p>
        <w:p w14:paraId="5DBAD65B" w14:textId="61CA3FFF" w:rsidR="004A11F6" w:rsidRPr="00A51B1D" w:rsidRDefault="006F0F00" w:rsidP="00A51B1D">
          <w:pPr>
            <w:spacing w:line="360" w:lineRule="auto"/>
            <w:jc w:val="both"/>
            <w:rPr>
              <w:rFonts w:ascii="Arial" w:hAnsi="Arial" w:cs="Arial"/>
              <w:sz w:val="24"/>
              <w:szCs w:val="24"/>
            </w:rPr>
          </w:pPr>
          <w:r w:rsidRPr="00A51B1D">
            <w:rPr>
              <w:rFonts w:ascii="Arial" w:hAnsi="Arial" w:cs="Arial"/>
              <w:sz w:val="24"/>
              <w:szCs w:val="24"/>
            </w:rPr>
            <w:t>Moreover, the report critically analyses the suitability of non-discounting techniques, Payback Period and Accounting Rate of Return (ARR) and also reveals some of the qualitative factors affecting the investment decision. The report also looks at a scenario whereby there are limited funds that can be used in total to the tune of 2 million pounds and gives an optimal investment policy in this situation. Last but not least, funding for the recommended investment is addressed and compared with its pros and cons as a measure to guide the board into making a sound and tactical decision.</w:t>
          </w:r>
        </w:p>
        <w:p w14:paraId="07120B2B" w14:textId="77777777" w:rsidR="009521BB" w:rsidRDefault="009521BB">
          <w:pPr>
            <w:rPr>
              <w:rFonts w:ascii="Arial" w:hAnsi="Arial" w:cs="Arial"/>
            </w:rPr>
          </w:pPr>
          <w:r>
            <w:rPr>
              <w:rFonts w:ascii="Arial" w:hAnsi="Arial" w:cs="Arial"/>
            </w:rPr>
            <w:br w:type="page"/>
          </w:r>
        </w:p>
        <w:p w14:paraId="46965C6B" w14:textId="158E16EC" w:rsidR="00CF0E48" w:rsidRPr="00F24061" w:rsidRDefault="00BB3FD9" w:rsidP="00F24061">
          <w:pPr>
            <w:spacing w:line="360" w:lineRule="auto"/>
            <w:jc w:val="both"/>
            <w:rPr>
              <w:rFonts w:ascii="Arial" w:hAnsi="Arial" w:cs="Arial"/>
              <w:b/>
              <w:bCs/>
              <w:sz w:val="24"/>
              <w:szCs w:val="24"/>
              <w:u w:val="single"/>
            </w:rPr>
          </w:pPr>
          <w:r w:rsidRPr="00F24061">
            <w:rPr>
              <w:rFonts w:ascii="Arial" w:hAnsi="Arial" w:cs="Arial"/>
              <w:b/>
              <w:bCs/>
              <w:sz w:val="24"/>
              <w:szCs w:val="24"/>
              <w:u w:val="single"/>
            </w:rPr>
            <w:lastRenderedPageBreak/>
            <w:t xml:space="preserve">1. </w:t>
          </w:r>
          <w:r w:rsidR="00940E33" w:rsidRPr="00F24061">
            <w:rPr>
              <w:rFonts w:ascii="Arial" w:hAnsi="Arial" w:cs="Arial"/>
              <w:b/>
              <w:bCs/>
              <w:sz w:val="24"/>
              <w:szCs w:val="24"/>
              <w:u w:val="single"/>
            </w:rPr>
            <w:t>Financial Appraisal of Investment Options</w:t>
          </w:r>
        </w:p>
        <w:p w14:paraId="5EE074AF" w14:textId="3ED0D3EE" w:rsidR="00940E33" w:rsidRPr="00F24061" w:rsidRDefault="00F11594" w:rsidP="00F24061">
          <w:pPr>
            <w:spacing w:line="360" w:lineRule="auto"/>
            <w:jc w:val="both"/>
            <w:rPr>
              <w:rFonts w:ascii="Arial" w:hAnsi="Arial" w:cs="Arial"/>
              <w:sz w:val="24"/>
              <w:szCs w:val="24"/>
            </w:rPr>
          </w:pPr>
          <w:r w:rsidRPr="00F24061">
            <w:rPr>
              <w:rFonts w:ascii="Arial" w:hAnsi="Arial" w:cs="Arial"/>
              <w:sz w:val="24"/>
              <w:szCs w:val="24"/>
            </w:rPr>
            <w:t>To evaluate the three investment options presented, I have applied the Net Present Value (NPV) and Internal Rate of Return (IRR) techniques, both of which account for the time value of money, tax implications, and capital allowances. This ensures that there is a realistic financial appraisal of each option.</w:t>
          </w:r>
        </w:p>
        <w:p w14:paraId="04F42FB3" w14:textId="1884E2A5" w:rsidR="00940E33" w:rsidRPr="00F24061" w:rsidRDefault="00940E33" w:rsidP="00F24061">
          <w:pPr>
            <w:spacing w:line="360" w:lineRule="auto"/>
            <w:jc w:val="both"/>
            <w:rPr>
              <w:rFonts w:ascii="Arial" w:hAnsi="Arial" w:cs="Arial"/>
              <w:b/>
              <w:bCs/>
              <w:i/>
              <w:iCs/>
              <w:sz w:val="24"/>
              <w:szCs w:val="24"/>
            </w:rPr>
          </w:pPr>
          <w:r w:rsidRPr="00F24061">
            <w:rPr>
              <w:rFonts w:ascii="Arial" w:hAnsi="Arial" w:cs="Arial"/>
              <w:b/>
              <w:bCs/>
              <w:i/>
              <w:iCs/>
              <w:sz w:val="24"/>
              <w:szCs w:val="24"/>
            </w:rPr>
            <w:t>Option A: Expand Retail Outlet</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40E33" w:rsidRPr="00F24061" w14:paraId="50786D38" w14:textId="77777777">
            <w:tc>
              <w:tcPr>
                <w:tcW w:w="1502" w:type="dxa"/>
              </w:tcPr>
              <w:p w14:paraId="47532DDD" w14:textId="34CDC909"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Year</w:t>
                </w:r>
              </w:p>
            </w:tc>
            <w:tc>
              <w:tcPr>
                <w:tcW w:w="1502" w:type="dxa"/>
              </w:tcPr>
              <w:p w14:paraId="5D134309" w14:textId="55A63470"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Cash Flow (£’000)</w:t>
                </w:r>
              </w:p>
            </w:tc>
            <w:tc>
              <w:tcPr>
                <w:tcW w:w="1503" w:type="dxa"/>
              </w:tcPr>
              <w:p w14:paraId="46FFA29C" w14:textId="6436822E"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Tax (25%) (£’000)</w:t>
                </w:r>
              </w:p>
            </w:tc>
            <w:tc>
              <w:tcPr>
                <w:tcW w:w="1503" w:type="dxa"/>
              </w:tcPr>
              <w:p w14:paraId="580E1B8E" w14:textId="1A2D0238"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Net Cash Flow (£’000)</w:t>
                </w:r>
              </w:p>
            </w:tc>
            <w:tc>
              <w:tcPr>
                <w:tcW w:w="1503" w:type="dxa"/>
              </w:tcPr>
              <w:p w14:paraId="3043EB1B" w14:textId="4BBADA36"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Discount Factor (6%)</w:t>
                </w:r>
              </w:p>
            </w:tc>
            <w:tc>
              <w:tcPr>
                <w:tcW w:w="1503" w:type="dxa"/>
              </w:tcPr>
              <w:p w14:paraId="389F4074" w14:textId="5A52287A"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Present Value (£’000)</w:t>
                </w:r>
              </w:p>
            </w:tc>
          </w:tr>
          <w:tr w:rsidR="00940E33" w:rsidRPr="00F24061" w14:paraId="3C3C2278" w14:textId="77777777">
            <w:tc>
              <w:tcPr>
                <w:tcW w:w="1502" w:type="dxa"/>
              </w:tcPr>
              <w:p w14:paraId="3702D755" w14:textId="1CE7A883"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w:t>
                </w:r>
              </w:p>
            </w:tc>
            <w:tc>
              <w:tcPr>
                <w:tcW w:w="1502" w:type="dxa"/>
              </w:tcPr>
              <w:p w14:paraId="030BB77E" w14:textId="7E387B68"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200</w:t>
                </w:r>
              </w:p>
            </w:tc>
            <w:tc>
              <w:tcPr>
                <w:tcW w:w="1503" w:type="dxa"/>
              </w:tcPr>
              <w:p w14:paraId="738B078E" w14:textId="57E35278"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50</w:t>
                </w:r>
              </w:p>
            </w:tc>
            <w:tc>
              <w:tcPr>
                <w:tcW w:w="1503" w:type="dxa"/>
              </w:tcPr>
              <w:p w14:paraId="37ADC7ED" w14:textId="46DFB204"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150</w:t>
                </w:r>
              </w:p>
            </w:tc>
            <w:tc>
              <w:tcPr>
                <w:tcW w:w="1503" w:type="dxa"/>
              </w:tcPr>
              <w:p w14:paraId="20DBAAE3" w14:textId="0EBD16ED"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0.943</w:t>
                </w:r>
              </w:p>
            </w:tc>
            <w:tc>
              <w:tcPr>
                <w:tcW w:w="1503" w:type="dxa"/>
              </w:tcPr>
              <w:p w14:paraId="26378D80" w14:textId="072542EA"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141.5</w:t>
                </w:r>
              </w:p>
            </w:tc>
          </w:tr>
          <w:tr w:rsidR="00940E33" w:rsidRPr="00F24061" w14:paraId="3051163A" w14:textId="77777777">
            <w:tc>
              <w:tcPr>
                <w:tcW w:w="1502" w:type="dxa"/>
              </w:tcPr>
              <w:p w14:paraId="6A032D8F" w14:textId="3B84C30E"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w:t>
                </w:r>
              </w:p>
            </w:tc>
            <w:tc>
              <w:tcPr>
                <w:tcW w:w="1502" w:type="dxa"/>
              </w:tcPr>
              <w:p w14:paraId="16F7AA3B" w14:textId="6F3BC4D4"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300</w:t>
                </w:r>
              </w:p>
            </w:tc>
            <w:tc>
              <w:tcPr>
                <w:tcW w:w="1503" w:type="dxa"/>
              </w:tcPr>
              <w:p w14:paraId="364A66C3" w14:textId="62FAE390"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75</w:t>
                </w:r>
              </w:p>
            </w:tc>
            <w:tc>
              <w:tcPr>
                <w:tcW w:w="1503" w:type="dxa"/>
              </w:tcPr>
              <w:p w14:paraId="5F550BB3" w14:textId="4DF8F08A"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225</w:t>
                </w:r>
              </w:p>
            </w:tc>
            <w:tc>
              <w:tcPr>
                <w:tcW w:w="1503" w:type="dxa"/>
              </w:tcPr>
              <w:p w14:paraId="5CAEA918" w14:textId="6230C72E"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0.890</w:t>
                </w:r>
              </w:p>
            </w:tc>
            <w:tc>
              <w:tcPr>
                <w:tcW w:w="1503" w:type="dxa"/>
              </w:tcPr>
              <w:p w14:paraId="3399DA1B" w14:textId="045622E1"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200.3</w:t>
                </w:r>
              </w:p>
            </w:tc>
          </w:tr>
          <w:tr w:rsidR="00940E33" w:rsidRPr="00F24061" w14:paraId="2DB982A3" w14:textId="77777777">
            <w:tc>
              <w:tcPr>
                <w:tcW w:w="1502" w:type="dxa"/>
              </w:tcPr>
              <w:p w14:paraId="31CE6F6F" w14:textId="7784CC2E"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3</w:t>
                </w:r>
              </w:p>
            </w:tc>
            <w:tc>
              <w:tcPr>
                <w:tcW w:w="1502" w:type="dxa"/>
              </w:tcPr>
              <w:p w14:paraId="5795D049" w14:textId="3C99F4A0"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400</w:t>
                </w:r>
              </w:p>
            </w:tc>
            <w:tc>
              <w:tcPr>
                <w:tcW w:w="1503" w:type="dxa"/>
              </w:tcPr>
              <w:p w14:paraId="29646DFE" w14:textId="794A77F6"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100</w:t>
                </w:r>
              </w:p>
            </w:tc>
            <w:tc>
              <w:tcPr>
                <w:tcW w:w="1503" w:type="dxa"/>
              </w:tcPr>
              <w:p w14:paraId="0CDC6B37" w14:textId="38E91067"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300</w:t>
                </w:r>
              </w:p>
            </w:tc>
            <w:tc>
              <w:tcPr>
                <w:tcW w:w="1503" w:type="dxa"/>
              </w:tcPr>
              <w:p w14:paraId="7F09CA75" w14:textId="602718F5"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0.840</w:t>
                </w:r>
              </w:p>
            </w:tc>
            <w:tc>
              <w:tcPr>
                <w:tcW w:w="1503" w:type="dxa"/>
              </w:tcPr>
              <w:p w14:paraId="35A8F486" w14:textId="56F54B2A"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252.0</w:t>
                </w:r>
              </w:p>
            </w:tc>
          </w:tr>
          <w:tr w:rsidR="00940E33" w:rsidRPr="00F24061" w14:paraId="332B7383" w14:textId="77777777">
            <w:tc>
              <w:tcPr>
                <w:tcW w:w="1502" w:type="dxa"/>
              </w:tcPr>
              <w:p w14:paraId="40D56568" w14:textId="1B517422"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4</w:t>
                </w:r>
              </w:p>
            </w:tc>
            <w:tc>
              <w:tcPr>
                <w:tcW w:w="1502" w:type="dxa"/>
              </w:tcPr>
              <w:p w14:paraId="55A0177A" w14:textId="1EE10915"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500</w:t>
                </w:r>
              </w:p>
            </w:tc>
            <w:tc>
              <w:tcPr>
                <w:tcW w:w="1503" w:type="dxa"/>
              </w:tcPr>
              <w:p w14:paraId="79B19535" w14:textId="3A261E1B"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125</w:t>
                </w:r>
              </w:p>
            </w:tc>
            <w:tc>
              <w:tcPr>
                <w:tcW w:w="1503" w:type="dxa"/>
              </w:tcPr>
              <w:p w14:paraId="2CB6160E" w14:textId="635DC37B"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375</w:t>
                </w:r>
              </w:p>
            </w:tc>
            <w:tc>
              <w:tcPr>
                <w:tcW w:w="1503" w:type="dxa"/>
              </w:tcPr>
              <w:p w14:paraId="6078DE0B" w14:textId="1F211F13"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0.792</w:t>
                </w:r>
              </w:p>
            </w:tc>
            <w:tc>
              <w:tcPr>
                <w:tcW w:w="1503" w:type="dxa"/>
              </w:tcPr>
              <w:p w14:paraId="17EB265D" w14:textId="54B1EA20"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297.0</w:t>
                </w:r>
              </w:p>
            </w:tc>
          </w:tr>
        </w:tbl>
        <w:p w14:paraId="0CEF6CEC" w14:textId="77777777" w:rsidR="00940E33" w:rsidRPr="00F24061" w:rsidRDefault="00940E33" w:rsidP="00F24061">
          <w:pPr>
            <w:spacing w:line="360" w:lineRule="auto"/>
            <w:jc w:val="both"/>
            <w:rPr>
              <w:rFonts w:ascii="Arial" w:hAnsi="Arial" w:cs="Arial"/>
              <w:sz w:val="24"/>
              <w:szCs w:val="24"/>
            </w:rPr>
          </w:pPr>
        </w:p>
        <w:p w14:paraId="51C49B6D" w14:textId="7FCC6903" w:rsidR="00CF0E48" w:rsidRPr="00F24061" w:rsidRDefault="00BB7787" w:rsidP="00F24061">
          <w:pPr>
            <w:spacing w:line="360" w:lineRule="auto"/>
            <w:jc w:val="both"/>
            <w:rPr>
              <w:rFonts w:ascii="Arial" w:hAnsi="Arial" w:cs="Arial"/>
              <w:sz w:val="24"/>
              <w:szCs w:val="24"/>
            </w:rPr>
          </w:pPr>
          <w:r w:rsidRPr="00F24061">
            <w:rPr>
              <w:rFonts w:ascii="Arial" w:hAnsi="Arial" w:cs="Arial"/>
              <w:sz w:val="24"/>
              <w:szCs w:val="24"/>
            </w:rPr>
            <w:t>Option A produces a positive NPV of £290,800. This suggests that Option A would be value added for the shareholders if pursued. The cash flows gradually increase over four years, reflecting the gradual growth of the retail sales opportunity. Additionally, the initial investment of £600,000 is relatively low and appealing for a company that has a limited risk appetite. Finally, the company would have to deal with the operational risks linked to the retail expansion, including changing consumer purchasing paths and high levels of fixed costs associated with permanent locations.</w:t>
          </w:r>
        </w:p>
        <w:p w14:paraId="021BA801" w14:textId="519D0C63" w:rsidR="00940E33" w:rsidRPr="00F24061" w:rsidRDefault="00940E33" w:rsidP="00F24061">
          <w:pPr>
            <w:spacing w:line="360" w:lineRule="auto"/>
            <w:jc w:val="both"/>
            <w:rPr>
              <w:rFonts w:ascii="Arial" w:hAnsi="Arial" w:cs="Arial"/>
              <w:b/>
              <w:bCs/>
              <w:i/>
              <w:iCs/>
              <w:sz w:val="24"/>
              <w:szCs w:val="24"/>
            </w:rPr>
          </w:pPr>
          <w:r w:rsidRPr="00F24061">
            <w:rPr>
              <w:rFonts w:ascii="Arial" w:hAnsi="Arial" w:cs="Arial"/>
              <w:b/>
              <w:bCs/>
              <w:i/>
              <w:iCs/>
              <w:sz w:val="24"/>
              <w:szCs w:val="24"/>
            </w:rPr>
            <w:t>Option B: Develop Internet Sales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40E33" w:rsidRPr="00F24061" w14:paraId="41297526" w14:textId="77777777" w:rsidTr="00054515">
            <w:tc>
              <w:tcPr>
                <w:tcW w:w="1502" w:type="dxa"/>
                <w:vAlign w:val="center"/>
              </w:tcPr>
              <w:p w14:paraId="5E106F58" w14:textId="0BCE322F"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Year</w:t>
                </w:r>
              </w:p>
            </w:tc>
            <w:tc>
              <w:tcPr>
                <w:tcW w:w="1502" w:type="dxa"/>
                <w:vAlign w:val="center"/>
              </w:tcPr>
              <w:p w14:paraId="378C77A2" w14:textId="2D067E42"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Cash Flow (£’000)</w:t>
                </w:r>
              </w:p>
            </w:tc>
            <w:tc>
              <w:tcPr>
                <w:tcW w:w="1503" w:type="dxa"/>
                <w:vAlign w:val="center"/>
              </w:tcPr>
              <w:p w14:paraId="22D65493" w14:textId="7859D777"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Tax (25%) (£’000)</w:t>
                </w:r>
              </w:p>
            </w:tc>
            <w:tc>
              <w:tcPr>
                <w:tcW w:w="1503" w:type="dxa"/>
                <w:vAlign w:val="center"/>
              </w:tcPr>
              <w:p w14:paraId="13775343" w14:textId="439E2ACC"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Net Cash Flow (£’000)</w:t>
                </w:r>
              </w:p>
            </w:tc>
            <w:tc>
              <w:tcPr>
                <w:tcW w:w="1503" w:type="dxa"/>
                <w:vAlign w:val="center"/>
              </w:tcPr>
              <w:p w14:paraId="63C1EC3B" w14:textId="1CA2C51E"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Discount Factor (6%)</w:t>
                </w:r>
              </w:p>
            </w:tc>
            <w:tc>
              <w:tcPr>
                <w:tcW w:w="1503" w:type="dxa"/>
                <w:vAlign w:val="center"/>
              </w:tcPr>
              <w:p w14:paraId="21908ACC" w14:textId="22685001"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Present Value (£’000)</w:t>
                </w:r>
              </w:p>
            </w:tc>
          </w:tr>
          <w:tr w:rsidR="00940E33" w:rsidRPr="00F24061" w14:paraId="69A6C866" w14:textId="77777777" w:rsidTr="00054515">
            <w:tc>
              <w:tcPr>
                <w:tcW w:w="1502" w:type="dxa"/>
                <w:vAlign w:val="center"/>
              </w:tcPr>
              <w:p w14:paraId="6E7FFFC1" w14:textId="0EA2C7AB"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w:t>
                </w:r>
              </w:p>
            </w:tc>
            <w:tc>
              <w:tcPr>
                <w:tcW w:w="1502" w:type="dxa"/>
                <w:vAlign w:val="center"/>
              </w:tcPr>
              <w:p w14:paraId="3F837DDC" w14:textId="4C90FFF3"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400</w:t>
                </w:r>
              </w:p>
            </w:tc>
            <w:tc>
              <w:tcPr>
                <w:tcW w:w="1503" w:type="dxa"/>
                <w:vAlign w:val="center"/>
              </w:tcPr>
              <w:p w14:paraId="32802662" w14:textId="3A85B4E7"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100</w:t>
                </w:r>
              </w:p>
            </w:tc>
            <w:tc>
              <w:tcPr>
                <w:tcW w:w="1503" w:type="dxa"/>
                <w:vAlign w:val="center"/>
              </w:tcPr>
              <w:p w14:paraId="794D3FAF" w14:textId="7B32BBAE"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300</w:t>
                </w:r>
              </w:p>
            </w:tc>
            <w:tc>
              <w:tcPr>
                <w:tcW w:w="1503" w:type="dxa"/>
                <w:vAlign w:val="center"/>
              </w:tcPr>
              <w:p w14:paraId="239124B9" w14:textId="79776914"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0.943</w:t>
                </w:r>
              </w:p>
            </w:tc>
            <w:tc>
              <w:tcPr>
                <w:tcW w:w="1503" w:type="dxa"/>
                <w:vAlign w:val="center"/>
              </w:tcPr>
              <w:p w14:paraId="123A8256" w14:textId="2D5409D3"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282.9</w:t>
                </w:r>
              </w:p>
            </w:tc>
          </w:tr>
          <w:tr w:rsidR="00940E33" w:rsidRPr="00F24061" w14:paraId="38CED421" w14:textId="77777777" w:rsidTr="00054515">
            <w:tc>
              <w:tcPr>
                <w:tcW w:w="1502" w:type="dxa"/>
                <w:vAlign w:val="center"/>
              </w:tcPr>
              <w:p w14:paraId="3E62E2DF" w14:textId="68E6086A"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w:t>
                </w:r>
              </w:p>
            </w:tc>
            <w:tc>
              <w:tcPr>
                <w:tcW w:w="1502" w:type="dxa"/>
                <w:vAlign w:val="center"/>
              </w:tcPr>
              <w:p w14:paraId="72A65B7A" w14:textId="63E7DA1E"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450</w:t>
                </w:r>
              </w:p>
            </w:tc>
            <w:tc>
              <w:tcPr>
                <w:tcW w:w="1503" w:type="dxa"/>
                <w:vAlign w:val="center"/>
              </w:tcPr>
              <w:p w14:paraId="731048AF" w14:textId="4B5C0E76"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112.5</w:t>
                </w:r>
              </w:p>
            </w:tc>
            <w:tc>
              <w:tcPr>
                <w:tcW w:w="1503" w:type="dxa"/>
                <w:vAlign w:val="center"/>
              </w:tcPr>
              <w:p w14:paraId="52C15B08" w14:textId="1464F0E4"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337.5</w:t>
                </w:r>
              </w:p>
            </w:tc>
            <w:tc>
              <w:tcPr>
                <w:tcW w:w="1503" w:type="dxa"/>
                <w:vAlign w:val="center"/>
              </w:tcPr>
              <w:p w14:paraId="5ECE2CAD" w14:textId="08611990"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0.890</w:t>
                </w:r>
              </w:p>
            </w:tc>
            <w:tc>
              <w:tcPr>
                <w:tcW w:w="1503" w:type="dxa"/>
                <w:vAlign w:val="center"/>
              </w:tcPr>
              <w:p w14:paraId="2694E2D5" w14:textId="7978706E"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300.4</w:t>
                </w:r>
              </w:p>
            </w:tc>
          </w:tr>
          <w:tr w:rsidR="00940E33" w:rsidRPr="00F24061" w14:paraId="0F5BA3C1" w14:textId="77777777" w:rsidTr="00054515">
            <w:tc>
              <w:tcPr>
                <w:tcW w:w="1502" w:type="dxa"/>
                <w:vAlign w:val="center"/>
              </w:tcPr>
              <w:p w14:paraId="71ACCC27" w14:textId="2CADF8D2"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3</w:t>
                </w:r>
              </w:p>
            </w:tc>
            <w:tc>
              <w:tcPr>
                <w:tcW w:w="1502" w:type="dxa"/>
                <w:vAlign w:val="center"/>
              </w:tcPr>
              <w:p w14:paraId="0D20F007" w14:textId="18B4406F"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650</w:t>
                </w:r>
              </w:p>
            </w:tc>
            <w:tc>
              <w:tcPr>
                <w:tcW w:w="1503" w:type="dxa"/>
                <w:vAlign w:val="center"/>
              </w:tcPr>
              <w:p w14:paraId="43A4F9C2" w14:textId="09823C47"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162.5</w:t>
                </w:r>
              </w:p>
            </w:tc>
            <w:tc>
              <w:tcPr>
                <w:tcW w:w="1503" w:type="dxa"/>
                <w:vAlign w:val="center"/>
              </w:tcPr>
              <w:p w14:paraId="2B0E70AD" w14:textId="48EF57EC"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487.5</w:t>
                </w:r>
              </w:p>
            </w:tc>
            <w:tc>
              <w:tcPr>
                <w:tcW w:w="1503" w:type="dxa"/>
                <w:vAlign w:val="center"/>
              </w:tcPr>
              <w:p w14:paraId="64057795" w14:textId="04673E09"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0.840</w:t>
                </w:r>
              </w:p>
            </w:tc>
            <w:tc>
              <w:tcPr>
                <w:tcW w:w="1503" w:type="dxa"/>
                <w:vAlign w:val="center"/>
              </w:tcPr>
              <w:p w14:paraId="40C98E0F" w14:textId="73B96860"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409.5</w:t>
                </w:r>
              </w:p>
            </w:tc>
          </w:tr>
          <w:tr w:rsidR="00940E33" w:rsidRPr="00F24061" w14:paraId="45B7FEB9" w14:textId="77777777" w:rsidTr="00054515">
            <w:tc>
              <w:tcPr>
                <w:tcW w:w="1502" w:type="dxa"/>
                <w:vAlign w:val="center"/>
              </w:tcPr>
              <w:p w14:paraId="49A5CF78" w14:textId="5B5D0C98"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4</w:t>
                </w:r>
              </w:p>
            </w:tc>
            <w:tc>
              <w:tcPr>
                <w:tcW w:w="1502" w:type="dxa"/>
                <w:vAlign w:val="center"/>
              </w:tcPr>
              <w:p w14:paraId="79151CCF" w14:textId="2568FC40"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980</w:t>
                </w:r>
              </w:p>
            </w:tc>
            <w:tc>
              <w:tcPr>
                <w:tcW w:w="1503" w:type="dxa"/>
                <w:vAlign w:val="center"/>
              </w:tcPr>
              <w:p w14:paraId="39FF38D2" w14:textId="27B743BC"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245</w:t>
                </w:r>
              </w:p>
            </w:tc>
            <w:tc>
              <w:tcPr>
                <w:tcW w:w="1503" w:type="dxa"/>
                <w:vAlign w:val="center"/>
              </w:tcPr>
              <w:p w14:paraId="0F33A171" w14:textId="04ED9F48"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735</w:t>
                </w:r>
              </w:p>
            </w:tc>
            <w:tc>
              <w:tcPr>
                <w:tcW w:w="1503" w:type="dxa"/>
                <w:vAlign w:val="center"/>
              </w:tcPr>
              <w:p w14:paraId="4AC514A9" w14:textId="5FD999DF"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0.792</w:t>
                </w:r>
              </w:p>
            </w:tc>
            <w:tc>
              <w:tcPr>
                <w:tcW w:w="1503" w:type="dxa"/>
                <w:vAlign w:val="center"/>
              </w:tcPr>
              <w:p w14:paraId="05B68279" w14:textId="6AED4ED1"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581.8</w:t>
                </w:r>
              </w:p>
            </w:tc>
          </w:tr>
        </w:tbl>
        <w:p w14:paraId="41F1F939" w14:textId="77777777" w:rsidR="00940E33" w:rsidRPr="00F24061" w:rsidRDefault="00940E33" w:rsidP="00F24061">
          <w:pPr>
            <w:spacing w:line="360" w:lineRule="auto"/>
            <w:jc w:val="both"/>
            <w:rPr>
              <w:rFonts w:ascii="Arial" w:hAnsi="Arial" w:cs="Arial"/>
              <w:sz w:val="24"/>
              <w:szCs w:val="24"/>
            </w:rPr>
          </w:pPr>
        </w:p>
        <w:p w14:paraId="668AB3CE" w14:textId="5DC5A424" w:rsidR="00940E33" w:rsidRPr="00F24061" w:rsidRDefault="00FB6FAB" w:rsidP="00F24061">
          <w:pPr>
            <w:spacing w:line="360" w:lineRule="auto"/>
            <w:jc w:val="both"/>
            <w:rPr>
              <w:rFonts w:ascii="Arial" w:hAnsi="Arial" w:cs="Arial"/>
              <w:sz w:val="24"/>
              <w:szCs w:val="24"/>
              <w:lang w:val="en-IN"/>
            </w:rPr>
          </w:pPr>
          <w:r w:rsidRPr="00F24061">
            <w:rPr>
              <w:rFonts w:ascii="Arial" w:hAnsi="Arial" w:cs="Arial"/>
              <w:sz w:val="24"/>
              <w:szCs w:val="24"/>
              <w:lang w:val="en-IN"/>
            </w:rPr>
            <w:lastRenderedPageBreak/>
            <w:t>Option B is the best NPV at £574,600 and indicates that it would be the most financially viable of the three options presented. The initial investment of £1 million is conservative, as the cash flows from this project (especially the 3rd and 4th year) are quick to return, demonstrating that this model is highly scalable (indicated by the growing models of e-commerce and adapting technological platforms to gain market share). The academic literature also supports this approach; Brynjolfsson and Smith (2000) demonstrate that the opportunities within retail for new e-commerce platforms to displace traditional methods</w:t>
          </w:r>
          <w:sdt>
            <w:sdtPr>
              <w:rPr>
                <w:rFonts w:ascii="Arial" w:hAnsi="Arial" w:cs="Arial"/>
                <w:sz w:val="24"/>
                <w:szCs w:val="24"/>
                <w:lang w:val="en-IN"/>
              </w:rPr>
              <w:id w:val="319152864"/>
              <w:citation/>
            </w:sdtPr>
            <w:sdtEndPr/>
            <w:sdtContent>
              <w:r w:rsidR="00D708FB">
                <w:rPr>
                  <w:rFonts w:ascii="Arial" w:hAnsi="Arial" w:cs="Arial"/>
                  <w:sz w:val="24"/>
                  <w:szCs w:val="24"/>
                  <w:lang w:val="en-IN"/>
                </w:rPr>
                <w:fldChar w:fldCharType="begin"/>
              </w:r>
              <w:r w:rsidR="00D708FB">
                <w:rPr>
                  <w:rFonts w:ascii="Arial" w:hAnsi="Arial" w:cs="Arial"/>
                  <w:sz w:val="24"/>
                  <w:szCs w:val="24"/>
                  <w:lang w:val="en-US"/>
                </w:rPr>
                <w:instrText xml:space="preserve"> CITATION Bry00 \l 1033 </w:instrText>
              </w:r>
              <w:r w:rsidR="00D708FB">
                <w:rPr>
                  <w:rFonts w:ascii="Arial" w:hAnsi="Arial" w:cs="Arial"/>
                  <w:sz w:val="24"/>
                  <w:szCs w:val="24"/>
                  <w:lang w:val="en-IN"/>
                </w:rPr>
                <w:fldChar w:fldCharType="separate"/>
              </w:r>
              <w:r w:rsidR="00D708FB">
                <w:rPr>
                  <w:rFonts w:ascii="Arial" w:hAnsi="Arial" w:cs="Arial"/>
                  <w:noProof/>
                  <w:sz w:val="24"/>
                  <w:szCs w:val="24"/>
                  <w:lang w:val="en-US"/>
                </w:rPr>
                <w:t xml:space="preserve"> </w:t>
              </w:r>
              <w:r w:rsidR="00D708FB" w:rsidRPr="00D708FB">
                <w:rPr>
                  <w:rFonts w:ascii="Arial" w:hAnsi="Arial" w:cs="Arial"/>
                  <w:noProof/>
                  <w:sz w:val="24"/>
                  <w:szCs w:val="24"/>
                  <w:lang w:val="en-US"/>
                </w:rPr>
                <w:t>(Brynjolfsson, 2000)</w:t>
              </w:r>
              <w:r w:rsidR="00D708FB">
                <w:rPr>
                  <w:rFonts w:ascii="Arial" w:hAnsi="Arial" w:cs="Arial"/>
                  <w:sz w:val="24"/>
                  <w:szCs w:val="24"/>
                  <w:lang w:val="en-IN"/>
                </w:rPr>
                <w:fldChar w:fldCharType="end"/>
              </w:r>
            </w:sdtContent>
          </w:sdt>
          <w:r w:rsidRPr="00F24061">
            <w:rPr>
              <w:rFonts w:ascii="Arial" w:hAnsi="Arial" w:cs="Arial"/>
              <w:sz w:val="24"/>
              <w:szCs w:val="24"/>
              <w:lang w:val="en-IN"/>
            </w:rPr>
            <w:t>, as they are more scalable with wide market access that can be achieved with relatively low marginal costs. All of this however relies on having a municipal project supplier that can manage the entire system on your behalf, which we as a company have not validated as having sufficient resources.</w:t>
          </w:r>
        </w:p>
        <w:p w14:paraId="71BE8F78" w14:textId="1A74274D" w:rsidR="00940E33" w:rsidRPr="00F24061" w:rsidRDefault="00940E33" w:rsidP="00F24061">
          <w:pPr>
            <w:spacing w:line="360" w:lineRule="auto"/>
            <w:jc w:val="both"/>
            <w:rPr>
              <w:rFonts w:ascii="Arial" w:hAnsi="Arial" w:cs="Arial"/>
              <w:b/>
              <w:bCs/>
              <w:i/>
              <w:iCs/>
              <w:sz w:val="24"/>
              <w:szCs w:val="24"/>
            </w:rPr>
          </w:pPr>
          <w:r w:rsidRPr="00F24061">
            <w:rPr>
              <w:rFonts w:ascii="Arial" w:hAnsi="Arial" w:cs="Arial"/>
              <w:b/>
              <w:bCs/>
              <w:i/>
              <w:iCs/>
              <w:sz w:val="24"/>
              <w:szCs w:val="24"/>
            </w:rPr>
            <w:t>Option C: Produce Curtains and Roman Blinds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40E33" w:rsidRPr="00F24061" w14:paraId="031E3EA0" w14:textId="77777777" w:rsidTr="00B355F3">
            <w:tc>
              <w:tcPr>
                <w:tcW w:w="1502" w:type="dxa"/>
              </w:tcPr>
              <w:p w14:paraId="27F06F3D" w14:textId="5B8EB582"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Year</w:t>
                </w:r>
              </w:p>
            </w:tc>
            <w:tc>
              <w:tcPr>
                <w:tcW w:w="1502" w:type="dxa"/>
              </w:tcPr>
              <w:p w14:paraId="4DE83546" w14:textId="0C1F1B98"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Cash Flow (£’000)</w:t>
                </w:r>
              </w:p>
            </w:tc>
            <w:tc>
              <w:tcPr>
                <w:tcW w:w="1503" w:type="dxa"/>
              </w:tcPr>
              <w:p w14:paraId="6050AE85" w14:textId="5A349256"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Tax (25%) (£’000)</w:t>
                </w:r>
              </w:p>
            </w:tc>
            <w:tc>
              <w:tcPr>
                <w:tcW w:w="1503" w:type="dxa"/>
              </w:tcPr>
              <w:p w14:paraId="12441A55" w14:textId="591D648E"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Net Cash Flow (£’000)</w:t>
                </w:r>
              </w:p>
            </w:tc>
            <w:tc>
              <w:tcPr>
                <w:tcW w:w="1503" w:type="dxa"/>
              </w:tcPr>
              <w:p w14:paraId="59B2E593" w14:textId="4FEE95A5"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Discount Factor (6%)</w:t>
                </w:r>
              </w:p>
            </w:tc>
            <w:tc>
              <w:tcPr>
                <w:tcW w:w="1503" w:type="dxa"/>
              </w:tcPr>
              <w:p w14:paraId="3F1E292B" w14:textId="1FF3CBEE" w:rsidR="00940E33" w:rsidRPr="00F24061" w:rsidRDefault="00940E33" w:rsidP="00F24061">
                <w:pPr>
                  <w:spacing w:line="360" w:lineRule="auto"/>
                  <w:jc w:val="both"/>
                  <w:rPr>
                    <w:rFonts w:ascii="Arial" w:hAnsi="Arial" w:cs="Arial"/>
                    <w:b/>
                    <w:bCs/>
                    <w:sz w:val="24"/>
                    <w:szCs w:val="24"/>
                  </w:rPr>
                </w:pPr>
                <w:r w:rsidRPr="00F24061">
                  <w:rPr>
                    <w:rFonts w:ascii="Arial" w:hAnsi="Arial" w:cs="Arial"/>
                    <w:b/>
                    <w:bCs/>
                    <w:sz w:val="24"/>
                    <w:szCs w:val="24"/>
                  </w:rPr>
                  <w:t>Present Value (£’000)</w:t>
                </w:r>
              </w:p>
            </w:tc>
          </w:tr>
          <w:tr w:rsidR="00940E33" w:rsidRPr="00F24061" w14:paraId="6AD381D5" w14:textId="77777777" w:rsidTr="00B355F3">
            <w:tc>
              <w:tcPr>
                <w:tcW w:w="1502" w:type="dxa"/>
              </w:tcPr>
              <w:p w14:paraId="3A553819" w14:textId="343B5971"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w:t>
                </w:r>
              </w:p>
            </w:tc>
            <w:tc>
              <w:tcPr>
                <w:tcW w:w="1502" w:type="dxa"/>
              </w:tcPr>
              <w:p w14:paraId="7255E4DB" w14:textId="1C3AB747"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400</w:t>
                </w:r>
              </w:p>
            </w:tc>
            <w:tc>
              <w:tcPr>
                <w:tcW w:w="1503" w:type="dxa"/>
              </w:tcPr>
              <w:p w14:paraId="6439AB3B" w14:textId="76AD675B"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100</w:t>
                </w:r>
              </w:p>
            </w:tc>
            <w:tc>
              <w:tcPr>
                <w:tcW w:w="1503" w:type="dxa"/>
              </w:tcPr>
              <w:p w14:paraId="136AD213" w14:textId="717AD0DD"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300</w:t>
                </w:r>
              </w:p>
            </w:tc>
            <w:tc>
              <w:tcPr>
                <w:tcW w:w="1503" w:type="dxa"/>
              </w:tcPr>
              <w:p w14:paraId="0409DC00" w14:textId="46D0947D"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0.943</w:t>
                </w:r>
              </w:p>
            </w:tc>
            <w:tc>
              <w:tcPr>
                <w:tcW w:w="1503" w:type="dxa"/>
              </w:tcPr>
              <w:p w14:paraId="0949AF37" w14:textId="2634BAC3"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282.9</w:t>
                </w:r>
              </w:p>
            </w:tc>
          </w:tr>
          <w:tr w:rsidR="00940E33" w:rsidRPr="00F24061" w14:paraId="5FEBC4AD" w14:textId="77777777" w:rsidTr="00B355F3">
            <w:tc>
              <w:tcPr>
                <w:tcW w:w="1502" w:type="dxa"/>
              </w:tcPr>
              <w:p w14:paraId="4F28B2B4" w14:textId="6A801CA2"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w:t>
                </w:r>
              </w:p>
            </w:tc>
            <w:tc>
              <w:tcPr>
                <w:tcW w:w="1502" w:type="dxa"/>
              </w:tcPr>
              <w:p w14:paraId="675C73A3" w14:textId="123E4D1F"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700</w:t>
                </w:r>
              </w:p>
            </w:tc>
            <w:tc>
              <w:tcPr>
                <w:tcW w:w="1503" w:type="dxa"/>
              </w:tcPr>
              <w:p w14:paraId="60CD22A8" w14:textId="49FB9DCE"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175</w:t>
                </w:r>
              </w:p>
            </w:tc>
            <w:tc>
              <w:tcPr>
                <w:tcW w:w="1503" w:type="dxa"/>
              </w:tcPr>
              <w:p w14:paraId="38B77D32" w14:textId="727CAAC7"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525</w:t>
                </w:r>
              </w:p>
            </w:tc>
            <w:tc>
              <w:tcPr>
                <w:tcW w:w="1503" w:type="dxa"/>
              </w:tcPr>
              <w:p w14:paraId="724AABCC" w14:textId="164F3421"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0.890</w:t>
                </w:r>
              </w:p>
            </w:tc>
            <w:tc>
              <w:tcPr>
                <w:tcW w:w="1503" w:type="dxa"/>
              </w:tcPr>
              <w:p w14:paraId="35AD99A3" w14:textId="5C50E118"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467.3</w:t>
                </w:r>
              </w:p>
            </w:tc>
          </w:tr>
          <w:tr w:rsidR="00940E33" w:rsidRPr="00F24061" w14:paraId="51B7A3EA" w14:textId="77777777" w:rsidTr="00B355F3">
            <w:tc>
              <w:tcPr>
                <w:tcW w:w="1502" w:type="dxa"/>
              </w:tcPr>
              <w:p w14:paraId="72E4FF1B" w14:textId="742375E8"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3</w:t>
                </w:r>
              </w:p>
            </w:tc>
            <w:tc>
              <w:tcPr>
                <w:tcW w:w="1502" w:type="dxa"/>
              </w:tcPr>
              <w:p w14:paraId="561B9BFA" w14:textId="3B986E7C"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850</w:t>
                </w:r>
              </w:p>
            </w:tc>
            <w:tc>
              <w:tcPr>
                <w:tcW w:w="1503" w:type="dxa"/>
              </w:tcPr>
              <w:p w14:paraId="7C3BB8AF" w14:textId="02936F84"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212.5</w:t>
                </w:r>
              </w:p>
            </w:tc>
            <w:tc>
              <w:tcPr>
                <w:tcW w:w="1503" w:type="dxa"/>
              </w:tcPr>
              <w:p w14:paraId="1A28FCE0" w14:textId="7812016F"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637.5</w:t>
                </w:r>
              </w:p>
            </w:tc>
            <w:tc>
              <w:tcPr>
                <w:tcW w:w="1503" w:type="dxa"/>
              </w:tcPr>
              <w:p w14:paraId="3179D50C" w14:textId="2971FF92"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0.840</w:t>
                </w:r>
              </w:p>
            </w:tc>
            <w:tc>
              <w:tcPr>
                <w:tcW w:w="1503" w:type="dxa"/>
              </w:tcPr>
              <w:p w14:paraId="29EF05A0" w14:textId="0F01E265"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535.5</w:t>
                </w:r>
              </w:p>
            </w:tc>
          </w:tr>
          <w:tr w:rsidR="00940E33" w:rsidRPr="00F24061" w14:paraId="30261A27" w14:textId="77777777" w:rsidTr="00B355F3">
            <w:tc>
              <w:tcPr>
                <w:tcW w:w="1502" w:type="dxa"/>
              </w:tcPr>
              <w:p w14:paraId="0D182B37" w14:textId="5F5F9DC4"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4</w:t>
                </w:r>
              </w:p>
            </w:tc>
            <w:tc>
              <w:tcPr>
                <w:tcW w:w="1502" w:type="dxa"/>
              </w:tcPr>
              <w:p w14:paraId="733EA356" w14:textId="5DCD2404"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1,100</w:t>
                </w:r>
              </w:p>
            </w:tc>
            <w:tc>
              <w:tcPr>
                <w:tcW w:w="1503" w:type="dxa"/>
              </w:tcPr>
              <w:p w14:paraId="450D0996" w14:textId="64199543"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275</w:t>
                </w:r>
              </w:p>
            </w:tc>
            <w:tc>
              <w:tcPr>
                <w:tcW w:w="1503" w:type="dxa"/>
              </w:tcPr>
              <w:p w14:paraId="20359656" w14:textId="7F05BF5C"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825</w:t>
                </w:r>
              </w:p>
            </w:tc>
            <w:tc>
              <w:tcPr>
                <w:tcW w:w="1503" w:type="dxa"/>
              </w:tcPr>
              <w:p w14:paraId="42D528B9" w14:textId="6A1EB225"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0.792</w:t>
                </w:r>
              </w:p>
            </w:tc>
            <w:tc>
              <w:tcPr>
                <w:tcW w:w="1503" w:type="dxa"/>
              </w:tcPr>
              <w:p w14:paraId="068825FD" w14:textId="75FD26AD" w:rsidR="00940E33" w:rsidRPr="00F24061" w:rsidRDefault="00940E33" w:rsidP="00F24061">
                <w:pPr>
                  <w:spacing w:line="360" w:lineRule="auto"/>
                  <w:jc w:val="both"/>
                  <w:rPr>
                    <w:rFonts w:ascii="Arial" w:hAnsi="Arial" w:cs="Arial"/>
                    <w:sz w:val="24"/>
                    <w:szCs w:val="24"/>
                  </w:rPr>
                </w:pPr>
                <w:r w:rsidRPr="00F24061">
                  <w:rPr>
                    <w:rFonts w:ascii="Arial" w:hAnsi="Arial" w:cs="Arial"/>
                    <w:sz w:val="24"/>
                    <w:szCs w:val="24"/>
                  </w:rPr>
                  <w:t>653.4</w:t>
                </w:r>
              </w:p>
            </w:tc>
          </w:tr>
        </w:tbl>
        <w:p w14:paraId="46F771F3" w14:textId="77777777" w:rsidR="00CF0E48" w:rsidRPr="00F24061" w:rsidRDefault="00CF0E48" w:rsidP="00F24061">
          <w:pPr>
            <w:spacing w:line="360" w:lineRule="auto"/>
            <w:jc w:val="both"/>
            <w:rPr>
              <w:rFonts w:ascii="Arial" w:hAnsi="Arial" w:cs="Arial"/>
              <w:sz w:val="24"/>
              <w:szCs w:val="24"/>
            </w:rPr>
          </w:pPr>
        </w:p>
        <w:p w14:paraId="7F7957F3" w14:textId="7CD1BABB" w:rsidR="00CF0E48" w:rsidRPr="00F24061" w:rsidRDefault="00A13A90" w:rsidP="00F24061">
          <w:pPr>
            <w:spacing w:line="360" w:lineRule="auto"/>
            <w:jc w:val="both"/>
            <w:rPr>
              <w:rFonts w:ascii="Arial" w:hAnsi="Arial" w:cs="Arial"/>
              <w:sz w:val="24"/>
              <w:szCs w:val="24"/>
            </w:rPr>
          </w:pPr>
          <w:r w:rsidRPr="00F24061">
            <w:rPr>
              <w:rFonts w:ascii="Arial" w:hAnsi="Arial" w:cs="Arial"/>
              <w:sz w:val="24"/>
              <w:szCs w:val="24"/>
            </w:rPr>
            <w:t xml:space="preserve">Option C results in an NPV of £339,100, higher than Option A but lower than Option B. This project requires the highest initial investment of £1.6 million, increasing the degree of financial exposure. The possibility exists for exceptional cash flows in the later years; however, there are threats that a new product segment will rise to meet existing competitors. According to the Porter Five Forces framework (1980), barriers of entry and competitive rivalry in home furnishings might pose a challenge to profitability unless </w:t>
          </w:r>
          <w:proofErr w:type="spellStart"/>
          <w:r w:rsidRPr="00F24061">
            <w:rPr>
              <w:rFonts w:ascii="Arial" w:hAnsi="Arial" w:cs="Arial"/>
              <w:sz w:val="24"/>
              <w:szCs w:val="24"/>
            </w:rPr>
            <w:t>Jordons</w:t>
          </w:r>
          <w:proofErr w:type="spellEnd"/>
          <w:r w:rsidRPr="00F24061">
            <w:rPr>
              <w:rFonts w:ascii="Arial" w:hAnsi="Arial" w:cs="Arial"/>
              <w:sz w:val="24"/>
              <w:szCs w:val="24"/>
            </w:rPr>
            <w:t xml:space="preserve"> can leverage its existing customer base</w:t>
          </w:r>
          <w:sdt>
            <w:sdtPr>
              <w:rPr>
                <w:rFonts w:ascii="Arial" w:hAnsi="Arial" w:cs="Arial"/>
                <w:sz w:val="24"/>
                <w:szCs w:val="24"/>
              </w:rPr>
              <w:id w:val="82580172"/>
              <w:citation/>
            </w:sdtPr>
            <w:sdtEndPr/>
            <w:sdtContent>
              <w:r w:rsidR="00774247">
                <w:rPr>
                  <w:rFonts w:ascii="Arial" w:hAnsi="Arial" w:cs="Arial"/>
                  <w:sz w:val="24"/>
                  <w:szCs w:val="24"/>
                </w:rPr>
                <w:fldChar w:fldCharType="begin"/>
              </w:r>
              <w:r w:rsidR="00774247">
                <w:rPr>
                  <w:rFonts w:ascii="Arial" w:hAnsi="Arial" w:cs="Arial"/>
                  <w:sz w:val="24"/>
                  <w:szCs w:val="24"/>
                  <w:lang w:val="en-US"/>
                </w:rPr>
                <w:instrText xml:space="preserve"> CITATION Bru18 \l 1033 </w:instrText>
              </w:r>
              <w:r w:rsidR="00774247">
                <w:rPr>
                  <w:rFonts w:ascii="Arial" w:hAnsi="Arial" w:cs="Arial"/>
                  <w:sz w:val="24"/>
                  <w:szCs w:val="24"/>
                </w:rPr>
                <w:fldChar w:fldCharType="separate"/>
              </w:r>
              <w:r w:rsidR="00774247">
                <w:rPr>
                  <w:rFonts w:ascii="Arial" w:hAnsi="Arial" w:cs="Arial"/>
                  <w:noProof/>
                  <w:sz w:val="24"/>
                  <w:szCs w:val="24"/>
                  <w:lang w:val="en-US"/>
                </w:rPr>
                <w:t xml:space="preserve"> </w:t>
              </w:r>
              <w:r w:rsidR="00774247" w:rsidRPr="00774247">
                <w:rPr>
                  <w:rFonts w:ascii="Arial" w:hAnsi="Arial" w:cs="Arial"/>
                  <w:noProof/>
                  <w:sz w:val="24"/>
                  <w:szCs w:val="24"/>
                  <w:lang w:val="en-US"/>
                </w:rPr>
                <w:t>(Bruijl, 2018)</w:t>
              </w:r>
              <w:r w:rsidR="00774247">
                <w:rPr>
                  <w:rFonts w:ascii="Arial" w:hAnsi="Arial" w:cs="Arial"/>
                  <w:sz w:val="24"/>
                  <w:szCs w:val="24"/>
                </w:rPr>
                <w:fldChar w:fldCharType="end"/>
              </w:r>
            </w:sdtContent>
          </w:sdt>
          <w:r w:rsidR="00774247">
            <w:rPr>
              <w:rFonts w:ascii="Arial" w:hAnsi="Arial" w:cs="Arial"/>
              <w:sz w:val="24"/>
              <w:szCs w:val="24"/>
            </w:rPr>
            <w:t>.</w:t>
          </w:r>
        </w:p>
        <w:p w14:paraId="37B61F54" w14:textId="77777777" w:rsidR="00E44268" w:rsidRDefault="00E44268">
          <w:pPr>
            <w:rPr>
              <w:rFonts w:ascii="Arial" w:hAnsi="Arial" w:cs="Arial"/>
              <w:b/>
              <w:bCs/>
              <w:i/>
              <w:iCs/>
            </w:rPr>
          </w:pPr>
          <w:r>
            <w:rPr>
              <w:rFonts w:ascii="Arial" w:hAnsi="Arial" w:cs="Arial"/>
              <w:b/>
              <w:bCs/>
              <w:i/>
              <w:iCs/>
            </w:rPr>
            <w:br w:type="page"/>
          </w:r>
        </w:p>
        <w:p w14:paraId="65BF57E5" w14:textId="57501EB0" w:rsidR="00CF0E48" w:rsidRPr="00C176EF" w:rsidRDefault="00C3541C" w:rsidP="00C176EF">
          <w:pPr>
            <w:spacing w:line="360" w:lineRule="auto"/>
            <w:jc w:val="both"/>
            <w:rPr>
              <w:rFonts w:ascii="Arial" w:hAnsi="Arial" w:cs="Arial"/>
              <w:b/>
              <w:bCs/>
              <w:i/>
              <w:iCs/>
              <w:sz w:val="24"/>
              <w:szCs w:val="24"/>
            </w:rPr>
          </w:pPr>
          <w:r w:rsidRPr="00C176EF">
            <w:rPr>
              <w:rFonts w:ascii="Arial" w:hAnsi="Arial" w:cs="Arial"/>
              <w:b/>
              <w:bCs/>
              <w:i/>
              <w:iCs/>
              <w:sz w:val="24"/>
              <w:szCs w:val="24"/>
            </w:rPr>
            <w:lastRenderedPageBreak/>
            <w:t>Internal Rate of Return (IRR) – Option B</w:t>
          </w:r>
        </w:p>
        <w:p w14:paraId="25903602" w14:textId="77777777" w:rsidR="00C3541C" w:rsidRPr="00C176EF" w:rsidRDefault="00C3541C" w:rsidP="00C176EF">
          <w:pPr>
            <w:spacing w:line="360" w:lineRule="auto"/>
            <w:jc w:val="both"/>
            <w:rPr>
              <w:rFonts w:ascii="Arial" w:hAnsi="Arial" w:cs="Arial"/>
              <w:sz w:val="24"/>
              <w:szCs w:val="24"/>
              <w:lang w:val="en-IN"/>
            </w:rPr>
          </w:pPr>
          <w:r w:rsidRPr="00C176EF">
            <w:rPr>
              <w:rFonts w:ascii="Arial" w:hAnsi="Arial" w:cs="Arial"/>
              <w:sz w:val="24"/>
              <w:szCs w:val="24"/>
              <w:lang w:val="en-IN"/>
            </w:rPr>
            <w:t>Using interpolation:</w:t>
          </w:r>
        </w:p>
        <w:p w14:paraId="2874AE63" w14:textId="77777777" w:rsidR="00C3541C" w:rsidRPr="00C176EF" w:rsidRDefault="00C3541C" w:rsidP="00C176EF">
          <w:pPr>
            <w:numPr>
              <w:ilvl w:val="0"/>
              <w:numId w:val="1"/>
            </w:numPr>
            <w:spacing w:line="360" w:lineRule="auto"/>
            <w:jc w:val="both"/>
            <w:rPr>
              <w:rFonts w:ascii="Arial" w:hAnsi="Arial" w:cs="Arial"/>
              <w:sz w:val="24"/>
              <w:szCs w:val="24"/>
              <w:lang w:val="en-IN"/>
            </w:rPr>
          </w:pPr>
          <w:r w:rsidRPr="00C176EF">
            <w:rPr>
              <w:rFonts w:ascii="Arial" w:hAnsi="Arial" w:cs="Arial"/>
              <w:sz w:val="24"/>
              <w:szCs w:val="24"/>
              <w:lang w:val="en-IN"/>
            </w:rPr>
            <w:t>At 6%, NPV = £574,600 (positive)</w:t>
          </w:r>
        </w:p>
        <w:p w14:paraId="1F52E6A1" w14:textId="77777777" w:rsidR="00C3541C" w:rsidRPr="00C176EF" w:rsidRDefault="00C3541C" w:rsidP="00C176EF">
          <w:pPr>
            <w:numPr>
              <w:ilvl w:val="0"/>
              <w:numId w:val="1"/>
            </w:numPr>
            <w:spacing w:line="360" w:lineRule="auto"/>
            <w:jc w:val="both"/>
            <w:rPr>
              <w:rFonts w:ascii="Arial" w:hAnsi="Arial" w:cs="Arial"/>
              <w:sz w:val="24"/>
              <w:szCs w:val="24"/>
              <w:lang w:val="en-IN"/>
            </w:rPr>
          </w:pPr>
          <w:r w:rsidRPr="00C176EF">
            <w:rPr>
              <w:rFonts w:ascii="Arial" w:hAnsi="Arial" w:cs="Arial"/>
              <w:sz w:val="24"/>
              <w:szCs w:val="24"/>
              <w:lang w:val="en-IN"/>
            </w:rPr>
            <w:t>At 15%, NPV = approximately (£100,000) (negative)</w:t>
          </w:r>
        </w:p>
        <w:p w14:paraId="4A668016" w14:textId="77777777" w:rsidR="00C3541C" w:rsidRPr="00C176EF" w:rsidRDefault="00C3541C" w:rsidP="00C176EF">
          <w:pPr>
            <w:spacing w:line="360" w:lineRule="auto"/>
            <w:rPr>
              <w:rFonts w:ascii="Arial" w:hAnsi="Arial" w:cs="Arial"/>
              <w:sz w:val="24"/>
              <w:szCs w:val="24"/>
              <w:lang w:val="en-IN"/>
            </w:rPr>
          </w:pPr>
          <w:r w:rsidRPr="00C176EF">
            <w:rPr>
              <w:rFonts w:ascii="Arial" w:hAnsi="Arial" w:cs="Arial"/>
              <w:b/>
              <w:bCs/>
              <w:sz w:val="24"/>
              <w:szCs w:val="24"/>
              <w:lang w:val="en-IN"/>
            </w:rPr>
            <w:t>IRR ≈ 6% + [(574.6 ÷ (574.6 + 100)) × (15% - 6%)]</w:t>
          </w:r>
          <w:r w:rsidRPr="00C176EF">
            <w:rPr>
              <w:rFonts w:ascii="Arial" w:hAnsi="Arial" w:cs="Arial"/>
              <w:sz w:val="24"/>
              <w:szCs w:val="24"/>
              <w:lang w:val="en-IN"/>
            </w:rPr>
            <w:br/>
          </w:r>
          <w:r w:rsidRPr="00C176EF">
            <w:rPr>
              <w:rFonts w:ascii="Arial" w:hAnsi="Arial" w:cs="Arial"/>
              <w:b/>
              <w:bCs/>
              <w:sz w:val="24"/>
              <w:szCs w:val="24"/>
              <w:lang w:val="en-IN"/>
            </w:rPr>
            <w:t>IRR ≈ 13.7%</w:t>
          </w:r>
        </w:p>
        <w:p w14:paraId="594C9E69" w14:textId="77777777" w:rsidR="00C3541C" w:rsidRPr="00C176EF" w:rsidRDefault="00C3541C" w:rsidP="00C176EF">
          <w:pPr>
            <w:spacing w:line="360" w:lineRule="auto"/>
            <w:jc w:val="both"/>
            <w:rPr>
              <w:rFonts w:ascii="Arial" w:hAnsi="Arial" w:cs="Arial"/>
              <w:sz w:val="24"/>
              <w:szCs w:val="24"/>
              <w:lang w:val="en-IN"/>
            </w:rPr>
          </w:pPr>
          <w:r w:rsidRPr="00C176EF">
            <w:rPr>
              <w:rFonts w:ascii="Arial" w:hAnsi="Arial" w:cs="Arial"/>
              <w:sz w:val="24"/>
              <w:szCs w:val="24"/>
              <w:lang w:val="en-IN"/>
            </w:rPr>
            <w:t>The IRR of 13.7% exceeds the 6% cost of capital, reinforcing Option B’s financial viability.</w:t>
          </w:r>
        </w:p>
        <w:p w14:paraId="6B0BEB05" w14:textId="0A915D4C" w:rsidR="00C3541C" w:rsidRPr="00C176EF" w:rsidRDefault="005D0801" w:rsidP="00C176EF">
          <w:pPr>
            <w:spacing w:line="360" w:lineRule="auto"/>
            <w:jc w:val="both"/>
            <w:rPr>
              <w:rFonts w:ascii="Arial" w:hAnsi="Arial" w:cs="Arial"/>
              <w:b/>
              <w:bCs/>
              <w:i/>
              <w:iCs/>
              <w:sz w:val="24"/>
              <w:szCs w:val="24"/>
            </w:rPr>
          </w:pPr>
          <w:r w:rsidRPr="00C176EF">
            <w:rPr>
              <w:rFonts w:ascii="Arial" w:hAnsi="Arial" w:cs="Arial"/>
              <w:b/>
              <w:bCs/>
              <w:i/>
              <w:iCs/>
              <w:sz w:val="24"/>
              <w:szCs w:val="24"/>
            </w:rPr>
            <w:t>Optimal Investment Policy with Limited Funds</w:t>
          </w:r>
        </w:p>
        <w:p w14:paraId="2F8F579C" w14:textId="77777777" w:rsidR="005D0801" w:rsidRPr="00C176EF" w:rsidRDefault="005D0801" w:rsidP="00C176EF">
          <w:pPr>
            <w:spacing w:line="360" w:lineRule="auto"/>
            <w:jc w:val="both"/>
            <w:rPr>
              <w:rFonts w:ascii="Arial" w:hAnsi="Arial" w:cs="Arial"/>
              <w:sz w:val="24"/>
              <w:szCs w:val="24"/>
              <w:lang w:val="en-IN"/>
            </w:rPr>
          </w:pPr>
          <w:r w:rsidRPr="00C176EF">
            <w:rPr>
              <w:rFonts w:ascii="Arial" w:hAnsi="Arial" w:cs="Arial"/>
              <w:sz w:val="24"/>
              <w:szCs w:val="24"/>
              <w:lang w:val="en-IN"/>
            </w:rPr>
            <w:t>If funds are limited to £2 million and projects are divisible:</w:t>
          </w:r>
        </w:p>
        <w:tbl>
          <w:tblPr>
            <w:tblStyle w:val="TableGrid"/>
            <w:tblW w:w="0" w:type="auto"/>
            <w:tblLook w:val="04A0" w:firstRow="1" w:lastRow="0" w:firstColumn="1" w:lastColumn="0" w:noHBand="0" w:noVBand="1"/>
          </w:tblPr>
          <w:tblGrid>
            <w:gridCol w:w="2254"/>
            <w:gridCol w:w="2254"/>
            <w:gridCol w:w="2254"/>
            <w:gridCol w:w="2254"/>
          </w:tblGrid>
          <w:tr w:rsidR="00AF7607" w:rsidRPr="00C176EF" w14:paraId="0A745BB7" w14:textId="77777777">
            <w:tc>
              <w:tcPr>
                <w:tcW w:w="2254" w:type="dxa"/>
              </w:tcPr>
              <w:p w14:paraId="2F9601EE" w14:textId="0B7F3381" w:rsidR="00AF7607" w:rsidRPr="00C176EF" w:rsidRDefault="00AF7607" w:rsidP="00C176EF">
                <w:pPr>
                  <w:spacing w:line="360" w:lineRule="auto"/>
                  <w:jc w:val="both"/>
                  <w:rPr>
                    <w:rFonts w:ascii="Arial" w:hAnsi="Arial" w:cs="Arial"/>
                    <w:b/>
                    <w:bCs/>
                    <w:sz w:val="24"/>
                    <w:szCs w:val="24"/>
                    <w:lang w:val="en-IN"/>
                  </w:rPr>
                </w:pPr>
                <w:r w:rsidRPr="00C176EF">
                  <w:rPr>
                    <w:rFonts w:ascii="Arial" w:hAnsi="Arial" w:cs="Arial"/>
                    <w:b/>
                    <w:bCs/>
                    <w:sz w:val="24"/>
                    <w:szCs w:val="24"/>
                  </w:rPr>
                  <w:t>Project</w:t>
                </w:r>
              </w:p>
            </w:tc>
            <w:tc>
              <w:tcPr>
                <w:tcW w:w="2254" w:type="dxa"/>
              </w:tcPr>
              <w:p w14:paraId="28D4D0D2" w14:textId="29E78DC4" w:rsidR="00AF7607" w:rsidRPr="00C176EF" w:rsidRDefault="00AF7607" w:rsidP="00C176EF">
                <w:pPr>
                  <w:spacing w:line="360" w:lineRule="auto"/>
                  <w:jc w:val="both"/>
                  <w:rPr>
                    <w:rFonts w:ascii="Arial" w:hAnsi="Arial" w:cs="Arial"/>
                    <w:b/>
                    <w:bCs/>
                    <w:sz w:val="24"/>
                    <w:szCs w:val="24"/>
                    <w:lang w:val="en-IN"/>
                  </w:rPr>
                </w:pPr>
                <w:r w:rsidRPr="00C176EF">
                  <w:rPr>
                    <w:rFonts w:ascii="Arial" w:hAnsi="Arial" w:cs="Arial"/>
                    <w:b/>
                    <w:bCs/>
                    <w:sz w:val="24"/>
                    <w:szCs w:val="24"/>
                  </w:rPr>
                  <w:t>NPV (£’000)</w:t>
                </w:r>
              </w:p>
            </w:tc>
            <w:tc>
              <w:tcPr>
                <w:tcW w:w="2254" w:type="dxa"/>
              </w:tcPr>
              <w:p w14:paraId="075BC09A" w14:textId="333670FF" w:rsidR="00AF7607" w:rsidRPr="00C176EF" w:rsidRDefault="00AF7607" w:rsidP="00C176EF">
                <w:pPr>
                  <w:spacing w:line="360" w:lineRule="auto"/>
                  <w:jc w:val="both"/>
                  <w:rPr>
                    <w:rFonts w:ascii="Arial" w:hAnsi="Arial" w:cs="Arial"/>
                    <w:b/>
                    <w:bCs/>
                    <w:sz w:val="24"/>
                    <w:szCs w:val="24"/>
                    <w:lang w:val="en-IN"/>
                  </w:rPr>
                </w:pPr>
                <w:r w:rsidRPr="00C176EF">
                  <w:rPr>
                    <w:rFonts w:ascii="Arial" w:hAnsi="Arial" w:cs="Arial"/>
                    <w:b/>
                    <w:bCs/>
                    <w:sz w:val="24"/>
                    <w:szCs w:val="24"/>
                  </w:rPr>
                  <w:t>Initial Cost (£’000)</w:t>
                </w:r>
              </w:p>
            </w:tc>
            <w:tc>
              <w:tcPr>
                <w:tcW w:w="2254" w:type="dxa"/>
              </w:tcPr>
              <w:p w14:paraId="65F88788" w14:textId="4A99A37A" w:rsidR="00AF7607" w:rsidRPr="00C176EF" w:rsidRDefault="00AF7607" w:rsidP="00C176EF">
                <w:pPr>
                  <w:spacing w:line="360" w:lineRule="auto"/>
                  <w:jc w:val="both"/>
                  <w:rPr>
                    <w:rFonts w:ascii="Arial" w:hAnsi="Arial" w:cs="Arial"/>
                    <w:b/>
                    <w:bCs/>
                    <w:sz w:val="24"/>
                    <w:szCs w:val="24"/>
                    <w:lang w:val="en-IN"/>
                  </w:rPr>
                </w:pPr>
                <w:r w:rsidRPr="00C176EF">
                  <w:rPr>
                    <w:rFonts w:ascii="Arial" w:hAnsi="Arial" w:cs="Arial"/>
                    <w:b/>
                    <w:bCs/>
                    <w:sz w:val="24"/>
                    <w:szCs w:val="24"/>
                  </w:rPr>
                  <w:t>Profitability Index (PI) = NPV ÷ Cost</w:t>
                </w:r>
              </w:p>
            </w:tc>
          </w:tr>
          <w:tr w:rsidR="00AF7607" w:rsidRPr="00C176EF" w14:paraId="2F8AB66A" w14:textId="77777777">
            <w:tc>
              <w:tcPr>
                <w:tcW w:w="2254" w:type="dxa"/>
              </w:tcPr>
              <w:p w14:paraId="2CEF3B79" w14:textId="03216C0C"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B</w:t>
                </w:r>
              </w:p>
            </w:tc>
            <w:tc>
              <w:tcPr>
                <w:tcW w:w="2254" w:type="dxa"/>
              </w:tcPr>
              <w:p w14:paraId="70C94913" w14:textId="343AAAFA"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574.6</w:t>
                </w:r>
              </w:p>
            </w:tc>
            <w:tc>
              <w:tcPr>
                <w:tcW w:w="2254" w:type="dxa"/>
              </w:tcPr>
              <w:p w14:paraId="75055FFA" w14:textId="49BE0F84"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1,000</w:t>
                </w:r>
              </w:p>
            </w:tc>
            <w:tc>
              <w:tcPr>
                <w:tcW w:w="2254" w:type="dxa"/>
              </w:tcPr>
              <w:p w14:paraId="6A3FE03F" w14:textId="1B660B81"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0.575</w:t>
                </w:r>
              </w:p>
            </w:tc>
          </w:tr>
          <w:tr w:rsidR="00AF7607" w:rsidRPr="00C176EF" w14:paraId="071FCA80" w14:textId="77777777">
            <w:tc>
              <w:tcPr>
                <w:tcW w:w="2254" w:type="dxa"/>
              </w:tcPr>
              <w:p w14:paraId="7784DF10" w14:textId="34D41175"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A</w:t>
                </w:r>
              </w:p>
            </w:tc>
            <w:tc>
              <w:tcPr>
                <w:tcW w:w="2254" w:type="dxa"/>
              </w:tcPr>
              <w:p w14:paraId="3F6E71DB" w14:textId="46AE74D1"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290.8</w:t>
                </w:r>
              </w:p>
            </w:tc>
            <w:tc>
              <w:tcPr>
                <w:tcW w:w="2254" w:type="dxa"/>
              </w:tcPr>
              <w:p w14:paraId="0B12C0F1" w14:textId="2DC4626C"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600</w:t>
                </w:r>
              </w:p>
            </w:tc>
            <w:tc>
              <w:tcPr>
                <w:tcW w:w="2254" w:type="dxa"/>
              </w:tcPr>
              <w:p w14:paraId="6980A3FB" w14:textId="6200A3AC"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0.485</w:t>
                </w:r>
              </w:p>
            </w:tc>
          </w:tr>
          <w:tr w:rsidR="00AF7607" w:rsidRPr="00C176EF" w14:paraId="7F5BC901" w14:textId="77777777">
            <w:tc>
              <w:tcPr>
                <w:tcW w:w="2254" w:type="dxa"/>
              </w:tcPr>
              <w:p w14:paraId="69A83CB5" w14:textId="4D93E08A"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C</w:t>
                </w:r>
              </w:p>
            </w:tc>
            <w:tc>
              <w:tcPr>
                <w:tcW w:w="2254" w:type="dxa"/>
              </w:tcPr>
              <w:p w14:paraId="762DCC09" w14:textId="3D19ECEB"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339.1</w:t>
                </w:r>
              </w:p>
            </w:tc>
            <w:tc>
              <w:tcPr>
                <w:tcW w:w="2254" w:type="dxa"/>
              </w:tcPr>
              <w:p w14:paraId="55F95EC4" w14:textId="26A2C498"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1,600</w:t>
                </w:r>
              </w:p>
            </w:tc>
            <w:tc>
              <w:tcPr>
                <w:tcW w:w="2254" w:type="dxa"/>
              </w:tcPr>
              <w:p w14:paraId="5AB57BD0" w14:textId="4D5CD129"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rPr>
                  <w:t>0.211</w:t>
                </w:r>
              </w:p>
            </w:tc>
          </w:tr>
        </w:tbl>
        <w:p w14:paraId="68FAF472" w14:textId="77777777" w:rsidR="005D0801" w:rsidRPr="00C176EF" w:rsidRDefault="005D0801" w:rsidP="00C176EF">
          <w:pPr>
            <w:spacing w:line="360" w:lineRule="auto"/>
            <w:jc w:val="both"/>
            <w:rPr>
              <w:rFonts w:ascii="Arial" w:hAnsi="Arial" w:cs="Arial"/>
              <w:sz w:val="24"/>
              <w:szCs w:val="24"/>
              <w:lang w:val="en-IN"/>
            </w:rPr>
          </w:pPr>
        </w:p>
        <w:p w14:paraId="7211940B" w14:textId="77777777"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lang w:val="en-IN"/>
            </w:rPr>
            <w:t>Priority Order:</w:t>
          </w:r>
        </w:p>
        <w:p w14:paraId="276950A6" w14:textId="77777777" w:rsidR="00AF7607" w:rsidRPr="00C176EF" w:rsidRDefault="00AF7607" w:rsidP="00C176EF">
          <w:pPr>
            <w:numPr>
              <w:ilvl w:val="0"/>
              <w:numId w:val="2"/>
            </w:numPr>
            <w:spacing w:line="360" w:lineRule="auto"/>
            <w:jc w:val="both"/>
            <w:rPr>
              <w:rFonts w:ascii="Arial" w:hAnsi="Arial" w:cs="Arial"/>
              <w:sz w:val="24"/>
              <w:szCs w:val="24"/>
              <w:lang w:val="en-IN"/>
            </w:rPr>
          </w:pPr>
          <w:r w:rsidRPr="00C176EF">
            <w:rPr>
              <w:rFonts w:ascii="Arial" w:hAnsi="Arial" w:cs="Arial"/>
              <w:sz w:val="24"/>
              <w:szCs w:val="24"/>
              <w:lang w:val="en-IN"/>
            </w:rPr>
            <w:t>Fully fund Option B (£1 million)</w:t>
          </w:r>
        </w:p>
        <w:p w14:paraId="0E47C474" w14:textId="77777777" w:rsidR="00AF7607" w:rsidRPr="00C176EF" w:rsidRDefault="00AF7607" w:rsidP="00C176EF">
          <w:pPr>
            <w:numPr>
              <w:ilvl w:val="0"/>
              <w:numId w:val="2"/>
            </w:numPr>
            <w:spacing w:line="360" w:lineRule="auto"/>
            <w:jc w:val="both"/>
            <w:rPr>
              <w:rFonts w:ascii="Arial" w:hAnsi="Arial" w:cs="Arial"/>
              <w:sz w:val="24"/>
              <w:szCs w:val="24"/>
              <w:lang w:val="en-IN"/>
            </w:rPr>
          </w:pPr>
          <w:r w:rsidRPr="00C176EF">
            <w:rPr>
              <w:rFonts w:ascii="Arial" w:hAnsi="Arial" w:cs="Arial"/>
              <w:sz w:val="24"/>
              <w:szCs w:val="24"/>
              <w:lang w:val="en-IN"/>
            </w:rPr>
            <w:t>Fully fund Option A (£600k)</w:t>
          </w:r>
        </w:p>
        <w:p w14:paraId="724848F0" w14:textId="77777777" w:rsidR="00AF7607" w:rsidRPr="00C176EF" w:rsidRDefault="00AF7607" w:rsidP="00C176EF">
          <w:pPr>
            <w:numPr>
              <w:ilvl w:val="0"/>
              <w:numId w:val="2"/>
            </w:numPr>
            <w:spacing w:line="360" w:lineRule="auto"/>
            <w:jc w:val="both"/>
            <w:rPr>
              <w:rFonts w:ascii="Arial" w:hAnsi="Arial" w:cs="Arial"/>
              <w:sz w:val="24"/>
              <w:szCs w:val="24"/>
              <w:lang w:val="en-IN"/>
            </w:rPr>
          </w:pPr>
          <w:r w:rsidRPr="00C176EF">
            <w:rPr>
              <w:rFonts w:ascii="Arial" w:hAnsi="Arial" w:cs="Arial"/>
              <w:sz w:val="24"/>
              <w:szCs w:val="24"/>
              <w:lang w:val="en-IN"/>
            </w:rPr>
            <w:t>Allocate remaining £400k proportionally to Option C</w:t>
          </w:r>
        </w:p>
        <w:p w14:paraId="5A23253C" w14:textId="77777777" w:rsidR="00AF7607" w:rsidRPr="00C176EF" w:rsidRDefault="00AF7607" w:rsidP="00C176EF">
          <w:pPr>
            <w:spacing w:line="360" w:lineRule="auto"/>
            <w:jc w:val="both"/>
            <w:rPr>
              <w:rFonts w:ascii="Arial" w:hAnsi="Arial" w:cs="Arial"/>
              <w:sz w:val="24"/>
              <w:szCs w:val="24"/>
              <w:lang w:val="en-IN"/>
            </w:rPr>
          </w:pPr>
          <w:r w:rsidRPr="00C176EF">
            <w:rPr>
              <w:rFonts w:ascii="Arial" w:hAnsi="Arial" w:cs="Arial"/>
              <w:sz w:val="24"/>
              <w:szCs w:val="24"/>
              <w:lang w:val="en-IN"/>
            </w:rPr>
            <w:t>Resulting Total NPV ≈ £1,114k</w:t>
          </w:r>
        </w:p>
        <w:p w14:paraId="6E4522C1" w14:textId="77777777" w:rsidR="00C176EF" w:rsidRDefault="00C176EF">
          <w:pPr>
            <w:rPr>
              <w:rFonts w:ascii="Arial" w:hAnsi="Arial" w:cs="Arial"/>
              <w:b/>
              <w:bCs/>
              <w:u w:val="single"/>
            </w:rPr>
          </w:pPr>
          <w:r>
            <w:rPr>
              <w:rFonts w:ascii="Arial" w:hAnsi="Arial" w:cs="Arial"/>
              <w:b/>
              <w:bCs/>
              <w:u w:val="single"/>
            </w:rPr>
            <w:br w:type="page"/>
          </w:r>
        </w:p>
        <w:p w14:paraId="0E280EA1" w14:textId="71448F94" w:rsidR="00CF0E48" w:rsidRPr="00F6231A" w:rsidRDefault="00BB3FD9" w:rsidP="00F6231A">
          <w:pPr>
            <w:spacing w:line="360" w:lineRule="auto"/>
            <w:jc w:val="both"/>
            <w:rPr>
              <w:rFonts w:ascii="Arial" w:hAnsi="Arial" w:cs="Arial"/>
              <w:b/>
              <w:bCs/>
              <w:sz w:val="24"/>
              <w:szCs w:val="24"/>
              <w:u w:val="single"/>
            </w:rPr>
          </w:pPr>
          <w:r w:rsidRPr="00F6231A">
            <w:rPr>
              <w:rFonts w:ascii="Arial" w:hAnsi="Arial" w:cs="Arial"/>
              <w:b/>
              <w:bCs/>
              <w:sz w:val="24"/>
              <w:szCs w:val="24"/>
              <w:u w:val="single"/>
            </w:rPr>
            <w:lastRenderedPageBreak/>
            <w:t xml:space="preserve">2. </w:t>
          </w:r>
          <w:r w:rsidR="00F11594" w:rsidRPr="00F6231A">
            <w:rPr>
              <w:rFonts w:ascii="Arial" w:hAnsi="Arial" w:cs="Arial"/>
              <w:b/>
              <w:bCs/>
              <w:sz w:val="24"/>
              <w:szCs w:val="24"/>
              <w:u w:val="single"/>
            </w:rPr>
            <w:t>Theoretical Discussion</w:t>
          </w:r>
        </w:p>
        <w:p w14:paraId="3B7059D9" w14:textId="77777777" w:rsidR="00694540" w:rsidRPr="00F6231A" w:rsidRDefault="00694540" w:rsidP="00F6231A">
          <w:pPr>
            <w:spacing w:line="360" w:lineRule="auto"/>
            <w:jc w:val="both"/>
            <w:rPr>
              <w:rFonts w:ascii="Arial" w:hAnsi="Arial" w:cs="Arial"/>
              <w:sz w:val="24"/>
              <w:szCs w:val="24"/>
            </w:rPr>
          </w:pPr>
          <w:r w:rsidRPr="00F6231A">
            <w:rPr>
              <w:rFonts w:ascii="Arial" w:hAnsi="Arial" w:cs="Arial"/>
              <w:sz w:val="24"/>
              <w:szCs w:val="24"/>
            </w:rPr>
            <w:t>Best Appraisal Method Though it is common in security analysis, the best appraisal method is net present value (NPV) because it provides: a clear picture of where funds are going; an incentive to express views based on the new situation; and a motivation to advance the company.</w:t>
          </w:r>
        </w:p>
        <w:p w14:paraId="6033B8FD" w14:textId="6E947976" w:rsidR="00694540" w:rsidRPr="00F6231A" w:rsidRDefault="00694540" w:rsidP="00F6231A">
          <w:pPr>
            <w:spacing w:line="360" w:lineRule="auto"/>
            <w:jc w:val="both"/>
            <w:rPr>
              <w:rFonts w:ascii="Arial" w:hAnsi="Arial" w:cs="Arial"/>
              <w:sz w:val="24"/>
              <w:szCs w:val="24"/>
            </w:rPr>
          </w:pPr>
          <w:r w:rsidRPr="00F6231A">
            <w:rPr>
              <w:rFonts w:ascii="Arial" w:hAnsi="Arial" w:cs="Arial"/>
              <w:sz w:val="24"/>
              <w:szCs w:val="24"/>
            </w:rPr>
            <w:t>NPV is considered to be the best estimate affordable approach to investment appraisal when compared to other methods because it gives consideration to the fact that money has a time value thus it can measure wealth creation in direct terms</w:t>
          </w:r>
          <w:r w:rsidR="00D35A86" w:rsidRPr="00D35A86">
            <w:rPr>
              <w:rFonts w:ascii="Arial" w:hAnsi="Arial" w:cs="Arial"/>
              <w:sz w:val="24"/>
              <w:szCs w:val="24"/>
            </w:rPr>
            <w:t xml:space="preserve"> </w:t>
          </w:r>
          <w:sdt>
            <w:sdtPr>
              <w:rPr>
                <w:rFonts w:ascii="Arial" w:hAnsi="Arial" w:cs="Arial"/>
                <w:sz w:val="24"/>
                <w:szCs w:val="24"/>
              </w:rPr>
              <w:id w:val="-1844772470"/>
              <w:citation/>
            </w:sdtPr>
            <w:sdtEndPr/>
            <w:sdtContent>
              <w:r w:rsidR="00D35A86">
                <w:rPr>
                  <w:rFonts w:ascii="Arial" w:hAnsi="Arial" w:cs="Arial"/>
                  <w:sz w:val="24"/>
                  <w:szCs w:val="24"/>
                </w:rPr>
                <w:fldChar w:fldCharType="begin"/>
              </w:r>
              <w:r w:rsidR="00D35A86">
                <w:rPr>
                  <w:rFonts w:ascii="Arial" w:hAnsi="Arial" w:cs="Arial"/>
                  <w:sz w:val="24"/>
                  <w:szCs w:val="24"/>
                  <w:lang w:val="en-US"/>
                </w:rPr>
                <w:instrText xml:space="preserve"> CITATION Bos24 \l 1033 </w:instrText>
              </w:r>
              <w:r w:rsidR="00D35A86">
                <w:rPr>
                  <w:rFonts w:ascii="Arial" w:hAnsi="Arial" w:cs="Arial"/>
                  <w:sz w:val="24"/>
                  <w:szCs w:val="24"/>
                </w:rPr>
                <w:fldChar w:fldCharType="separate"/>
              </w:r>
              <w:r w:rsidR="00D35A86">
                <w:rPr>
                  <w:rFonts w:ascii="Arial" w:hAnsi="Arial" w:cs="Arial"/>
                  <w:noProof/>
                  <w:sz w:val="24"/>
                  <w:szCs w:val="24"/>
                  <w:lang w:val="en-US"/>
                </w:rPr>
                <w:t xml:space="preserve"> </w:t>
              </w:r>
              <w:r w:rsidR="00D35A86" w:rsidRPr="0057690E">
                <w:rPr>
                  <w:rFonts w:ascii="Arial" w:hAnsi="Arial" w:cs="Arial"/>
                  <w:noProof/>
                  <w:sz w:val="24"/>
                  <w:szCs w:val="24"/>
                  <w:lang w:val="en-US"/>
                </w:rPr>
                <w:t>(Boscanean, 2024)</w:t>
              </w:r>
              <w:r w:rsidR="00D35A86">
                <w:rPr>
                  <w:rFonts w:ascii="Arial" w:hAnsi="Arial" w:cs="Arial"/>
                  <w:sz w:val="24"/>
                  <w:szCs w:val="24"/>
                </w:rPr>
                <w:fldChar w:fldCharType="end"/>
              </w:r>
            </w:sdtContent>
          </w:sdt>
          <w:r w:rsidR="00D35A86">
            <w:rPr>
              <w:rFonts w:ascii="Arial" w:hAnsi="Arial" w:cs="Arial"/>
              <w:sz w:val="24"/>
              <w:szCs w:val="24"/>
            </w:rPr>
            <w:t>.</w:t>
          </w:r>
          <w:r w:rsidR="00D35A86" w:rsidRPr="00747066">
            <w:rPr>
              <w:rFonts w:ascii="Arial" w:hAnsi="Arial" w:cs="Arial"/>
              <w:sz w:val="24"/>
              <w:szCs w:val="24"/>
            </w:rPr>
            <w:t xml:space="preserve"> </w:t>
          </w:r>
          <w:r w:rsidRPr="00F6231A">
            <w:rPr>
              <w:rFonts w:ascii="Arial" w:hAnsi="Arial" w:cs="Arial"/>
              <w:sz w:val="24"/>
              <w:szCs w:val="24"/>
            </w:rPr>
            <w:t>It is consistent with the main corporate goal of maximising shareholder value, akin to complex measures such as cash flows, rather than Payback Period, which neglects the cash flow after the payback period.</w:t>
          </w:r>
        </w:p>
        <w:p w14:paraId="2C7C5C5C" w14:textId="28737387" w:rsidR="00694540" w:rsidRPr="00F6231A" w:rsidRDefault="00694540" w:rsidP="00F6231A">
          <w:pPr>
            <w:spacing w:line="360" w:lineRule="auto"/>
            <w:jc w:val="both"/>
            <w:rPr>
              <w:rFonts w:ascii="Arial" w:hAnsi="Arial" w:cs="Arial"/>
              <w:sz w:val="24"/>
              <w:szCs w:val="24"/>
            </w:rPr>
          </w:pPr>
          <w:r w:rsidRPr="00F6231A">
            <w:rPr>
              <w:rFonts w:ascii="Arial" w:hAnsi="Arial" w:cs="Arial"/>
              <w:sz w:val="24"/>
              <w:szCs w:val="24"/>
            </w:rPr>
            <w:t>Nevertheless, the Payback Period retains its popularity because it is simple and has liquidity orientation, and in uncertain markets</w:t>
          </w:r>
          <w:sdt>
            <w:sdtPr>
              <w:rPr>
                <w:rFonts w:ascii="Arial" w:hAnsi="Arial" w:cs="Arial"/>
                <w:sz w:val="24"/>
                <w:szCs w:val="24"/>
              </w:rPr>
              <w:id w:val="-930968933"/>
              <w:citation/>
            </w:sdtPr>
            <w:sdtEndPr/>
            <w:sdtContent>
              <w:r w:rsidR="0014647D">
                <w:rPr>
                  <w:rFonts w:ascii="Arial" w:hAnsi="Arial" w:cs="Arial"/>
                  <w:sz w:val="24"/>
                  <w:szCs w:val="24"/>
                </w:rPr>
                <w:fldChar w:fldCharType="begin"/>
              </w:r>
              <w:r w:rsidR="0014647D">
                <w:rPr>
                  <w:rFonts w:ascii="Arial" w:hAnsi="Arial" w:cs="Arial"/>
                  <w:sz w:val="24"/>
                  <w:szCs w:val="24"/>
                  <w:lang w:val="en-US"/>
                </w:rPr>
                <w:instrText xml:space="preserve"> CITATION Yar00 \l 1033 </w:instrText>
              </w:r>
              <w:r w:rsidR="0014647D">
                <w:rPr>
                  <w:rFonts w:ascii="Arial" w:hAnsi="Arial" w:cs="Arial"/>
                  <w:sz w:val="24"/>
                  <w:szCs w:val="24"/>
                </w:rPr>
                <w:fldChar w:fldCharType="separate"/>
              </w:r>
              <w:r w:rsidR="0014647D">
                <w:rPr>
                  <w:rFonts w:ascii="Arial" w:hAnsi="Arial" w:cs="Arial"/>
                  <w:noProof/>
                  <w:sz w:val="24"/>
                  <w:szCs w:val="24"/>
                  <w:lang w:val="en-US"/>
                </w:rPr>
                <w:t xml:space="preserve"> </w:t>
              </w:r>
              <w:r w:rsidR="0014647D" w:rsidRPr="0014647D">
                <w:rPr>
                  <w:rFonts w:ascii="Arial" w:hAnsi="Arial" w:cs="Arial"/>
                  <w:noProof/>
                  <w:sz w:val="24"/>
                  <w:szCs w:val="24"/>
                  <w:lang w:val="en-US"/>
                </w:rPr>
                <w:t>(Yard, 2000)</w:t>
              </w:r>
              <w:r w:rsidR="0014647D">
                <w:rPr>
                  <w:rFonts w:ascii="Arial" w:hAnsi="Arial" w:cs="Arial"/>
                  <w:sz w:val="24"/>
                  <w:szCs w:val="24"/>
                </w:rPr>
                <w:fldChar w:fldCharType="end"/>
              </w:r>
            </w:sdtContent>
          </w:sdt>
          <w:r w:rsidR="00893F57">
            <w:rPr>
              <w:rFonts w:ascii="Arial" w:hAnsi="Arial" w:cs="Arial"/>
              <w:sz w:val="24"/>
              <w:szCs w:val="24"/>
            </w:rPr>
            <w:t>.</w:t>
          </w:r>
          <w:r w:rsidR="0014647D">
            <w:rPr>
              <w:rFonts w:ascii="Arial" w:hAnsi="Arial" w:cs="Arial"/>
              <w:sz w:val="24"/>
              <w:szCs w:val="24"/>
            </w:rPr>
            <w:t xml:space="preserve"> </w:t>
          </w:r>
          <w:r w:rsidRPr="00F6231A">
            <w:rPr>
              <w:rFonts w:ascii="Arial" w:hAnsi="Arial" w:cs="Arial"/>
              <w:sz w:val="24"/>
              <w:szCs w:val="24"/>
            </w:rPr>
            <w:t>On the same note, ARR is as simple as it gives you a percentage of how much you made or made a loss, but lacks in how to measure risk or time value of project.</w:t>
          </w:r>
        </w:p>
        <w:p w14:paraId="197C39FE" w14:textId="1DF89F03" w:rsidR="00F11594" w:rsidRPr="00F6231A" w:rsidRDefault="00694540" w:rsidP="00F6231A">
          <w:pPr>
            <w:spacing w:line="360" w:lineRule="auto"/>
            <w:jc w:val="both"/>
            <w:rPr>
              <w:rFonts w:ascii="Arial" w:hAnsi="Arial" w:cs="Arial"/>
              <w:sz w:val="24"/>
              <w:szCs w:val="24"/>
            </w:rPr>
          </w:pPr>
          <w:r w:rsidRPr="00F6231A">
            <w:rPr>
              <w:rFonts w:ascii="Arial" w:hAnsi="Arial" w:cs="Arial"/>
              <w:sz w:val="24"/>
              <w:szCs w:val="24"/>
            </w:rPr>
            <w:t>Besides financial parameters, strategic fit, operating capacity, demand on the market, and environmental sustainability should play a role in the decision. By way of illustration, Option B corresponds to the trend of digital transformation, whereas investment in cybersecurity and logistics is necessary.</w:t>
          </w:r>
        </w:p>
        <w:p w14:paraId="4A9F2452" w14:textId="6CDB1D0A" w:rsidR="00FD710E" w:rsidRPr="00F6231A" w:rsidRDefault="00FD710E" w:rsidP="00F6231A">
          <w:pPr>
            <w:spacing w:line="360" w:lineRule="auto"/>
            <w:jc w:val="both"/>
            <w:rPr>
              <w:rFonts w:ascii="Arial" w:hAnsi="Arial" w:cs="Arial"/>
              <w:b/>
              <w:bCs/>
              <w:sz w:val="24"/>
              <w:szCs w:val="24"/>
              <w:u w:val="single"/>
            </w:rPr>
          </w:pPr>
          <w:r w:rsidRPr="00F6231A">
            <w:rPr>
              <w:rFonts w:ascii="Arial" w:hAnsi="Arial" w:cs="Arial"/>
              <w:b/>
              <w:bCs/>
              <w:sz w:val="24"/>
              <w:szCs w:val="24"/>
              <w:u w:val="single"/>
            </w:rPr>
            <w:t>3. Financing Options</w:t>
          </w:r>
        </w:p>
        <w:p w14:paraId="6BCA2B42" w14:textId="6B45D2E2" w:rsidR="00676325" w:rsidRPr="00F6231A" w:rsidRDefault="00676325" w:rsidP="00F6231A">
          <w:pPr>
            <w:spacing w:line="360" w:lineRule="auto"/>
            <w:jc w:val="both"/>
            <w:rPr>
              <w:rFonts w:ascii="Arial" w:hAnsi="Arial" w:cs="Arial"/>
              <w:sz w:val="24"/>
              <w:szCs w:val="24"/>
            </w:rPr>
          </w:pPr>
          <w:r w:rsidRPr="00F6231A">
            <w:rPr>
              <w:rFonts w:ascii="Arial" w:hAnsi="Arial" w:cs="Arial"/>
              <w:sz w:val="24"/>
              <w:szCs w:val="24"/>
            </w:rPr>
            <w:t xml:space="preserve">It is also worth noting that considerable attention should be paid to financing strategies when implementing the proposed investment course of action (Developing internet sales (Option B)), as it is necessary to achieve that a company could fulfil its capital requirements and retain financial stability. There are a number of financing sources available to </w:t>
          </w:r>
          <w:proofErr w:type="spellStart"/>
          <w:r w:rsidRPr="00F6231A">
            <w:rPr>
              <w:rFonts w:ascii="Arial" w:hAnsi="Arial" w:cs="Arial"/>
              <w:sz w:val="24"/>
              <w:szCs w:val="24"/>
            </w:rPr>
            <w:t>Jordons</w:t>
          </w:r>
          <w:proofErr w:type="spellEnd"/>
          <w:r w:rsidRPr="00F6231A">
            <w:rPr>
              <w:rFonts w:ascii="Arial" w:hAnsi="Arial" w:cs="Arial"/>
              <w:sz w:val="24"/>
              <w:szCs w:val="24"/>
            </w:rPr>
            <w:t xml:space="preserve"> Plc each having one or more advantages and disadvantages.</w:t>
          </w:r>
        </w:p>
        <w:p w14:paraId="50E82B2F" w14:textId="68FEEE26" w:rsidR="00676325" w:rsidRPr="00F6231A" w:rsidRDefault="00676325" w:rsidP="00F6231A">
          <w:pPr>
            <w:spacing w:line="360" w:lineRule="auto"/>
            <w:jc w:val="both"/>
            <w:rPr>
              <w:rFonts w:ascii="Arial" w:hAnsi="Arial" w:cs="Arial"/>
              <w:sz w:val="24"/>
              <w:szCs w:val="24"/>
            </w:rPr>
          </w:pPr>
          <w:r w:rsidRPr="00F6231A">
            <w:rPr>
              <w:rFonts w:ascii="Arial" w:hAnsi="Arial" w:cs="Arial"/>
              <w:sz w:val="24"/>
              <w:szCs w:val="24"/>
            </w:rPr>
            <w:t xml:space="preserve">Coming up with new shares to raise funds is a common way used by companies that need substantial funds. With equity financing there is no repayment and this will decrease insolvency in cases when there is little cash flow. It also does not incur interest expenses which would burden the profits. Nevertheless, creation of equity financing results in a spreading out of ownership and authority, which is unfavourable to the shareholders. Moreover, cost of equity can in many occasions exceed that of </w:t>
          </w:r>
          <w:r w:rsidRPr="00F6231A">
            <w:rPr>
              <w:rFonts w:ascii="Arial" w:hAnsi="Arial" w:cs="Arial"/>
              <w:sz w:val="24"/>
              <w:szCs w:val="24"/>
            </w:rPr>
            <w:lastRenderedPageBreak/>
            <w:t xml:space="preserve">debt with the investors insisting on more returns to accept more risk. This method can be good in the case of </w:t>
          </w:r>
          <w:proofErr w:type="spellStart"/>
          <w:r w:rsidRPr="00F6231A">
            <w:rPr>
              <w:rFonts w:ascii="Arial" w:hAnsi="Arial" w:cs="Arial"/>
              <w:sz w:val="24"/>
              <w:szCs w:val="24"/>
            </w:rPr>
            <w:t>Jordons</w:t>
          </w:r>
          <w:proofErr w:type="spellEnd"/>
          <w:r w:rsidRPr="00F6231A">
            <w:rPr>
              <w:rFonts w:ascii="Arial" w:hAnsi="Arial" w:cs="Arial"/>
              <w:sz w:val="24"/>
              <w:szCs w:val="24"/>
            </w:rPr>
            <w:t xml:space="preserve"> Plc provided it wants to have low gearing ratio and does not want to enter into any further debt.</w:t>
          </w:r>
        </w:p>
        <w:p w14:paraId="1EBE4273" w14:textId="35E16C4A" w:rsidR="00FD710E" w:rsidRPr="00F6231A" w:rsidRDefault="00676325" w:rsidP="00F6231A">
          <w:pPr>
            <w:spacing w:line="360" w:lineRule="auto"/>
            <w:jc w:val="both"/>
            <w:rPr>
              <w:rFonts w:ascii="Arial" w:hAnsi="Arial" w:cs="Arial"/>
              <w:sz w:val="24"/>
              <w:szCs w:val="24"/>
            </w:rPr>
          </w:pPr>
          <w:r w:rsidRPr="00F6231A">
            <w:rPr>
              <w:rFonts w:ascii="Arial" w:hAnsi="Arial" w:cs="Arial"/>
              <w:sz w:val="24"/>
              <w:szCs w:val="24"/>
            </w:rPr>
            <w:t xml:space="preserve">Alternatively, the company </w:t>
          </w:r>
          <w:proofErr w:type="spellStart"/>
          <w:r w:rsidRPr="00F6231A">
            <w:rPr>
              <w:rFonts w:ascii="Arial" w:hAnsi="Arial" w:cs="Arial"/>
              <w:sz w:val="24"/>
              <w:szCs w:val="24"/>
            </w:rPr>
            <w:t>Jordons</w:t>
          </w:r>
          <w:proofErr w:type="spellEnd"/>
          <w:r w:rsidRPr="00F6231A">
            <w:rPr>
              <w:rFonts w:ascii="Arial" w:hAnsi="Arial" w:cs="Arial"/>
              <w:sz w:val="24"/>
              <w:szCs w:val="24"/>
            </w:rPr>
            <w:t xml:space="preserve"> Plc can finance with debt; through bank borrowing or issuing corporate bonds. Debt financing comes with tax benefits because the interest amounts payable are tax-deductible hence, the company pays reduced taxes. This debt-reduces-tax effect reduces the effective financing cost and maximizes the shareholders returns</w:t>
          </w:r>
          <w:sdt>
            <w:sdtPr>
              <w:rPr>
                <w:rFonts w:ascii="Arial" w:hAnsi="Arial" w:cs="Arial"/>
                <w:sz w:val="24"/>
                <w:szCs w:val="24"/>
              </w:rPr>
              <w:id w:val="-429434524"/>
              <w:citation/>
            </w:sdtPr>
            <w:sdtEndPr/>
            <w:sdtContent>
              <w:r w:rsidR="001F4107">
                <w:rPr>
                  <w:rFonts w:ascii="Arial" w:hAnsi="Arial" w:cs="Arial"/>
                  <w:sz w:val="24"/>
                  <w:szCs w:val="24"/>
                </w:rPr>
                <w:fldChar w:fldCharType="begin"/>
              </w:r>
              <w:r w:rsidR="001F4107">
                <w:rPr>
                  <w:rFonts w:ascii="Arial" w:hAnsi="Arial" w:cs="Arial"/>
                  <w:sz w:val="24"/>
                  <w:szCs w:val="24"/>
                  <w:lang w:val="en-US"/>
                </w:rPr>
                <w:instrText xml:space="preserve"> CITATION Adk25 \l 1033 </w:instrText>
              </w:r>
              <w:r w:rsidR="001F4107">
                <w:rPr>
                  <w:rFonts w:ascii="Arial" w:hAnsi="Arial" w:cs="Arial"/>
                  <w:sz w:val="24"/>
                  <w:szCs w:val="24"/>
                </w:rPr>
                <w:fldChar w:fldCharType="separate"/>
              </w:r>
              <w:r w:rsidR="001F4107">
                <w:rPr>
                  <w:rFonts w:ascii="Arial" w:hAnsi="Arial" w:cs="Arial"/>
                  <w:noProof/>
                  <w:sz w:val="24"/>
                  <w:szCs w:val="24"/>
                  <w:lang w:val="en-US"/>
                </w:rPr>
                <w:t xml:space="preserve"> </w:t>
              </w:r>
              <w:r w:rsidR="001F4107" w:rsidRPr="001F4107">
                <w:rPr>
                  <w:rFonts w:ascii="Arial" w:hAnsi="Arial" w:cs="Arial"/>
                  <w:noProof/>
                  <w:sz w:val="24"/>
                  <w:szCs w:val="24"/>
                  <w:lang w:val="en-US"/>
                </w:rPr>
                <w:t>(Adkins, 2025)</w:t>
              </w:r>
              <w:r w:rsidR="001F4107">
                <w:rPr>
                  <w:rFonts w:ascii="Arial" w:hAnsi="Arial" w:cs="Arial"/>
                  <w:sz w:val="24"/>
                  <w:szCs w:val="24"/>
                </w:rPr>
                <w:fldChar w:fldCharType="end"/>
              </w:r>
            </w:sdtContent>
          </w:sdt>
          <w:r w:rsidR="001F4107">
            <w:rPr>
              <w:rFonts w:ascii="Arial" w:hAnsi="Arial" w:cs="Arial"/>
              <w:sz w:val="24"/>
              <w:szCs w:val="24"/>
            </w:rPr>
            <w:t xml:space="preserve">. </w:t>
          </w:r>
          <w:r w:rsidRPr="00F6231A">
            <w:rPr>
              <w:rFonts w:ascii="Arial" w:hAnsi="Arial" w:cs="Arial"/>
              <w:sz w:val="24"/>
              <w:szCs w:val="24"/>
            </w:rPr>
            <w:t xml:space="preserve">Also, the maintenance of full ownership guarantees a control within the same status quo of the shareholders. But the problem is that the excessive amount of debt incurs a high level of financial risk especially when business faces cash flow problems or unfavourable business environment. In the case of </w:t>
          </w:r>
          <w:proofErr w:type="spellStart"/>
          <w:r w:rsidRPr="00F6231A">
            <w:rPr>
              <w:rFonts w:ascii="Arial" w:hAnsi="Arial" w:cs="Arial"/>
              <w:sz w:val="24"/>
              <w:szCs w:val="24"/>
            </w:rPr>
            <w:t>Jordons</w:t>
          </w:r>
          <w:proofErr w:type="spellEnd"/>
          <w:r w:rsidRPr="00F6231A">
            <w:rPr>
              <w:rFonts w:ascii="Arial" w:hAnsi="Arial" w:cs="Arial"/>
              <w:sz w:val="24"/>
              <w:szCs w:val="24"/>
            </w:rPr>
            <w:t xml:space="preserve"> Plc, the moderate initial capital investment of Option B implies that debt financing is a possible option as long as the business sustains its sensible levels of leverage.</w:t>
          </w:r>
        </w:p>
        <w:p w14:paraId="388A85D0" w14:textId="412FBFE3" w:rsidR="00BB0519" w:rsidRPr="00F6231A" w:rsidRDefault="00BB0519" w:rsidP="00F6231A">
          <w:pPr>
            <w:spacing w:line="360" w:lineRule="auto"/>
            <w:jc w:val="both"/>
            <w:rPr>
              <w:rFonts w:ascii="Arial" w:hAnsi="Arial" w:cs="Arial"/>
              <w:sz w:val="24"/>
              <w:szCs w:val="24"/>
            </w:rPr>
          </w:pPr>
          <w:r w:rsidRPr="00F6231A">
            <w:rPr>
              <w:rFonts w:ascii="Arial" w:hAnsi="Arial" w:cs="Arial"/>
              <w:sz w:val="24"/>
              <w:szCs w:val="24"/>
            </w:rPr>
            <w:t xml:space="preserve">The use of retained earnings is the cheapest source of finance as it does not lead to further financial liabilities or reduce stockholder interest. Retained earnings are internal funds, so they require no interest or repayments. However, if management only uses retained earnings, it may not be able to undertake other projects while taking care of other stakeholders. In addition, this may limit dividend payouts, which could lead to shareholder disappointment if they are looking for an income. Also, if retained earnings are insufficient to cover the full investment, </w:t>
          </w:r>
          <w:proofErr w:type="spellStart"/>
          <w:r w:rsidRPr="00F6231A">
            <w:rPr>
              <w:rFonts w:ascii="Arial" w:hAnsi="Arial" w:cs="Arial"/>
              <w:sz w:val="24"/>
              <w:szCs w:val="24"/>
            </w:rPr>
            <w:t>Jordons</w:t>
          </w:r>
          <w:proofErr w:type="spellEnd"/>
          <w:r w:rsidRPr="00F6231A">
            <w:rPr>
              <w:rFonts w:ascii="Arial" w:hAnsi="Arial" w:cs="Arial"/>
              <w:sz w:val="24"/>
              <w:szCs w:val="24"/>
            </w:rPr>
            <w:t xml:space="preserve"> Plc would need to complement the retained earnings approach with external capital. </w:t>
          </w:r>
        </w:p>
        <w:p w14:paraId="1BA36F5B" w14:textId="637935E7" w:rsidR="006421AF" w:rsidRPr="00F6231A" w:rsidRDefault="00BB0519" w:rsidP="00F6231A">
          <w:pPr>
            <w:spacing w:line="360" w:lineRule="auto"/>
            <w:jc w:val="both"/>
            <w:rPr>
              <w:rFonts w:ascii="Arial" w:hAnsi="Arial" w:cs="Arial"/>
              <w:sz w:val="24"/>
              <w:szCs w:val="24"/>
            </w:rPr>
          </w:pPr>
          <w:r w:rsidRPr="00F6231A">
            <w:rPr>
              <w:rFonts w:ascii="Arial" w:hAnsi="Arial" w:cs="Arial"/>
              <w:sz w:val="24"/>
              <w:szCs w:val="24"/>
            </w:rPr>
            <w:t xml:space="preserve">Finally, governments may provide non-repayable capital through grants or subsidies to help fund the implementation of a project. This type of funding is particularly relevant when funding projects for technology improvements, digitalisation or more sustainable production practices. However, accessing this funding is highly competitive and amounts provided can be insufficient to fund even the total costs. </w:t>
          </w:r>
        </w:p>
        <w:p w14:paraId="3529FBDE" w14:textId="77777777" w:rsidR="003D2771" w:rsidRDefault="003D2771">
          <w:pPr>
            <w:rPr>
              <w:rFonts w:ascii="Arial" w:hAnsi="Arial" w:cs="Arial"/>
              <w:b/>
              <w:bCs/>
              <w:i/>
              <w:iCs/>
            </w:rPr>
          </w:pPr>
          <w:r>
            <w:rPr>
              <w:rFonts w:ascii="Arial" w:hAnsi="Arial" w:cs="Arial"/>
              <w:b/>
              <w:bCs/>
              <w:i/>
              <w:iCs/>
            </w:rPr>
            <w:br w:type="page"/>
          </w:r>
        </w:p>
        <w:p w14:paraId="0E228BC0" w14:textId="4BE54236" w:rsidR="006421AF" w:rsidRPr="00394FB1" w:rsidRDefault="006421AF" w:rsidP="003D2771">
          <w:pPr>
            <w:spacing w:line="360" w:lineRule="auto"/>
            <w:jc w:val="both"/>
            <w:rPr>
              <w:rFonts w:ascii="Arial" w:hAnsi="Arial" w:cs="Arial"/>
              <w:b/>
              <w:bCs/>
              <w:sz w:val="24"/>
              <w:szCs w:val="24"/>
            </w:rPr>
          </w:pPr>
          <w:r w:rsidRPr="00394FB1">
            <w:rPr>
              <w:rFonts w:ascii="Arial" w:hAnsi="Arial" w:cs="Arial"/>
              <w:b/>
              <w:bCs/>
              <w:sz w:val="24"/>
              <w:szCs w:val="24"/>
            </w:rPr>
            <w:lastRenderedPageBreak/>
            <w:t>Recommendations</w:t>
          </w:r>
        </w:p>
        <w:p w14:paraId="5734C7F5" w14:textId="3A9215AC" w:rsidR="00CF0E48" w:rsidRPr="003D2771" w:rsidRDefault="009C5641" w:rsidP="003D2771">
          <w:pPr>
            <w:spacing w:line="360" w:lineRule="auto"/>
            <w:jc w:val="both"/>
            <w:rPr>
              <w:rFonts w:ascii="Arial" w:hAnsi="Arial" w:cs="Arial"/>
              <w:sz w:val="24"/>
              <w:szCs w:val="24"/>
            </w:rPr>
          </w:pPr>
          <w:r w:rsidRPr="003D2771">
            <w:rPr>
              <w:rFonts w:ascii="Arial" w:hAnsi="Arial" w:cs="Arial"/>
              <w:sz w:val="24"/>
              <w:szCs w:val="24"/>
            </w:rPr>
            <w:t xml:space="preserve">The total cost of Option B is contemplated as having a moderate capital cost. Additionally, it is likely that </w:t>
          </w:r>
          <w:proofErr w:type="spellStart"/>
          <w:r w:rsidRPr="003D2771">
            <w:rPr>
              <w:rFonts w:ascii="Arial" w:hAnsi="Arial" w:cs="Arial"/>
              <w:sz w:val="24"/>
              <w:szCs w:val="24"/>
            </w:rPr>
            <w:t>Jordons</w:t>
          </w:r>
          <w:proofErr w:type="spellEnd"/>
          <w:r w:rsidRPr="003D2771">
            <w:rPr>
              <w:rFonts w:ascii="Arial" w:hAnsi="Arial" w:cs="Arial"/>
              <w:sz w:val="24"/>
              <w:szCs w:val="24"/>
            </w:rPr>
            <w:t xml:space="preserve"> Plc is able to generate consistent cash flows from its existing operations. The most beneficial approach to financing to execute Option B, would be to use retained earnings, and then possibly more debt financing for any consideration received beyond the retained earnings. Thus, in this way they can limit concerns about financial costs only to the debt amounts. This extends the flexibility to the entrepreneur to raise additional cash flows, maintain lower factoring costs, and explore equity financing.</w:t>
          </w:r>
        </w:p>
        <w:p w14:paraId="521B9041" w14:textId="77777777" w:rsidR="008F57E9" w:rsidRDefault="008F57E9">
          <w:pPr>
            <w:rPr>
              <w:rFonts w:ascii="Arial" w:eastAsiaTheme="majorEastAsia" w:hAnsi="Arial" w:cs="Arial"/>
              <w:color w:val="2E74B5" w:themeColor="accent1" w:themeShade="BF"/>
              <w:sz w:val="32"/>
              <w:szCs w:val="32"/>
            </w:rPr>
          </w:pPr>
          <w:bookmarkStart w:id="14" w:name="_Toc203860079"/>
          <w:r>
            <w:rPr>
              <w:rFonts w:ascii="Arial" w:hAnsi="Arial" w:cs="Arial"/>
            </w:rPr>
            <w:br w:type="page"/>
          </w:r>
        </w:p>
        <w:p w14:paraId="0C6DEB97" w14:textId="13BF8265" w:rsidR="00AA2A91" w:rsidRPr="008F57E9" w:rsidRDefault="00AA2A91" w:rsidP="008F57E9">
          <w:pPr>
            <w:pStyle w:val="Heading2"/>
            <w:numPr>
              <w:ilvl w:val="0"/>
              <w:numId w:val="0"/>
            </w:numPr>
            <w:spacing w:line="360" w:lineRule="auto"/>
            <w:jc w:val="both"/>
            <w:rPr>
              <w:rFonts w:ascii="Arial" w:hAnsi="Arial" w:cs="Arial"/>
              <w:b/>
              <w:bCs/>
              <w:color w:val="000000" w:themeColor="text1"/>
              <w:sz w:val="28"/>
              <w:szCs w:val="28"/>
            </w:rPr>
          </w:pPr>
          <w:bookmarkStart w:id="15" w:name="_Toc204002544"/>
          <w:r w:rsidRPr="008F57E9">
            <w:rPr>
              <w:rFonts w:ascii="Arial" w:hAnsi="Arial" w:cs="Arial"/>
              <w:b/>
              <w:bCs/>
              <w:color w:val="000000" w:themeColor="text1"/>
              <w:sz w:val="28"/>
              <w:szCs w:val="28"/>
            </w:rPr>
            <w:lastRenderedPageBreak/>
            <w:t>Conclusion</w:t>
          </w:r>
          <w:bookmarkEnd w:id="14"/>
          <w:bookmarkEnd w:id="15"/>
          <w:r w:rsidR="00D854A5" w:rsidRPr="008F57E9">
            <w:rPr>
              <w:rFonts w:ascii="Arial" w:hAnsi="Arial" w:cs="Arial"/>
              <w:b/>
              <w:bCs/>
              <w:color w:val="000000" w:themeColor="text1"/>
              <w:sz w:val="28"/>
              <w:szCs w:val="28"/>
            </w:rPr>
            <w:t xml:space="preserve"> </w:t>
          </w:r>
        </w:p>
        <w:p w14:paraId="379DBBD9" w14:textId="670A7E14" w:rsidR="00EA1C55" w:rsidRPr="008F57E9" w:rsidRDefault="00EA1C55" w:rsidP="008F57E9">
          <w:pPr>
            <w:spacing w:line="360" w:lineRule="auto"/>
            <w:jc w:val="both"/>
            <w:rPr>
              <w:rFonts w:ascii="Arial" w:hAnsi="Arial" w:cs="Arial"/>
              <w:sz w:val="24"/>
              <w:szCs w:val="24"/>
            </w:rPr>
          </w:pPr>
          <w:r w:rsidRPr="008F57E9">
            <w:rPr>
              <w:rFonts w:ascii="Arial" w:hAnsi="Arial" w:cs="Arial"/>
              <w:sz w:val="24"/>
              <w:szCs w:val="24"/>
            </w:rPr>
            <w:t xml:space="preserve">The three investment opportunities identified in this report have been critically analysed based on the three key investment approaches identified in this report and include Net Present Value (NPV) and Internal Rate of Return (IRR) as the main financial assessment methods. Of the possibilities, internet sales development (Option B) had proved to be the most economically feasible and the one with the most NPV of PS574,600 and an IRR of about 13.7 percent which was within acceptable limits since it was much higher than the 6 percent cost of capital. </w:t>
          </w:r>
          <w:r w:rsidR="00B570D4" w:rsidRPr="008F57E9">
            <w:rPr>
              <w:rFonts w:ascii="Arial" w:hAnsi="Arial" w:cs="Arial"/>
              <w:sz w:val="24"/>
              <w:szCs w:val="24"/>
            </w:rPr>
            <w:t>These alternative favours</w:t>
          </w:r>
          <w:r w:rsidRPr="008F57E9">
            <w:rPr>
              <w:rFonts w:ascii="Arial" w:hAnsi="Arial" w:cs="Arial"/>
              <w:sz w:val="24"/>
              <w:szCs w:val="24"/>
            </w:rPr>
            <w:t xml:space="preserve"> the current consumer pattern towards e-commerce and creates the scalability that one can grow in the future.</w:t>
          </w:r>
        </w:p>
        <w:p w14:paraId="5BD29305" w14:textId="03420646" w:rsidR="00EA1C55" w:rsidRPr="008F57E9" w:rsidRDefault="00EA1C55" w:rsidP="008F57E9">
          <w:pPr>
            <w:spacing w:line="360" w:lineRule="auto"/>
            <w:jc w:val="both"/>
            <w:rPr>
              <w:rFonts w:ascii="Arial" w:hAnsi="Arial" w:cs="Arial"/>
              <w:sz w:val="24"/>
              <w:szCs w:val="24"/>
            </w:rPr>
          </w:pPr>
          <w:r w:rsidRPr="008F57E9">
            <w:rPr>
              <w:rFonts w:ascii="Arial" w:hAnsi="Arial" w:cs="Arial"/>
              <w:sz w:val="24"/>
              <w:szCs w:val="24"/>
            </w:rPr>
            <w:t xml:space="preserve">Another analysis was the performance of optimal investment policy with a limited funding of 2 million. On prioritising the projects where the profitability index is higher, </w:t>
          </w:r>
          <w:proofErr w:type="spellStart"/>
          <w:r w:rsidRPr="008F57E9">
            <w:rPr>
              <w:rFonts w:ascii="Arial" w:hAnsi="Arial" w:cs="Arial"/>
              <w:sz w:val="24"/>
              <w:szCs w:val="24"/>
            </w:rPr>
            <w:t>Jordons</w:t>
          </w:r>
          <w:proofErr w:type="spellEnd"/>
          <w:r w:rsidRPr="008F57E9">
            <w:rPr>
              <w:rFonts w:ascii="Arial" w:hAnsi="Arial" w:cs="Arial"/>
              <w:sz w:val="24"/>
              <w:szCs w:val="24"/>
            </w:rPr>
            <w:t xml:space="preserve"> Plc might obtain optimal NPV and have a reasonably efficient allocation of resources between the several projects.</w:t>
          </w:r>
          <w:r w:rsidR="00B570D4" w:rsidRPr="008F57E9">
            <w:rPr>
              <w:rFonts w:ascii="Arial" w:hAnsi="Arial" w:cs="Arial"/>
              <w:sz w:val="24"/>
              <w:szCs w:val="24"/>
            </w:rPr>
            <w:t xml:space="preserve"> </w:t>
          </w:r>
          <w:r w:rsidRPr="008F57E9">
            <w:rPr>
              <w:rFonts w:ascii="Arial" w:hAnsi="Arial" w:cs="Arial"/>
              <w:sz w:val="24"/>
              <w:szCs w:val="24"/>
            </w:rPr>
            <w:t xml:space="preserve">Moreover, the funding plans were also considered to accompany the implementation process of the suggested choice. A leveraged model was also found to be the most adequate, which consisted of retained earnings and moderate debt financing. This strategy aims to find a balance between the risk exposure to finance and flexibility so that </w:t>
          </w:r>
          <w:proofErr w:type="spellStart"/>
          <w:r w:rsidRPr="008F57E9">
            <w:rPr>
              <w:rFonts w:ascii="Arial" w:hAnsi="Arial" w:cs="Arial"/>
              <w:sz w:val="24"/>
              <w:szCs w:val="24"/>
            </w:rPr>
            <w:t>Jordons</w:t>
          </w:r>
          <w:proofErr w:type="spellEnd"/>
          <w:r w:rsidRPr="008F57E9">
            <w:rPr>
              <w:rFonts w:ascii="Arial" w:hAnsi="Arial" w:cs="Arial"/>
              <w:sz w:val="24"/>
              <w:szCs w:val="24"/>
            </w:rPr>
            <w:t xml:space="preserve"> Plc is able to grow without compromising the capital position and shareholders value.</w:t>
          </w:r>
        </w:p>
        <w:p w14:paraId="13E6D81D" w14:textId="2FEBDFAC" w:rsidR="00B1426B" w:rsidRPr="00B1426B" w:rsidRDefault="00EA1C55" w:rsidP="00B1426B">
          <w:pPr>
            <w:spacing w:line="360" w:lineRule="auto"/>
            <w:jc w:val="both"/>
            <w:rPr>
              <w:rFonts w:ascii="Arial" w:hAnsi="Arial" w:cs="Arial"/>
              <w:sz w:val="24"/>
              <w:szCs w:val="24"/>
            </w:rPr>
          </w:pPr>
          <w:r w:rsidRPr="008F57E9">
            <w:rPr>
              <w:rFonts w:ascii="Arial" w:hAnsi="Arial" w:cs="Arial"/>
              <w:sz w:val="24"/>
              <w:szCs w:val="24"/>
            </w:rPr>
            <w:t xml:space="preserve">To sum up, following the suggested course of investment and funding plan, </w:t>
          </w:r>
          <w:proofErr w:type="spellStart"/>
          <w:r w:rsidRPr="008F57E9">
            <w:rPr>
              <w:rFonts w:ascii="Arial" w:hAnsi="Arial" w:cs="Arial"/>
              <w:sz w:val="24"/>
              <w:szCs w:val="24"/>
            </w:rPr>
            <w:t>Jordons</w:t>
          </w:r>
          <w:proofErr w:type="spellEnd"/>
          <w:r w:rsidRPr="008F57E9">
            <w:rPr>
              <w:rFonts w:ascii="Arial" w:hAnsi="Arial" w:cs="Arial"/>
              <w:sz w:val="24"/>
              <w:szCs w:val="24"/>
            </w:rPr>
            <w:t xml:space="preserve"> Plc is capable of realizing long-term development and competitiveness on the market. Successful strategic attention to operational effectiveness, digital innovation, and sound financial management will play a vital role in the provision of long-term shareholder returns.</w:t>
          </w:r>
        </w:p>
      </w:sdtContent>
    </w:sdt>
    <w:bookmarkStart w:id="16" w:name="_Toc203860081" w:displacedByCustomXml="prev"/>
    <w:bookmarkStart w:id="17" w:name="_Toc203510825" w:displacedByCustomXml="prev"/>
    <w:p w14:paraId="40ED44F7" w14:textId="77777777" w:rsidR="00B1426B" w:rsidRDefault="00B1426B">
      <w:pPr>
        <w:rPr>
          <w:rFonts w:ascii="Arial" w:hAnsi="Arial" w:cs="Arial"/>
        </w:rPr>
      </w:pPr>
      <w:r>
        <w:rPr>
          <w:rFonts w:ascii="Arial" w:hAnsi="Arial" w:cs="Arial"/>
        </w:rPr>
        <w:br w:type="page"/>
      </w:r>
    </w:p>
    <w:bookmarkStart w:id="18" w:name="_Toc204002545" w:displacedByCustomXml="next"/>
    <w:sdt>
      <w:sdtPr>
        <w:rPr>
          <w:rFonts w:asciiTheme="minorHAnsi" w:eastAsiaTheme="minorHAnsi" w:hAnsiTheme="minorHAnsi" w:cstheme="minorBidi"/>
          <w:color w:val="auto"/>
          <w:sz w:val="22"/>
          <w:szCs w:val="22"/>
        </w:rPr>
        <w:id w:val="2112705687"/>
        <w:docPartObj>
          <w:docPartGallery w:val="Bibliographies"/>
          <w:docPartUnique/>
        </w:docPartObj>
      </w:sdtPr>
      <w:sdtEndPr/>
      <w:sdtContent>
        <w:p w14:paraId="5F64C20B" w14:textId="3D608D44" w:rsidR="00A93114" w:rsidRPr="00560F30" w:rsidRDefault="00A93114" w:rsidP="00A93114">
          <w:pPr>
            <w:pStyle w:val="Heading1"/>
            <w:numPr>
              <w:ilvl w:val="0"/>
              <w:numId w:val="0"/>
            </w:numPr>
            <w:spacing w:line="360" w:lineRule="auto"/>
            <w:ind w:left="360" w:hanging="360"/>
            <w:rPr>
              <w:rFonts w:ascii="Arial" w:hAnsi="Arial" w:cs="Arial"/>
              <w:b/>
              <w:bCs/>
              <w:color w:val="000000" w:themeColor="text1"/>
              <w:sz w:val="28"/>
              <w:szCs w:val="28"/>
            </w:rPr>
          </w:pPr>
          <w:r w:rsidRPr="00560F30">
            <w:rPr>
              <w:rFonts w:ascii="Arial" w:hAnsi="Arial" w:cs="Arial"/>
              <w:b/>
              <w:bCs/>
              <w:color w:val="000000" w:themeColor="text1"/>
              <w:sz w:val="28"/>
              <w:szCs w:val="28"/>
            </w:rPr>
            <w:t>References</w:t>
          </w:r>
          <w:bookmarkEnd w:id="18"/>
        </w:p>
        <w:sdt>
          <w:sdtPr>
            <w:rPr>
              <w:rFonts w:ascii="Arial" w:hAnsi="Arial" w:cs="Arial"/>
              <w:sz w:val="24"/>
              <w:szCs w:val="24"/>
            </w:rPr>
            <w:id w:val="-573587230"/>
            <w:bibliography/>
          </w:sdtPr>
          <w:sdtEndPr>
            <w:rPr>
              <w:rFonts w:asciiTheme="minorHAnsi" w:hAnsiTheme="minorHAnsi" w:cstheme="minorBidi"/>
              <w:sz w:val="22"/>
              <w:szCs w:val="22"/>
            </w:rPr>
          </w:sdtEndPr>
          <w:sdtContent>
            <w:p w14:paraId="5F5FAD47"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sz w:val="24"/>
                  <w:szCs w:val="24"/>
                </w:rPr>
                <w:fldChar w:fldCharType="begin"/>
              </w:r>
              <w:r w:rsidRPr="00A93114">
                <w:rPr>
                  <w:rFonts w:ascii="Arial" w:hAnsi="Arial" w:cs="Arial"/>
                  <w:sz w:val="24"/>
                  <w:szCs w:val="24"/>
                </w:rPr>
                <w:instrText xml:space="preserve"> BIBLIOGRAPHY </w:instrText>
              </w:r>
              <w:r w:rsidRPr="00A93114">
                <w:rPr>
                  <w:rFonts w:ascii="Arial" w:hAnsi="Arial" w:cs="Arial"/>
                  <w:sz w:val="24"/>
                  <w:szCs w:val="24"/>
                </w:rPr>
                <w:fldChar w:fldCharType="separate"/>
              </w:r>
              <w:r w:rsidRPr="00A93114">
                <w:rPr>
                  <w:rFonts w:ascii="Arial" w:hAnsi="Arial" w:cs="Arial"/>
                  <w:noProof/>
                  <w:sz w:val="24"/>
                  <w:szCs w:val="24"/>
                </w:rPr>
                <w:t xml:space="preserve">Adkins, T., 2025. </w:t>
              </w:r>
              <w:r w:rsidRPr="00A93114">
                <w:rPr>
                  <w:rFonts w:ascii="Arial" w:hAnsi="Arial" w:cs="Arial"/>
                  <w:i/>
                  <w:iCs/>
                  <w:noProof/>
                  <w:sz w:val="24"/>
                  <w:szCs w:val="24"/>
                </w:rPr>
                <w:t xml:space="preserve">Optimal Use of Financial Leverage in a Corporate Capital Structure. </w:t>
              </w:r>
              <w:r w:rsidRPr="00A93114">
                <w:rPr>
                  <w:rFonts w:ascii="Arial" w:hAnsi="Arial" w:cs="Arial"/>
                  <w:noProof/>
                  <w:sz w:val="24"/>
                  <w:szCs w:val="24"/>
                </w:rPr>
                <w:t xml:space="preserve">[Online] </w:t>
              </w:r>
              <w:r w:rsidRPr="00A93114">
                <w:rPr>
                  <w:rFonts w:ascii="Arial" w:hAnsi="Arial" w:cs="Arial"/>
                  <w:noProof/>
                  <w:sz w:val="24"/>
                  <w:szCs w:val="24"/>
                </w:rPr>
                <w:br/>
                <w:t xml:space="preserve">Available at: </w:t>
              </w:r>
              <w:r w:rsidRPr="00A93114">
                <w:rPr>
                  <w:rFonts w:ascii="Arial" w:hAnsi="Arial" w:cs="Arial"/>
                  <w:noProof/>
                  <w:sz w:val="24"/>
                  <w:szCs w:val="24"/>
                  <w:u w:val="single"/>
                </w:rPr>
                <w:t>https://www.investopedia.com/articles/investing/111813/optimal-use-financial-leverage-corporate-capital-structure.asp?utm_source</w:t>
              </w:r>
              <w:r w:rsidRPr="00A93114">
                <w:rPr>
                  <w:rFonts w:ascii="Arial" w:hAnsi="Arial" w:cs="Arial"/>
                  <w:noProof/>
                  <w:sz w:val="24"/>
                  <w:szCs w:val="24"/>
                </w:rPr>
                <w:br/>
                <w:t>[Accessed 18 July 2025].</w:t>
              </w:r>
            </w:p>
            <w:p w14:paraId="74875DE6"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Bank for International Settlements, 2019. </w:t>
              </w:r>
              <w:r w:rsidRPr="00A93114">
                <w:rPr>
                  <w:rFonts w:ascii="Arial" w:hAnsi="Arial" w:cs="Arial"/>
                  <w:i/>
                  <w:iCs/>
                  <w:noProof/>
                  <w:sz w:val="24"/>
                  <w:szCs w:val="24"/>
                </w:rPr>
                <w:t xml:space="preserve">Basel Committee on Banking Supervision. </w:t>
              </w:r>
              <w:r w:rsidRPr="00A93114">
                <w:rPr>
                  <w:rFonts w:ascii="Arial" w:hAnsi="Arial" w:cs="Arial"/>
                  <w:noProof/>
                  <w:sz w:val="24"/>
                  <w:szCs w:val="24"/>
                </w:rPr>
                <w:t xml:space="preserve">[Online] </w:t>
              </w:r>
              <w:r w:rsidRPr="00A93114">
                <w:rPr>
                  <w:rFonts w:ascii="Arial" w:hAnsi="Arial" w:cs="Arial"/>
                  <w:noProof/>
                  <w:sz w:val="24"/>
                  <w:szCs w:val="24"/>
                </w:rPr>
                <w:br/>
                <w:t xml:space="preserve">Available at: </w:t>
              </w:r>
              <w:r w:rsidRPr="00A93114">
                <w:rPr>
                  <w:rFonts w:ascii="Arial" w:hAnsi="Arial" w:cs="Arial"/>
                  <w:noProof/>
                  <w:sz w:val="24"/>
                  <w:szCs w:val="24"/>
                  <w:u w:val="single"/>
                </w:rPr>
                <w:t>chrome-extension://efaidnbmnnnibpcajpcglclefindmkaj/https://www.bis.org/bcbs/publ/d477.pdf?utm_source</w:t>
              </w:r>
              <w:r w:rsidRPr="00A93114">
                <w:rPr>
                  <w:rFonts w:ascii="Arial" w:hAnsi="Arial" w:cs="Arial"/>
                  <w:noProof/>
                  <w:sz w:val="24"/>
                  <w:szCs w:val="24"/>
                </w:rPr>
                <w:br/>
                <w:t>[Accessed 18 July 2025].</w:t>
              </w:r>
            </w:p>
            <w:p w14:paraId="082A29FC"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Baporikar, N., 2022. Innovation Management Case Study. </w:t>
              </w:r>
              <w:r w:rsidRPr="00A93114">
                <w:rPr>
                  <w:rFonts w:ascii="Arial" w:hAnsi="Arial" w:cs="Arial"/>
                  <w:i/>
                  <w:iCs/>
                  <w:noProof/>
                  <w:sz w:val="24"/>
                  <w:szCs w:val="24"/>
                </w:rPr>
                <w:t xml:space="preserve">International Journal of Innovation in the Digital Economy, </w:t>
              </w:r>
              <w:r w:rsidRPr="00A93114">
                <w:rPr>
                  <w:rFonts w:ascii="Arial" w:hAnsi="Arial" w:cs="Arial"/>
                  <w:noProof/>
                  <w:sz w:val="24"/>
                  <w:szCs w:val="24"/>
                </w:rPr>
                <w:t>13(1), pp. 1-11.</w:t>
              </w:r>
            </w:p>
            <w:p w14:paraId="54994B8A"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Boscanean, M., 2024. </w:t>
              </w:r>
              <w:r w:rsidRPr="00A93114">
                <w:rPr>
                  <w:rFonts w:ascii="Arial" w:hAnsi="Arial" w:cs="Arial"/>
                  <w:i/>
                  <w:iCs/>
                  <w:noProof/>
                  <w:sz w:val="24"/>
                  <w:szCs w:val="24"/>
                </w:rPr>
                <w:t xml:space="preserve">MBA7060 (docx) - CliffsNotes. </w:t>
              </w:r>
              <w:r w:rsidRPr="00A93114">
                <w:rPr>
                  <w:rFonts w:ascii="Arial" w:hAnsi="Arial" w:cs="Arial"/>
                  <w:noProof/>
                  <w:sz w:val="24"/>
                  <w:szCs w:val="24"/>
                </w:rPr>
                <w:t xml:space="preserve">[Online] </w:t>
              </w:r>
              <w:r w:rsidRPr="00A93114">
                <w:rPr>
                  <w:rFonts w:ascii="Arial" w:hAnsi="Arial" w:cs="Arial"/>
                  <w:noProof/>
                  <w:sz w:val="24"/>
                  <w:szCs w:val="24"/>
                </w:rPr>
                <w:br/>
                <w:t xml:space="preserve">Available at: </w:t>
              </w:r>
              <w:r w:rsidRPr="00A93114">
                <w:rPr>
                  <w:rFonts w:ascii="Arial" w:hAnsi="Arial" w:cs="Arial"/>
                  <w:noProof/>
                  <w:sz w:val="24"/>
                  <w:szCs w:val="24"/>
                  <w:u w:val="single"/>
                </w:rPr>
                <w:t>https://www.cliffsnotes.com/study-notes/23137996?utm_source</w:t>
              </w:r>
              <w:r w:rsidRPr="00A93114">
                <w:rPr>
                  <w:rFonts w:ascii="Arial" w:hAnsi="Arial" w:cs="Arial"/>
                  <w:noProof/>
                  <w:sz w:val="24"/>
                  <w:szCs w:val="24"/>
                </w:rPr>
                <w:br/>
                <w:t>[Accessed 17 July 2025].</w:t>
              </w:r>
            </w:p>
            <w:p w14:paraId="17F3C04E"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Bruijl, G., 2018. The Relevance of Porter's Five Forces in Today's Innovative and Changing Business Environment. </w:t>
              </w:r>
              <w:r w:rsidRPr="00A93114">
                <w:rPr>
                  <w:rFonts w:ascii="Arial" w:hAnsi="Arial" w:cs="Arial"/>
                  <w:i/>
                  <w:iCs/>
                  <w:noProof/>
                  <w:sz w:val="24"/>
                  <w:szCs w:val="24"/>
                </w:rPr>
                <w:t>SSRN Electronic Journal.</w:t>
              </w:r>
            </w:p>
            <w:p w14:paraId="7D253BA3"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Brynjolfsson, E. S. M., 2000. Frictionless Commerce? A Comparison of Internet and Conventional Retailers. </w:t>
              </w:r>
              <w:r w:rsidRPr="00A93114">
                <w:rPr>
                  <w:rFonts w:ascii="Arial" w:hAnsi="Arial" w:cs="Arial"/>
                  <w:i/>
                  <w:iCs/>
                  <w:noProof/>
                  <w:sz w:val="24"/>
                  <w:szCs w:val="24"/>
                </w:rPr>
                <w:t xml:space="preserve">Management Science, </w:t>
              </w:r>
              <w:r w:rsidRPr="00A93114">
                <w:rPr>
                  <w:rFonts w:ascii="Arial" w:hAnsi="Arial" w:cs="Arial"/>
                  <w:noProof/>
                  <w:sz w:val="24"/>
                  <w:szCs w:val="24"/>
                </w:rPr>
                <w:t>46(4), pp. 563-585.</w:t>
              </w:r>
            </w:p>
            <w:p w14:paraId="186DCB1D"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Deutsche Bundesbank, 2024. </w:t>
              </w:r>
              <w:r w:rsidRPr="00A93114">
                <w:rPr>
                  <w:rFonts w:ascii="Arial" w:hAnsi="Arial" w:cs="Arial"/>
                  <w:i/>
                  <w:iCs/>
                  <w:noProof/>
                  <w:sz w:val="24"/>
                  <w:szCs w:val="24"/>
                </w:rPr>
                <w:t xml:space="preserve">Basel III monitoring | Deutsche Bundesbank. </w:t>
              </w:r>
              <w:r w:rsidRPr="00A93114">
                <w:rPr>
                  <w:rFonts w:ascii="Arial" w:hAnsi="Arial" w:cs="Arial"/>
                  <w:noProof/>
                  <w:sz w:val="24"/>
                  <w:szCs w:val="24"/>
                </w:rPr>
                <w:t xml:space="preserve">[Online] </w:t>
              </w:r>
              <w:r w:rsidRPr="00A93114">
                <w:rPr>
                  <w:rFonts w:ascii="Arial" w:hAnsi="Arial" w:cs="Arial"/>
                  <w:noProof/>
                  <w:sz w:val="24"/>
                  <w:szCs w:val="24"/>
                </w:rPr>
                <w:br/>
                <w:t xml:space="preserve">Available at: </w:t>
              </w:r>
              <w:r w:rsidRPr="00A93114">
                <w:rPr>
                  <w:rFonts w:ascii="Arial" w:hAnsi="Arial" w:cs="Arial"/>
                  <w:noProof/>
                  <w:sz w:val="24"/>
                  <w:szCs w:val="24"/>
                  <w:u w:val="single"/>
                </w:rPr>
                <w:t>https://www.bundesbank.de/en/tasks/banking-supervision/legal-basis/basel-framework/basel-iii-monitoring-622584</w:t>
              </w:r>
              <w:r w:rsidRPr="00A93114">
                <w:rPr>
                  <w:rFonts w:ascii="Arial" w:hAnsi="Arial" w:cs="Arial"/>
                  <w:noProof/>
                  <w:sz w:val="24"/>
                  <w:szCs w:val="24"/>
                </w:rPr>
                <w:br/>
                <w:t>[Accessed 17 July 2025].</w:t>
              </w:r>
            </w:p>
            <w:p w14:paraId="4715C46B"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Fernando, J., 2025. </w:t>
              </w:r>
              <w:r w:rsidRPr="00A93114">
                <w:rPr>
                  <w:rFonts w:ascii="Arial" w:hAnsi="Arial" w:cs="Arial"/>
                  <w:i/>
                  <w:iCs/>
                  <w:noProof/>
                  <w:sz w:val="24"/>
                  <w:szCs w:val="24"/>
                </w:rPr>
                <w:t xml:space="preserve">Retained Earnings in Accounting and What They Can Tell You. </w:t>
              </w:r>
              <w:r w:rsidRPr="00A93114">
                <w:rPr>
                  <w:rFonts w:ascii="Arial" w:hAnsi="Arial" w:cs="Arial"/>
                  <w:noProof/>
                  <w:sz w:val="24"/>
                  <w:szCs w:val="24"/>
                </w:rPr>
                <w:t xml:space="preserve">[Online] </w:t>
              </w:r>
              <w:r w:rsidRPr="00A93114">
                <w:rPr>
                  <w:rFonts w:ascii="Arial" w:hAnsi="Arial" w:cs="Arial"/>
                  <w:noProof/>
                  <w:sz w:val="24"/>
                  <w:szCs w:val="24"/>
                </w:rPr>
                <w:br/>
                <w:t xml:space="preserve">Available at: </w:t>
              </w:r>
              <w:r w:rsidRPr="00A93114">
                <w:rPr>
                  <w:rFonts w:ascii="Arial" w:hAnsi="Arial" w:cs="Arial"/>
                  <w:noProof/>
                  <w:sz w:val="24"/>
                  <w:szCs w:val="24"/>
                  <w:u w:val="single"/>
                </w:rPr>
                <w:t>https://www.investopedia.com/terms/r/retainedearnings.asp</w:t>
              </w:r>
              <w:r w:rsidRPr="00A93114">
                <w:rPr>
                  <w:rFonts w:ascii="Arial" w:hAnsi="Arial" w:cs="Arial"/>
                  <w:noProof/>
                  <w:sz w:val="24"/>
                  <w:szCs w:val="24"/>
                </w:rPr>
                <w:br/>
                <w:t>[Accessed 17 July 2025].</w:t>
              </w:r>
            </w:p>
            <w:p w14:paraId="291D0F25"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lastRenderedPageBreak/>
                <w:t xml:space="preserve">Graham, J. a. H. C., 2001. The Theory and Practice of Corporate Finance: Evidence from the Field. </w:t>
              </w:r>
              <w:r w:rsidRPr="00A93114">
                <w:rPr>
                  <w:rFonts w:ascii="Arial" w:hAnsi="Arial" w:cs="Arial"/>
                  <w:i/>
                  <w:iCs/>
                  <w:noProof/>
                  <w:sz w:val="24"/>
                  <w:szCs w:val="24"/>
                </w:rPr>
                <w:t xml:space="preserve">Journal of Financial Economics, </w:t>
              </w:r>
              <w:r w:rsidRPr="00A93114">
                <w:rPr>
                  <w:rFonts w:ascii="Arial" w:hAnsi="Arial" w:cs="Arial"/>
                  <w:noProof/>
                  <w:sz w:val="24"/>
                  <w:szCs w:val="24"/>
                </w:rPr>
                <w:t>Volume 60, pp. 187-243.</w:t>
              </w:r>
            </w:p>
            <w:p w14:paraId="5ADAC2DA"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Graham, J. H. C., 2003. The Theory and Practice of Corporate Finance: The Data. </w:t>
              </w:r>
              <w:r w:rsidRPr="00A93114">
                <w:rPr>
                  <w:rFonts w:ascii="Arial" w:hAnsi="Arial" w:cs="Arial"/>
                  <w:i/>
                  <w:iCs/>
                  <w:noProof/>
                  <w:sz w:val="24"/>
                  <w:szCs w:val="24"/>
                </w:rPr>
                <w:t>SSRN Electronic Journal.</w:t>
              </w:r>
            </w:p>
            <w:p w14:paraId="1571F8D1"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Lintner, J., 1956. Distribution of Incomes of Corporations Among Dividends, Retained Earnings, and Taxes. </w:t>
              </w:r>
              <w:r w:rsidRPr="00A93114">
                <w:rPr>
                  <w:rFonts w:ascii="Arial" w:hAnsi="Arial" w:cs="Arial"/>
                  <w:i/>
                  <w:iCs/>
                  <w:noProof/>
                  <w:sz w:val="24"/>
                  <w:szCs w:val="24"/>
                </w:rPr>
                <w:t xml:space="preserve">The American Economic Review, </w:t>
              </w:r>
              <w:r w:rsidRPr="00A93114">
                <w:rPr>
                  <w:rFonts w:ascii="Arial" w:hAnsi="Arial" w:cs="Arial"/>
                  <w:noProof/>
                  <w:sz w:val="24"/>
                  <w:szCs w:val="24"/>
                </w:rPr>
                <w:t>46(2), pp. 97-113.</w:t>
              </w:r>
            </w:p>
            <w:p w14:paraId="506338AD"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Lloyds Banking Group plc, 2024. </w:t>
              </w:r>
              <w:r w:rsidRPr="00A93114">
                <w:rPr>
                  <w:rFonts w:ascii="Arial" w:hAnsi="Arial" w:cs="Arial"/>
                  <w:i/>
                  <w:iCs/>
                  <w:noProof/>
                  <w:sz w:val="24"/>
                  <w:szCs w:val="24"/>
                </w:rPr>
                <w:t xml:space="preserve">Performance Summary. </w:t>
              </w:r>
              <w:r w:rsidRPr="00A93114">
                <w:rPr>
                  <w:rFonts w:ascii="Arial" w:hAnsi="Arial" w:cs="Arial"/>
                  <w:noProof/>
                  <w:sz w:val="24"/>
                  <w:szCs w:val="24"/>
                </w:rPr>
                <w:t xml:space="preserve">[Online] </w:t>
              </w:r>
              <w:r w:rsidRPr="00A93114">
                <w:rPr>
                  <w:rFonts w:ascii="Arial" w:hAnsi="Arial" w:cs="Arial"/>
                  <w:noProof/>
                  <w:sz w:val="24"/>
                  <w:szCs w:val="24"/>
                </w:rPr>
                <w:br/>
                <w:t xml:space="preserve">Available at: </w:t>
              </w:r>
              <w:r w:rsidRPr="00A93114">
                <w:rPr>
                  <w:rFonts w:ascii="Arial" w:hAnsi="Arial" w:cs="Arial"/>
                  <w:noProof/>
                  <w:sz w:val="24"/>
                  <w:szCs w:val="24"/>
                  <w:u w:val="single"/>
                </w:rPr>
                <w:t>chrome-extension://efaidnbmnnnibpcajpcglclefindmkaj/https://www.lloydsbankinggroup.com/assets/pdfs/investors/annual-report/2024/2024-lbg-performance-summary.pdf</w:t>
              </w:r>
              <w:r w:rsidRPr="00A93114">
                <w:rPr>
                  <w:rFonts w:ascii="Arial" w:hAnsi="Arial" w:cs="Arial"/>
                  <w:noProof/>
                  <w:sz w:val="24"/>
                  <w:szCs w:val="24"/>
                </w:rPr>
                <w:br/>
                <w:t>[Accessed 18 July 2025].</w:t>
              </w:r>
            </w:p>
            <w:p w14:paraId="09821B05"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Lloyds Banking Group plc, 2025. </w:t>
              </w:r>
              <w:r w:rsidRPr="00A93114">
                <w:rPr>
                  <w:rFonts w:ascii="Arial" w:hAnsi="Arial" w:cs="Arial"/>
                  <w:i/>
                  <w:iCs/>
                  <w:noProof/>
                  <w:sz w:val="24"/>
                  <w:szCs w:val="24"/>
                </w:rPr>
                <w:t xml:space="preserve">Home - Lloyds Banking Group plc. </w:t>
              </w:r>
              <w:r w:rsidRPr="00A93114">
                <w:rPr>
                  <w:rFonts w:ascii="Arial" w:hAnsi="Arial" w:cs="Arial"/>
                  <w:noProof/>
                  <w:sz w:val="24"/>
                  <w:szCs w:val="24"/>
                </w:rPr>
                <w:t xml:space="preserve">[Online] </w:t>
              </w:r>
              <w:r w:rsidRPr="00A93114">
                <w:rPr>
                  <w:rFonts w:ascii="Arial" w:hAnsi="Arial" w:cs="Arial"/>
                  <w:noProof/>
                  <w:sz w:val="24"/>
                  <w:szCs w:val="24"/>
                </w:rPr>
                <w:br/>
                <w:t xml:space="preserve">Available at: </w:t>
              </w:r>
              <w:r w:rsidRPr="00A93114">
                <w:rPr>
                  <w:rFonts w:ascii="Arial" w:hAnsi="Arial" w:cs="Arial"/>
                  <w:noProof/>
                  <w:sz w:val="24"/>
                  <w:szCs w:val="24"/>
                  <w:u w:val="single"/>
                </w:rPr>
                <w:t>https://www.lloydsbankinggroup.com/</w:t>
              </w:r>
              <w:r w:rsidRPr="00A93114">
                <w:rPr>
                  <w:rFonts w:ascii="Arial" w:hAnsi="Arial" w:cs="Arial"/>
                  <w:noProof/>
                  <w:sz w:val="24"/>
                  <w:szCs w:val="24"/>
                </w:rPr>
                <w:br/>
                <w:t>[Accessed 17 July 2025].</w:t>
              </w:r>
            </w:p>
            <w:p w14:paraId="5F533DF2"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Lloyds Banking Group PLC, 2025. </w:t>
              </w:r>
              <w:r w:rsidRPr="00A93114">
                <w:rPr>
                  <w:rFonts w:ascii="Arial" w:hAnsi="Arial" w:cs="Arial"/>
                  <w:i/>
                  <w:iCs/>
                  <w:noProof/>
                  <w:sz w:val="24"/>
                  <w:szCs w:val="24"/>
                </w:rPr>
                <w:t xml:space="preserve">S&amp;P Global Ratings. </w:t>
              </w:r>
              <w:r w:rsidRPr="00A93114">
                <w:rPr>
                  <w:rFonts w:ascii="Arial" w:hAnsi="Arial" w:cs="Arial"/>
                  <w:noProof/>
                  <w:sz w:val="24"/>
                  <w:szCs w:val="24"/>
                </w:rPr>
                <w:t xml:space="preserve">[Online] </w:t>
              </w:r>
              <w:r w:rsidRPr="00A93114">
                <w:rPr>
                  <w:rFonts w:ascii="Arial" w:hAnsi="Arial" w:cs="Arial"/>
                  <w:noProof/>
                  <w:sz w:val="24"/>
                  <w:szCs w:val="24"/>
                </w:rPr>
                <w:br/>
                <w:t xml:space="preserve">Available at: </w:t>
              </w:r>
              <w:r w:rsidRPr="00A93114">
                <w:rPr>
                  <w:rFonts w:ascii="Arial" w:hAnsi="Arial" w:cs="Arial"/>
                  <w:noProof/>
                  <w:sz w:val="24"/>
                  <w:szCs w:val="24"/>
                  <w:u w:val="single"/>
                </w:rPr>
                <w:t>chrome-extension://efaidnbmnnnibpcajpcglclefindmkaj/https://www.lloydsbankinggroup.com/assets/pdfs/investors/fixed-income-investors/credit-ratings/lbg/sp-lbg-24jun2025.pdf</w:t>
              </w:r>
              <w:r w:rsidRPr="00A93114">
                <w:rPr>
                  <w:rFonts w:ascii="Arial" w:hAnsi="Arial" w:cs="Arial"/>
                  <w:noProof/>
                  <w:sz w:val="24"/>
                  <w:szCs w:val="24"/>
                </w:rPr>
                <w:br/>
                <w:t>[Accessed 17 July 2025].</w:t>
              </w:r>
            </w:p>
            <w:p w14:paraId="177C506C"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Palasciano, A., 2025. </w:t>
              </w:r>
              <w:r w:rsidRPr="00A93114">
                <w:rPr>
                  <w:rFonts w:ascii="Arial" w:hAnsi="Arial" w:cs="Arial"/>
                  <w:i/>
                  <w:iCs/>
                  <w:noProof/>
                  <w:sz w:val="24"/>
                  <w:szCs w:val="24"/>
                </w:rPr>
                <w:t xml:space="preserve">What Is Net Profit Margin? Formula and Examples. </w:t>
              </w:r>
              <w:r w:rsidRPr="00A93114">
                <w:rPr>
                  <w:rFonts w:ascii="Arial" w:hAnsi="Arial" w:cs="Arial"/>
                  <w:noProof/>
                  <w:sz w:val="24"/>
                  <w:szCs w:val="24"/>
                </w:rPr>
                <w:t xml:space="preserve">[Online] </w:t>
              </w:r>
              <w:r w:rsidRPr="00A93114">
                <w:rPr>
                  <w:rFonts w:ascii="Arial" w:hAnsi="Arial" w:cs="Arial"/>
                  <w:noProof/>
                  <w:sz w:val="24"/>
                  <w:szCs w:val="24"/>
                </w:rPr>
                <w:br/>
                <w:t xml:space="preserve">Available at: </w:t>
              </w:r>
              <w:r w:rsidRPr="00A93114">
                <w:rPr>
                  <w:rFonts w:ascii="Arial" w:hAnsi="Arial" w:cs="Arial"/>
                  <w:noProof/>
                  <w:sz w:val="24"/>
                  <w:szCs w:val="24"/>
                  <w:u w:val="single"/>
                </w:rPr>
                <w:t>https://www.investopedia.com/terms/n/net_margin.asp</w:t>
              </w:r>
              <w:r w:rsidRPr="00A93114">
                <w:rPr>
                  <w:rFonts w:ascii="Arial" w:hAnsi="Arial" w:cs="Arial"/>
                  <w:noProof/>
                  <w:sz w:val="24"/>
                  <w:szCs w:val="24"/>
                </w:rPr>
                <w:br/>
                <w:t>[Accessed 17 July 2025].</w:t>
              </w:r>
            </w:p>
            <w:p w14:paraId="1725FB1B"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Saunders, A. a. C. M., 2012. </w:t>
              </w:r>
              <w:r w:rsidRPr="00A93114">
                <w:rPr>
                  <w:rFonts w:ascii="Arial" w:hAnsi="Arial" w:cs="Arial"/>
                  <w:i/>
                  <w:iCs/>
                  <w:noProof/>
                  <w:sz w:val="24"/>
                  <w:szCs w:val="24"/>
                </w:rPr>
                <w:t xml:space="preserve">Financial Markets and Institutions. </w:t>
              </w:r>
              <w:r w:rsidRPr="00A93114">
                <w:rPr>
                  <w:rFonts w:ascii="Arial" w:hAnsi="Arial" w:cs="Arial"/>
                  <w:noProof/>
                  <w:sz w:val="24"/>
                  <w:szCs w:val="24"/>
                </w:rPr>
                <w:t>5th ed. New York: McGraw-Hill/Irwin.</w:t>
              </w:r>
            </w:p>
            <w:p w14:paraId="271EF34E"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t xml:space="preserve">Siri Almqvist and Oskar Nordin, 2021. </w:t>
              </w:r>
              <w:r w:rsidRPr="00A93114">
                <w:rPr>
                  <w:rFonts w:ascii="Arial" w:hAnsi="Arial" w:cs="Arial"/>
                  <w:i/>
                  <w:iCs/>
                  <w:noProof/>
                  <w:sz w:val="24"/>
                  <w:szCs w:val="24"/>
                </w:rPr>
                <w:t xml:space="preserve">Effects of an Adverse Macroeconomic Scenario on Credit Risk Transition Matrices. </w:t>
              </w:r>
              <w:r w:rsidRPr="00A93114">
                <w:rPr>
                  <w:rFonts w:ascii="Arial" w:hAnsi="Arial" w:cs="Arial"/>
                  <w:noProof/>
                  <w:sz w:val="24"/>
                  <w:szCs w:val="24"/>
                </w:rPr>
                <w:t xml:space="preserve">[Online] </w:t>
              </w:r>
              <w:r w:rsidRPr="00A93114">
                <w:rPr>
                  <w:rFonts w:ascii="Arial" w:hAnsi="Arial" w:cs="Arial"/>
                  <w:noProof/>
                  <w:sz w:val="24"/>
                  <w:szCs w:val="24"/>
                </w:rPr>
                <w:br/>
                <w:t xml:space="preserve">Available at: </w:t>
              </w:r>
              <w:r w:rsidRPr="00A93114">
                <w:rPr>
                  <w:rFonts w:ascii="Arial" w:hAnsi="Arial" w:cs="Arial"/>
                  <w:noProof/>
                  <w:sz w:val="24"/>
                  <w:szCs w:val="24"/>
                  <w:u w:val="single"/>
                </w:rPr>
                <w:t>chrome-extension://efaidnbmnnnibpcajpcglclefindmkaj/https://www.diva-portal.org/smash/get/diva2%3A1575027/FULLTEXT01.pdf?utm_source</w:t>
              </w:r>
              <w:r w:rsidRPr="00A93114">
                <w:rPr>
                  <w:rFonts w:ascii="Arial" w:hAnsi="Arial" w:cs="Arial"/>
                  <w:noProof/>
                  <w:sz w:val="24"/>
                  <w:szCs w:val="24"/>
                </w:rPr>
                <w:br/>
                <w:t>[Accessed 21 July 2025].</w:t>
              </w:r>
            </w:p>
            <w:p w14:paraId="6968CF86" w14:textId="77777777" w:rsidR="00A93114" w:rsidRPr="00A93114" w:rsidRDefault="00A93114" w:rsidP="00A93114">
              <w:pPr>
                <w:pStyle w:val="Bibliography"/>
                <w:spacing w:line="360" w:lineRule="auto"/>
                <w:rPr>
                  <w:rFonts w:ascii="Arial" w:hAnsi="Arial" w:cs="Arial"/>
                  <w:noProof/>
                  <w:sz w:val="24"/>
                  <w:szCs w:val="24"/>
                </w:rPr>
              </w:pPr>
              <w:r w:rsidRPr="00A93114">
                <w:rPr>
                  <w:rFonts w:ascii="Arial" w:hAnsi="Arial" w:cs="Arial"/>
                  <w:noProof/>
                  <w:sz w:val="24"/>
                  <w:szCs w:val="24"/>
                </w:rPr>
                <w:lastRenderedPageBreak/>
                <w:t xml:space="preserve">Yard, S., 2000. Developments of the payback method. </w:t>
              </w:r>
              <w:r w:rsidRPr="00A93114">
                <w:rPr>
                  <w:rFonts w:ascii="Arial" w:hAnsi="Arial" w:cs="Arial"/>
                  <w:i/>
                  <w:iCs/>
                  <w:noProof/>
                  <w:sz w:val="24"/>
                  <w:szCs w:val="24"/>
                </w:rPr>
                <w:t xml:space="preserve">International Journal of Production Economics, </w:t>
              </w:r>
              <w:r w:rsidRPr="00A93114">
                <w:rPr>
                  <w:rFonts w:ascii="Arial" w:hAnsi="Arial" w:cs="Arial"/>
                  <w:noProof/>
                  <w:sz w:val="24"/>
                  <w:szCs w:val="24"/>
                </w:rPr>
                <w:t>67(2), pp. 155-167.</w:t>
              </w:r>
            </w:p>
            <w:p w14:paraId="37751795" w14:textId="042C9519" w:rsidR="00A93114" w:rsidRDefault="00A93114" w:rsidP="00A93114">
              <w:pPr>
                <w:spacing w:line="360" w:lineRule="auto"/>
              </w:pPr>
              <w:r w:rsidRPr="00A93114">
                <w:rPr>
                  <w:rFonts w:ascii="Arial" w:hAnsi="Arial" w:cs="Arial"/>
                  <w:b/>
                  <w:bCs/>
                  <w:noProof/>
                  <w:sz w:val="24"/>
                  <w:szCs w:val="24"/>
                </w:rPr>
                <w:fldChar w:fldCharType="end"/>
              </w:r>
            </w:p>
          </w:sdtContent>
        </w:sdt>
      </w:sdtContent>
    </w:sdt>
    <w:p w14:paraId="66515709" w14:textId="536C26C1" w:rsidR="00B1426B" w:rsidRDefault="00B1426B" w:rsidP="00B1426B">
      <w:pPr>
        <w:rPr>
          <w:rFonts w:ascii="Arial" w:hAnsi="Arial" w:cs="Arial"/>
        </w:rPr>
      </w:pPr>
    </w:p>
    <w:p w14:paraId="761B6759" w14:textId="77777777" w:rsidR="00372057" w:rsidRDefault="00372057">
      <w:pPr>
        <w:rPr>
          <w:rFonts w:ascii="Arial" w:hAnsi="Arial" w:cs="Arial"/>
        </w:rPr>
      </w:pPr>
      <w:r>
        <w:rPr>
          <w:rFonts w:ascii="Arial" w:hAnsi="Arial" w:cs="Arial"/>
        </w:rPr>
        <w:br w:type="page"/>
      </w:r>
    </w:p>
    <w:p w14:paraId="02D5ED49" w14:textId="4A96389F" w:rsidR="00091164" w:rsidRDefault="00091164" w:rsidP="00CD75AA">
      <w:pPr>
        <w:pStyle w:val="Heading1"/>
        <w:numPr>
          <w:ilvl w:val="0"/>
          <w:numId w:val="0"/>
        </w:numPr>
        <w:spacing w:line="360" w:lineRule="auto"/>
        <w:ind w:left="360" w:hanging="360"/>
        <w:rPr>
          <w:rFonts w:ascii="Arial" w:hAnsi="Arial" w:cs="Arial"/>
          <w:b/>
          <w:bCs/>
          <w:color w:val="000000" w:themeColor="text1"/>
          <w:sz w:val="28"/>
          <w:szCs w:val="28"/>
        </w:rPr>
      </w:pPr>
      <w:bookmarkStart w:id="19" w:name="_Toc204002546"/>
      <w:r w:rsidRPr="00372057">
        <w:rPr>
          <w:rFonts w:ascii="Arial" w:hAnsi="Arial" w:cs="Arial"/>
          <w:b/>
          <w:bCs/>
          <w:color w:val="000000" w:themeColor="text1"/>
          <w:sz w:val="28"/>
          <w:szCs w:val="28"/>
        </w:rPr>
        <w:lastRenderedPageBreak/>
        <w:t>Appendix</w:t>
      </w:r>
      <w:bookmarkEnd w:id="17"/>
      <w:bookmarkEnd w:id="16"/>
      <w:bookmarkEnd w:id="19"/>
    </w:p>
    <w:p w14:paraId="6E5C7E1A" w14:textId="58DC91E8" w:rsidR="00EE3CDC" w:rsidRPr="00EE3CDC" w:rsidRDefault="00EE3CDC" w:rsidP="00CD75AA">
      <w:pPr>
        <w:spacing w:line="360" w:lineRule="auto"/>
        <w:rPr>
          <w:rFonts w:ascii="Arial" w:hAnsi="Arial" w:cs="Arial"/>
          <w:sz w:val="24"/>
          <w:szCs w:val="24"/>
        </w:rPr>
      </w:pPr>
      <w:r w:rsidRPr="001F5F44">
        <w:rPr>
          <w:rFonts w:ascii="Arial" w:hAnsi="Arial" w:cs="Arial"/>
          <w:b/>
          <w:bCs/>
          <w:sz w:val="24"/>
          <w:szCs w:val="24"/>
        </w:rPr>
        <w:t>Lloyds Banking Group PLC 2023 annual report’s Link</w:t>
      </w:r>
      <w:r>
        <w:rPr>
          <w:rFonts w:ascii="Arial" w:hAnsi="Arial" w:cs="Arial"/>
          <w:sz w:val="24"/>
          <w:szCs w:val="24"/>
        </w:rPr>
        <w:t xml:space="preserve"> - </w:t>
      </w:r>
      <w:r w:rsidR="00624D9F" w:rsidRPr="00624D9F">
        <w:rPr>
          <w:rFonts w:ascii="Arial" w:hAnsi="Arial" w:cs="Arial"/>
          <w:sz w:val="24"/>
          <w:szCs w:val="24"/>
        </w:rPr>
        <w:t>chrome-extension://efaidnbmnnnibpcajpcglclefindmkaj/https://www.lloydsbankinggroup.com/assets/pdfs/investors/financial-performance/lloyds-banking-group-plc/2023/q4/2023-lbg-annual-report.pdf</w:t>
      </w:r>
      <w:r w:rsidR="00624D9F">
        <w:rPr>
          <w:rFonts w:ascii="Arial" w:hAnsi="Arial" w:cs="Arial"/>
          <w:sz w:val="24"/>
          <w:szCs w:val="24"/>
        </w:rPr>
        <w:t xml:space="preserve"> </w:t>
      </w:r>
    </w:p>
    <w:p w14:paraId="1260AA2D" w14:textId="38E98A07" w:rsidR="00EE3CDC" w:rsidRPr="00EE3CDC" w:rsidRDefault="00EE3CDC" w:rsidP="00CD75AA">
      <w:pPr>
        <w:spacing w:line="360" w:lineRule="auto"/>
        <w:rPr>
          <w:rFonts w:ascii="Arial" w:hAnsi="Arial" w:cs="Arial"/>
          <w:sz w:val="24"/>
          <w:szCs w:val="24"/>
        </w:rPr>
      </w:pPr>
      <w:r w:rsidRPr="001F5F44">
        <w:rPr>
          <w:rFonts w:ascii="Arial" w:hAnsi="Arial" w:cs="Arial"/>
          <w:b/>
          <w:bCs/>
          <w:sz w:val="24"/>
          <w:szCs w:val="24"/>
        </w:rPr>
        <w:t>Lloyds Banking Group PLC 2024 annual report’s Link</w:t>
      </w:r>
      <w:r>
        <w:rPr>
          <w:rFonts w:ascii="Arial" w:hAnsi="Arial" w:cs="Arial"/>
          <w:sz w:val="24"/>
          <w:szCs w:val="24"/>
        </w:rPr>
        <w:t xml:space="preserve"> - </w:t>
      </w:r>
      <w:r w:rsidR="00624D9F" w:rsidRPr="00624D9F">
        <w:rPr>
          <w:rFonts w:ascii="Arial" w:hAnsi="Arial" w:cs="Arial"/>
          <w:sz w:val="24"/>
          <w:szCs w:val="24"/>
        </w:rPr>
        <w:t>chrome-extension://efaidnbmnnnibpcajpcglclefindmkaj/https://www.lloydsbankinggroup.com/assets/pdfs/investors/financial-performance/lloyds-banking-group-plc/2024/q4/2024-lbg-annual-report.pdf</w:t>
      </w:r>
      <w:r w:rsidR="00624D9F">
        <w:rPr>
          <w:rFonts w:ascii="Arial" w:hAnsi="Arial" w:cs="Arial"/>
          <w:sz w:val="24"/>
          <w:szCs w:val="24"/>
        </w:rPr>
        <w:t xml:space="preserve"> </w:t>
      </w:r>
    </w:p>
    <w:p w14:paraId="63FCCA55" w14:textId="3ED1D18B" w:rsidR="00091164" w:rsidRPr="003B42B8" w:rsidRDefault="00091164" w:rsidP="00EE3CDC">
      <w:pPr>
        <w:rPr>
          <w:rFonts w:ascii="Arial" w:hAnsi="Arial" w:cs="Arial"/>
        </w:rPr>
      </w:pPr>
      <w:r w:rsidRPr="003B42B8">
        <w:rPr>
          <w:rFonts w:ascii="Arial" w:hAnsi="Arial" w:cs="Arial"/>
          <w:noProof/>
        </w:rPr>
        <w:drawing>
          <wp:inline distT="0" distB="0" distL="0" distR="0" wp14:anchorId="7211A66D" wp14:editId="2A2A8F1F">
            <wp:extent cx="5731510" cy="4740910"/>
            <wp:effectExtent l="0" t="0" r="0" b="0"/>
            <wp:docPr id="264436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436658" name=""/>
                    <pic:cNvPicPr/>
                  </pic:nvPicPr>
                  <pic:blipFill>
                    <a:blip r:embed="rId10"/>
                    <a:stretch>
                      <a:fillRect/>
                    </a:stretch>
                  </pic:blipFill>
                  <pic:spPr>
                    <a:xfrm>
                      <a:off x="0" y="0"/>
                      <a:ext cx="5731510" cy="4740910"/>
                    </a:xfrm>
                    <a:prstGeom prst="rect">
                      <a:avLst/>
                    </a:prstGeom>
                  </pic:spPr>
                </pic:pic>
              </a:graphicData>
            </a:graphic>
          </wp:inline>
        </w:drawing>
      </w:r>
    </w:p>
    <w:p w14:paraId="73EAFD4A" w14:textId="77777777" w:rsidR="00091164" w:rsidRPr="003B42B8" w:rsidRDefault="00091164" w:rsidP="00091164">
      <w:pPr>
        <w:rPr>
          <w:rFonts w:ascii="Arial" w:hAnsi="Arial" w:cs="Arial"/>
        </w:rPr>
      </w:pPr>
      <w:r w:rsidRPr="003B42B8">
        <w:rPr>
          <w:rFonts w:ascii="Arial" w:hAnsi="Arial" w:cs="Arial"/>
          <w:noProof/>
        </w:rPr>
        <w:lastRenderedPageBreak/>
        <w:drawing>
          <wp:inline distT="0" distB="0" distL="0" distR="0" wp14:anchorId="3DC164EA" wp14:editId="3F4937E1">
            <wp:extent cx="5731510" cy="4667250"/>
            <wp:effectExtent l="0" t="0" r="0" b="0"/>
            <wp:docPr id="137772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721100" name=""/>
                    <pic:cNvPicPr/>
                  </pic:nvPicPr>
                  <pic:blipFill>
                    <a:blip r:embed="rId11"/>
                    <a:stretch>
                      <a:fillRect/>
                    </a:stretch>
                  </pic:blipFill>
                  <pic:spPr>
                    <a:xfrm>
                      <a:off x="0" y="0"/>
                      <a:ext cx="5731510" cy="4667250"/>
                    </a:xfrm>
                    <a:prstGeom prst="rect">
                      <a:avLst/>
                    </a:prstGeom>
                  </pic:spPr>
                </pic:pic>
              </a:graphicData>
            </a:graphic>
          </wp:inline>
        </w:drawing>
      </w:r>
    </w:p>
    <w:p w14:paraId="1903EBA2" w14:textId="77777777" w:rsidR="00091164" w:rsidRPr="003B42B8" w:rsidRDefault="00091164" w:rsidP="00091164">
      <w:pPr>
        <w:rPr>
          <w:rFonts w:ascii="Arial" w:hAnsi="Arial" w:cs="Arial"/>
        </w:rPr>
      </w:pPr>
    </w:p>
    <w:p w14:paraId="4673611F" w14:textId="77777777" w:rsidR="00091164" w:rsidRPr="003B42B8" w:rsidRDefault="00091164" w:rsidP="00091164">
      <w:pPr>
        <w:rPr>
          <w:rFonts w:ascii="Arial" w:hAnsi="Arial" w:cs="Arial"/>
        </w:rPr>
      </w:pPr>
    </w:p>
    <w:p w14:paraId="5361AFBD" w14:textId="77777777" w:rsidR="00091164" w:rsidRPr="003B42B8" w:rsidRDefault="00091164" w:rsidP="00091164">
      <w:pPr>
        <w:rPr>
          <w:rFonts w:ascii="Arial" w:hAnsi="Arial" w:cs="Arial"/>
        </w:rPr>
      </w:pPr>
    </w:p>
    <w:p w14:paraId="659FB874" w14:textId="77777777" w:rsidR="00091164" w:rsidRPr="003B42B8" w:rsidRDefault="00091164" w:rsidP="00091164">
      <w:pPr>
        <w:rPr>
          <w:rFonts w:ascii="Arial" w:hAnsi="Arial" w:cs="Arial"/>
        </w:rPr>
      </w:pPr>
    </w:p>
    <w:p w14:paraId="3B742F54" w14:textId="77777777" w:rsidR="00091164" w:rsidRPr="003B42B8" w:rsidRDefault="00091164" w:rsidP="00091164">
      <w:pPr>
        <w:rPr>
          <w:rFonts w:ascii="Arial" w:hAnsi="Arial" w:cs="Arial"/>
        </w:rPr>
      </w:pPr>
    </w:p>
    <w:p w14:paraId="734886A6" w14:textId="77777777" w:rsidR="00091164" w:rsidRPr="003B42B8" w:rsidRDefault="00091164" w:rsidP="00091164">
      <w:pPr>
        <w:rPr>
          <w:rFonts w:ascii="Arial" w:hAnsi="Arial" w:cs="Arial"/>
        </w:rPr>
      </w:pPr>
    </w:p>
    <w:p w14:paraId="4062860A" w14:textId="77777777" w:rsidR="00091164" w:rsidRPr="003B42B8" w:rsidRDefault="00091164" w:rsidP="00091164">
      <w:pPr>
        <w:rPr>
          <w:rFonts w:ascii="Arial" w:hAnsi="Arial" w:cs="Arial"/>
        </w:rPr>
      </w:pPr>
    </w:p>
    <w:p w14:paraId="1EBD11AA" w14:textId="77777777" w:rsidR="00091164" w:rsidRPr="003B42B8" w:rsidRDefault="00091164" w:rsidP="00091164">
      <w:pPr>
        <w:rPr>
          <w:rFonts w:ascii="Arial" w:hAnsi="Arial" w:cs="Arial"/>
        </w:rPr>
      </w:pPr>
    </w:p>
    <w:p w14:paraId="565B6D0A" w14:textId="77777777" w:rsidR="00091164" w:rsidRPr="003B42B8" w:rsidRDefault="00091164" w:rsidP="00091164">
      <w:pPr>
        <w:rPr>
          <w:rFonts w:ascii="Arial" w:hAnsi="Arial" w:cs="Arial"/>
        </w:rPr>
      </w:pPr>
    </w:p>
    <w:p w14:paraId="0C730103" w14:textId="77777777" w:rsidR="00091164" w:rsidRPr="003B42B8" w:rsidRDefault="00091164" w:rsidP="00091164">
      <w:pPr>
        <w:rPr>
          <w:rFonts w:ascii="Arial" w:hAnsi="Arial" w:cs="Arial"/>
        </w:rPr>
      </w:pPr>
    </w:p>
    <w:p w14:paraId="32FA848A" w14:textId="77777777" w:rsidR="00091164" w:rsidRPr="003B42B8" w:rsidRDefault="00091164" w:rsidP="00091164">
      <w:pPr>
        <w:rPr>
          <w:rFonts w:ascii="Arial" w:hAnsi="Arial" w:cs="Arial"/>
        </w:rPr>
      </w:pPr>
    </w:p>
    <w:p w14:paraId="4FBB81AA" w14:textId="77777777" w:rsidR="00091164" w:rsidRPr="003B42B8" w:rsidRDefault="00091164" w:rsidP="00091164">
      <w:pPr>
        <w:rPr>
          <w:rFonts w:ascii="Arial" w:hAnsi="Arial" w:cs="Arial"/>
        </w:rPr>
      </w:pPr>
    </w:p>
    <w:p w14:paraId="676A474C" w14:textId="77777777" w:rsidR="00091164" w:rsidRPr="003B42B8" w:rsidRDefault="00091164" w:rsidP="00091164">
      <w:pPr>
        <w:rPr>
          <w:rFonts w:ascii="Arial" w:hAnsi="Arial" w:cs="Arial"/>
        </w:rPr>
      </w:pPr>
    </w:p>
    <w:p w14:paraId="733E2811" w14:textId="77777777" w:rsidR="00091164" w:rsidRPr="003B42B8" w:rsidRDefault="00091164" w:rsidP="00091164">
      <w:pPr>
        <w:rPr>
          <w:rFonts w:ascii="Arial" w:hAnsi="Arial" w:cs="Arial"/>
        </w:rPr>
      </w:pPr>
    </w:p>
    <w:p w14:paraId="05454593" w14:textId="77777777" w:rsidR="008A3402" w:rsidRDefault="008A3402">
      <w:pPr>
        <w:rPr>
          <w:rFonts w:ascii="Arial" w:hAnsi="Arial" w:cs="Arial"/>
          <w:b/>
          <w:bCs/>
          <w:i/>
          <w:iCs/>
        </w:rPr>
      </w:pPr>
      <w:r>
        <w:rPr>
          <w:rFonts w:ascii="Arial" w:hAnsi="Arial" w:cs="Arial"/>
          <w:b/>
          <w:bCs/>
          <w:i/>
          <w:iCs/>
        </w:rPr>
        <w:br w:type="page"/>
      </w:r>
    </w:p>
    <w:p w14:paraId="3293FEE0" w14:textId="69D4015D" w:rsidR="00091164" w:rsidRPr="008A3402" w:rsidRDefault="00091164" w:rsidP="008A3402">
      <w:pPr>
        <w:spacing w:line="360" w:lineRule="auto"/>
        <w:rPr>
          <w:rFonts w:ascii="Arial" w:hAnsi="Arial" w:cs="Arial"/>
          <w:b/>
          <w:bCs/>
          <w:sz w:val="24"/>
          <w:szCs w:val="24"/>
        </w:rPr>
      </w:pPr>
      <w:r w:rsidRPr="008A3402">
        <w:rPr>
          <w:rFonts w:ascii="Arial" w:hAnsi="Arial" w:cs="Arial"/>
          <w:b/>
          <w:bCs/>
          <w:sz w:val="24"/>
          <w:szCs w:val="24"/>
        </w:rPr>
        <w:lastRenderedPageBreak/>
        <w:t xml:space="preserve">Ratio analysis </w:t>
      </w:r>
    </w:p>
    <w:tbl>
      <w:tblPr>
        <w:tblStyle w:val="TableGrid"/>
        <w:tblW w:w="0" w:type="auto"/>
        <w:tblLook w:val="04A0" w:firstRow="1" w:lastRow="0" w:firstColumn="1" w:lastColumn="0" w:noHBand="0" w:noVBand="1"/>
      </w:tblPr>
      <w:tblGrid>
        <w:gridCol w:w="2248"/>
        <w:gridCol w:w="2270"/>
        <w:gridCol w:w="2271"/>
        <w:gridCol w:w="2271"/>
      </w:tblGrid>
      <w:tr w:rsidR="00091164" w:rsidRPr="008A3402" w14:paraId="1522912D"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0"/>
            </w:tblGrid>
            <w:tr w:rsidR="00091164" w:rsidRPr="008A3402" w14:paraId="5792736A" w14:textId="77777777" w:rsidTr="00D221F8">
              <w:trPr>
                <w:tblCellSpacing w:w="15" w:type="dxa"/>
              </w:trPr>
              <w:tc>
                <w:tcPr>
                  <w:tcW w:w="0" w:type="auto"/>
                  <w:vAlign w:val="center"/>
                  <w:hideMark/>
                </w:tcPr>
                <w:p w14:paraId="72A5A406" w14:textId="77777777" w:rsidR="00091164" w:rsidRPr="008A3402" w:rsidRDefault="00091164" w:rsidP="008A3402">
                  <w:pPr>
                    <w:spacing w:line="360" w:lineRule="auto"/>
                    <w:rPr>
                      <w:rFonts w:ascii="Arial" w:hAnsi="Arial" w:cs="Arial"/>
                      <w:b/>
                      <w:bCs/>
                      <w:sz w:val="24"/>
                      <w:szCs w:val="24"/>
                    </w:rPr>
                  </w:pPr>
                  <w:r w:rsidRPr="008A3402">
                    <w:rPr>
                      <w:rStyle w:val="Strong"/>
                      <w:rFonts w:ascii="Arial" w:hAnsi="Arial" w:cs="Arial"/>
                      <w:sz w:val="24"/>
                      <w:szCs w:val="24"/>
                    </w:rPr>
                    <w:t>Ratio</w:t>
                  </w:r>
                </w:p>
              </w:tc>
            </w:tr>
          </w:tbl>
          <w:p w14:paraId="28627F74" w14:textId="77777777" w:rsidR="00091164" w:rsidRPr="008A3402" w:rsidRDefault="00091164" w:rsidP="008A3402">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7"/>
            </w:tblGrid>
            <w:tr w:rsidR="00091164" w:rsidRPr="008A3402" w14:paraId="1C3FE071" w14:textId="77777777" w:rsidTr="00D221F8">
              <w:trPr>
                <w:tblCellSpacing w:w="15" w:type="dxa"/>
              </w:trPr>
              <w:tc>
                <w:tcPr>
                  <w:tcW w:w="0" w:type="auto"/>
                  <w:vAlign w:val="center"/>
                  <w:hideMark/>
                </w:tcPr>
                <w:p w14:paraId="65C045BA" w14:textId="77777777" w:rsidR="00091164" w:rsidRPr="008A3402" w:rsidRDefault="00091164" w:rsidP="008A3402">
                  <w:pPr>
                    <w:spacing w:line="360" w:lineRule="auto"/>
                    <w:rPr>
                      <w:rFonts w:ascii="Arial" w:hAnsi="Arial" w:cs="Arial"/>
                      <w:b/>
                      <w:bCs/>
                      <w:sz w:val="24"/>
                      <w:szCs w:val="24"/>
                    </w:rPr>
                  </w:pPr>
                  <w:r w:rsidRPr="008A3402">
                    <w:rPr>
                      <w:rStyle w:val="Strong"/>
                      <w:rFonts w:ascii="Arial" w:hAnsi="Arial" w:cs="Arial"/>
                      <w:sz w:val="24"/>
                      <w:szCs w:val="24"/>
                    </w:rPr>
                    <w:t>Formula</w:t>
                  </w:r>
                </w:p>
              </w:tc>
            </w:tr>
          </w:tbl>
          <w:p w14:paraId="599209CB"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5"/>
            </w:tblGrid>
            <w:tr w:rsidR="00091164" w:rsidRPr="008A3402" w14:paraId="43BD5344" w14:textId="77777777" w:rsidTr="00D221F8">
              <w:trPr>
                <w:tblCellSpacing w:w="15" w:type="dxa"/>
              </w:trPr>
              <w:tc>
                <w:tcPr>
                  <w:tcW w:w="0" w:type="auto"/>
                  <w:vAlign w:val="center"/>
                  <w:hideMark/>
                </w:tcPr>
                <w:p w14:paraId="528E9A2B" w14:textId="77777777" w:rsidR="00091164" w:rsidRPr="008A3402" w:rsidRDefault="00091164" w:rsidP="008A3402">
                  <w:pPr>
                    <w:spacing w:line="360" w:lineRule="auto"/>
                    <w:rPr>
                      <w:rFonts w:ascii="Arial" w:hAnsi="Arial" w:cs="Arial"/>
                      <w:b/>
                      <w:bCs/>
                      <w:sz w:val="24"/>
                      <w:szCs w:val="24"/>
                    </w:rPr>
                  </w:pPr>
                  <w:r w:rsidRPr="008A3402">
                    <w:rPr>
                      <w:rStyle w:val="Strong"/>
                      <w:rFonts w:ascii="Arial" w:hAnsi="Arial" w:cs="Arial"/>
                      <w:sz w:val="24"/>
                      <w:szCs w:val="24"/>
                    </w:rPr>
                    <w:t>2023 Calculation</w:t>
                  </w:r>
                </w:p>
              </w:tc>
            </w:tr>
          </w:tbl>
          <w:p w14:paraId="513023E8"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5"/>
            </w:tblGrid>
            <w:tr w:rsidR="00091164" w:rsidRPr="008A3402" w14:paraId="70E4C9E8" w14:textId="77777777" w:rsidTr="00D221F8">
              <w:trPr>
                <w:tblCellSpacing w:w="15" w:type="dxa"/>
              </w:trPr>
              <w:tc>
                <w:tcPr>
                  <w:tcW w:w="0" w:type="auto"/>
                  <w:vAlign w:val="center"/>
                  <w:hideMark/>
                </w:tcPr>
                <w:p w14:paraId="3EDE4AB5" w14:textId="77777777" w:rsidR="00091164" w:rsidRPr="008A3402" w:rsidRDefault="00091164" w:rsidP="008A3402">
                  <w:pPr>
                    <w:spacing w:line="360" w:lineRule="auto"/>
                    <w:rPr>
                      <w:rFonts w:ascii="Arial" w:hAnsi="Arial" w:cs="Arial"/>
                      <w:b/>
                      <w:bCs/>
                      <w:sz w:val="24"/>
                      <w:szCs w:val="24"/>
                    </w:rPr>
                  </w:pPr>
                  <w:r w:rsidRPr="008A3402">
                    <w:rPr>
                      <w:rStyle w:val="Strong"/>
                      <w:rFonts w:ascii="Arial" w:hAnsi="Arial" w:cs="Arial"/>
                      <w:sz w:val="24"/>
                      <w:szCs w:val="24"/>
                    </w:rPr>
                    <w:t>2024 Calculation</w:t>
                  </w:r>
                </w:p>
              </w:tc>
            </w:tr>
          </w:tbl>
          <w:p w14:paraId="1422C66A" w14:textId="77777777" w:rsidR="00091164" w:rsidRPr="008A3402" w:rsidRDefault="00091164" w:rsidP="008A3402">
            <w:pPr>
              <w:spacing w:line="360" w:lineRule="auto"/>
              <w:rPr>
                <w:rFonts w:ascii="Arial" w:hAnsi="Arial" w:cs="Arial"/>
                <w:sz w:val="24"/>
                <w:szCs w:val="24"/>
              </w:rPr>
            </w:pPr>
          </w:p>
        </w:tc>
      </w:tr>
      <w:tr w:rsidR="00091164" w:rsidRPr="008A3402" w14:paraId="7AF0F221"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1"/>
            </w:tblGrid>
            <w:tr w:rsidR="00091164" w:rsidRPr="008A3402" w14:paraId="1ECC067E" w14:textId="77777777" w:rsidTr="00D221F8">
              <w:trPr>
                <w:tblCellSpacing w:w="15" w:type="dxa"/>
              </w:trPr>
              <w:tc>
                <w:tcPr>
                  <w:tcW w:w="0" w:type="auto"/>
                  <w:vAlign w:val="center"/>
                  <w:hideMark/>
                </w:tcPr>
                <w:p w14:paraId="6A281575"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Net Profit Margin</w:t>
                  </w:r>
                </w:p>
              </w:tc>
            </w:tr>
          </w:tbl>
          <w:p w14:paraId="1421D336" w14:textId="77777777" w:rsidR="00091164" w:rsidRPr="008A3402" w:rsidRDefault="00091164" w:rsidP="008A3402">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4"/>
            </w:tblGrid>
            <w:tr w:rsidR="00091164" w:rsidRPr="008A3402" w14:paraId="3ED334D6" w14:textId="77777777" w:rsidTr="00D221F8">
              <w:trPr>
                <w:tblCellSpacing w:w="15" w:type="dxa"/>
              </w:trPr>
              <w:tc>
                <w:tcPr>
                  <w:tcW w:w="0" w:type="auto"/>
                  <w:vAlign w:val="center"/>
                  <w:hideMark/>
                </w:tcPr>
                <w:p w14:paraId="70B0845F"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Net Income ÷ Revenue</w:t>
                  </w:r>
                </w:p>
              </w:tc>
            </w:tr>
          </w:tbl>
          <w:p w14:paraId="479EC730"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5B23361B" w14:textId="77777777" w:rsidTr="00D221F8">
              <w:trPr>
                <w:tblCellSpacing w:w="15" w:type="dxa"/>
              </w:trPr>
              <w:tc>
                <w:tcPr>
                  <w:tcW w:w="0" w:type="auto"/>
                  <w:vAlign w:val="center"/>
                  <w:hideMark/>
                </w:tcPr>
                <w:p w14:paraId="314C6749"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4,477 ÷ 34,281 = </w:t>
                  </w:r>
                  <w:r w:rsidRPr="008A3402">
                    <w:rPr>
                      <w:rStyle w:val="Strong"/>
                      <w:rFonts w:ascii="Arial" w:hAnsi="Arial" w:cs="Arial"/>
                      <w:sz w:val="24"/>
                      <w:szCs w:val="24"/>
                    </w:rPr>
                    <w:t>13.06%</w:t>
                  </w:r>
                </w:p>
              </w:tc>
            </w:tr>
          </w:tbl>
          <w:p w14:paraId="70DF9ACC"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0B5C4881" w14:textId="77777777" w:rsidTr="00D221F8">
              <w:trPr>
                <w:tblCellSpacing w:w="15" w:type="dxa"/>
              </w:trPr>
              <w:tc>
                <w:tcPr>
                  <w:tcW w:w="0" w:type="auto"/>
                  <w:vAlign w:val="center"/>
                  <w:hideMark/>
                </w:tcPr>
                <w:p w14:paraId="4D428104"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4,477 ÷ 34,281 = </w:t>
                  </w:r>
                  <w:r w:rsidRPr="008A3402">
                    <w:rPr>
                      <w:rStyle w:val="Strong"/>
                      <w:rFonts w:ascii="Arial" w:hAnsi="Arial" w:cs="Arial"/>
                      <w:sz w:val="24"/>
                      <w:szCs w:val="24"/>
                    </w:rPr>
                    <w:t>13.06%</w:t>
                  </w:r>
                </w:p>
              </w:tc>
            </w:tr>
          </w:tbl>
          <w:p w14:paraId="6E562C5E" w14:textId="77777777" w:rsidR="00091164" w:rsidRPr="008A3402" w:rsidRDefault="00091164" w:rsidP="008A3402">
            <w:pPr>
              <w:spacing w:line="360" w:lineRule="auto"/>
              <w:rPr>
                <w:rFonts w:ascii="Arial" w:hAnsi="Arial" w:cs="Arial"/>
                <w:sz w:val="24"/>
                <w:szCs w:val="24"/>
              </w:rPr>
            </w:pPr>
          </w:p>
        </w:tc>
      </w:tr>
      <w:tr w:rsidR="00091164" w:rsidRPr="008A3402" w14:paraId="35E53955"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4"/>
            </w:tblGrid>
            <w:tr w:rsidR="00091164" w:rsidRPr="008A3402" w14:paraId="108B6A80" w14:textId="77777777" w:rsidTr="00D221F8">
              <w:trPr>
                <w:tblCellSpacing w:w="15" w:type="dxa"/>
              </w:trPr>
              <w:tc>
                <w:tcPr>
                  <w:tcW w:w="0" w:type="auto"/>
                  <w:vAlign w:val="center"/>
                  <w:hideMark/>
                </w:tcPr>
                <w:p w14:paraId="0885D00E"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ROCE</w:t>
                  </w:r>
                </w:p>
              </w:tc>
            </w:tr>
          </w:tbl>
          <w:p w14:paraId="4F8179EE" w14:textId="77777777" w:rsidR="00091164" w:rsidRPr="008A3402" w:rsidRDefault="00091164" w:rsidP="008A3402">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4"/>
            </w:tblGrid>
            <w:tr w:rsidR="00091164" w:rsidRPr="008A3402" w14:paraId="7958D020" w14:textId="77777777" w:rsidTr="00D221F8">
              <w:trPr>
                <w:tblCellSpacing w:w="15" w:type="dxa"/>
              </w:trPr>
              <w:tc>
                <w:tcPr>
                  <w:tcW w:w="0" w:type="auto"/>
                  <w:vAlign w:val="center"/>
                  <w:hideMark/>
                </w:tcPr>
                <w:p w14:paraId="352F799A"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PBT ÷ (Total Assets – Current Liabilities)</w:t>
                  </w:r>
                </w:p>
              </w:tc>
            </w:tr>
          </w:tbl>
          <w:p w14:paraId="5F354AE4"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488A8EE8" w14:textId="77777777" w:rsidTr="00D221F8">
              <w:trPr>
                <w:tblCellSpacing w:w="15" w:type="dxa"/>
              </w:trPr>
              <w:tc>
                <w:tcPr>
                  <w:tcW w:w="0" w:type="auto"/>
                  <w:vAlign w:val="center"/>
                  <w:hideMark/>
                </w:tcPr>
                <w:p w14:paraId="1A8702FE"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7,500 ÷ (906,697 – 482,700) = </w:t>
                  </w:r>
                  <w:r w:rsidRPr="008A3402">
                    <w:rPr>
                      <w:rStyle w:val="Strong"/>
                      <w:rFonts w:ascii="Arial" w:hAnsi="Arial" w:cs="Arial"/>
                      <w:sz w:val="24"/>
                      <w:szCs w:val="24"/>
                    </w:rPr>
                    <w:t>1.77%</w:t>
                  </w:r>
                </w:p>
              </w:tc>
            </w:tr>
          </w:tbl>
          <w:p w14:paraId="069942CF"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0BA36ECA" w14:textId="77777777" w:rsidTr="00D221F8">
              <w:trPr>
                <w:tblCellSpacing w:w="15" w:type="dxa"/>
              </w:trPr>
              <w:tc>
                <w:tcPr>
                  <w:tcW w:w="0" w:type="auto"/>
                  <w:vAlign w:val="center"/>
                  <w:hideMark/>
                </w:tcPr>
                <w:p w14:paraId="40A4C196"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5,971 ÷ (906,697 – 482,700) = </w:t>
                  </w:r>
                  <w:r w:rsidRPr="008A3402">
                    <w:rPr>
                      <w:rStyle w:val="Strong"/>
                      <w:rFonts w:ascii="Arial" w:hAnsi="Arial" w:cs="Arial"/>
                      <w:sz w:val="24"/>
                      <w:szCs w:val="24"/>
                    </w:rPr>
                    <w:t>1.41%</w:t>
                  </w:r>
                </w:p>
              </w:tc>
            </w:tr>
          </w:tbl>
          <w:p w14:paraId="17DDDFF3" w14:textId="77777777" w:rsidR="00091164" w:rsidRPr="008A3402" w:rsidRDefault="00091164" w:rsidP="008A3402">
            <w:pPr>
              <w:spacing w:line="360" w:lineRule="auto"/>
              <w:rPr>
                <w:rFonts w:ascii="Arial" w:hAnsi="Arial" w:cs="Arial"/>
                <w:sz w:val="24"/>
                <w:szCs w:val="24"/>
              </w:rPr>
            </w:pPr>
          </w:p>
        </w:tc>
      </w:tr>
      <w:tr w:rsidR="00091164" w:rsidRPr="008A3402" w14:paraId="089B2218"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2"/>
            </w:tblGrid>
            <w:tr w:rsidR="00091164" w:rsidRPr="008A3402" w14:paraId="4F206D8C" w14:textId="77777777" w:rsidTr="00D221F8">
              <w:trPr>
                <w:tblCellSpacing w:w="15" w:type="dxa"/>
              </w:trPr>
              <w:tc>
                <w:tcPr>
                  <w:tcW w:w="0" w:type="auto"/>
                  <w:vAlign w:val="center"/>
                  <w:hideMark/>
                </w:tcPr>
                <w:p w14:paraId="35D5335E"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Loan-to-Deposit Ratio</w:t>
                  </w:r>
                </w:p>
              </w:tc>
            </w:tr>
          </w:tbl>
          <w:p w14:paraId="2A1769E1" w14:textId="77777777" w:rsidR="00091164" w:rsidRPr="008A3402" w:rsidRDefault="00091164" w:rsidP="008A3402">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3"/>
            </w:tblGrid>
            <w:tr w:rsidR="00091164" w:rsidRPr="008A3402" w14:paraId="0DBCBCFF" w14:textId="77777777" w:rsidTr="00D221F8">
              <w:trPr>
                <w:tblCellSpacing w:w="15" w:type="dxa"/>
              </w:trPr>
              <w:tc>
                <w:tcPr>
                  <w:tcW w:w="0" w:type="auto"/>
                  <w:vAlign w:val="center"/>
                  <w:hideMark/>
                </w:tcPr>
                <w:p w14:paraId="5F45A44B"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Loans ÷ Deposits</w:t>
                  </w:r>
                </w:p>
              </w:tc>
            </w:tr>
          </w:tbl>
          <w:p w14:paraId="1CAB3DC2"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1FE6A37E" w14:textId="77777777" w:rsidTr="00D221F8">
              <w:trPr>
                <w:tblCellSpacing w:w="15" w:type="dxa"/>
              </w:trPr>
              <w:tc>
                <w:tcPr>
                  <w:tcW w:w="0" w:type="auto"/>
                  <w:vAlign w:val="center"/>
                  <w:hideMark/>
                </w:tcPr>
                <w:p w14:paraId="706CFB03"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449,700 ÷ 471,400 = </w:t>
                  </w:r>
                  <w:r w:rsidRPr="008A3402">
                    <w:rPr>
                      <w:rStyle w:val="Strong"/>
                      <w:rFonts w:ascii="Arial" w:hAnsi="Arial" w:cs="Arial"/>
                      <w:sz w:val="24"/>
                      <w:szCs w:val="24"/>
                    </w:rPr>
                    <w:t>95.4%</w:t>
                  </w:r>
                </w:p>
              </w:tc>
            </w:tr>
          </w:tbl>
          <w:p w14:paraId="6E1AE6EC"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0F556C5A" w14:textId="77777777" w:rsidTr="00D221F8">
              <w:trPr>
                <w:tblCellSpacing w:w="15" w:type="dxa"/>
              </w:trPr>
              <w:tc>
                <w:tcPr>
                  <w:tcW w:w="0" w:type="auto"/>
                  <w:vAlign w:val="center"/>
                  <w:hideMark/>
                </w:tcPr>
                <w:p w14:paraId="1919D6E2"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459,100 ÷ 482,700 = </w:t>
                  </w:r>
                  <w:r w:rsidRPr="008A3402">
                    <w:rPr>
                      <w:rStyle w:val="Strong"/>
                      <w:rFonts w:ascii="Arial" w:hAnsi="Arial" w:cs="Arial"/>
                      <w:sz w:val="24"/>
                      <w:szCs w:val="24"/>
                    </w:rPr>
                    <w:t>95.1%</w:t>
                  </w:r>
                </w:p>
              </w:tc>
            </w:tr>
          </w:tbl>
          <w:p w14:paraId="5B2A80C6" w14:textId="77777777" w:rsidR="00091164" w:rsidRPr="008A3402" w:rsidRDefault="00091164" w:rsidP="008A3402">
            <w:pPr>
              <w:spacing w:line="360" w:lineRule="auto"/>
              <w:rPr>
                <w:rFonts w:ascii="Arial" w:hAnsi="Arial" w:cs="Arial"/>
                <w:sz w:val="24"/>
                <w:szCs w:val="24"/>
              </w:rPr>
            </w:pPr>
          </w:p>
        </w:tc>
      </w:tr>
      <w:tr w:rsidR="00091164" w:rsidRPr="008A3402" w14:paraId="16812F57"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1"/>
            </w:tblGrid>
            <w:tr w:rsidR="00091164" w:rsidRPr="008A3402" w14:paraId="05C1E039" w14:textId="77777777" w:rsidTr="00D221F8">
              <w:trPr>
                <w:tblCellSpacing w:w="15" w:type="dxa"/>
              </w:trPr>
              <w:tc>
                <w:tcPr>
                  <w:tcW w:w="0" w:type="auto"/>
                  <w:vAlign w:val="center"/>
                  <w:hideMark/>
                </w:tcPr>
                <w:p w14:paraId="4277B75A"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LCR</w:t>
                  </w:r>
                </w:p>
              </w:tc>
            </w:tr>
          </w:tbl>
          <w:p w14:paraId="79C3AD17" w14:textId="77777777" w:rsidR="00091164" w:rsidRPr="008A3402" w:rsidRDefault="00091164" w:rsidP="008A3402">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4"/>
            </w:tblGrid>
            <w:tr w:rsidR="00091164" w:rsidRPr="008A3402" w14:paraId="0501C319" w14:textId="77777777" w:rsidTr="00D221F8">
              <w:trPr>
                <w:tblCellSpacing w:w="15" w:type="dxa"/>
              </w:trPr>
              <w:tc>
                <w:tcPr>
                  <w:tcW w:w="0" w:type="auto"/>
                  <w:vAlign w:val="center"/>
                  <w:hideMark/>
                </w:tcPr>
                <w:p w14:paraId="62D44902"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High Quality Liquid Assets ÷ Net Cash Outflow</w:t>
                  </w:r>
                </w:p>
              </w:tc>
            </w:tr>
          </w:tbl>
          <w:p w14:paraId="2FA642BE"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7D5C3D19" w14:textId="77777777" w:rsidTr="00D221F8">
              <w:trPr>
                <w:tblCellSpacing w:w="15" w:type="dxa"/>
              </w:trPr>
              <w:tc>
                <w:tcPr>
                  <w:tcW w:w="0" w:type="auto"/>
                  <w:vAlign w:val="center"/>
                  <w:hideMark/>
                </w:tcPr>
                <w:p w14:paraId="185B3064"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Stated in Annual Report = </w:t>
                  </w:r>
                  <w:r w:rsidRPr="008A3402">
                    <w:rPr>
                      <w:rStyle w:val="Strong"/>
                      <w:rFonts w:ascii="Arial" w:hAnsi="Arial" w:cs="Arial"/>
                      <w:sz w:val="24"/>
                      <w:szCs w:val="24"/>
                    </w:rPr>
                    <w:t>142%</w:t>
                  </w:r>
                </w:p>
              </w:tc>
            </w:tr>
          </w:tbl>
          <w:p w14:paraId="56A0E0F1"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2A2E29C7" w14:textId="77777777" w:rsidTr="00D221F8">
              <w:trPr>
                <w:tblCellSpacing w:w="15" w:type="dxa"/>
              </w:trPr>
              <w:tc>
                <w:tcPr>
                  <w:tcW w:w="0" w:type="auto"/>
                  <w:vAlign w:val="center"/>
                  <w:hideMark/>
                </w:tcPr>
                <w:p w14:paraId="74E256F0"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Stated in Annual Report = </w:t>
                  </w:r>
                  <w:r w:rsidRPr="008A3402">
                    <w:rPr>
                      <w:rStyle w:val="Strong"/>
                      <w:rFonts w:ascii="Arial" w:hAnsi="Arial" w:cs="Arial"/>
                      <w:sz w:val="24"/>
                      <w:szCs w:val="24"/>
                    </w:rPr>
                    <w:t>146%</w:t>
                  </w:r>
                </w:p>
              </w:tc>
            </w:tr>
          </w:tbl>
          <w:p w14:paraId="4805830C" w14:textId="77777777" w:rsidR="00091164" w:rsidRPr="008A3402" w:rsidRDefault="00091164" w:rsidP="008A3402">
            <w:pPr>
              <w:spacing w:line="360" w:lineRule="auto"/>
              <w:rPr>
                <w:rFonts w:ascii="Arial" w:hAnsi="Arial" w:cs="Arial"/>
                <w:sz w:val="24"/>
                <w:szCs w:val="24"/>
              </w:rPr>
            </w:pPr>
          </w:p>
        </w:tc>
      </w:tr>
      <w:tr w:rsidR="00091164" w:rsidRPr="008A3402" w14:paraId="346D0C3A"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1"/>
            </w:tblGrid>
            <w:tr w:rsidR="00091164" w:rsidRPr="008A3402" w14:paraId="62A6BB24" w14:textId="77777777" w:rsidTr="00D221F8">
              <w:trPr>
                <w:tblCellSpacing w:w="15" w:type="dxa"/>
              </w:trPr>
              <w:tc>
                <w:tcPr>
                  <w:tcW w:w="0" w:type="auto"/>
                  <w:vAlign w:val="center"/>
                  <w:hideMark/>
                </w:tcPr>
                <w:p w14:paraId="7501D71F"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CET1 Ratio</w:t>
                  </w:r>
                </w:p>
              </w:tc>
            </w:tr>
          </w:tbl>
          <w:p w14:paraId="31665016" w14:textId="77777777" w:rsidR="00091164" w:rsidRPr="008A3402" w:rsidRDefault="00091164" w:rsidP="008A3402">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4"/>
            </w:tblGrid>
            <w:tr w:rsidR="00091164" w:rsidRPr="008A3402" w14:paraId="55B6B787" w14:textId="77777777" w:rsidTr="00D221F8">
              <w:trPr>
                <w:tblCellSpacing w:w="15" w:type="dxa"/>
              </w:trPr>
              <w:tc>
                <w:tcPr>
                  <w:tcW w:w="0" w:type="auto"/>
                  <w:vAlign w:val="center"/>
                  <w:hideMark/>
                </w:tcPr>
                <w:p w14:paraId="3D1B2712"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Core Equity ÷ Risk-Weighted Assets</w:t>
                  </w:r>
                </w:p>
              </w:tc>
            </w:tr>
          </w:tbl>
          <w:p w14:paraId="5DAB95A6"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798E38E6" w14:textId="77777777" w:rsidTr="00D221F8">
              <w:trPr>
                <w:tblCellSpacing w:w="15" w:type="dxa"/>
              </w:trPr>
              <w:tc>
                <w:tcPr>
                  <w:tcW w:w="0" w:type="auto"/>
                  <w:vAlign w:val="center"/>
                  <w:hideMark/>
                </w:tcPr>
                <w:p w14:paraId="1A98F8D1"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Stated in Annual Report = </w:t>
                  </w:r>
                  <w:r w:rsidRPr="008A3402">
                    <w:rPr>
                      <w:rStyle w:val="Strong"/>
                      <w:rFonts w:ascii="Arial" w:hAnsi="Arial" w:cs="Arial"/>
                      <w:sz w:val="24"/>
                      <w:szCs w:val="24"/>
                    </w:rPr>
                    <w:t>13.7%</w:t>
                  </w:r>
                </w:p>
              </w:tc>
            </w:tr>
          </w:tbl>
          <w:p w14:paraId="6029BAA0"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073B20E7" w14:textId="77777777" w:rsidTr="00D221F8">
              <w:trPr>
                <w:tblCellSpacing w:w="15" w:type="dxa"/>
              </w:trPr>
              <w:tc>
                <w:tcPr>
                  <w:tcW w:w="0" w:type="auto"/>
                  <w:vAlign w:val="center"/>
                  <w:hideMark/>
                </w:tcPr>
                <w:p w14:paraId="3BE97BB2"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Stated in Annual Report = </w:t>
                  </w:r>
                  <w:r w:rsidRPr="008A3402">
                    <w:rPr>
                      <w:rStyle w:val="Strong"/>
                      <w:rFonts w:ascii="Arial" w:hAnsi="Arial" w:cs="Arial"/>
                      <w:sz w:val="24"/>
                      <w:szCs w:val="24"/>
                    </w:rPr>
                    <w:t>14.2%</w:t>
                  </w:r>
                </w:p>
              </w:tc>
            </w:tr>
          </w:tbl>
          <w:p w14:paraId="0269EB1B" w14:textId="77777777" w:rsidR="00091164" w:rsidRPr="008A3402" w:rsidRDefault="00091164" w:rsidP="008A3402">
            <w:pPr>
              <w:spacing w:line="360" w:lineRule="auto"/>
              <w:rPr>
                <w:rFonts w:ascii="Arial" w:hAnsi="Arial" w:cs="Arial"/>
                <w:sz w:val="24"/>
                <w:szCs w:val="24"/>
              </w:rPr>
            </w:pPr>
          </w:p>
        </w:tc>
      </w:tr>
      <w:tr w:rsidR="00091164" w:rsidRPr="008A3402" w14:paraId="7040AE10"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2"/>
            </w:tblGrid>
            <w:tr w:rsidR="00091164" w:rsidRPr="008A3402" w14:paraId="440AA08B" w14:textId="77777777" w:rsidTr="00D221F8">
              <w:trPr>
                <w:tblCellSpacing w:w="15" w:type="dxa"/>
              </w:trPr>
              <w:tc>
                <w:tcPr>
                  <w:tcW w:w="0" w:type="auto"/>
                  <w:vAlign w:val="center"/>
                  <w:hideMark/>
                </w:tcPr>
                <w:p w14:paraId="567AE75C"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Cost-to-Income Ratio</w:t>
                  </w:r>
                </w:p>
              </w:tc>
            </w:tr>
          </w:tbl>
          <w:p w14:paraId="66BDD274" w14:textId="77777777" w:rsidR="00091164" w:rsidRPr="008A3402" w:rsidRDefault="00091164" w:rsidP="008A3402">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4"/>
            </w:tblGrid>
            <w:tr w:rsidR="00091164" w:rsidRPr="008A3402" w14:paraId="737BCC62" w14:textId="77777777" w:rsidTr="00D221F8">
              <w:trPr>
                <w:tblCellSpacing w:w="15" w:type="dxa"/>
              </w:trPr>
              <w:tc>
                <w:tcPr>
                  <w:tcW w:w="0" w:type="auto"/>
                  <w:vAlign w:val="center"/>
                  <w:hideMark/>
                </w:tcPr>
                <w:p w14:paraId="1B3FA3CE"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Operating Costs ÷ Operating Income</w:t>
                  </w:r>
                </w:p>
              </w:tc>
            </w:tr>
          </w:tbl>
          <w:p w14:paraId="6F5CAE6E"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010A626D" w14:textId="77777777" w:rsidTr="00D221F8">
              <w:trPr>
                <w:tblCellSpacing w:w="15" w:type="dxa"/>
              </w:trPr>
              <w:tc>
                <w:tcPr>
                  <w:tcW w:w="0" w:type="auto"/>
                  <w:vAlign w:val="center"/>
                  <w:hideMark/>
                </w:tcPr>
                <w:p w14:paraId="519CA247"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9,300 ÷ 19,400 = </w:t>
                  </w:r>
                  <w:r w:rsidRPr="008A3402">
                    <w:rPr>
                      <w:rStyle w:val="Strong"/>
                      <w:rFonts w:ascii="Arial" w:hAnsi="Arial" w:cs="Arial"/>
                      <w:sz w:val="24"/>
                      <w:szCs w:val="24"/>
                    </w:rPr>
                    <w:t>47.9%</w:t>
                  </w:r>
                </w:p>
              </w:tc>
            </w:tr>
          </w:tbl>
          <w:p w14:paraId="066EA0E8"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1D4AAA76" w14:textId="77777777" w:rsidTr="00D221F8">
              <w:trPr>
                <w:tblCellSpacing w:w="15" w:type="dxa"/>
              </w:trPr>
              <w:tc>
                <w:tcPr>
                  <w:tcW w:w="0" w:type="auto"/>
                  <w:vAlign w:val="center"/>
                  <w:hideMark/>
                </w:tcPr>
                <w:p w14:paraId="5D1F8553"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9,300 ÷ 12,600 = </w:t>
                  </w:r>
                  <w:r w:rsidRPr="008A3402">
                    <w:rPr>
                      <w:rStyle w:val="Strong"/>
                      <w:rFonts w:ascii="Arial" w:hAnsi="Arial" w:cs="Arial"/>
                      <w:sz w:val="24"/>
                      <w:szCs w:val="24"/>
                    </w:rPr>
                    <w:t>73.7%</w:t>
                  </w:r>
                </w:p>
              </w:tc>
            </w:tr>
          </w:tbl>
          <w:p w14:paraId="547A3B45" w14:textId="77777777" w:rsidR="00091164" w:rsidRPr="008A3402" w:rsidRDefault="00091164" w:rsidP="008A3402">
            <w:pPr>
              <w:spacing w:line="360" w:lineRule="auto"/>
              <w:rPr>
                <w:rFonts w:ascii="Arial" w:hAnsi="Arial" w:cs="Arial"/>
                <w:sz w:val="24"/>
                <w:szCs w:val="24"/>
              </w:rPr>
            </w:pPr>
          </w:p>
        </w:tc>
      </w:tr>
      <w:tr w:rsidR="00091164" w:rsidRPr="008A3402" w14:paraId="4477E6F8"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1"/>
            </w:tblGrid>
            <w:tr w:rsidR="00091164" w:rsidRPr="008A3402" w14:paraId="6EB48F70" w14:textId="77777777" w:rsidTr="00D221F8">
              <w:trPr>
                <w:tblCellSpacing w:w="15" w:type="dxa"/>
              </w:trPr>
              <w:tc>
                <w:tcPr>
                  <w:tcW w:w="0" w:type="auto"/>
                  <w:vAlign w:val="center"/>
                  <w:hideMark/>
                </w:tcPr>
                <w:p w14:paraId="7C62A082"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EPS</w:t>
                  </w:r>
                </w:p>
              </w:tc>
            </w:tr>
          </w:tbl>
          <w:p w14:paraId="1FEFB167" w14:textId="77777777" w:rsidR="00091164" w:rsidRPr="008A3402" w:rsidRDefault="00091164" w:rsidP="008A3402">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4"/>
            </w:tblGrid>
            <w:tr w:rsidR="00091164" w:rsidRPr="008A3402" w14:paraId="3B635E11" w14:textId="77777777" w:rsidTr="00D221F8">
              <w:trPr>
                <w:tblCellSpacing w:w="15" w:type="dxa"/>
              </w:trPr>
              <w:tc>
                <w:tcPr>
                  <w:tcW w:w="0" w:type="auto"/>
                  <w:vAlign w:val="center"/>
                  <w:hideMark/>
                </w:tcPr>
                <w:p w14:paraId="49757DAE"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Net Income ÷ Shares Outstanding</w:t>
                  </w:r>
                </w:p>
              </w:tc>
            </w:tr>
          </w:tbl>
          <w:p w14:paraId="6E1C948E"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03F4978E" w14:textId="77777777" w:rsidTr="00D221F8">
              <w:trPr>
                <w:tblCellSpacing w:w="15" w:type="dxa"/>
              </w:trPr>
              <w:tc>
                <w:tcPr>
                  <w:tcW w:w="0" w:type="auto"/>
                  <w:vAlign w:val="center"/>
                  <w:hideMark/>
                </w:tcPr>
                <w:p w14:paraId="597BF861"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4,477m ÷ ~235bn shares = </w:t>
                  </w:r>
                  <w:r w:rsidRPr="008A3402">
                    <w:rPr>
                      <w:rStyle w:val="Strong"/>
                      <w:rFonts w:ascii="Arial" w:hAnsi="Arial" w:cs="Arial"/>
                      <w:sz w:val="24"/>
                      <w:szCs w:val="24"/>
                    </w:rPr>
                    <w:t>1.9p</w:t>
                  </w:r>
                </w:p>
              </w:tc>
            </w:tr>
          </w:tbl>
          <w:p w14:paraId="5966CECB"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30DE500B" w14:textId="77777777" w:rsidTr="00D221F8">
              <w:trPr>
                <w:tblCellSpacing w:w="15" w:type="dxa"/>
              </w:trPr>
              <w:tc>
                <w:tcPr>
                  <w:tcW w:w="0" w:type="auto"/>
                  <w:vAlign w:val="center"/>
                  <w:hideMark/>
                </w:tcPr>
                <w:p w14:paraId="58182207"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2,360m ÷ ~235bn shares = </w:t>
                  </w:r>
                  <w:r w:rsidRPr="008A3402">
                    <w:rPr>
                      <w:rStyle w:val="Strong"/>
                      <w:rFonts w:ascii="Arial" w:hAnsi="Arial" w:cs="Arial"/>
                      <w:sz w:val="24"/>
                      <w:szCs w:val="24"/>
                    </w:rPr>
                    <w:t>1.0p</w:t>
                  </w:r>
                </w:p>
              </w:tc>
            </w:tr>
          </w:tbl>
          <w:p w14:paraId="5BB1863E" w14:textId="77777777" w:rsidR="00091164" w:rsidRPr="008A3402" w:rsidRDefault="00091164" w:rsidP="008A3402">
            <w:pPr>
              <w:spacing w:line="360" w:lineRule="auto"/>
              <w:rPr>
                <w:rFonts w:ascii="Arial" w:hAnsi="Arial" w:cs="Arial"/>
                <w:sz w:val="24"/>
                <w:szCs w:val="24"/>
              </w:rPr>
            </w:pPr>
          </w:p>
        </w:tc>
      </w:tr>
      <w:tr w:rsidR="00091164" w:rsidRPr="008A3402" w14:paraId="43BB15B8" w14:textId="77777777" w:rsidTr="00D221F8">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5"/>
            </w:tblGrid>
            <w:tr w:rsidR="00091164" w:rsidRPr="008A3402" w14:paraId="483E20D3" w14:textId="77777777" w:rsidTr="00D221F8">
              <w:trPr>
                <w:tblCellSpacing w:w="15" w:type="dxa"/>
              </w:trPr>
              <w:tc>
                <w:tcPr>
                  <w:tcW w:w="0" w:type="auto"/>
                  <w:vAlign w:val="center"/>
                  <w:hideMark/>
                </w:tcPr>
                <w:p w14:paraId="46E487E4"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Dividend Yield</w:t>
                  </w:r>
                </w:p>
              </w:tc>
            </w:tr>
          </w:tbl>
          <w:p w14:paraId="127E272E" w14:textId="77777777" w:rsidR="00091164" w:rsidRPr="008A3402" w:rsidRDefault="00091164" w:rsidP="008A3402">
            <w:pPr>
              <w:spacing w:line="360" w:lineRule="auto"/>
              <w:rPr>
                <w:rFonts w:ascii="Arial" w:hAnsi="Arial" w:cs="Arial"/>
                <w:vanish/>
                <w:sz w:val="24"/>
                <w:szCs w:val="24"/>
              </w:rPr>
            </w:pPr>
          </w:p>
        </w:tc>
        <w:tc>
          <w:tcPr>
            <w:tcW w:w="23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4"/>
            </w:tblGrid>
            <w:tr w:rsidR="00091164" w:rsidRPr="008A3402" w14:paraId="1CD5E060" w14:textId="77777777" w:rsidTr="00D221F8">
              <w:trPr>
                <w:tblCellSpacing w:w="15" w:type="dxa"/>
              </w:trPr>
              <w:tc>
                <w:tcPr>
                  <w:tcW w:w="0" w:type="auto"/>
                  <w:vAlign w:val="center"/>
                  <w:hideMark/>
                </w:tcPr>
                <w:p w14:paraId="0CB1D21A"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Dividend per Share ÷ Share Price</w:t>
                  </w:r>
                </w:p>
              </w:tc>
            </w:tr>
          </w:tbl>
          <w:p w14:paraId="540D8DCD"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28046351" w14:textId="77777777" w:rsidTr="00D221F8">
              <w:trPr>
                <w:tblCellSpacing w:w="15" w:type="dxa"/>
              </w:trPr>
              <w:tc>
                <w:tcPr>
                  <w:tcW w:w="0" w:type="auto"/>
                  <w:vAlign w:val="center"/>
                  <w:hideMark/>
                </w:tcPr>
                <w:p w14:paraId="2705E3E4"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2.76 ÷ 42.3p = </w:t>
                  </w:r>
                  <w:r w:rsidRPr="008A3402">
                    <w:rPr>
                      <w:rStyle w:val="Strong"/>
                      <w:rFonts w:ascii="Arial" w:hAnsi="Arial" w:cs="Arial"/>
                      <w:sz w:val="24"/>
                      <w:szCs w:val="24"/>
                    </w:rPr>
                    <w:t>6.5%</w:t>
                  </w:r>
                </w:p>
              </w:tc>
            </w:tr>
          </w:tbl>
          <w:p w14:paraId="4B62EAD3" w14:textId="77777777" w:rsidR="00091164" w:rsidRPr="008A3402" w:rsidRDefault="00091164" w:rsidP="008A3402">
            <w:pPr>
              <w:spacing w:line="360" w:lineRule="auto"/>
              <w:rPr>
                <w:rFonts w:ascii="Arial" w:hAnsi="Arial" w:cs="Arial"/>
                <w:vanish/>
                <w:sz w:val="24"/>
                <w:szCs w:val="24"/>
              </w:rPr>
            </w:pPr>
          </w:p>
        </w:tc>
        <w:tc>
          <w:tcPr>
            <w:tcW w:w="231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5"/>
            </w:tblGrid>
            <w:tr w:rsidR="00091164" w:rsidRPr="008A3402" w14:paraId="60F06C0A" w14:textId="77777777" w:rsidTr="00D221F8">
              <w:trPr>
                <w:tblCellSpacing w:w="15" w:type="dxa"/>
              </w:trPr>
              <w:tc>
                <w:tcPr>
                  <w:tcW w:w="0" w:type="auto"/>
                  <w:vAlign w:val="center"/>
                  <w:hideMark/>
                </w:tcPr>
                <w:p w14:paraId="2CD776AC" w14:textId="77777777" w:rsidR="00091164" w:rsidRPr="008A3402" w:rsidRDefault="00091164" w:rsidP="008A3402">
                  <w:pPr>
                    <w:spacing w:line="360" w:lineRule="auto"/>
                    <w:rPr>
                      <w:rFonts w:ascii="Arial" w:hAnsi="Arial" w:cs="Arial"/>
                      <w:sz w:val="24"/>
                      <w:szCs w:val="24"/>
                    </w:rPr>
                  </w:pPr>
                  <w:r w:rsidRPr="008A3402">
                    <w:rPr>
                      <w:rFonts w:ascii="Arial" w:hAnsi="Arial" w:cs="Arial"/>
                      <w:sz w:val="24"/>
                      <w:szCs w:val="24"/>
                    </w:rPr>
                    <w:t xml:space="preserve">3.17 ÷ 42.3p = </w:t>
                  </w:r>
                  <w:r w:rsidRPr="008A3402">
                    <w:rPr>
                      <w:rStyle w:val="Strong"/>
                      <w:rFonts w:ascii="Arial" w:hAnsi="Arial" w:cs="Arial"/>
                      <w:sz w:val="24"/>
                      <w:szCs w:val="24"/>
                    </w:rPr>
                    <w:t>7.5%</w:t>
                  </w:r>
                </w:p>
              </w:tc>
            </w:tr>
          </w:tbl>
          <w:p w14:paraId="026DA762" w14:textId="77777777" w:rsidR="00091164" w:rsidRPr="008A3402" w:rsidRDefault="00091164" w:rsidP="008A3402">
            <w:pPr>
              <w:spacing w:line="360" w:lineRule="auto"/>
              <w:rPr>
                <w:rFonts w:ascii="Arial" w:hAnsi="Arial" w:cs="Arial"/>
                <w:sz w:val="24"/>
                <w:szCs w:val="24"/>
              </w:rPr>
            </w:pPr>
          </w:p>
        </w:tc>
      </w:tr>
    </w:tbl>
    <w:p w14:paraId="7B3D19BF" w14:textId="77777777" w:rsidR="00091164" w:rsidRPr="003B42B8" w:rsidRDefault="00091164" w:rsidP="00091164">
      <w:pPr>
        <w:rPr>
          <w:rFonts w:ascii="Arial" w:hAnsi="Arial" w:cs="Arial"/>
        </w:rPr>
      </w:pPr>
    </w:p>
    <w:p w14:paraId="77969315" w14:textId="77777777" w:rsidR="00CF0E48" w:rsidRPr="003B42B8" w:rsidRDefault="00CF0E48" w:rsidP="00771A1F">
      <w:pPr>
        <w:rPr>
          <w:rFonts w:ascii="Arial" w:hAnsi="Arial" w:cs="Arial"/>
        </w:rPr>
      </w:pPr>
    </w:p>
    <w:sectPr w:rsidR="00CF0E48" w:rsidRPr="003B42B8" w:rsidSect="00C93BBB">
      <w:footerReference w:type="default" r:id="rId12"/>
      <w:pgSz w:w="11906" w:h="16838"/>
      <w:pgMar w:top="1418" w:right="1418"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48AD1" w14:textId="77777777" w:rsidR="00AA269E" w:rsidRDefault="00AA269E" w:rsidP="00F33B24">
      <w:pPr>
        <w:spacing w:after="0" w:line="240" w:lineRule="auto"/>
      </w:pPr>
      <w:r>
        <w:separator/>
      </w:r>
    </w:p>
  </w:endnote>
  <w:endnote w:type="continuationSeparator" w:id="0">
    <w:p w14:paraId="7D360060" w14:textId="77777777" w:rsidR="00AA269E" w:rsidRDefault="00AA269E"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243794"/>
      <w:docPartObj>
        <w:docPartGallery w:val="Page Numbers (Bottom of Page)"/>
        <w:docPartUnique/>
      </w:docPartObj>
    </w:sdtPr>
    <w:sdtEndPr>
      <w:rPr>
        <w:noProof/>
      </w:rPr>
    </w:sdtEndPr>
    <w:sdtContent>
      <w:p w14:paraId="730F6FE4" w14:textId="09646211" w:rsidR="00772E1E" w:rsidRDefault="00772E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49325" w14:textId="77777777" w:rsidR="00AA269E" w:rsidRDefault="00AA269E" w:rsidP="00F33B24">
      <w:pPr>
        <w:spacing w:after="0" w:line="240" w:lineRule="auto"/>
      </w:pPr>
      <w:r>
        <w:separator/>
      </w:r>
    </w:p>
  </w:footnote>
  <w:footnote w:type="continuationSeparator" w:id="0">
    <w:p w14:paraId="023980E3" w14:textId="77777777" w:rsidR="00AA269E" w:rsidRDefault="00AA269E"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0398B"/>
    <w:multiLevelType w:val="multilevel"/>
    <w:tmpl w:val="EF64855A"/>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0" w:firstLine="170"/>
      </w:pPr>
      <w:rPr>
        <w:rFonts w:hint="default"/>
      </w:rPr>
    </w:lvl>
    <w:lvl w:ilvl="2">
      <w:start w:val="1"/>
      <w:numFmt w:val="decimal"/>
      <w:pStyle w:val="Heading3"/>
      <w:lvlText w:val="%1.1.%3"/>
      <w:lvlJc w:val="left"/>
      <w:pPr>
        <w:ind w:left="0" w:firstLine="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4FB04B9C"/>
    <w:multiLevelType w:val="multilevel"/>
    <w:tmpl w:val="A980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797758"/>
    <w:multiLevelType w:val="multilevel"/>
    <w:tmpl w:val="76F88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5E33"/>
    <w:rsid w:val="000274E3"/>
    <w:rsid w:val="00042AF0"/>
    <w:rsid w:val="00044B20"/>
    <w:rsid w:val="000660FB"/>
    <w:rsid w:val="00076007"/>
    <w:rsid w:val="00077772"/>
    <w:rsid w:val="00080945"/>
    <w:rsid w:val="00084E65"/>
    <w:rsid w:val="00091164"/>
    <w:rsid w:val="00096B08"/>
    <w:rsid w:val="000A79AB"/>
    <w:rsid w:val="000B0AE7"/>
    <w:rsid w:val="000B1897"/>
    <w:rsid w:val="000D4C3D"/>
    <w:rsid w:val="000D60B2"/>
    <w:rsid w:val="000E0487"/>
    <w:rsid w:val="000E325C"/>
    <w:rsid w:val="000F2250"/>
    <w:rsid w:val="001070BC"/>
    <w:rsid w:val="00107936"/>
    <w:rsid w:val="00115B96"/>
    <w:rsid w:val="001173EC"/>
    <w:rsid w:val="00121616"/>
    <w:rsid w:val="0012231F"/>
    <w:rsid w:val="00123573"/>
    <w:rsid w:val="0014647D"/>
    <w:rsid w:val="001864C4"/>
    <w:rsid w:val="0019112E"/>
    <w:rsid w:val="001A1BAE"/>
    <w:rsid w:val="001A6BE2"/>
    <w:rsid w:val="001B6EC3"/>
    <w:rsid w:val="001B782F"/>
    <w:rsid w:val="001E77A2"/>
    <w:rsid w:val="001F4107"/>
    <w:rsid w:val="001F5F44"/>
    <w:rsid w:val="00237532"/>
    <w:rsid w:val="00255D76"/>
    <w:rsid w:val="00260155"/>
    <w:rsid w:val="00275FDA"/>
    <w:rsid w:val="00290C3D"/>
    <w:rsid w:val="002A5605"/>
    <w:rsid w:val="002E7449"/>
    <w:rsid w:val="002F3925"/>
    <w:rsid w:val="003172CF"/>
    <w:rsid w:val="00324CCD"/>
    <w:rsid w:val="003421E5"/>
    <w:rsid w:val="00352991"/>
    <w:rsid w:val="00364486"/>
    <w:rsid w:val="003700A7"/>
    <w:rsid w:val="00372057"/>
    <w:rsid w:val="00394FB1"/>
    <w:rsid w:val="003A0263"/>
    <w:rsid w:val="003A40BE"/>
    <w:rsid w:val="003B42B8"/>
    <w:rsid w:val="003B4FFF"/>
    <w:rsid w:val="003C11E7"/>
    <w:rsid w:val="003C71E1"/>
    <w:rsid w:val="003D2771"/>
    <w:rsid w:val="00410310"/>
    <w:rsid w:val="00442DDC"/>
    <w:rsid w:val="00472D5A"/>
    <w:rsid w:val="00473B83"/>
    <w:rsid w:val="00480872"/>
    <w:rsid w:val="00496B67"/>
    <w:rsid w:val="004A11F6"/>
    <w:rsid w:val="004D0E54"/>
    <w:rsid w:val="004D519C"/>
    <w:rsid w:val="004D724A"/>
    <w:rsid w:val="004F138B"/>
    <w:rsid w:val="005168AE"/>
    <w:rsid w:val="00516E4B"/>
    <w:rsid w:val="00537C33"/>
    <w:rsid w:val="005423BC"/>
    <w:rsid w:val="00560F30"/>
    <w:rsid w:val="0057690E"/>
    <w:rsid w:val="00582199"/>
    <w:rsid w:val="005862F1"/>
    <w:rsid w:val="00596632"/>
    <w:rsid w:val="005A25CB"/>
    <w:rsid w:val="005A2A81"/>
    <w:rsid w:val="005A399D"/>
    <w:rsid w:val="005B7EF7"/>
    <w:rsid w:val="005D0801"/>
    <w:rsid w:val="005F31AF"/>
    <w:rsid w:val="005F6330"/>
    <w:rsid w:val="00611678"/>
    <w:rsid w:val="00624D9F"/>
    <w:rsid w:val="00633263"/>
    <w:rsid w:val="006421AF"/>
    <w:rsid w:val="006610F4"/>
    <w:rsid w:val="00676325"/>
    <w:rsid w:val="00686CD4"/>
    <w:rsid w:val="00694540"/>
    <w:rsid w:val="006C4A75"/>
    <w:rsid w:val="006F0F00"/>
    <w:rsid w:val="007451CB"/>
    <w:rsid w:val="00747066"/>
    <w:rsid w:val="007470C7"/>
    <w:rsid w:val="0075046F"/>
    <w:rsid w:val="007605F1"/>
    <w:rsid w:val="00771A1F"/>
    <w:rsid w:val="00772E1E"/>
    <w:rsid w:val="00774247"/>
    <w:rsid w:val="0079415B"/>
    <w:rsid w:val="007C5794"/>
    <w:rsid w:val="007D1947"/>
    <w:rsid w:val="007F4FCA"/>
    <w:rsid w:val="008063A4"/>
    <w:rsid w:val="0081340D"/>
    <w:rsid w:val="00827689"/>
    <w:rsid w:val="00837A21"/>
    <w:rsid w:val="00844DB4"/>
    <w:rsid w:val="00893F57"/>
    <w:rsid w:val="008A3402"/>
    <w:rsid w:val="008B7722"/>
    <w:rsid w:val="008C08D8"/>
    <w:rsid w:val="008E4AE8"/>
    <w:rsid w:val="008F57E9"/>
    <w:rsid w:val="00920A5B"/>
    <w:rsid w:val="00931CAA"/>
    <w:rsid w:val="00940E33"/>
    <w:rsid w:val="009521BB"/>
    <w:rsid w:val="00997BD2"/>
    <w:rsid w:val="009A0D0D"/>
    <w:rsid w:val="009C5641"/>
    <w:rsid w:val="00A11633"/>
    <w:rsid w:val="00A12B58"/>
    <w:rsid w:val="00A13A90"/>
    <w:rsid w:val="00A32D33"/>
    <w:rsid w:val="00A37182"/>
    <w:rsid w:val="00A37A10"/>
    <w:rsid w:val="00A51B1D"/>
    <w:rsid w:val="00A93114"/>
    <w:rsid w:val="00A93614"/>
    <w:rsid w:val="00AA269E"/>
    <w:rsid w:val="00AA2A91"/>
    <w:rsid w:val="00AB177C"/>
    <w:rsid w:val="00AC241E"/>
    <w:rsid w:val="00AF7607"/>
    <w:rsid w:val="00B12232"/>
    <w:rsid w:val="00B1426B"/>
    <w:rsid w:val="00B20095"/>
    <w:rsid w:val="00B27771"/>
    <w:rsid w:val="00B3142D"/>
    <w:rsid w:val="00B33278"/>
    <w:rsid w:val="00B41E8A"/>
    <w:rsid w:val="00B570D4"/>
    <w:rsid w:val="00B6045F"/>
    <w:rsid w:val="00B66F8D"/>
    <w:rsid w:val="00B7371B"/>
    <w:rsid w:val="00B7620C"/>
    <w:rsid w:val="00B87476"/>
    <w:rsid w:val="00BB0519"/>
    <w:rsid w:val="00BB3FD9"/>
    <w:rsid w:val="00BB7787"/>
    <w:rsid w:val="00BC372E"/>
    <w:rsid w:val="00BF2F58"/>
    <w:rsid w:val="00C06376"/>
    <w:rsid w:val="00C176EF"/>
    <w:rsid w:val="00C3541C"/>
    <w:rsid w:val="00C43B90"/>
    <w:rsid w:val="00C51DDD"/>
    <w:rsid w:val="00C71B10"/>
    <w:rsid w:val="00C755DC"/>
    <w:rsid w:val="00C7567F"/>
    <w:rsid w:val="00C82D11"/>
    <w:rsid w:val="00C86096"/>
    <w:rsid w:val="00C93BBB"/>
    <w:rsid w:val="00CA09F3"/>
    <w:rsid w:val="00CA5C2C"/>
    <w:rsid w:val="00CD299B"/>
    <w:rsid w:val="00CD75AA"/>
    <w:rsid w:val="00CF0E48"/>
    <w:rsid w:val="00D1155D"/>
    <w:rsid w:val="00D217DA"/>
    <w:rsid w:val="00D35A86"/>
    <w:rsid w:val="00D476BE"/>
    <w:rsid w:val="00D708FB"/>
    <w:rsid w:val="00D83148"/>
    <w:rsid w:val="00D854A5"/>
    <w:rsid w:val="00D860C3"/>
    <w:rsid w:val="00DA5B8C"/>
    <w:rsid w:val="00DB397F"/>
    <w:rsid w:val="00DB5F09"/>
    <w:rsid w:val="00E02184"/>
    <w:rsid w:val="00E27C57"/>
    <w:rsid w:val="00E44268"/>
    <w:rsid w:val="00E44853"/>
    <w:rsid w:val="00E54703"/>
    <w:rsid w:val="00E6451E"/>
    <w:rsid w:val="00E660EC"/>
    <w:rsid w:val="00E916DB"/>
    <w:rsid w:val="00EA1C55"/>
    <w:rsid w:val="00EE1F14"/>
    <w:rsid w:val="00EE3049"/>
    <w:rsid w:val="00EE3CDC"/>
    <w:rsid w:val="00EF4B9A"/>
    <w:rsid w:val="00EF6791"/>
    <w:rsid w:val="00F11594"/>
    <w:rsid w:val="00F14AE3"/>
    <w:rsid w:val="00F24061"/>
    <w:rsid w:val="00F33B24"/>
    <w:rsid w:val="00F37033"/>
    <w:rsid w:val="00F42A38"/>
    <w:rsid w:val="00F6231A"/>
    <w:rsid w:val="00F777ED"/>
    <w:rsid w:val="00F872EA"/>
    <w:rsid w:val="00FB6FAB"/>
    <w:rsid w:val="00FC5623"/>
    <w:rsid w:val="00FD2124"/>
    <w:rsid w:val="00FD71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numPr>
        <w:numId w:val="3"/>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96B67"/>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table" w:styleId="TableGrid">
    <w:name w:val="Table Grid"/>
    <w:basedOn w:val="TableNormal"/>
    <w:uiPriority w:val="39"/>
    <w:rsid w:val="00940E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3FD9"/>
    <w:pPr>
      <w:ind w:left="720"/>
      <w:contextualSpacing/>
    </w:pPr>
  </w:style>
  <w:style w:type="character" w:customStyle="1" w:styleId="relative">
    <w:name w:val="relative"/>
    <w:basedOn w:val="DefaultParagraphFont"/>
    <w:rsid w:val="00E54703"/>
  </w:style>
  <w:style w:type="paragraph" w:styleId="NormalWeb">
    <w:name w:val="Normal (Web)"/>
    <w:basedOn w:val="Normal"/>
    <w:uiPriority w:val="99"/>
    <w:semiHidden/>
    <w:unhideWhenUsed/>
    <w:rsid w:val="00442DD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442DDC"/>
    <w:rPr>
      <w:i/>
      <w:iCs/>
    </w:rPr>
  </w:style>
  <w:style w:type="character" w:styleId="Strong">
    <w:name w:val="Strong"/>
    <w:basedOn w:val="DefaultParagraphFont"/>
    <w:uiPriority w:val="22"/>
    <w:qFormat/>
    <w:rsid w:val="00091164"/>
    <w:rPr>
      <w:b/>
      <w:bCs/>
    </w:rPr>
  </w:style>
  <w:style w:type="character" w:styleId="UnresolvedMention">
    <w:name w:val="Unresolved Mention"/>
    <w:basedOn w:val="DefaultParagraphFont"/>
    <w:uiPriority w:val="99"/>
    <w:semiHidden/>
    <w:unhideWhenUsed/>
    <w:rsid w:val="00260155"/>
    <w:rPr>
      <w:color w:val="605E5C"/>
      <w:shd w:val="clear" w:color="auto" w:fill="E1DFDD"/>
    </w:rPr>
  </w:style>
  <w:style w:type="character" w:customStyle="1" w:styleId="Heading3Char">
    <w:name w:val="Heading 3 Char"/>
    <w:basedOn w:val="DefaultParagraphFont"/>
    <w:link w:val="Heading3"/>
    <w:uiPriority w:val="9"/>
    <w:semiHidden/>
    <w:rsid w:val="00496B67"/>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A93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4446">
      <w:bodyDiv w:val="1"/>
      <w:marLeft w:val="0"/>
      <w:marRight w:val="0"/>
      <w:marTop w:val="0"/>
      <w:marBottom w:val="0"/>
      <w:divBdr>
        <w:top w:val="none" w:sz="0" w:space="0" w:color="auto"/>
        <w:left w:val="none" w:sz="0" w:space="0" w:color="auto"/>
        <w:bottom w:val="none" w:sz="0" w:space="0" w:color="auto"/>
        <w:right w:val="none" w:sz="0" w:space="0" w:color="auto"/>
      </w:divBdr>
    </w:div>
    <w:div w:id="37827075">
      <w:bodyDiv w:val="1"/>
      <w:marLeft w:val="0"/>
      <w:marRight w:val="0"/>
      <w:marTop w:val="0"/>
      <w:marBottom w:val="0"/>
      <w:divBdr>
        <w:top w:val="none" w:sz="0" w:space="0" w:color="auto"/>
        <w:left w:val="none" w:sz="0" w:space="0" w:color="auto"/>
        <w:bottom w:val="none" w:sz="0" w:space="0" w:color="auto"/>
        <w:right w:val="none" w:sz="0" w:space="0" w:color="auto"/>
      </w:divBdr>
    </w:div>
    <w:div w:id="38096331">
      <w:bodyDiv w:val="1"/>
      <w:marLeft w:val="0"/>
      <w:marRight w:val="0"/>
      <w:marTop w:val="0"/>
      <w:marBottom w:val="0"/>
      <w:divBdr>
        <w:top w:val="none" w:sz="0" w:space="0" w:color="auto"/>
        <w:left w:val="none" w:sz="0" w:space="0" w:color="auto"/>
        <w:bottom w:val="none" w:sz="0" w:space="0" w:color="auto"/>
        <w:right w:val="none" w:sz="0" w:space="0" w:color="auto"/>
      </w:divBdr>
    </w:div>
    <w:div w:id="103429671">
      <w:bodyDiv w:val="1"/>
      <w:marLeft w:val="0"/>
      <w:marRight w:val="0"/>
      <w:marTop w:val="0"/>
      <w:marBottom w:val="0"/>
      <w:divBdr>
        <w:top w:val="none" w:sz="0" w:space="0" w:color="auto"/>
        <w:left w:val="none" w:sz="0" w:space="0" w:color="auto"/>
        <w:bottom w:val="none" w:sz="0" w:space="0" w:color="auto"/>
        <w:right w:val="none" w:sz="0" w:space="0" w:color="auto"/>
      </w:divBdr>
    </w:div>
    <w:div w:id="130367794">
      <w:bodyDiv w:val="1"/>
      <w:marLeft w:val="0"/>
      <w:marRight w:val="0"/>
      <w:marTop w:val="0"/>
      <w:marBottom w:val="0"/>
      <w:divBdr>
        <w:top w:val="none" w:sz="0" w:space="0" w:color="auto"/>
        <w:left w:val="none" w:sz="0" w:space="0" w:color="auto"/>
        <w:bottom w:val="none" w:sz="0" w:space="0" w:color="auto"/>
        <w:right w:val="none" w:sz="0" w:space="0" w:color="auto"/>
      </w:divBdr>
    </w:div>
    <w:div w:id="222716932">
      <w:bodyDiv w:val="1"/>
      <w:marLeft w:val="0"/>
      <w:marRight w:val="0"/>
      <w:marTop w:val="0"/>
      <w:marBottom w:val="0"/>
      <w:divBdr>
        <w:top w:val="none" w:sz="0" w:space="0" w:color="auto"/>
        <w:left w:val="none" w:sz="0" w:space="0" w:color="auto"/>
        <w:bottom w:val="none" w:sz="0" w:space="0" w:color="auto"/>
        <w:right w:val="none" w:sz="0" w:space="0" w:color="auto"/>
      </w:divBdr>
    </w:div>
    <w:div w:id="225725727">
      <w:bodyDiv w:val="1"/>
      <w:marLeft w:val="0"/>
      <w:marRight w:val="0"/>
      <w:marTop w:val="0"/>
      <w:marBottom w:val="0"/>
      <w:divBdr>
        <w:top w:val="none" w:sz="0" w:space="0" w:color="auto"/>
        <w:left w:val="none" w:sz="0" w:space="0" w:color="auto"/>
        <w:bottom w:val="none" w:sz="0" w:space="0" w:color="auto"/>
        <w:right w:val="none" w:sz="0" w:space="0" w:color="auto"/>
      </w:divBdr>
    </w:div>
    <w:div w:id="243498198">
      <w:bodyDiv w:val="1"/>
      <w:marLeft w:val="0"/>
      <w:marRight w:val="0"/>
      <w:marTop w:val="0"/>
      <w:marBottom w:val="0"/>
      <w:divBdr>
        <w:top w:val="none" w:sz="0" w:space="0" w:color="auto"/>
        <w:left w:val="none" w:sz="0" w:space="0" w:color="auto"/>
        <w:bottom w:val="none" w:sz="0" w:space="0" w:color="auto"/>
        <w:right w:val="none" w:sz="0" w:space="0" w:color="auto"/>
      </w:divBdr>
      <w:divsChild>
        <w:div w:id="325088418">
          <w:marLeft w:val="0"/>
          <w:marRight w:val="0"/>
          <w:marTop w:val="180"/>
          <w:marBottom w:val="0"/>
          <w:divBdr>
            <w:top w:val="none" w:sz="0" w:space="0" w:color="auto"/>
            <w:left w:val="none" w:sz="0" w:space="0" w:color="auto"/>
            <w:bottom w:val="none" w:sz="0" w:space="0" w:color="auto"/>
            <w:right w:val="none" w:sz="0" w:space="0" w:color="auto"/>
          </w:divBdr>
          <w:divsChild>
            <w:div w:id="2113628548">
              <w:marLeft w:val="0"/>
              <w:marRight w:val="0"/>
              <w:marTop w:val="0"/>
              <w:marBottom w:val="0"/>
              <w:divBdr>
                <w:top w:val="none" w:sz="0" w:space="0" w:color="auto"/>
                <w:left w:val="none" w:sz="0" w:space="0" w:color="auto"/>
                <w:bottom w:val="none" w:sz="0" w:space="0" w:color="auto"/>
                <w:right w:val="none" w:sz="0" w:space="0" w:color="auto"/>
              </w:divBdr>
              <w:divsChild>
                <w:div w:id="1549609203">
                  <w:marLeft w:val="0"/>
                  <w:marRight w:val="0"/>
                  <w:marTop w:val="0"/>
                  <w:marBottom w:val="0"/>
                  <w:divBdr>
                    <w:top w:val="none" w:sz="0" w:space="0" w:color="auto"/>
                    <w:left w:val="none" w:sz="0" w:space="0" w:color="auto"/>
                    <w:bottom w:val="none" w:sz="0" w:space="0" w:color="auto"/>
                    <w:right w:val="none" w:sz="0" w:space="0" w:color="auto"/>
                  </w:divBdr>
                  <w:divsChild>
                    <w:div w:id="1297490615">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sChild>
        </w:div>
      </w:divsChild>
    </w:div>
    <w:div w:id="439032008">
      <w:bodyDiv w:val="1"/>
      <w:marLeft w:val="0"/>
      <w:marRight w:val="0"/>
      <w:marTop w:val="0"/>
      <w:marBottom w:val="0"/>
      <w:divBdr>
        <w:top w:val="none" w:sz="0" w:space="0" w:color="auto"/>
        <w:left w:val="none" w:sz="0" w:space="0" w:color="auto"/>
        <w:bottom w:val="none" w:sz="0" w:space="0" w:color="auto"/>
        <w:right w:val="none" w:sz="0" w:space="0" w:color="auto"/>
      </w:divBdr>
    </w:div>
    <w:div w:id="445581276">
      <w:bodyDiv w:val="1"/>
      <w:marLeft w:val="0"/>
      <w:marRight w:val="0"/>
      <w:marTop w:val="0"/>
      <w:marBottom w:val="0"/>
      <w:divBdr>
        <w:top w:val="none" w:sz="0" w:space="0" w:color="auto"/>
        <w:left w:val="none" w:sz="0" w:space="0" w:color="auto"/>
        <w:bottom w:val="none" w:sz="0" w:space="0" w:color="auto"/>
        <w:right w:val="none" w:sz="0" w:space="0" w:color="auto"/>
      </w:divBdr>
    </w:div>
    <w:div w:id="515925352">
      <w:bodyDiv w:val="1"/>
      <w:marLeft w:val="0"/>
      <w:marRight w:val="0"/>
      <w:marTop w:val="0"/>
      <w:marBottom w:val="0"/>
      <w:divBdr>
        <w:top w:val="none" w:sz="0" w:space="0" w:color="auto"/>
        <w:left w:val="none" w:sz="0" w:space="0" w:color="auto"/>
        <w:bottom w:val="none" w:sz="0" w:space="0" w:color="auto"/>
        <w:right w:val="none" w:sz="0" w:space="0" w:color="auto"/>
      </w:divBdr>
    </w:div>
    <w:div w:id="565335804">
      <w:bodyDiv w:val="1"/>
      <w:marLeft w:val="0"/>
      <w:marRight w:val="0"/>
      <w:marTop w:val="0"/>
      <w:marBottom w:val="0"/>
      <w:divBdr>
        <w:top w:val="none" w:sz="0" w:space="0" w:color="auto"/>
        <w:left w:val="none" w:sz="0" w:space="0" w:color="auto"/>
        <w:bottom w:val="none" w:sz="0" w:space="0" w:color="auto"/>
        <w:right w:val="none" w:sz="0" w:space="0" w:color="auto"/>
      </w:divBdr>
    </w:div>
    <w:div w:id="571888892">
      <w:bodyDiv w:val="1"/>
      <w:marLeft w:val="0"/>
      <w:marRight w:val="0"/>
      <w:marTop w:val="0"/>
      <w:marBottom w:val="0"/>
      <w:divBdr>
        <w:top w:val="none" w:sz="0" w:space="0" w:color="auto"/>
        <w:left w:val="none" w:sz="0" w:space="0" w:color="auto"/>
        <w:bottom w:val="none" w:sz="0" w:space="0" w:color="auto"/>
        <w:right w:val="none" w:sz="0" w:space="0" w:color="auto"/>
      </w:divBdr>
    </w:div>
    <w:div w:id="677385861">
      <w:bodyDiv w:val="1"/>
      <w:marLeft w:val="0"/>
      <w:marRight w:val="0"/>
      <w:marTop w:val="0"/>
      <w:marBottom w:val="0"/>
      <w:divBdr>
        <w:top w:val="none" w:sz="0" w:space="0" w:color="auto"/>
        <w:left w:val="none" w:sz="0" w:space="0" w:color="auto"/>
        <w:bottom w:val="none" w:sz="0" w:space="0" w:color="auto"/>
        <w:right w:val="none" w:sz="0" w:space="0" w:color="auto"/>
      </w:divBdr>
    </w:div>
    <w:div w:id="701366644">
      <w:bodyDiv w:val="1"/>
      <w:marLeft w:val="0"/>
      <w:marRight w:val="0"/>
      <w:marTop w:val="0"/>
      <w:marBottom w:val="0"/>
      <w:divBdr>
        <w:top w:val="none" w:sz="0" w:space="0" w:color="auto"/>
        <w:left w:val="none" w:sz="0" w:space="0" w:color="auto"/>
        <w:bottom w:val="none" w:sz="0" w:space="0" w:color="auto"/>
        <w:right w:val="none" w:sz="0" w:space="0" w:color="auto"/>
      </w:divBdr>
    </w:div>
    <w:div w:id="716046706">
      <w:bodyDiv w:val="1"/>
      <w:marLeft w:val="0"/>
      <w:marRight w:val="0"/>
      <w:marTop w:val="0"/>
      <w:marBottom w:val="0"/>
      <w:divBdr>
        <w:top w:val="none" w:sz="0" w:space="0" w:color="auto"/>
        <w:left w:val="none" w:sz="0" w:space="0" w:color="auto"/>
        <w:bottom w:val="none" w:sz="0" w:space="0" w:color="auto"/>
        <w:right w:val="none" w:sz="0" w:space="0" w:color="auto"/>
      </w:divBdr>
    </w:div>
    <w:div w:id="751465185">
      <w:bodyDiv w:val="1"/>
      <w:marLeft w:val="0"/>
      <w:marRight w:val="0"/>
      <w:marTop w:val="0"/>
      <w:marBottom w:val="0"/>
      <w:divBdr>
        <w:top w:val="none" w:sz="0" w:space="0" w:color="auto"/>
        <w:left w:val="none" w:sz="0" w:space="0" w:color="auto"/>
        <w:bottom w:val="none" w:sz="0" w:space="0" w:color="auto"/>
        <w:right w:val="none" w:sz="0" w:space="0" w:color="auto"/>
      </w:divBdr>
    </w:div>
    <w:div w:id="773594914">
      <w:bodyDiv w:val="1"/>
      <w:marLeft w:val="0"/>
      <w:marRight w:val="0"/>
      <w:marTop w:val="0"/>
      <w:marBottom w:val="0"/>
      <w:divBdr>
        <w:top w:val="none" w:sz="0" w:space="0" w:color="auto"/>
        <w:left w:val="none" w:sz="0" w:space="0" w:color="auto"/>
        <w:bottom w:val="none" w:sz="0" w:space="0" w:color="auto"/>
        <w:right w:val="none" w:sz="0" w:space="0" w:color="auto"/>
      </w:divBdr>
    </w:div>
    <w:div w:id="793138449">
      <w:bodyDiv w:val="1"/>
      <w:marLeft w:val="0"/>
      <w:marRight w:val="0"/>
      <w:marTop w:val="0"/>
      <w:marBottom w:val="0"/>
      <w:divBdr>
        <w:top w:val="none" w:sz="0" w:space="0" w:color="auto"/>
        <w:left w:val="none" w:sz="0" w:space="0" w:color="auto"/>
        <w:bottom w:val="none" w:sz="0" w:space="0" w:color="auto"/>
        <w:right w:val="none" w:sz="0" w:space="0" w:color="auto"/>
      </w:divBdr>
    </w:div>
    <w:div w:id="836655634">
      <w:bodyDiv w:val="1"/>
      <w:marLeft w:val="0"/>
      <w:marRight w:val="0"/>
      <w:marTop w:val="0"/>
      <w:marBottom w:val="0"/>
      <w:divBdr>
        <w:top w:val="none" w:sz="0" w:space="0" w:color="auto"/>
        <w:left w:val="none" w:sz="0" w:space="0" w:color="auto"/>
        <w:bottom w:val="none" w:sz="0" w:space="0" w:color="auto"/>
        <w:right w:val="none" w:sz="0" w:space="0" w:color="auto"/>
      </w:divBdr>
    </w:div>
    <w:div w:id="838696662">
      <w:bodyDiv w:val="1"/>
      <w:marLeft w:val="0"/>
      <w:marRight w:val="0"/>
      <w:marTop w:val="0"/>
      <w:marBottom w:val="0"/>
      <w:divBdr>
        <w:top w:val="none" w:sz="0" w:space="0" w:color="auto"/>
        <w:left w:val="none" w:sz="0" w:space="0" w:color="auto"/>
        <w:bottom w:val="none" w:sz="0" w:space="0" w:color="auto"/>
        <w:right w:val="none" w:sz="0" w:space="0" w:color="auto"/>
      </w:divBdr>
    </w:div>
    <w:div w:id="887913140">
      <w:bodyDiv w:val="1"/>
      <w:marLeft w:val="0"/>
      <w:marRight w:val="0"/>
      <w:marTop w:val="0"/>
      <w:marBottom w:val="0"/>
      <w:divBdr>
        <w:top w:val="none" w:sz="0" w:space="0" w:color="auto"/>
        <w:left w:val="none" w:sz="0" w:space="0" w:color="auto"/>
        <w:bottom w:val="none" w:sz="0" w:space="0" w:color="auto"/>
        <w:right w:val="none" w:sz="0" w:space="0" w:color="auto"/>
      </w:divBdr>
    </w:div>
    <w:div w:id="1043099649">
      <w:bodyDiv w:val="1"/>
      <w:marLeft w:val="0"/>
      <w:marRight w:val="0"/>
      <w:marTop w:val="0"/>
      <w:marBottom w:val="0"/>
      <w:divBdr>
        <w:top w:val="none" w:sz="0" w:space="0" w:color="auto"/>
        <w:left w:val="none" w:sz="0" w:space="0" w:color="auto"/>
        <w:bottom w:val="none" w:sz="0" w:space="0" w:color="auto"/>
        <w:right w:val="none" w:sz="0" w:space="0" w:color="auto"/>
      </w:divBdr>
    </w:div>
    <w:div w:id="1066074977">
      <w:bodyDiv w:val="1"/>
      <w:marLeft w:val="0"/>
      <w:marRight w:val="0"/>
      <w:marTop w:val="0"/>
      <w:marBottom w:val="0"/>
      <w:divBdr>
        <w:top w:val="none" w:sz="0" w:space="0" w:color="auto"/>
        <w:left w:val="none" w:sz="0" w:space="0" w:color="auto"/>
        <w:bottom w:val="none" w:sz="0" w:space="0" w:color="auto"/>
        <w:right w:val="none" w:sz="0" w:space="0" w:color="auto"/>
      </w:divBdr>
    </w:div>
    <w:div w:id="1345865436">
      <w:bodyDiv w:val="1"/>
      <w:marLeft w:val="0"/>
      <w:marRight w:val="0"/>
      <w:marTop w:val="0"/>
      <w:marBottom w:val="0"/>
      <w:divBdr>
        <w:top w:val="none" w:sz="0" w:space="0" w:color="auto"/>
        <w:left w:val="none" w:sz="0" w:space="0" w:color="auto"/>
        <w:bottom w:val="none" w:sz="0" w:space="0" w:color="auto"/>
        <w:right w:val="none" w:sz="0" w:space="0" w:color="auto"/>
      </w:divBdr>
    </w:div>
    <w:div w:id="1443459260">
      <w:bodyDiv w:val="1"/>
      <w:marLeft w:val="0"/>
      <w:marRight w:val="0"/>
      <w:marTop w:val="0"/>
      <w:marBottom w:val="0"/>
      <w:divBdr>
        <w:top w:val="none" w:sz="0" w:space="0" w:color="auto"/>
        <w:left w:val="none" w:sz="0" w:space="0" w:color="auto"/>
        <w:bottom w:val="none" w:sz="0" w:space="0" w:color="auto"/>
        <w:right w:val="none" w:sz="0" w:space="0" w:color="auto"/>
      </w:divBdr>
      <w:divsChild>
        <w:div w:id="548077885">
          <w:marLeft w:val="0"/>
          <w:marRight w:val="0"/>
          <w:marTop w:val="180"/>
          <w:marBottom w:val="0"/>
          <w:divBdr>
            <w:top w:val="none" w:sz="0" w:space="0" w:color="auto"/>
            <w:left w:val="none" w:sz="0" w:space="0" w:color="auto"/>
            <w:bottom w:val="none" w:sz="0" w:space="0" w:color="auto"/>
            <w:right w:val="none" w:sz="0" w:space="0" w:color="auto"/>
          </w:divBdr>
          <w:divsChild>
            <w:div w:id="1129202693">
              <w:marLeft w:val="0"/>
              <w:marRight w:val="0"/>
              <w:marTop w:val="0"/>
              <w:marBottom w:val="0"/>
              <w:divBdr>
                <w:top w:val="none" w:sz="0" w:space="0" w:color="auto"/>
                <w:left w:val="none" w:sz="0" w:space="0" w:color="auto"/>
                <w:bottom w:val="none" w:sz="0" w:space="0" w:color="auto"/>
                <w:right w:val="none" w:sz="0" w:space="0" w:color="auto"/>
              </w:divBdr>
              <w:divsChild>
                <w:div w:id="273290620">
                  <w:marLeft w:val="0"/>
                  <w:marRight w:val="0"/>
                  <w:marTop w:val="0"/>
                  <w:marBottom w:val="0"/>
                  <w:divBdr>
                    <w:top w:val="none" w:sz="0" w:space="0" w:color="auto"/>
                    <w:left w:val="none" w:sz="0" w:space="0" w:color="auto"/>
                    <w:bottom w:val="none" w:sz="0" w:space="0" w:color="auto"/>
                    <w:right w:val="none" w:sz="0" w:space="0" w:color="auto"/>
                  </w:divBdr>
                  <w:divsChild>
                    <w:div w:id="540628738">
                      <w:marLeft w:val="0"/>
                      <w:marRight w:val="0"/>
                      <w:marTop w:val="0"/>
                      <w:marBottom w:val="0"/>
                      <w:divBdr>
                        <w:top w:val="single" w:sz="6" w:space="9" w:color="D0D0D0"/>
                        <w:left w:val="single" w:sz="6" w:space="9" w:color="D0D0D0"/>
                        <w:bottom w:val="single" w:sz="6" w:space="9" w:color="D0D0D0"/>
                        <w:right w:val="single" w:sz="6" w:space="9" w:color="D0D0D0"/>
                      </w:divBdr>
                    </w:div>
                  </w:divsChild>
                </w:div>
              </w:divsChild>
            </w:div>
          </w:divsChild>
        </w:div>
      </w:divsChild>
    </w:div>
    <w:div w:id="1449547367">
      <w:bodyDiv w:val="1"/>
      <w:marLeft w:val="0"/>
      <w:marRight w:val="0"/>
      <w:marTop w:val="0"/>
      <w:marBottom w:val="0"/>
      <w:divBdr>
        <w:top w:val="none" w:sz="0" w:space="0" w:color="auto"/>
        <w:left w:val="none" w:sz="0" w:space="0" w:color="auto"/>
        <w:bottom w:val="none" w:sz="0" w:space="0" w:color="auto"/>
        <w:right w:val="none" w:sz="0" w:space="0" w:color="auto"/>
      </w:divBdr>
    </w:div>
    <w:div w:id="1652950329">
      <w:bodyDiv w:val="1"/>
      <w:marLeft w:val="0"/>
      <w:marRight w:val="0"/>
      <w:marTop w:val="0"/>
      <w:marBottom w:val="0"/>
      <w:divBdr>
        <w:top w:val="none" w:sz="0" w:space="0" w:color="auto"/>
        <w:left w:val="none" w:sz="0" w:space="0" w:color="auto"/>
        <w:bottom w:val="none" w:sz="0" w:space="0" w:color="auto"/>
        <w:right w:val="none" w:sz="0" w:space="0" w:color="auto"/>
      </w:divBdr>
    </w:div>
    <w:div w:id="1715234670">
      <w:bodyDiv w:val="1"/>
      <w:marLeft w:val="0"/>
      <w:marRight w:val="0"/>
      <w:marTop w:val="0"/>
      <w:marBottom w:val="0"/>
      <w:divBdr>
        <w:top w:val="none" w:sz="0" w:space="0" w:color="auto"/>
        <w:left w:val="none" w:sz="0" w:space="0" w:color="auto"/>
        <w:bottom w:val="none" w:sz="0" w:space="0" w:color="auto"/>
        <w:right w:val="none" w:sz="0" w:space="0" w:color="auto"/>
      </w:divBdr>
    </w:div>
    <w:div w:id="1781295436">
      <w:bodyDiv w:val="1"/>
      <w:marLeft w:val="0"/>
      <w:marRight w:val="0"/>
      <w:marTop w:val="0"/>
      <w:marBottom w:val="0"/>
      <w:divBdr>
        <w:top w:val="none" w:sz="0" w:space="0" w:color="auto"/>
        <w:left w:val="none" w:sz="0" w:space="0" w:color="auto"/>
        <w:bottom w:val="none" w:sz="0" w:space="0" w:color="auto"/>
        <w:right w:val="none" w:sz="0" w:space="0" w:color="auto"/>
      </w:divBdr>
    </w:div>
    <w:div w:id="1804032849">
      <w:bodyDiv w:val="1"/>
      <w:marLeft w:val="0"/>
      <w:marRight w:val="0"/>
      <w:marTop w:val="0"/>
      <w:marBottom w:val="0"/>
      <w:divBdr>
        <w:top w:val="none" w:sz="0" w:space="0" w:color="auto"/>
        <w:left w:val="none" w:sz="0" w:space="0" w:color="auto"/>
        <w:bottom w:val="none" w:sz="0" w:space="0" w:color="auto"/>
        <w:right w:val="none" w:sz="0" w:space="0" w:color="auto"/>
      </w:divBdr>
    </w:div>
    <w:div w:id="1838182473">
      <w:bodyDiv w:val="1"/>
      <w:marLeft w:val="0"/>
      <w:marRight w:val="0"/>
      <w:marTop w:val="0"/>
      <w:marBottom w:val="0"/>
      <w:divBdr>
        <w:top w:val="none" w:sz="0" w:space="0" w:color="auto"/>
        <w:left w:val="none" w:sz="0" w:space="0" w:color="auto"/>
        <w:bottom w:val="none" w:sz="0" w:space="0" w:color="auto"/>
        <w:right w:val="none" w:sz="0" w:space="0" w:color="auto"/>
      </w:divBdr>
    </w:div>
    <w:div w:id="1848247059">
      <w:bodyDiv w:val="1"/>
      <w:marLeft w:val="0"/>
      <w:marRight w:val="0"/>
      <w:marTop w:val="0"/>
      <w:marBottom w:val="0"/>
      <w:divBdr>
        <w:top w:val="none" w:sz="0" w:space="0" w:color="auto"/>
        <w:left w:val="none" w:sz="0" w:space="0" w:color="auto"/>
        <w:bottom w:val="none" w:sz="0" w:space="0" w:color="auto"/>
        <w:right w:val="none" w:sz="0" w:space="0" w:color="auto"/>
      </w:divBdr>
    </w:div>
    <w:div w:id="1922834298">
      <w:bodyDiv w:val="1"/>
      <w:marLeft w:val="0"/>
      <w:marRight w:val="0"/>
      <w:marTop w:val="0"/>
      <w:marBottom w:val="0"/>
      <w:divBdr>
        <w:top w:val="none" w:sz="0" w:space="0" w:color="auto"/>
        <w:left w:val="none" w:sz="0" w:space="0" w:color="auto"/>
        <w:bottom w:val="none" w:sz="0" w:space="0" w:color="auto"/>
        <w:right w:val="none" w:sz="0" w:space="0" w:color="auto"/>
      </w:divBdr>
    </w:div>
    <w:div w:id="1935748265">
      <w:bodyDiv w:val="1"/>
      <w:marLeft w:val="0"/>
      <w:marRight w:val="0"/>
      <w:marTop w:val="0"/>
      <w:marBottom w:val="0"/>
      <w:divBdr>
        <w:top w:val="none" w:sz="0" w:space="0" w:color="auto"/>
        <w:left w:val="none" w:sz="0" w:space="0" w:color="auto"/>
        <w:bottom w:val="none" w:sz="0" w:space="0" w:color="auto"/>
        <w:right w:val="none" w:sz="0" w:space="0" w:color="auto"/>
      </w:divBdr>
    </w:div>
    <w:div w:id="1945991896">
      <w:bodyDiv w:val="1"/>
      <w:marLeft w:val="0"/>
      <w:marRight w:val="0"/>
      <w:marTop w:val="0"/>
      <w:marBottom w:val="0"/>
      <w:divBdr>
        <w:top w:val="none" w:sz="0" w:space="0" w:color="auto"/>
        <w:left w:val="none" w:sz="0" w:space="0" w:color="auto"/>
        <w:bottom w:val="none" w:sz="0" w:space="0" w:color="auto"/>
        <w:right w:val="none" w:sz="0" w:space="0" w:color="auto"/>
      </w:divBdr>
    </w:div>
    <w:div w:id="2057386294">
      <w:bodyDiv w:val="1"/>
      <w:marLeft w:val="0"/>
      <w:marRight w:val="0"/>
      <w:marTop w:val="0"/>
      <w:marBottom w:val="0"/>
      <w:divBdr>
        <w:top w:val="none" w:sz="0" w:space="0" w:color="auto"/>
        <w:left w:val="none" w:sz="0" w:space="0" w:color="auto"/>
        <w:bottom w:val="none" w:sz="0" w:space="0" w:color="auto"/>
        <w:right w:val="none" w:sz="0" w:space="0" w:color="auto"/>
      </w:divBdr>
    </w:div>
    <w:div w:id="2069259993">
      <w:bodyDiv w:val="1"/>
      <w:marLeft w:val="0"/>
      <w:marRight w:val="0"/>
      <w:marTop w:val="0"/>
      <w:marBottom w:val="0"/>
      <w:divBdr>
        <w:top w:val="none" w:sz="0" w:space="0" w:color="auto"/>
        <w:left w:val="none" w:sz="0" w:space="0" w:color="auto"/>
        <w:bottom w:val="none" w:sz="0" w:space="0" w:color="auto"/>
        <w:right w:val="none" w:sz="0" w:space="0" w:color="auto"/>
      </w:divBdr>
    </w:div>
    <w:div w:id="210371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Llo25</b:Tag>
    <b:SourceType>InternetSite</b:SourceType>
    <b:Guid>{F129808A-26E3-4753-B5F0-102DB2B65A72}</b:Guid>
    <b:Author>
      <b:Author>
        <b:Corporate>Lloyds Banking Group plc</b:Corporate>
      </b:Author>
    </b:Author>
    <b:Title>Home - Lloyds Banking Group plc</b:Title>
    <b:Year>2025</b:Year>
    <b:YearAccessed>2025</b:YearAccessed>
    <b:MonthAccessed>July</b:MonthAccessed>
    <b:DayAccessed>17</b:DayAccessed>
    <b:URL>https://www.lloydsbankinggroup.com/</b:URL>
    <b:RefOrder>1</b:RefOrder>
  </b:Source>
  <b:Source>
    <b:Tag>Gra01</b:Tag>
    <b:SourceType>JournalArticle</b:SourceType>
    <b:Guid>{989DE438-1969-4A4F-A4DE-E71A5671BBE3}</b:Guid>
    <b:Title>The Theory and Practice of Corporate Finance: Evidence from the Field</b:Title>
    <b:Year>2001</b:Year>
    <b:Author>
      <b:Author>
        <b:NameList>
          <b:Person>
            <b:Last>Graham</b:Last>
            <b:First>J.R.</b:First>
            <b:Middle>and Harvey, C.R.</b:Middle>
          </b:Person>
        </b:NameList>
      </b:Author>
    </b:Author>
    <b:JournalName>Journal of Financial Economics</b:JournalName>
    <b:Pages>187-243</b:Pages>
    <b:Volume>60</b:Volume>
    <b:RefOrder>2</b:RefOrder>
  </b:Source>
  <b:Source>
    <b:Tag>Deu24</b:Tag>
    <b:SourceType>InternetSite</b:SourceType>
    <b:Guid>{B6DFA18B-A1C5-4CE4-82C9-9FEFF5CEB48A}</b:Guid>
    <b:Author>
      <b:Author>
        <b:Corporate>Deutsche Bundesbank</b:Corporate>
      </b:Author>
    </b:Author>
    <b:Title>Basel III monitoring | Deutsche Bundesbank</b:Title>
    <b:Year>2024</b:Year>
    <b:YearAccessed>2025</b:YearAccessed>
    <b:MonthAccessed>July</b:MonthAccessed>
    <b:DayAccessed>17</b:DayAccessed>
    <b:URL>https://www.bundesbank.de/en/tasks/banking-supervision/legal-basis/basel-framework/basel-iii-monitoring-622584</b:URL>
    <b:RefOrder>3</b:RefOrder>
  </b:Source>
  <b:Source>
    <b:Tag>Sau12</b:Tag>
    <b:SourceType>Book</b:SourceType>
    <b:Guid>{4D78DF49-1FB1-4BAC-94D3-CC637269A5ED}</b:Guid>
    <b:Title>Financial Markets and Institutions</b:Title>
    <b:Year>2012</b:Year>
    <b:Author>
      <b:Author>
        <b:NameList>
          <b:Person>
            <b:Last>Saunders</b:Last>
            <b:First>A.</b:First>
            <b:Middle>and Cornett, M.M.</b:Middle>
          </b:Person>
        </b:NameList>
      </b:Author>
    </b:Author>
    <b:City>New York</b:City>
    <b:Publisher>McGraw-Hill/Irwin</b:Publisher>
    <b:Edition>5th</b:Edition>
    <b:RefOrder>5</b:RefOrder>
  </b:Source>
  <b:Source>
    <b:Tag>Lin56</b:Tag>
    <b:SourceType>JournalArticle</b:SourceType>
    <b:Guid>{FF93B93F-5D5F-4EC4-992B-34EB7BD92162}</b:Guid>
    <b:Title>Distribution of Incomes of Corporations Among Dividends, Retained Earnings, and Taxes</b:Title>
    <b:Year>1956</b:Year>
    <b:Author>
      <b:Author>
        <b:NameList>
          <b:Person>
            <b:Last>Lintner</b:Last>
            <b:First>J.</b:First>
          </b:Person>
        </b:NameList>
      </b:Author>
    </b:Author>
    <b:JournalName>The American Economic Review</b:JournalName>
    <b:Pages>97-113</b:Pages>
    <b:Volume>46</b:Volume>
    <b:Issue>2</b:Issue>
    <b:RefOrder>6</b:RefOrder>
  </b:Source>
  <b:Source>
    <b:Tag>Pal25</b:Tag>
    <b:SourceType>InternetSite</b:SourceType>
    <b:Guid>{424F7164-C0BB-4C25-91F7-8319098662D8}</b:Guid>
    <b:Title>What Is Net Profit Margin? Formula and Examples</b:Title>
    <b:Year>2025</b:Year>
    <b:Author>
      <b:Author>
        <b:NameList>
          <b:Person>
            <b:Last>Palasciano</b:Last>
            <b:First>A.</b:First>
          </b:Person>
        </b:NameList>
      </b:Author>
    </b:Author>
    <b:YearAccessed>2025</b:YearAccessed>
    <b:MonthAccessed>July</b:MonthAccessed>
    <b:DayAccessed>17</b:DayAccessed>
    <b:URL>https://www.investopedia.com/terms/n/net_margin.asp</b:URL>
    <b:RefOrder>7</b:RefOrder>
  </b:Source>
  <b:Source>
    <b:Tag>Fer25</b:Tag>
    <b:SourceType>InternetSite</b:SourceType>
    <b:Guid>{9062AC9F-1491-4BEA-87D9-0202CB1A8BEE}</b:Guid>
    <b:Author>
      <b:Author>
        <b:NameList>
          <b:Person>
            <b:Last>Fernando</b:Last>
            <b:First>J.</b:First>
          </b:Person>
        </b:NameList>
      </b:Author>
    </b:Author>
    <b:Title>Retained Earnings in Accounting and What They Can Tell You</b:Title>
    <b:Year>2025</b:Year>
    <b:YearAccessed>2025</b:YearAccessed>
    <b:MonthAccessed>July</b:MonthAccessed>
    <b:DayAccessed>17</b:DayAccessed>
    <b:URL>https://www.investopedia.com/terms/r/retainedearnings.asp</b:URL>
    <b:RefOrder>8</b:RefOrder>
  </b:Source>
  <b:Source>
    <b:Tag>Bos24</b:Tag>
    <b:SourceType>DocumentFromInternetSite</b:SourceType>
    <b:Guid>{C82ACA6D-3641-4A95-A541-D674482D0C5F}</b:Guid>
    <b:Title>MBA7060 (docx) - CliffsNotes</b:Title>
    <b:Year>2024</b:Year>
    <b:YearAccessed>2025</b:YearAccessed>
    <b:MonthAccessed>July</b:MonthAccessed>
    <b:DayAccessed>17</b:DayAccessed>
    <b:URL>https://www.cliffsnotes.com/study-notes/23137996?utm_source</b:URL>
    <b:Author>
      <b:Author>
        <b:NameList>
          <b:Person>
            <b:Last>Boscanean</b:Last>
            <b:First>M.</b:First>
          </b:Person>
        </b:NameList>
      </b:Author>
    </b:Author>
    <b:Month>December</b:Month>
    <b:Day>16</b:Day>
    <b:RefOrder>9</b:RefOrder>
  </b:Source>
  <b:Source>
    <b:Tag>Llo251</b:Tag>
    <b:SourceType>DocumentFromInternetSite</b:SourceType>
    <b:Guid>{9A5D1959-3931-4DD4-824C-E2BCFF2C8EDF}</b:Guid>
    <b:Author>
      <b:Author>
        <b:Corporate>Lloyds Banking Group PLC</b:Corporate>
      </b:Author>
    </b:Author>
    <b:Title>S&amp;P Global Ratings</b:Title>
    <b:Year>2025</b:Year>
    <b:Month>June</b:Month>
    <b:Day>24</b:Day>
    <b:YearAccessed>2025</b:YearAccessed>
    <b:MonthAccessed>July</b:MonthAccessed>
    <b:DayAccessed>17</b:DayAccessed>
    <b:URL>chrome-extension://efaidnbmnnnibpcajpcglclefindmkaj/https://www.lloydsbankinggroup.com/assets/pdfs/investors/fixed-income-investors/credit-ratings/lbg/sp-lbg-24jun2025.pdf</b:URL>
    <b:RefOrder>10</b:RefOrder>
  </b:Source>
  <b:Source>
    <b:Tag>Ban19</b:Tag>
    <b:SourceType>DocumentFromInternetSite</b:SourceType>
    <b:Guid>{E39828A1-C833-452F-B632-C09EDB58992D}</b:Guid>
    <b:Author>
      <b:Author>
        <b:Corporate>Bank for International Settlements</b:Corporate>
      </b:Author>
    </b:Author>
    <b:Title>Basel Committee on Banking Supervision</b:Title>
    <b:Year>2019</b:Year>
    <b:Month>October</b:Month>
    <b:YearAccessed>2025</b:YearAccessed>
    <b:MonthAccessed>July</b:MonthAccessed>
    <b:DayAccessed>18</b:DayAccessed>
    <b:URL>chrome-extension://efaidnbmnnnibpcajpcglclefindmkaj/https://www.bis.org/bcbs/publ/d477.pdf?utm_source</b:URL>
    <b:RefOrder>11</b:RefOrder>
  </b:Source>
  <b:Source>
    <b:Tag>Sir21</b:Tag>
    <b:SourceType>DocumentFromInternetSite</b:SourceType>
    <b:Guid>{3A228339-44E2-4DBA-AC00-73AD16CB3E5B}</b:Guid>
    <b:Author>
      <b:Author>
        <b:Corporate>Siri Almqvist and Oskar Nordin</b:Corporate>
      </b:Author>
    </b:Author>
    <b:Title>Effects of an Adverse Macroeconomic Scenario on Credit Risk Transition Matrices</b:Title>
    <b:Year>2021</b:Year>
    <b:YearAccessed>2025</b:YearAccessed>
    <b:MonthAccessed>July</b:MonthAccessed>
    <b:DayAccessed>21</b:DayAccessed>
    <b:URL>chrome-extension://efaidnbmnnnibpcajpcglclefindmkaj/https://www.diva-portal.org/smash/get/diva2%3A1575027/FULLTEXT01.pdf?utm_source</b:URL>
    <b:RefOrder>4</b:RefOrder>
  </b:Source>
  <b:Source>
    <b:Tag>Llo24</b:Tag>
    <b:SourceType>InternetSite</b:SourceType>
    <b:Guid>{1D3A9C37-3FA5-487F-AD38-C041CB785728}</b:Guid>
    <b:Title>Performance Summary</b:Title>
    <b:Year>2024</b:Year>
    <b:YearAccessed>2025</b:YearAccessed>
    <b:MonthAccessed>July</b:MonthAccessed>
    <b:DayAccessed>18</b:DayAccessed>
    <b:URL>chrome-extension://efaidnbmnnnibpcajpcglclefindmkaj/https://www.lloydsbankinggroup.com/assets/pdfs/investors/annual-report/2024/2024-lbg-performance-summary.pdf</b:URL>
    <b:Author>
      <b:Author>
        <b:Corporate>Lloyds Banking Group plc</b:Corporate>
      </b:Author>
    </b:Author>
    <b:RefOrder>12</b:RefOrder>
  </b:Source>
  <b:Source>
    <b:Tag>Bap22</b:Tag>
    <b:SourceType>JournalArticle</b:SourceType>
    <b:Guid>{D9038066-324D-4C59-9AB5-27629307C9D9}</b:Guid>
    <b:Title>Innovation Management Case Study</b:Title>
    <b:Year>2022</b:Year>
    <b:Author>
      <b:Author>
        <b:NameList>
          <b:Person>
            <b:Last>Baporikar</b:Last>
            <b:First>N.</b:First>
          </b:Person>
        </b:NameList>
      </b:Author>
    </b:Author>
    <b:JournalName>International Journal of Innovation in the Digital Economy</b:JournalName>
    <b:Pages>1-11</b:Pages>
    <b:Volume>13</b:Volume>
    <b:Issue>1</b:Issue>
    <b:RefOrder>13</b:RefOrder>
  </b:Source>
  <b:Source>
    <b:Tag>Gra03</b:Tag>
    <b:SourceType>JournalArticle</b:SourceType>
    <b:Guid>{3D492F17-F643-4F79-B07E-02F932B6E479}</b:Guid>
    <b:Author>
      <b:Author>
        <b:NameList>
          <b:Person>
            <b:Last>Graham</b:Last>
            <b:First>J.,</b:First>
            <b:Middle>Harvey, C.R.</b:Middle>
          </b:Person>
        </b:NameList>
      </b:Author>
    </b:Author>
    <b:Title>The Theory and Practice of Corporate Finance: The Data</b:Title>
    <b:JournalName>SSRN Electronic Journal</b:JournalName>
    <b:Year>2003</b:Year>
    <b:RefOrder>14</b:RefOrder>
  </b:Source>
  <b:Source>
    <b:Tag>Bry00</b:Tag>
    <b:SourceType>JournalArticle</b:SourceType>
    <b:Guid>{A954727C-EB96-4B77-8516-5FA1156D9EBC}</b:Guid>
    <b:Author>
      <b:Author>
        <b:NameList>
          <b:Person>
            <b:Last>Brynjolfsson</b:Last>
            <b:First>E.,</b:First>
            <b:Middle>Smith, M.D.</b:Middle>
          </b:Person>
        </b:NameList>
      </b:Author>
    </b:Author>
    <b:Title>Frictionless Commerce? A Comparison of Internet and Conventional Retailers</b:Title>
    <b:JournalName>Management Science</b:JournalName>
    <b:Year>2000</b:Year>
    <b:Pages>563-585</b:Pages>
    <b:Volume>46</b:Volume>
    <b:Issue>4</b:Issue>
    <b:RefOrder>15</b:RefOrder>
  </b:Source>
  <b:Source>
    <b:Tag>Bru18</b:Tag>
    <b:SourceType>JournalArticle</b:SourceType>
    <b:Guid>{2B971490-8FEB-486B-BE50-61CCA972A207}</b:Guid>
    <b:Author>
      <b:Author>
        <b:NameList>
          <b:Person>
            <b:Last>Bruijl</b:Last>
            <b:First>G.</b:First>
          </b:Person>
        </b:NameList>
      </b:Author>
    </b:Author>
    <b:Title>The Relevance of Porter's Five Forces in Today's Innovative and Changing Business Environment</b:Title>
    <b:JournalName>SSRN Electronic Journal</b:JournalName>
    <b:Year>2018</b:Year>
    <b:RefOrder>16</b:RefOrder>
  </b:Source>
  <b:Source>
    <b:Tag>Yar00</b:Tag>
    <b:SourceType>JournalArticle</b:SourceType>
    <b:Guid>{2E4FFE43-7446-4F9A-86FE-BE52D05EF278}</b:Guid>
    <b:Author>
      <b:Author>
        <b:NameList>
          <b:Person>
            <b:Last>Yard</b:Last>
            <b:First>S.</b:First>
          </b:Person>
        </b:NameList>
      </b:Author>
    </b:Author>
    <b:Title>Developments of the payback method</b:Title>
    <b:JournalName>International Journal of Production Economics</b:JournalName>
    <b:Year>2000</b:Year>
    <b:Pages>155-167</b:Pages>
    <b:Volume>67</b:Volume>
    <b:Issue>2</b:Issue>
    <b:RefOrder>17</b:RefOrder>
  </b:Source>
  <b:Source>
    <b:Tag>Adk25</b:Tag>
    <b:SourceType>InternetSite</b:SourceType>
    <b:Guid>{2531953F-8844-4E1F-8BA4-4EDD1C2562EC}</b:Guid>
    <b:Title>Optimal Use of Financial Leverage in a Corporate Capital Structure</b:Title>
    <b:Year>2025</b:Year>
    <b:Author>
      <b:Author>
        <b:NameList>
          <b:Person>
            <b:Last>Adkins</b:Last>
            <b:First>T.</b:First>
          </b:Person>
        </b:NameList>
      </b:Author>
    </b:Author>
    <b:YearAccessed>2025</b:YearAccessed>
    <b:MonthAccessed>July</b:MonthAccessed>
    <b:DayAccessed>18</b:DayAccessed>
    <b:URL>https://www.investopedia.com/articles/investing/111813/optimal-use-financial-leverage-corporate-capital-structure.asp?utm_source</b:URL>
    <b:RefOrder>18</b:RefOrder>
  </b:Source>
</b:Sources>
</file>

<file path=customXml/itemProps1.xml><?xml version="1.0" encoding="utf-8"?>
<ds:datastoreItem xmlns:ds="http://schemas.openxmlformats.org/officeDocument/2006/customXml" ds:itemID="{B9BC5582-7733-4B44-A2B4-B893EB71A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28</Pages>
  <Words>5900</Words>
  <Characters>33633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BMMB7005D; Finance for Business Managers</dc:subject>
  <dc:creator>Marie Pitson</dc:creator>
  <cp:keywords/>
  <dc:description/>
  <cp:lastModifiedBy>chathuranga2380@gmail.com</cp:lastModifiedBy>
  <cp:revision>210</cp:revision>
  <dcterms:created xsi:type="dcterms:W3CDTF">2024-10-21T13:17:00Z</dcterms:created>
  <dcterms:modified xsi:type="dcterms:W3CDTF">2025-07-21T14:35:00Z</dcterms:modified>
</cp:coreProperties>
</file>