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07564" w14:textId="3F62F85D" w:rsidR="007E0D6D" w:rsidRPr="007E0D6D" w:rsidRDefault="007E0D6D" w:rsidP="007E0D6D">
      <w:pPr>
        <w:jc w:val="center"/>
        <w:rPr>
          <w:sz w:val="28"/>
          <w:szCs w:val="28"/>
          <w:u w:val="single"/>
        </w:rPr>
      </w:pPr>
      <w:r w:rsidRPr="007E0D6D">
        <w:rPr>
          <w:sz w:val="28"/>
          <w:szCs w:val="28"/>
          <w:u w:val="single"/>
        </w:rPr>
        <w:t xml:space="preserve">Object Biography of </w:t>
      </w:r>
      <w:r>
        <w:rPr>
          <w:sz w:val="28"/>
          <w:szCs w:val="28"/>
          <w:u w:val="single"/>
        </w:rPr>
        <w:t xml:space="preserve">pottery sherd from </w:t>
      </w:r>
      <w:r w:rsidRPr="007E0D6D">
        <w:rPr>
          <w:sz w:val="28"/>
          <w:szCs w:val="28"/>
          <w:u w:val="single"/>
        </w:rPr>
        <w:t>Bowes Castle 34</w:t>
      </w:r>
      <w:r>
        <w:rPr>
          <w:sz w:val="28"/>
          <w:szCs w:val="28"/>
          <w:u w:val="single"/>
        </w:rPr>
        <w:t xml:space="preserve">, </w:t>
      </w:r>
      <w:r w:rsidRPr="007E0D6D">
        <w:rPr>
          <w:sz w:val="28"/>
          <w:szCs w:val="28"/>
          <w:u w:val="single"/>
        </w:rPr>
        <w:t>in the collection of the University of Wales Trinity Saint David Archaeology department.</w:t>
      </w:r>
    </w:p>
    <w:p w14:paraId="68538E66" w14:textId="77777777" w:rsidR="007E0D6D" w:rsidRDefault="007E0D6D" w:rsidP="007E0D6D">
      <w:pPr>
        <w:rPr>
          <w:sz w:val="28"/>
          <w:szCs w:val="28"/>
        </w:rPr>
      </w:pPr>
    </w:p>
    <w:p w14:paraId="39B87F04" w14:textId="20CAE13A" w:rsidR="007E0D6D" w:rsidRDefault="007E0D6D" w:rsidP="007E0D6D">
      <w:pPr>
        <w:rPr>
          <w:sz w:val="28"/>
          <w:szCs w:val="28"/>
        </w:rPr>
      </w:pPr>
      <w:r>
        <w:rPr>
          <w:noProof/>
        </w:rPr>
        <w:drawing>
          <wp:anchor distT="0" distB="0" distL="114300" distR="114300" simplePos="0" relativeHeight="251658240" behindDoc="1" locked="0" layoutInCell="1" allowOverlap="1" wp14:anchorId="22519879" wp14:editId="6CF71783">
            <wp:simplePos x="0" y="0"/>
            <wp:positionH relativeFrom="column">
              <wp:posOffset>1968500</wp:posOffset>
            </wp:positionH>
            <wp:positionV relativeFrom="paragraph">
              <wp:posOffset>1155700</wp:posOffset>
            </wp:positionV>
            <wp:extent cx="3496310" cy="1570990"/>
            <wp:effectExtent l="0" t="0" r="0" b="3810"/>
            <wp:wrapSquare wrapText="bothSides"/>
            <wp:docPr id="825750089"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6310" cy="15709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60EA103B" wp14:editId="41E997B9">
                <wp:simplePos x="0" y="0"/>
                <wp:positionH relativeFrom="column">
                  <wp:posOffset>1968500</wp:posOffset>
                </wp:positionH>
                <wp:positionV relativeFrom="paragraph">
                  <wp:posOffset>2834640</wp:posOffset>
                </wp:positionV>
                <wp:extent cx="3496310" cy="635"/>
                <wp:effectExtent l="0" t="0" r="0" b="0"/>
                <wp:wrapSquare wrapText="bothSides"/>
                <wp:docPr id="1148627277" name="Text Box 1"/>
                <wp:cNvGraphicFramePr/>
                <a:graphic xmlns:a="http://schemas.openxmlformats.org/drawingml/2006/main">
                  <a:graphicData uri="http://schemas.microsoft.com/office/word/2010/wordprocessingShape">
                    <wps:wsp>
                      <wps:cNvSpPr txBox="1"/>
                      <wps:spPr>
                        <a:xfrm>
                          <a:off x="0" y="0"/>
                          <a:ext cx="3496310" cy="635"/>
                        </a:xfrm>
                        <a:prstGeom prst="rect">
                          <a:avLst/>
                        </a:prstGeom>
                        <a:solidFill>
                          <a:prstClr val="white"/>
                        </a:solidFill>
                        <a:ln>
                          <a:noFill/>
                        </a:ln>
                      </wps:spPr>
                      <wps:txbx>
                        <w:txbxContent>
                          <w:p w14:paraId="43BC68D6" w14:textId="3E936D59" w:rsidR="007E0D6D" w:rsidRPr="00EE1F3F" w:rsidRDefault="007E0D6D" w:rsidP="007E0D6D">
                            <w:pPr>
                              <w:pStyle w:val="Caption"/>
                              <w:rPr>
                                <w:noProof/>
                              </w:rPr>
                            </w:pPr>
                            <w:r>
                              <w:t xml:space="preserve">Figure </w:t>
                            </w:r>
                            <w:fldSimple w:instr=" SEQ Figure \* ARABIC ">
                              <w:r>
                                <w:rPr>
                                  <w:noProof/>
                                </w:rPr>
                                <w:t>1</w:t>
                              </w:r>
                            </w:fldSimple>
                            <w:r>
                              <w:t>. The sherd from Bowes Castle 34. In the hand of student,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EA103B" id="_x0000_t202" coordsize="21600,21600" o:spt="202" path="m,l,21600r21600,l21600,xe">
                <v:stroke joinstyle="miter"/>
                <v:path gradientshapeok="t" o:connecttype="rect"/>
              </v:shapetype>
              <v:shape id="Text Box 1" o:spid="_x0000_s1026" type="#_x0000_t202" style="position:absolute;margin-left:155pt;margin-top:223.2pt;width:275.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" stroked="f">
                <v:textbox style="mso-fit-shape-to-text:t" inset="0,0,0,0">
                  <w:txbxContent>
                    <w:p w14:paraId="43BC68D6" w14:textId="3E936D59" w:rsidR="007E0D6D" w:rsidRPr="00EE1F3F" w:rsidRDefault="007E0D6D" w:rsidP="007E0D6D">
                      <w:pPr>
                        <w:pStyle w:val="Caption"/>
                        <w:rPr>
                          <w:noProof/>
                        </w:rPr>
                      </w:pPr>
                      <w:r>
                        <w:t xml:space="preserve">Figure </w:t>
                      </w:r>
                      <w:fldSimple w:instr=" SEQ Figure \* ARABIC ">
                        <w:r>
                          <w:rPr>
                            <w:noProof/>
                          </w:rPr>
                          <w:t>1</w:t>
                        </w:r>
                      </w:fldSimple>
                      <w:r>
                        <w:t>. The sherd from Bowes Castle 34. In the hand of student, Caradoc Ewing (2024)</w:t>
                      </w:r>
                    </w:p>
                  </w:txbxContent>
                </v:textbox>
                <w10:wrap type="square"/>
              </v:shape>
            </w:pict>
          </mc:Fallback>
        </mc:AlternateContent>
      </w:r>
      <w:r>
        <w:rPr>
          <w:sz w:val="28"/>
          <w:szCs w:val="28"/>
        </w:rPr>
        <w:tab/>
        <w:t>In the possession of the Lampeter campus Archaeology department of the University of Wales Trinity Saint David, is a large collection of pottery fragments that span antiquity to the modern day. There are several artefacts among these that exhibit medieval green glaze technique</w:t>
      </w:r>
      <w:r w:rsidR="001A1363">
        <w:rPr>
          <w:sz w:val="28"/>
          <w:szCs w:val="28"/>
        </w:rPr>
        <w:t>s</w:t>
      </w:r>
      <w:r>
        <w:rPr>
          <w:sz w:val="28"/>
          <w:szCs w:val="28"/>
        </w:rPr>
        <w:t xml:space="preserve">. A collection from the Bowes Castle excavations in North Yorkshire make up a large </w:t>
      </w:r>
      <w:r w:rsidR="001A1363">
        <w:rPr>
          <w:sz w:val="28"/>
          <w:szCs w:val="28"/>
        </w:rPr>
        <w:t>proportion</w:t>
      </w:r>
      <w:r>
        <w:rPr>
          <w:sz w:val="28"/>
          <w:szCs w:val="28"/>
        </w:rPr>
        <w:t xml:space="preserve"> of these artefacts. The sherds exhibit a wide range of decoration techniques and possible functions. The find that will be discussed in this essay is pictured here(fig.1.). This essay will assess the location of the find, its decoration and clues of its construction to help shine a light on its purpose and on the people who perhaps used it.</w:t>
      </w:r>
    </w:p>
    <w:p w14:paraId="3843BA8E" w14:textId="77777777" w:rsidR="007E0D6D" w:rsidRDefault="007E0D6D" w:rsidP="007E0D6D">
      <w:pPr>
        <w:rPr>
          <w:sz w:val="28"/>
          <w:szCs w:val="28"/>
        </w:rPr>
      </w:pPr>
    </w:p>
    <w:p w14:paraId="03520666" w14:textId="1CCFAD2A" w:rsidR="007E0D6D" w:rsidRDefault="007E0D6D" w:rsidP="007E0D6D">
      <w:pPr>
        <w:rPr>
          <w:sz w:val="28"/>
          <w:szCs w:val="28"/>
        </w:rPr>
      </w:pPr>
      <w:r>
        <w:rPr>
          <w:sz w:val="28"/>
          <w:szCs w:val="28"/>
        </w:rPr>
        <w:tab/>
        <w:t xml:space="preserve">The find </w:t>
      </w:r>
      <w:r w:rsidR="00E33908">
        <w:rPr>
          <w:sz w:val="28"/>
          <w:szCs w:val="28"/>
        </w:rPr>
        <w:t>was discovered during</w:t>
      </w:r>
      <w:r>
        <w:rPr>
          <w:sz w:val="28"/>
          <w:szCs w:val="28"/>
        </w:rPr>
        <w:t xml:space="preserve"> an excavation on Bowes Castle</w:t>
      </w:r>
      <w:r w:rsidR="00E33908">
        <w:rPr>
          <w:sz w:val="28"/>
          <w:szCs w:val="28"/>
        </w:rPr>
        <w:t>.</w:t>
      </w:r>
      <w:r>
        <w:rPr>
          <w:sz w:val="28"/>
          <w:szCs w:val="28"/>
        </w:rPr>
        <w:t xml:space="preserve"> </w:t>
      </w:r>
      <w:proofErr w:type="gramStart"/>
      <w:r w:rsidR="00E33908">
        <w:rPr>
          <w:sz w:val="28"/>
          <w:szCs w:val="28"/>
        </w:rPr>
        <w:t xml:space="preserve">In order </w:t>
      </w:r>
      <w:r>
        <w:rPr>
          <w:sz w:val="28"/>
          <w:szCs w:val="28"/>
        </w:rPr>
        <w:t>to</w:t>
      </w:r>
      <w:proofErr w:type="gramEnd"/>
      <w:r>
        <w:rPr>
          <w:sz w:val="28"/>
          <w:szCs w:val="28"/>
        </w:rPr>
        <w:t xml:space="preserve"> examine the object fully, a brief context of the otherwise unprovenanced find must be established.  Bowes castle is situated in County Durham roughly 5 miles south</w:t>
      </w:r>
      <w:r w:rsidR="00D42F21">
        <w:rPr>
          <w:sz w:val="28"/>
          <w:szCs w:val="28"/>
        </w:rPr>
        <w:t>-</w:t>
      </w:r>
      <w:r>
        <w:rPr>
          <w:sz w:val="28"/>
          <w:szCs w:val="28"/>
        </w:rPr>
        <w:t xml:space="preserve">west of </w:t>
      </w:r>
      <w:proofErr w:type="gramStart"/>
      <w:r>
        <w:rPr>
          <w:sz w:val="28"/>
          <w:szCs w:val="28"/>
        </w:rPr>
        <w:t>other</w:t>
      </w:r>
      <w:proofErr w:type="gramEnd"/>
      <w:r>
        <w:rPr>
          <w:sz w:val="28"/>
          <w:szCs w:val="28"/>
        </w:rPr>
        <w:t xml:space="preserve"> important site of Barnard Castle. Bowes was built by Henry II between 1171 and 1187 on the site of the Roman fort of </w:t>
      </w:r>
      <w:proofErr w:type="spellStart"/>
      <w:r>
        <w:rPr>
          <w:sz w:val="28"/>
          <w:szCs w:val="28"/>
        </w:rPr>
        <w:t>Lavatris</w:t>
      </w:r>
      <w:proofErr w:type="spellEnd"/>
      <w:r>
        <w:rPr>
          <w:sz w:val="28"/>
          <w:szCs w:val="28"/>
        </w:rPr>
        <w:t xml:space="preserve">. It remained in crown possession until 1233, before it was passed to the Duke of Brittany, </w:t>
      </w:r>
      <w:r w:rsidR="00D42F21">
        <w:rPr>
          <w:sz w:val="28"/>
          <w:szCs w:val="28"/>
        </w:rPr>
        <w:t xml:space="preserve">it then </w:t>
      </w:r>
      <w:r>
        <w:rPr>
          <w:sz w:val="28"/>
          <w:szCs w:val="28"/>
        </w:rPr>
        <w:t>passes to John de Scargill in 1322 and then returned to Royal hands in 1471. By the 17</w:t>
      </w:r>
      <w:r w:rsidRPr="007E0D6D">
        <w:rPr>
          <w:sz w:val="28"/>
          <w:szCs w:val="28"/>
          <w:vertAlign w:val="superscript"/>
        </w:rPr>
        <w:t>th</w:t>
      </w:r>
      <w:r>
        <w:rPr>
          <w:sz w:val="28"/>
          <w:szCs w:val="28"/>
        </w:rPr>
        <w:t xml:space="preserve"> century however, the castle had become unused.</w:t>
      </w:r>
      <w:r>
        <w:rPr>
          <w:rStyle w:val="FootnoteReference"/>
          <w:sz w:val="28"/>
          <w:szCs w:val="28"/>
        </w:rPr>
        <w:footnoteReference w:id="1"/>
      </w:r>
      <w:r>
        <w:rPr>
          <w:sz w:val="28"/>
          <w:szCs w:val="28"/>
        </w:rPr>
        <w:t xml:space="preserve"> The sherd is part of a wheel thrown artefact and exhibits features typical of Humber ware</w:t>
      </w:r>
      <w:r w:rsidR="004F7718">
        <w:rPr>
          <w:sz w:val="28"/>
          <w:szCs w:val="28"/>
        </w:rPr>
        <w:t>s</w:t>
      </w:r>
      <w:r>
        <w:rPr>
          <w:sz w:val="28"/>
          <w:szCs w:val="28"/>
        </w:rPr>
        <w:t xml:space="preserve"> and Bristol Redcliffe type glazed wares. These date from between the mid 13</w:t>
      </w:r>
      <w:r w:rsidRPr="007E0D6D">
        <w:rPr>
          <w:sz w:val="28"/>
          <w:szCs w:val="28"/>
          <w:vertAlign w:val="superscript"/>
        </w:rPr>
        <w:t>th</w:t>
      </w:r>
      <w:r>
        <w:rPr>
          <w:sz w:val="28"/>
          <w:szCs w:val="28"/>
        </w:rPr>
        <w:t xml:space="preserve"> century and early 15</w:t>
      </w:r>
      <w:r w:rsidRPr="007E0D6D">
        <w:rPr>
          <w:sz w:val="28"/>
          <w:szCs w:val="28"/>
          <w:vertAlign w:val="superscript"/>
        </w:rPr>
        <w:t>th</w:t>
      </w:r>
      <w:r>
        <w:rPr>
          <w:sz w:val="28"/>
          <w:szCs w:val="28"/>
        </w:rPr>
        <w:t xml:space="preserve"> century,</w:t>
      </w:r>
      <w:r>
        <w:rPr>
          <w:rStyle w:val="FootnoteReference"/>
          <w:sz w:val="28"/>
          <w:szCs w:val="28"/>
        </w:rPr>
        <w:footnoteReference w:id="2"/>
      </w:r>
      <w:r>
        <w:rPr>
          <w:sz w:val="28"/>
          <w:szCs w:val="28"/>
        </w:rPr>
        <w:t xml:space="preserve"> placing it firmly in the period the castle was out of royal hands. The sherd measures roughly 8cm x 6.5cm in size and is evidently only a tiny fragment of the original vessel. Based on its curvature, it can be inferred that the diameter of the vessel was probably somewhere between 22cm and 25cm. This means we only have roughly 10% of the original circumference available to us in the fragment. </w:t>
      </w:r>
    </w:p>
    <w:p w14:paraId="3CA2D672" w14:textId="77777777" w:rsidR="007E0D6D" w:rsidRDefault="007E0D6D" w:rsidP="007E0D6D">
      <w:pPr>
        <w:rPr>
          <w:sz w:val="28"/>
          <w:szCs w:val="28"/>
        </w:rPr>
      </w:pPr>
    </w:p>
    <w:p w14:paraId="7F8A8C2D" w14:textId="6FD4BBAB" w:rsidR="007E0D6D" w:rsidRDefault="007E0D6D" w:rsidP="007E0D6D">
      <w:pPr>
        <w:ind w:firstLine="720"/>
        <w:rPr>
          <w:sz w:val="28"/>
          <w:szCs w:val="28"/>
        </w:rPr>
      </w:pPr>
      <w:r>
        <w:rPr>
          <w:sz w:val="28"/>
          <w:szCs w:val="28"/>
        </w:rPr>
        <w:t xml:space="preserve">The fabric is </w:t>
      </w:r>
      <w:proofErr w:type="gramStart"/>
      <w:r>
        <w:rPr>
          <w:sz w:val="28"/>
          <w:szCs w:val="28"/>
        </w:rPr>
        <w:t>similar to</w:t>
      </w:r>
      <w:proofErr w:type="gramEnd"/>
      <w:r>
        <w:rPr>
          <w:sz w:val="28"/>
          <w:szCs w:val="28"/>
        </w:rPr>
        <w:t xml:space="preserve"> Humber wares, also exhibiting key feature of Bristol Redcliffe glaze ware pottery such as a sand temper, frequent dark coloured inclusions and a partial roughly applied green glaze toward the top of the fragment</w:t>
      </w:r>
      <w:r w:rsidR="00294807">
        <w:rPr>
          <w:sz w:val="28"/>
          <w:szCs w:val="28"/>
        </w:rPr>
        <w:t>.</w:t>
      </w:r>
      <w:r>
        <w:rPr>
          <w:rStyle w:val="FootnoteReference"/>
          <w:sz w:val="28"/>
          <w:szCs w:val="28"/>
        </w:rPr>
        <w:footnoteReference w:id="3"/>
      </w:r>
      <w:r>
        <w:rPr>
          <w:sz w:val="28"/>
          <w:szCs w:val="28"/>
        </w:rPr>
        <w:t xml:space="preserve"> The inside of the fragment is a </w:t>
      </w:r>
      <w:r>
        <w:rPr>
          <w:noProof/>
        </w:rPr>
        <w:drawing>
          <wp:anchor distT="0" distB="0" distL="114300" distR="114300" simplePos="0" relativeHeight="251661312" behindDoc="1" locked="0" layoutInCell="1" allowOverlap="1" wp14:anchorId="4B085573" wp14:editId="76411A92">
            <wp:simplePos x="0" y="0"/>
            <wp:positionH relativeFrom="column">
              <wp:posOffset>3149600</wp:posOffset>
            </wp:positionH>
            <wp:positionV relativeFrom="paragraph">
              <wp:posOffset>660400</wp:posOffset>
            </wp:positionV>
            <wp:extent cx="2554605" cy="1431290"/>
            <wp:effectExtent l="0" t="0" r="0" b="3810"/>
            <wp:wrapTight wrapText="bothSides">
              <wp:wrapPolygon edited="0">
                <wp:start x="0" y="0"/>
                <wp:lineTo x="0" y="21466"/>
                <wp:lineTo x="21477" y="21466"/>
                <wp:lineTo x="21477" y="0"/>
                <wp:lineTo x="0" y="0"/>
              </wp:wrapPolygon>
            </wp:wrapTight>
            <wp:docPr id="981753413"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l="13936" r="5815"/>
                    <a:stretch/>
                  </pic:blipFill>
                  <pic:spPr bwMode="auto">
                    <a:xfrm>
                      <a:off x="0" y="0"/>
                      <a:ext cx="2554605" cy="1431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 xml:space="preserve">pale grey with evenly spaced </w:t>
      </w:r>
      <w:r w:rsidR="00294807">
        <w:rPr>
          <w:sz w:val="28"/>
          <w:szCs w:val="28"/>
        </w:rPr>
        <w:t>bands</w:t>
      </w:r>
      <w:r w:rsidR="007F5F27">
        <w:rPr>
          <w:sz w:val="28"/>
          <w:szCs w:val="28"/>
        </w:rPr>
        <w:t xml:space="preserve"> running horizontally</w:t>
      </w:r>
      <w:r>
        <w:rPr>
          <w:sz w:val="28"/>
          <w:szCs w:val="28"/>
        </w:rPr>
        <w:t xml:space="preserve"> (fig. 2)</w:t>
      </w:r>
      <w:r>
        <w:rPr>
          <w:noProof/>
        </w:rPr>
        <mc:AlternateContent>
          <mc:Choice Requires="wps">
            <w:drawing>
              <wp:anchor distT="0" distB="0" distL="114300" distR="114300" simplePos="0" relativeHeight="251663360" behindDoc="1" locked="0" layoutInCell="1" allowOverlap="1" wp14:anchorId="70D758DD" wp14:editId="5151ED79">
                <wp:simplePos x="0" y="0"/>
                <wp:positionH relativeFrom="column">
                  <wp:posOffset>3149600</wp:posOffset>
                </wp:positionH>
                <wp:positionV relativeFrom="paragraph">
                  <wp:posOffset>2091690</wp:posOffset>
                </wp:positionV>
                <wp:extent cx="2555875" cy="257810"/>
                <wp:effectExtent l="0" t="0" r="0" b="0"/>
                <wp:wrapTight wrapText="bothSides">
                  <wp:wrapPolygon edited="0">
                    <wp:start x="0" y="0"/>
                    <wp:lineTo x="0" y="20217"/>
                    <wp:lineTo x="21466" y="20217"/>
                    <wp:lineTo x="21466" y="0"/>
                    <wp:lineTo x="0" y="0"/>
                  </wp:wrapPolygon>
                </wp:wrapTight>
                <wp:docPr id="1316140169" name="Text Box 1"/>
                <wp:cNvGraphicFramePr/>
                <a:graphic xmlns:a="http://schemas.openxmlformats.org/drawingml/2006/main">
                  <a:graphicData uri="http://schemas.microsoft.com/office/word/2010/wordprocessingShape">
                    <wps:wsp>
                      <wps:cNvSpPr txBox="1"/>
                      <wps:spPr>
                        <a:xfrm>
                          <a:off x="0" y="0"/>
                          <a:ext cx="2555875" cy="257810"/>
                        </a:xfrm>
                        <a:prstGeom prst="rect">
                          <a:avLst/>
                        </a:prstGeom>
                        <a:solidFill>
                          <a:prstClr val="white"/>
                        </a:solidFill>
                        <a:ln>
                          <a:noFill/>
                        </a:ln>
                      </wps:spPr>
                      <wps:txbx>
                        <w:txbxContent>
                          <w:p w14:paraId="1F5408EA" w14:textId="0BA759D5" w:rsidR="007E0D6D" w:rsidRPr="00534ADA" w:rsidRDefault="007E0D6D" w:rsidP="007E0D6D">
                            <w:pPr>
                              <w:pStyle w:val="Caption"/>
                              <w:rPr>
                                <w:sz w:val="28"/>
                                <w:szCs w:val="28"/>
                              </w:rPr>
                            </w:pPr>
                            <w:r>
                              <w:t xml:space="preserve">Figure </w:t>
                            </w:r>
                            <w:fldSimple w:instr=" SEQ Figure \* ARABIC ">
                              <w:r>
                                <w:rPr>
                                  <w:noProof/>
                                </w:rPr>
                                <w:t>2</w:t>
                              </w:r>
                            </w:fldSimple>
                            <w:r>
                              <w:t>. Inside of the sherd,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758DD" id="_x0000_s1027" type="#_x0000_t202" style="position:absolute;left:0;text-align:left;margin-left:248pt;margin-top:164.7pt;width:201.25pt;height:20.3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" stroked="f">
                <v:textbox inset="0,0,0,0">
                  <w:txbxContent>
                    <w:p w14:paraId="1F5408EA" w14:textId="0BA759D5" w:rsidR="007E0D6D" w:rsidRPr="00534ADA" w:rsidRDefault="007E0D6D" w:rsidP="007E0D6D">
                      <w:pPr>
                        <w:pStyle w:val="Caption"/>
                        <w:rPr>
                          <w:sz w:val="28"/>
                          <w:szCs w:val="28"/>
                        </w:rPr>
                      </w:pPr>
                      <w:r>
                        <w:t xml:space="preserve">Figure </w:t>
                      </w:r>
                      <w:fldSimple w:instr=" SEQ Figure \* ARABIC ">
                        <w:r>
                          <w:rPr>
                            <w:noProof/>
                          </w:rPr>
                          <w:t>2</w:t>
                        </w:r>
                      </w:fldSimple>
                      <w:r>
                        <w:t>. Inside of the sherd, Caradoc Ewing (2024)</w:t>
                      </w:r>
                    </w:p>
                  </w:txbxContent>
                </v:textbox>
                <w10:wrap type="tight"/>
              </v:shape>
            </w:pict>
          </mc:Fallback>
        </mc:AlternateContent>
      </w:r>
      <w:r>
        <w:rPr>
          <w:sz w:val="28"/>
          <w:szCs w:val="28"/>
        </w:rPr>
        <w:t>. These rings could be wheel turning marks or the remains of coiling.</w:t>
      </w:r>
      <w:r>
        <w:rPr>
          <w:rStyle w:val="FootnoteReference"/>
          <w:sz w:val="28"/>
          <w:szCs w:val="28"/>
        </w:rPr>
        <w:footnoteReference w:id="4"/>
      </w:r>
      <w:r>
        <w:rPr>
          <w:sz w:val="28"/>
          <w:szCs w:val="28"/>
        </w:rPr>
        <w:t xml:space="preserve"> However given the date range it seems unlikely to be </w:t>
      </w:r>
      <w:r w:rsidR="00BB626D">
        <w:rPr>
          <w:sz w:val="28"/>
          <w:szCs w:val="28"/>
        </w:rPr>
        <w:t xml:space="preserve">exclusively </w:t>
      </w:r>
      <w:r>
        <w:rPr>
          <w:sz w:val="28"/>
          <w:szCs w:val="28"/>
        </w:rPr>
        <w:t>the latter. Most pots were either entirely wheel thrown</w:t>
      </w:r>
      <w:r w:rsidR="00BB626D">
        <w:rPr>
          <w:sz w:val="28"/>
          <w:szCs w:val="28"/>
        </w:rPr>
        <w:t xml:space="preserve"> or partially </w:t>
      </w:r>
      <w:r>
        <w:rPr>
          <w:sz w:val="28"/>
          <w:szCs w:val="28"/>
        </w:rPr>
        <w:t>coil built and then finished on the wheel. There are no similar signs on the front face of the pot</w:t>
      </w:r>
      <w:r w:rsidR="00227D39">
        <w:rPr>
          <w:sz w:val="28"/>
          <w:szCs w:val="28"/>
        </w:rPr>
        <w:t xml:space="preserve"> which retains a smooth surface</w:t>
      </w:r>
      <w:r>
        <w:rPr>
          <w:sz w:val="28"/>
          <w:szCs w:val="28"/>
        </w:rPr>
        <w:t xml:space="preserve">. Towards the bottom right of the sherd there is evidence of burn marks, this could indicate a usage </w:t>
      </w:r>
      <w:r w:rsidR="00411F37">
        <w:rPr>
          <w:sz w:val="28"/>
          <w:szCs w:val="28"/>
        </w:rPr>
        <w:t>involving</w:t>
      </w:r>
      <w:r w:rsidR="00AE507F">
        <w:rPr>
          <w:sz w:val="28"/>
          <w:szCs w:val="28"/>
        </w:rPr>
        <w:t xml:space="preserve"> </w:t>
      </w:r>
      <w:r w:rsidR="00227D39">
        <w:rPr>
          <w:sz w:val="28"/>
          <w:szCs w:val="28"/>
        </w:rPr>
        <w:t>heat,</w:t>
      </w:r>
      <w:r>
        <w:rPr>
          <w:sz w:val="28"/>
          <w:szCs w:val="28"/>
        </w:rPr>
        <w:t xml:space="preserve"> or simply be from the firing process. </w:t>
      </w:r>
    </w:p>
    <w:p w14:paraId="40C8636B" w14:textId="77777777" w:rsidR="007E0D6D" w:rsidRDefault="007E0D6D" w:rsidP="007E0D6D">
      <w:pPr>
        <w:ind w:firstLine="720"/>
        <w:rPr>
          <w:sz w:val="28"/>
          <w:szCs w:val="28"/>
        </w:rPr>
      </w:pPr>
    </w:p>
    <w:p w14:paraId="0CB1AFF8" w14:textId="27878712" w:rsidR="007E0D6D" w:rsidRDefault="007E0D6D" w:rsidP="007E0D6D">
      <w:pPr>
        <w:ind w:firstLine="720"/>
        <w:rPr>
          <w:sz w:val="28"/>
          <w:szCs w:val="28"/>
        </w:rPr>
      </w:pPr>
      <w:r>
        <w:rPr>
          <w:noProof/>
        </w:rPr>
        <mc:AlternateContent>
          <mc:Choice Requires="wps">
            <w:drawing>
              <wp:anchor distT="0" distB="0" distL="114300" distR="114300" simplePos="0" relativeHeight="251666432" behindDoc="1" locked="0" layoutInCell="1" allowOverlap="1" wp14:anchorId="167066C5" wp14:editId="0D6161DE">
                <wp:simplePos x="0" y="0"/>
                <wp:positionH relativeFrom="column">
                  <wp:posOffset>0</wp:posOffset>
                </wp:positionH>
                <wp:positionV relativeFrom="paragraph">
                  <wp:posOffset>3091180</wp:posOffset>
                </wp:positionV>
                <wp:extent cx="3479800" cy="292100"/>
                <wp:effectExtent l="0" t="0" r="0" b="0"/>
                <wp:wrapTight wrapText="bothSides">
                  <wp:wrapPolygon edited="0">
                    <wp:start x="0" y="0"/>
                    <wp:lineTo x="0" y="20661"/>
                    <wp:lineTo x="21521" y="20661"/>
                    <wp:lineTo x="21521" y="0"/>
                    <wp:lineTo x="0" y="0"/>
                  </wp:wrapPolygon>
                </wp:wrapTight>
                <wp:docPr id="1057224469" name="Text Box 1"/>
                <wp:cNvGraphicFramePr/>
                <a:graphic xmlns:a="http://schemas.openxmlformats.org/drawingml/2006/main">
                  <a:graphicData uri="http://schemas.microsoft.com/office/word/2010/wordprocessingShape">
                    <wps:wsp>
                      <wps:cNvSpPr txBox="1"/>
                      <wps:spPr>
                        <a:xfrm>
                          <a:off x="0" y="0"/>
                          <a:ext cx="3479800" cy="292100"/>
                        </a:xfrm>
                        <a:prstGeom prst="rect">
                          <a:avLst/>
                        </a:prstGeom>
                        <a:solidFill>
                          <a:prstClr val="white"/>
                        </a:solidFill>
                        <a:ln>
                          <a:noFill/>
                        </a:ln>
                      </wps:spPr>
                      <wps:txbx>
                        <w:txbxContent>
                          <w:p w14:paraId="51E1572B" w14:textId="3B4C3B65" w:rsidR="007E0D6D" w:rsidRPr="000D2FAF" w:rsidRDefault="007E0D6D" w:rsidP="007E0D6D">
                            <w:pPr>
                              <w:pStyle w:val="Caption"/>
                              <w:rPr>
                                <w:noProof/>
                              </w:rPr>
                            </w:pPr>
                            <w:r>
                              <w:t xml:space="preserve">Figure </w:t>
                            </w:r>
                            <w:fldSimple w:instr=" SEQ Figure \* ARABIC ">
                              <w:r>
                                <w:rPr>
                                  <w:noProof/>
                                </w:rPr>
                                <w:t>3</w:t>
                              </w:r>
                            </w:fldSimple>
                            <w:r>
                              <w:t>. a close-up image of the surface decoration exhibited on the sherd,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7066C5" id="_x0000_s1028" type="#_x0000_t202" style="position:absolute;left:0;text-align:left;margin-left:0;margin-top:243.4pt;width:274pt;height:23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" stroked="f">
                <v:textbox inset="0,0,0,0">
                  <w:txbxContent>
                    <w:p w14:paraId="51E1572B" w14:textId="3B4C3B65" w:rsidR="007E0D6D" w:rsidRPr="000D2FAF" w:rsidRDefault="007E0D6D" w:rsidP="007E0D6D">
                      <w:pPr>
                        <w:pStyle w:val="Caption"/>
                        <w:rPr>
                          <w:noProof/>
                        </w:rPr>
                      </w:pPr>
                      <w:r>
                        <w:t xml:space="preserve">Figure </w:t>
                      </w:r>
                      <w:fldSimple w:instr=" SEQ Figure \* ARABIC ">
                        <w:r>
                          <w:rPr>
                            <w:noProof/>
                          </w:rPr>
                          <w:t>3</w:t>
                        </w:r>
                      </w:fldSimple>
                      <w:r>
                        <w:t>. a close-up image of the surface decoration exhibited on the sherd, Caradoc Ewing (2024)</w:t>
                      </w:r>
                    </w:p>
                  </w:txbxContent>
                </v:textbox>
                <w10:wrap type="tight"/>
              </v:shape>
            </w:pict>
          </mc:Fallback>
        </mc:AlternateContent>
      </w:r>
      <w:r>
        <w:rPr>
          <w:noProof/>
        </w:rPr>
        <w:drawing>
          <wp:anchor distT="0" distB="0" distL="114300" distR="114300" simplePos="0" relativeHeight="251664384" behindDoc="1" locked="0" layoutInCell="1" allowOverlap="1" wp14:anchorId="0344BD3F" wp14:editId="650F7F7B">
            <wp:simplePos x="0" y="0"/>
            <wp:positionH relativeFrom="column">
              <wp:posOffset>-635</wp:posOffset>
            </wp:positionH>
            <wp:positionV relativeFrom="paragraph">
              <wp:posOffset>1160780</wp:posOffset>
            </wp:positionV>
            <wp:extent cx="3479800" cy="1871980"/>
            <wp:effectExtent l="0" t="0" r="0" b="0"/>
            <wp:wrapTight wrapText="bothSides">
              <wp:wrapPolygon edited="0">
                <wp:start x="0" y="0"/>
                <wp:lineTo x="0" y="21395"/>
                <wp:lineTo x="21521" y="21395"/>
                <wp:lineTo x="21521" y="0"/>
                <wp:lineTo x="0" y="0"/>
              </wp:wrapPolygon>
            </wp:wrapTight>
            <wp:docPr id="441310738"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r="16463"/>
                    <a:stretch/>
                  </pic:blipFill>
                  <pic:spPr bwMode="auto">
                    <a:xfrm>
                      <a:off x="0" y="0"/>
                      <a:ext cx="3479800" cy="1871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 xml:space="preserve">The surface of the sherd is decorated in multiple ways. The previously mentioned green glaze (fig. 4), possibly a technique imitation French work, is slapped on rather haphazardly. As well as the larger patch in the corner, remnants of glaze can be found elsewhere, probably splash from the brush, or perhaps a rather rushed dipping process. As well as the green glaze, the sherd is decorated in two horizontal bands of vertical crenelations spaced roughly 3 mm apart, probably made with a stylus of some kind. These bands are spaced 2 cm apart and run horizontally parallel to the pot. whether they would have been present over the whole pot is difficult to discern. Certainly they could not have been evenly spaced as if that were the case we would see evidence towards the top of the sherd. It seems unlikely that these bands were particularly numerous. Decoration in this style could not be done using the </w:t>
      </w:r>
      <w:r>
        <w:rPr>
          <w:noProof/>
        </w:rPr>
        <w:lastRenderedPageBreak/>
        <w:drawing>
          <wp:anchor distT="0" distB="0" distL="114300" distR="114300" simplePos="0" relativeHeight="251667456" behindDoc="1" locked="0" layoutInCell="1" allowOverlap="1" wp14:anchorId="6247374A" wp14:editId="39A9B191">
            <wp:simplePos x="0" y="0"/>
            <wp:positionH relativeFrom="column">
              <wp:posOffset>4284345</wp:posOffset>
            </wp:positionH>
            <wp:positionV relativeFrom="paragraph">
              <wp:posOffset>0</wp:posOffset>
            </wp:positionV>
            <wp:extent cx="1540510" cy="2457450"/>
            <wp:effectExtent l="0" t="0" r="0" b="6350"/>
            <wp:wrapTight wrapText="bothSides">
              <wp:wrapPolygon edited="0">
                <wp:start x="0" y="0"/>
                <wp:lineTo x="0" y="21544"/>
                <wp:lineTo x="21369" y="21544"/>
                <wp:lineTo x="21369" y="0"/>
                <wp:lineTo x="0" y="0"/>
              </wp:wrapPolygon>
            </wp:wrapTight>
            <wp:docPr id="1959399804"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t="18461" b="9671"/>
                    <a:stretch/>
                  </pic:blipFill>
                  <pic:spPr bwMode="auto">
                    <a:xfrm>
                      <a:off x="0" y="0"/>
                      <a:ext cx="1540510" cy="2457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 xml:space="preserve">wheel and therefore covering the whole pot would take considerable time and effort. Since no great care appears to have been taken in terms of evenness or symmetry in any other aspect of the decoration, it seems an unlikely effort to painstakingly cover the pot in such decoration. Decoration on an artefact does not necessarily entail fine ware. Decorating everyday </w:t>
      </w:r>
      <w:r w:rsidR="00611AF6">
        <w:rPr>
          <w:sz w:val="28"/>
          <w:szCs w:val="28"/>
        </w:rPr>
        <w:t xml:space="preserve">practical </w:t>
      </w:r>
      <w:r>
        <w:rPr>
          <w:sz w:val="28"/>
          <w:szCs w:val="28"/>
        </w:rPr>
        <w:t xml:space="preserve">items for </w:t>
      </w:r>
      <w:r>
        <w:fldChar w:fldCharType="begin"/>
      </w:r>
      <w:r>
        <w:instrText xml:space="preserve"> INCLUDEPICTURE "https://media.discordapp.net/attachments/985500902024679484/1205192398607753306/IMG_20240118_170100_HDR.jpg?ex=65d779e3&amp;is=65c504e3&amp;hm=c9aac1a78cf21f564190610d123c0458b0a6cf9f23648c003232a75ee4c54673&amp;=&amp;format=webp&amp;width=205&amp;height=455" \* MERGEFORMATINET </w:instrText>
      </w:r>
      <w:r>
        <w:fldChar w:fldCharType="separate"/>
      </w:r>
      <w:r>
        <w:fldChar w:fldCharType="end"/>
      </w:r>
      <w:r>
        <w:rPr>
          <w:sz w:val="28"/>
          <w:szCs w:val="28"/>
        </w:rPr>
        <w:t>pure</w:t>
      </w:r>
      <w:r w:rsidR="00005180">
        <w:rPr>
          <w:sz w:val="28"/>
          <w:szCs w:val="28"/>
        </w:rPr>
        <w:t xml:space="preserve">ly </w:t>
      </w:r>
      <w:r>
        <w:rPr>
          <w:sz w:val="28"/>
          <w:szCs w:val="28"/>
        </w:rPr>
        <w:t>aesthetically driven reasons is a natural human practice demonstrated across all social classes</w:t>
      </w:r>
      <w:r w:rsidR="00005180">
        <w:rPr>
          <w:sz w:val="28"/>
          <w:szCs w:val="28"/>
        </w:rPr>
        <w:t xml:space="preserve"> throughout history</w:t>
      </w:r>
      <w:r>
        <w:rPr>
          <w:sz w:val="28"/>
          <w:szCs w:val="28"/>
        </w:rPr>
        <w:t xml:space="preserve">. The presence of decoration on this sherd of what was most likely a practical vessel, shows care in presentation. It may well </w:t>
      </w:r>
      <w:r>
        <w:rPr>
          <w:noProof/>
        </w:rPr>
        <mc:AlternateContent>
          <mc:Choice Requires="wps">
            <w:drawing>
              <wp:anchor distT="0" distB="0" distL="114300" distR="114300" simplePos="0" relativeHeight="251669504" behindDoc="1" locked="0" layoutInCell="1" allowOverlap="1" wp14:anchorId="3D02F15F" wp14:editId="199DFA63">
                <wp:simplePos x="0" y="0"/>
                <wp:positionH relativeFrom="column">
                  <wp:posOffset>4279900</wp:posOffset>
                </wp:positionH>
                <wp:positionV relativeFrom="paragraph">
                  <wp:posOffset>2463800</wp:posOffset>
                </wp:positionV>
                <wp:extent cx="1549400" cy="635"/>
                <wp:effectExtent l="0" t="0" r="0" b="635"/>
                <wp:wrapTight wrapText="bothSides">
                  <wp:wrapPolygon edited="0">
                    <wp:start x="0" y="0"/>
                    <wp:lineTo x="0" y="21122"/>
                    <wp:lineTo x="21423" y="21122"/>
                    <wp:lineTo x="21423" y="0"/>
                    <wp:lineTo x="0" y="0"/>
                  </wp:wrapPolygon>
                </wp:wrapTight>
                <wp:docPr id="2066960140" name="Text Box 1"/>
                <wp:cNvGraphicFramePr/>
                <a:graphic xmlns:a="http://schemas.openxmlformats.org/drawingml/2006/main">
                  <a:graphicData uri="http://schemas.microsoft.com/office/word/2010/wordprocessingShape">
                    <wps:wsp>
                      <wps:cNvSpPr txBox="1"/>
                      <wps:spPr>
                        <a:xfrm>
                          <a:off x="0" y="0"/>
                          <a:ext cx="1549400" cy="635"/>
                        </a:xfrm>
                        <a:prstGeom prst="rect">
                          <a:avLst/>
                        </a:prstGeom>
                        <a:solidFill>
                          <a:prstClr val="white"/>
                        </a:solidFill>
                        <a:ln>
                          <a:noFill/>
                        </a:ln>
                      </wps:spPr>
                      <wps:txbx>
                        <w:txbxContent>
                          <w:p w14:paraId="2758A91C" w14:textId="07CD8024" w:rsidR="007E0D6D" w:rsidRPr="00A6088B" w:rsidRDefault="007E0D6D" w:rsidP="007E0D6D">
                            <w:pPr>
                              <w:pStyle w:val="Caption"/>
                              <w:rPr>
                                <w:noProof/>
                              </w:rPr>
                            </w:pPr>
                            <w:r>
                              <w:t xml:space="preserve">Figure </w:t>
                            </w:r>
                            <w:fldSimple w:instr=" SEQ Figure \* ARABIC ">
                              <w:r>
                                <w:rPr>
                                  <w:noProof/>
                                </w:rPr>
                                <w:t>4</w:t>
                              </w:r>
                            </w:fldSimple>
                            <w:r>
                              <w:t>. clos</w:t>
                            </w:r>
                            <w:r w:rsidR="005201E9">
                              <w:t>e</w:t>
                            </w:r>
                            <w:r w:rsidR="004C1CAB">
                              <w:t>-</w:t>
                            </w:r>
                            <w:r>
                              <w:t>up image of the glaze and decoration,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02F15F" id="_x0000_s1029" type="#_x0000_t202" style="position:absolute;left:0;text-align:left;margin-left:337pt;margin-top:194pt;width:122pt;height:.0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" stroked="f">
                <v:textbox style="mso-fit-shape-to-text:t" inset="0,0,0,0">
                  <w:txbxContent>
                    <w:p w14:paraId="2758A91C" w14:textId="07CD8024" w:rsidR="007E0D6D" w:rsidRPr="00A6088B" w:rsidRDefault="007E0D6D" w:rsidP="007E0D6D">
                      <w:pPr>
                        <w:pStyle w:val="Caption"/>
                        <w:rPr>
                          <w:noProof/>
                        </w:rPr>
                      </w:pPr>
                      <w:r>
                        <w:t xml:space="preserve">Figure </w:t>
                      </w:r>
                      <w:fldSimple w:instr=" SEQ Figure \* ARABIC ">
                        <w:r>
                          <w:rPr>
                            <w:noProof/>
                          </w:rPr>
                          <w:t>4</w:t>
                        </w:r>
                      </w:fldSimple>
                      <w:r>
                        <w:t>. clos</w:t>
                      </w:r>
                      <w:r w:rsidR="005201E9">
                        <w:t>e</w:t>
                      </w:r>
                      <w:r w:rsidR="004C1CAB">
                        <w:t>-</w:t>
                      </w:r>
                      <w:r>
                        <w:t>up image of the glaze and decoration, Caradoc Ewing (2024)</w:t>
                      </w:r>
                    </w:p>
                  </w:txbxContent>
                </v:textbox>
                <w10:wrap type="tight"/>
              </v:shape>
            </w:pict>
          </mc:Fallback>
        </mc:AlternateContent>
      </w:r>
      <w:r>
        <w:rPr>
          <w:sz w:val="28"/>
          <w:szCs w:val="28"/>
        </w:rPr>
        <w:t xml:space="preserve">have not been one of the most expensive of fine ware pottery, however the work involved in the decoration could still have significantly raised the price from that of a plain item of the same form. It was likely owned by someone of reasonable though not extravagant wealth and class. </w:t>
      </w:r>
    </w:p>
    <w:p w14:paraId="1B1C5332" w14:textId="77777777" w:rsidR="007E0D6D" w:rsidRDefault="007E0D6D" w:rsidP="007E0D6D">
      <w:pPr>
        <w:ind w:firstLine="720"/>
        <w:rPr>
          <w:sz w:val="28"/>
          <w:szCs w:val="28"/>
        </w:rPr>
      </w:pPr>
    </w:p>
    <w:p w14:paraId="52F06F2E" w14:textId="1444A23C" w:rsidR="007E0D6D" w:rsidRDefault="007E0D6D" w:rsidP="007E0D6D">
      <w:pPr>
        <w:ind w:firstLine="720"/>
        <w:rPr>
          <w:sz w:val="28"/>
          <w:szCs w:val="28"/>
        </w:rPr>
      </w:pPr>
      <w:r>
        <w:rPr>
          <w:sz w:val="28"/>
          <w:szCs w:val="28"/>
        </w:rPr>
        <w:t>Assessing the purpose of this unprovenanced artefact is incredibly speculative</w:t>
      </w:r>
      <w:r w:rsidR="004A31ED">
        <w:rPr>
          <w:sz w:val="28"/>
          <w:szCs w:val="28"/>
        </w:rPr>
        <w:t>,</w:t>
      </w:r>
      <w:r>
        <w:rPr>
          <w:sz w:val="28"/>
          <w:szCs w:val="28"/>
        </w:rPr>
        <w:t xml:space="preserve"> however clues do exist to shed light on this crucial question. Green glazed pottery sometimes also referred to more generally as Humber wares are very common during the medieval period for a variety of uses. The lack of uniformity in the decoration could suggest a coarse ware practical kitchen usage, however medieval art is very rarely afraid of its non-uniformity. The insistence on exact symmetry and perfect patterning is in many ways a modern notion. That said however, the coarseness with which the glaze has been applied suggests a more rushed approach, and coupled with the burn marks, it is far cry from the finer art at the tables of higher echelons. However, the sherd is certainly decorated with purpose and would have been pleasant to the eye in its complete state. Most Redcliffe finds consist of jugs, costrels and aquamaniles</w:t>
      </w:r>
      <w:r>
        <w:rPr>
          <w:rStyle w:val="FootnoteReference"/>
          <w:sz w:val="28"/>
          <w:szCs w:val="28"/>
        </w:rPr>
        <w:footnoteReference w:id="5"/>
      </w:r>
      <w:r>
        <w:rPr>
          <w:sz w:val="28"/>
          <w:szCs w:val="28"/>
        </w:rPr>
        <w:t>. The wide curvature of the sherd makes the latter two unlikely. More probable is that the original artefact was a large jug.</w:t>
      </w:r>
      <w:r>
        <w:rPr>
          <w:rStyle w:val="FootnoteReference"/>
          <w:sz w:val="28"/>
          <w:szCs w:val="28"/>
        </w:rPr>
        <w:footnoteReference w:id="6"/>
      </w:r>
      <w:r>
        <w:rPr>
          <w:sz w:val="28"/>
          <w:szCs w:val="28"/>
        </w:rPr>
        <w:t xml:space="preserve"> What kind of jug exactly is impossible to know for sure, what was carried in the jug is also very much elusive without lipids testing. It could well have held any number of things whether as kitchen ware or as table ware. </w:t>
      </w:r>
    </w:p>
    <w:p w14:paraId="503C4B67" w14:textId="77777777" w:rsidR="007E0D6D" w:rsidRDefault="007E0D6D" w:rsidP="007E0D6D">
      <w:pPr>
        <w:ind w:firstLine="720"/>
        <w:rPr>
          <w:sz w:val="28"/>
          <w:szCs w:val="28"/>
        </w:rPr>
      </w:pPr>
    </w:p>
    <w:p w14:paraId="0FC208AC" w14:textId="77777777" w:rsidR="007E0D6D" w:rsidRPr="007E0D6D" w:rsidRDefault="007E0D6D" w:rsidP="007E0D6D">
      <w:pPr>
        <w:ind w:firstLine="720"/>
        <w:rPr>
          <w:sz w:val="28"/>
          <w:szCs w:val="28"/>
        </w:rPr>
      </w:pPr>
      <w:r>
        <w:rPr>
          <w:sz w:val="28"/>
          <w:szCs w:val="28"/>
        </w:rPr>
        <w:t xml:space="preserve">In conclusion, the sherd from Bowes Castle 34 excavation, now held by the University of Wales Trinity St David Lampeter campus archaeology </w:t>
      </w:r>
      <w:r>
        <w:rPr>
          <w:sz w:val="28"/>
          <w:szCs w:val="28"/>
        </w:rPr>
        <w:lastRenderedPageBreak/>
        <w:t>department, holds many clues despite its tiny size. The two small pieced together fragments of 3 cm x 3.5 cm and 8 cm x 6 cm can reveal a remarkable amount about the working lifetime of the artefact they came from. The burn marks and rough texture indicate the vessel was not owned by the most wealthy class, however the care and decoration indicates it to be a cared for and prized possession. This does not necessarily make it a fine ware, however the intention to decorate shows a level of permanence to the item, it was not disposable but was instead cared about. It is difficult to narrow down a place of production. The fragment is near identical to Redcliffe, however green glaze pottery was created all over the country, Humber ware and York glazed ware may be more likely given the finds location in North Yorkshire. From dating the method of production we can even narrow down when the artefact was likely in use, we can gather that the artefact was in use either during the ownership of the Duke of Brittany, or that of John de Scargill, not while the castle was under the possession of the King. While the sherd may be unprovenanced and a tiny fragment of what was likely a large vessel. A story can still be told from the broken fragment based on the limited details available to us.</w:t>
      </w:r>
    </w:p>
    <w:sdt>
      <w:sdtPr>
        <w:id w:val="1930611770"/>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4829B187" w14:textId="028C6748" w:rsidR="007E0D6D" w:rsidRPr="007E0D6D" w:rsidRDefault="007E0D6D" w:rsidP="007E0D6D">
          <w:pPr>
            <w:pStyle w:val="Heading1"/>
          </w:pPr>
          <w:r>
            <w:t>Bibliography</w:t>
          </w:r>
        </w:p>
        <w:sdt>
          <w:sdtPr>
            <w:id w:val="111145805"/>
            <w:bibliography/>
          </w:sdtPr>
          <w:sdtContent>
            <w:p w14:paraId="6DA5EE36" w14:textId="77777777" w:rsidR="007E0D6D" w:rsidRPr="007E0D6D" w:rsidRDefault="007E0D6D" w:rsidP="007E0D6D">
              <w:pPr>
                <w:pStyle w:val="ListParagraph"/>
                <w:numPr>
                  <w:ilvl w:val="0"/>
                  <w:numId w:val="2"/>
                </w:numPr>
              </w:pPr>
              <w:r w:rsidRPr="007E0D6D">
                <w:t xml:space="preserve">Colin Hayfield, Techniques of Pottery Manufacture in East Yorkshire and North Lincolnshire, </w:t>
              </w:r>
              <w:r w:rsidRPr="007E0D6D">
                <w:rPr>
                  <w:i/>
                  <w:iCs/>
                </w:rPr>
                <w:t xml:space="preserve">Bulleting of the Medieval Pottery Research Group, </w:t>
              </w:r>
              <w:r w:rsidRPr="007E0D6D">
                <w:t>4:4 (1980) pp. 29-44</w:t>
              </w:r>
              <w:r w:rsidRPr="007E0D6D">
                <w:t>.</w:t>
              </w:r>
            </w:p>
            <w:p w14:paraId="59EDB7BD" w14:textId="77777777" w:rsidR="007E0D6D" w:rsidRPr="007E0D6D" w:rsidRDefault="007E0D6D" w:rsidP="007E0D6D">
              <w:pPr>
                <w:pStyle w:val="ListParagraph"/>
                <w:numPr>
                  <w:ilvl w:val="0"/>
                  <w:numId w:val="2"/>
                </w:numPr>
              </w:pPr>
              <w:r w:rsidRPr="007E0D6D">
                <w:t xml:space="preserve">English Heritage, </w:t>
              </w:r>
              <w:r w:rsidRPr="007E0D6D">
                <w:rPr>
                  <w:i/>
                  <w:iCs/>
                </w:rPr>
                <w:t xml:space="preserve">History of Bowes Castle, </w:t>
              </w:r>
              <w:hyperlink r:id="rId12" w:history="1">
                <w:r w:rsidRPr="007E0D6D">
                  <w:rPr>
                    <w:rStyle w:val="Hyperlink"/>
                  </w:rPr>
                  <w:t>https://www.english-heritage.org.uk/visit/places/bowes-castle/history/</w:t>
                </w:r>
              </w:hyperlink>
              <w:r w:rsidRPr="007E0D6D">
                <w:t xml:space="preserve"> [accessed 8</w:t>
              </w:r>
              <w:r w:rsidRPr="007E0D6D">
                <w:rPr>
                  <w:vertAlign w:val="superscript"/>
                </w:rPr>
                <w:t>th</w:t>
              </w:r>
              <w:r w:rsidRPr="007E0D6D">
                <w:t xml:space="preserve"> February 2024].</w:t>
              </w:r>
            </w:p>
            <w:p w14:paraId="429C24C1" w14:textId="77777777" w:rsidR="007E0D6D" w:rsidRPr="007E0D6D" w:rsidRDefault="007E0D6D" w:rsidP="007E0D6D">
              <w:pPr>
                <w:pStyle w:val="ListParagraph"/>
                <w:numPr>
                  <w:ilvl w:val="0"/>
                  <w:numId w:val="2"/>
                </w:numPr>
              </w:pPr>
              <w:r w:rsidRPr="007E0D6D">
                <w:t xml:space="preserve">Gloucester Pottery, </w:t>
              </w:r>
              <w:r w:rsidRPr="007E0D6D">
                <w:rPr>
                  <w:i/>
                  <w:iCs/>
                </w:rPr>
                <w:t>TF92 Bristol Redcliffe type glazed wares</w:t>
              </w:r>
              <w:r w:rsidRPr="007E0D6D">
                <w:t xml:space="preserve">, </w:t>
              </w:r>
              <w:hyperlink r:id="rId13" w:history="1">
                <w:r w:rsidRPr="007E0D6D">
                  <w:rPr>
                    <w:rStyle w:val="Hyperlink"/>
                  </w:rPr>
                  <w:t>https://glospot.potsherd.net/tf/TF92</w:t>
                </w:r>
              </w:hyperlink>
              <w:r w:rsidRPr="007E0D6D">
                <w:t xml:space="preserve"> [accessed 9th February 2024].</w:t>
              </w:r>
            </w:p>
            <w:p w14:paraId="533337FB" w14:textId="77777777" w:rsidR="007E0D6D" w:rsidRPr="007E0D6D" w:rsidRDefault="007E0D6D" w:rsidP="007E0D6D">
              <w:pPr>
                <w:pStyle w:val="FootnoteText"/>
                <w:numPr>
                  <w:ilvl w:val="0"/>
                  <w:numId w:val="2"/>
                </w:numPr>
                <w:rPr>
                  <w:sz w:val="24"/>
                  <w:szCs w:val="24"/>
                </w:rPr>
              </w:pPr>
              <w:r w:rsidRPr="007E0D6D">
                <w:rPr>
                  <w:sz w:val="24"/>
                  <w:szCs w:val="24"/>
                </w:rPr>
                <w:t>Medieval Pottery Research Group, A Guide to the Classification of Medieval Ceramic Forms, Historic England, pp. 13-29.</w:t>
              </w:r>
            </w:p>
            <w:p w14:paraId="43B87F2E" w14:textId="54BF1BD9" w:rsidR="007E0D6D" w:rsidRDefault="007E0D6D" w:rsidP="007E0D6D"/>
          </w:sdtContent>
        </w:sdt>
      </w:sdtContent>
    </w:sdt>
    <w:p w14:paraId="61C1D4EF" w14:textId="23C3207C" w:rsidR="007E0D6D" w:rsidRPr="007E0D6D" w:rsidRDefault="007E0D6D" w:rsidP="007E0D6D">
      <w:pPr>
        <w:rPr>
          <w:sz w:val="28"/>
          <w:szCs w:val="28"/>
        </w:rPr>
      </w:pPr>
      <w:r>
        <w:fldChar w:fldCharType="begin"/>
      </w:r>
      <w:r>
        <w:instrText xml:space="preserve"> INCLUDEPICTURE "https://media.discordapp.net/attachments/985500902024679484/1205192399719104552/IMG_20240118_170124_HDR.jpg?ex=65d779e3&amp;is=65c504e3&amp;hm=1316326d5bba0d1c586dd73e7686f815a989df7cdf332d2db6f77d07e82cc574&amp;=&amp;format=webp&amp;width=614&amp;height=276" \* MERGEFORMATINET </w:instrText>
      </w:r>
      <w:r>
        <w:fldChar w:fldCharType="separate"/>
      </w:r>
      <w:r>
        <w:fldChar w:fldCharType="end"/>
      </w:r>
      <w:r>
        <w:fldChar w:fldCharType="begin"/>
      </w:r>
      <w:r>
        <w:instrText xml:space="preserve"> INCLUDEPICTURE "https://media.discordapp.net/attachments/985500902024679484/1205192400105111583/IMG_20240118_170131_HDR.jpg?ex=65d779e3&amp;is=65c504e3&amp;hm=a6e8f5e662302bc87930559671633b0417979dce3f351896a8ceda00bfad07c3&amp;=&amp;format=webp&amp;width=614&amp;height=276" \* MERGEFORMATINET </w:instrText>
      </w:r>
      <w:r>
        <w:fldChar w:fldCharType="separate"/>
      </w:r>
      <w:r>
        <w:fldChar w:fldCharType="end"/>
      </w:r>
      <w:r>
        <w:fldChar w:fldCharType="begin"/>
      </w:r>
      <w:r>
        <w:instrText xml:space="preserve"> INCLUDEPICTURE "https://media.discordapp.net/attachments/985500902024679484/1205192429100204102/IMG_20240118_170202_HDR.jpg?ex=65d779ea&amp;is=65c504ea&amp;hm=c04f96a414af66f102e365e160d81e4e1e5e1911c34e9d86df339ec2acbb6c81&amp;=&amp;format=webp&amp;width=614&amp;height=276" \* MERGEFORMATINET </w:instrText>
      </w:r>
      <w:r>
        <w:fldChar w:fldCharType="separate"/>
      </w:r>
      <w:r>
        <w:fldChar w:fldCharType="end"/>
      </w:r>
    </w:p>
    <w:sectPr w:rsidR="007E0D6D" w:rsidRPr="007E0D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DB580" w14:textId="77777777" w:rsidR="007E0D6D" w:rsidRDefault="007E0D6D" w:rsidP="007E0D6D">
      <w:r>
        <w:separator/>
      </w:r>
    </w:p>
  </w:endnote>
  <w:endnote w:type="continuationSeparator" w:id="0">
    <w:p w14:paraId="2F3366FE" w14:textId="77777777" w:rsidR="007E0D6D" w:rsidRDefault="007E0D6D" w:rsidP="007E0D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5DE19" w14:textId="77777777" w:rsidR="007E0D6D" w:rsidRDefault="007E0D6D" w:rsidP="007E0D6D">
      <w:r>
        <w:separator/>
      </w:r>
    </w:p>
  </w:footnote>
  <w:footnote w:type="continuationSeparator" w:id="0">
    <w:p w14:paraId="274B1E10" w14:textId="77777777" w:rsidR="007E0D6D" w:rsidRDefault="007E0D6D" w:rsidP="007E0D6D">
      <w:r>
        <w:continuationSeparator/>
      </w:r>
    </w:p>
  </w:footnote>
  <w:footnote w:id="1">
    <w:p w14:paraId="3846D690" w14:textId="64BDEFB2" w:rsidR="007E0D6D" w:rsidRPr="007E0D6D" w:rsidRDefault="007E0D6D">
      <w:pPr>
        <w:pStyle w:val="FootnoteText"/>
      </w:pPr>
      <w:r>
        <w:rPr>
          <w:rStyle w:val="FootnoteReference"/>
        </w:rPr>
        <w:footnoteRef/>
      </w:r>
      <w:r>
        <w:t xml:space="preserve"> English Heritage, </w:t>
      </w:r>
      <w:r w:rsidRPr="007E0D6D">
        <w:rPr>
          <w:i/>
          <w:iCs/>
        </w:rPr>
        <w:t>History of Bowes Castle</w:t>
      </w:r>
      <w:r>
        <w:rPr>
          <w:i/>
          <w:iCs/>
        </w:rPr>
        <w:t xml:space="preserve">, </w:t>
      </w:r>
      <w:hyperlink r:id="rId1" w:history="1">
        <w:r w:rsidRPr="00082C6A">
          <w:rPr>
            <w:rStyle w:val="Hyperlink"/>
          </w:rPr>
          <w:t>https://www.english-heritage.org.uk/visit/places/bowes-castle/history/</w:t>
        </w:r>
      </w:hyperlink>
      <w:r>
        <w:t xml:space="preserve"> [accessed 8</w:t>
      </w:r>
      <w:r w:rsidRPr="007E0D6D">
        <w:rPr>
          <w:vertAlign w:val="superscript"/>
        </w:rPr>
        <w:t>th</w:t>
      </w:r>
      <w:r>
        <w:t xml:space="preserve"> February 2024].</w:t>
      </w:r>
    </w:p>
  </w:footnote>
  <w:footnote w:id="2">
    <w:p w14:paraId="78B84B96" w14:textId="2A507DBD" w:rsidR="007E0D6D" w:rsidRPr="007E0D6D" w:rsidRDefault="007E0D6D">
      <w:pPr>
        <w:pStyle w:val="FootnoteText"/>
      </w:pPr>
      <w:r>
        <w:rPr>
          <w:rStyle w:val="FootnoteReference"/>
        </w:rPr>
        <w:footnoteRef/>
      </w:r>
      <w:r>
        <w:t xml:space="preserve"> Gloucester Pottery, </w:t>
      </w:r>
      <w:r w:rsidRPr="007E0D6D">
        <w:rPr>
          <w:i/>
          <w:iCs/>
        </w:rPr>
        <w:t>TF92 Bristol</w:t>
      </w:r>
      <w:r>
        <w:rPr>
          <w:i/>
          <w:iCs/>
        </w:rPr>
        <w:t xml:space="preserve"> Redcliffe type glazed wares</w:t>
      </w:r>
      <w:r>
        <w:t xml:space="preserve">, </w:t>
      </w:r>
      <w:hyperlink r:id="rId2" w:history="1">
        <w:r w:rsidRPr="00082C6A">
          <w:rPr>
            <w:rStyle w:val="Hyperlink"/>
          </w:rPr>
          <w:t>https://glospot.potsherd.net/tf/TF92</w:t>
        </w:r>
      </w:hyperlink>
      <w:r>
        <w:t xml:space="preserve"> [accessed 9th February 2024].</w:t>
      </w:r>
    </w:p>
  </w:footnote>
  <w:footnote w:id="3">
    <w:p w14:paraId="054858C4" w14:textId="11CF03A1" w:rsidR="007E0D6D" w:rsidRDefault="007E0D6D">
      <w:pPr>
        <w:pStyle w:val="FootnoteText"/>
      </w:pPr>
      <w:r>
        <w:rPr>
          <w:rStyle w:val="FootnoteReference"/>
        </w:rPr>
        <w:footnoteRef/>
      </w:r>
      <w:r>
        <w:t xml:space="preserve"> Ibid.</w:t>
      </w:r>
    </w:p>
  </w:footnote>
  <w:footnote w:id="4">
    <w:p w14:paraId="0E62970F" w14:textId="1D1CDA3F" w:rsidR="007E0D6D" w:rsidRPr="007E0D6D" w:rsidRDefault="007E0D6D">
      <w:pPr>
        <w:pStyle w:val="FootnoteText"/>
      </w:pPr>
      <w:r>
        <w:rPr>
          <w:rStyle w:val="FootnoteReference"/>
        </w:rPr>
        <w:footnoteRef/>
      </w:r>
      <w:r>
        <w:t xml:space="preserve"> Colin Hayfield</w:t>
      </w:r>
      <w:r w:rsidRPr="007E0D6D">
        <w:t xml:space="preserve">, Techniques of Pottery Manufacture in East Yorkshire and North Lincolnshire, </w:t>
      </w:r>
      <w:r>
        <w:rPr>
          <w:i/>
          <w:iCs/>
        </w:rPr>
        <w:t xml:space="preserve">Bulleting of the Medieval Pottery Research Group, </w:t>
      </w:r>
      <w:r>
        <w:t xml:space="preserve">4:4 (1980) pp. 29-44, p. 29 </w:t>
      </w:r>
    </w:p>
  </w:footnote>
  <w:footnote w:id="5">
    <w:p w14:paraId="74B4186C" w14:textId="19853726" w:rsidR="007E0D6D" w:rsidRDefault="007E0D6D">
      <w:pPr>
        <w:pStyle w:val="FootnoteText"/>
      </w:pPr>
      <w:r>
        <w:rPr>
          <w:rStyle w:val="FootnoteReference"/>
        </w:rPr>
        <w:footnoteRef/>
      </w:r>
      <w:r>
        <w:t xml:space="preserve"> </w:t>
      </w:r>
      <w:r w:rsidRPr="007E0D6D">
        <w:t xml:space="preserve">Gloucester Pottery, </w:t>
      </w:r>
      <w:r w:rsidRPr="007E0D6D">
        <w:rPr>
          <w:i/>
          <w:iCs/>
        </w:rPr>
        <w:t>TF92 Bristol Redcliffe type glazed wares</w:t>
      </w:r>
      <w:r w:rsidRPr="007E0D6D">
        <w:t xml:space="preserve">, </w:t>
      </w:r>
      <w:hyperlink r:id="rId3" w:history="1">
        <w:r w:rsidRPr="007E0D6D">
          <w:rPr>
            <w:rStyle w:val="Hyperlink"/>
          </w:rPr>
          <w:t>https://glospot.potsherd.net/tf/TF92</w:t>
        </w:r>
      </w:hyperlink>
      <w:r w:rsidRPr="007E0D6D">
        <w:t xml:space="preserve"> [accessed 9th February 2024].</w:t>
      </w:r>
    </w:p>
  </w:footnote>
  <w:footnote w:id="6">
    <w:p w14:paraId="0A67ED6A" w14:textId="096D491A" w:rsidR="007E0D6D" w:rsidRDefault="007E0D6D">
      <w:pPr>
        <w:pStyle w:val="FootnoteText"/>
      </w:pPr>
      <w:r>
        <w:rPr>
          <w:rStyle w:val="FootnoteReference"/>
        </w:rPr>
        <w:footnoteRef/>
      </w:r>
      <w:r>
        <w:t xml:space="preserve"> Medieval Pottery Research Group, </w:t>
      </w:r>
      <w:r w:rsidRPr="007E0D6D">
        <w:t>A Guide to the Classification of Medieval Ceramic Forms</w:t>
      </w:r>
      <w:r>
        <w:t>, Historic England, pp. 13-29.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10B9D"/>
    <w:multiLevelType w:val="hybridMultilevel"/>
    <w:tmpl w:val="B8449F30"/>
    <w:lvl w:ilvl="0" w:tplc="FCA8560E">
      <w:start w:val="9"/>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F63CFF"/>
    <w:multiLevelType w:val="hybridMultilevel"/>
    <w:tmpl w:val="FF5AD38A"/>
    <w:lvl w:ilvl="0" w:tplc="1E0AE4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1322420">
    <w:abstractNumId w:val="0"/>
  </w:num>
  <w:num w:numId="2" w16cid:durableId="21054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D6D"/>
    <w:rsid w:val="00005180"/>
    <w:rsid w:val="001A1363"/>
    <w:rsid w:val="00227D39"/>
    <w:rsid w:val="00294807"/>
    <w:rsid w:val="003E7FA8"/>
    <w:rsid w:val="00411F37"/>
    <w:rsid w:val="004A31ED"/>
    <w:rsid w:val="004C1CAB"/>
    <w:rsid w:val="004F7718"/>
    <w:rsid w:val="005201E9"/>
    <w:rsid w:val="00611AF6"/>
    <w:rsid w:val="007E0D6D"/>
    <w:rsid w:val="007F5F27"/>
    <w:rsid w:val="00977F36"/>
    <w:rsid w:val="00AE507F"/>
    <w:rsid w:val="00BB626D"/>
    <w:rsid w:val="00C92983"/>
    <w:rsid w:val="00D42F21"/>
    <w:rsid w:val="00E33908"/>
    <w:rsid w:val="00E44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BDE57"/>
  <w15:chartTrackingRefBased/>
  <w15:docId w15:val="{92E0B3A6-E33F-2B4E-B648-9B5B17F38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D6D"/>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D6D"/>
    <w:pPr>
      <w:ind w:left="720"/>
      <w:contextualSpacing/>
    </w:pPr>
  </w:style>
  <w:style w:type="character" w:styleId="Hyperlink">
    <w:name w:val="Hyperlink"/>
    <w:basedOn w:val="DefaultParagraphFont"/>
    <w:uiPriority w:val="99"/>
    <w:unhideWhenUsed/>
    <w:rsid w:val="007E0D6D"/>
    <w:rPr>
      <w:color w:val="0000FF"/>
      <w:u w:val="single"/>
    </w:rPr>
  </w:style>
  <w:style w:type="paragraph" w:styleId="Caption">
    <w:name w:val="caption"/>
    <w:basedOn w:val="Normal"/>
    <w:next w:val="Normal"/>
    <w:uiPriority w:val="35"/>
    <w:unhideWhenUsed/>
    <w:qFormat/>
    <w:rsid w:val="007E0D6D"/>
    <w:pPr>
      <w:spacing w:after="200"/>
    </w:pPr>
    <w:rPr>
      <w:i/>
      <w:iCs/>
      <w:color w:val="44546A" w:themeColor="text2"/>
      <w:sz w:val="18"/>
      <w:szCs w:val="18"/>
    </w:rPr>
  </w:style>
  <w:style w:type="paragraph" w:styleId="FootnoteText">
    <w:name w:val="footnote text"/>
    <w:basedOn w:val="Normal"/>
    <w:link w:val="FootnoteTextChar"/>
    <w:uiPriority w:val="99"/>
    <w:semiHidden/>
    <w:unhideWhenUsed/>
    <w:rsid w:val="007E0D6D"/>
    <w:rPr>
      <w:sz w:val="20"/>
      <w:szCs w:val="20"/>
    </w:rPr>
  </w:style>
  <w:style w:type="character" w:customStyle="1" w:styleId="FootnoteTextChar">
    <w:name w:val="Footnote Text Char"/>
    <w:basedOn w:val="DefaultParagraphFont"/>
    <w:link w:val="FootnoteText"/>
    <w:uiPriority w:val="99"/>
    <w:semiHidden/>
    <w:rsid w:val="007E0D6D"/>
    <w:rPr>
      <w:sz w:val="20"/>
      <w:szCs w:val="20"/>
    </w:rPr>
  </w:style>
  <w:style w:type="character" w:styleId="FootnoteReference">
    <w:name w:val="footnote reference"/>
    <w:basedOn w:val="DefaultParagraphFont"/>
    <w:uiPriority w:val="99"/>
    <w:semiHidden/>
    <w:unhideWhenUsed/>
    <w:rsid w:val="007E0D6D"/>
    <w:rPr>
      <w:vertAlign w:val="superscript"/>
    </w:rPr>
  </w:style>
  <w:style w:type="character" w:styleId="UnresolvedMention">
    <w:name w:val="Unresolved Mention"/>
    <w:basedOn w:val="DefaultParagraphFont"/>
    <w:uiPriority w:val="99"/>
    <w:semiHidden/>
    <w:unhideWhenUsed/>
    <w:rsid w:val="007E0D6D"/>
    <w:rPr>
      <w:color w:val="605E5C"/>
      <w:shd w:val="clear" w:color="auto" w:fill="E1DFDD"/>
    </w:rPr>
  </w:style>
  <w:style w:type="character" w:customStyle="1" w:styleId="Heading1Char">
    <w:name w:val="Heading 1 Char"/>
    <w:basedOn w:val="DefaultParagraphFont"/>
    <w:link w:val="Heading1"/>
    <w:uiPriority w:val="9"/>
    <w:rsid w:val="007E0D6D"/>
    <w:rPr>
      <w:rFonts w:asciiTheme="majorHAnsi" w:eastAsiaTheme="majorEastAsia" w:hAnsiTheme="majorHAnsi" w:cstheme="majorBidi"/>
      <w:b/>
      <w:bCs/>
      <w:color w:val="2F5496" w:themeColor="accent1" w:themeShade="BF"/>
      <w:kern w:val="0"/>
      <w:sz w:val="28"/>
      <w:szCs w:val="28"/>
      <w:lang w:val="en-US" w:bidi="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lospot.potsherd.net/tf/TF9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ish-heritage.org.uk/visit/places/bowes-castle/histo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glospot.potsherd.net/tf/TF92" TargetMode="External"/><Relationship Id="rId2" Type="http://schemas.openxmlformats.org/officeDocument/2006/relationships/hyperlink" Target="https://glospot.potsherd.net/tf/TF92" TargetMode="External"/><Relationship Id="rId1" Type="http://schemas.openxmlformats.org/officeDocument/2006/relationships/hyperlink" Target="https://www.english-heritage.org.uk/visit/places/bowes-castle/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D2BD3-3297-A340-A8C9-5D319075E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4</Pages>
  <Words>1382</Words>
  <Characters>7883</Characters>
  <Application>Microsoft Office Word</Application>
  <DocSecurity>0</DocSecurity>
  <Lines>65</Lines>
  <Paragraphs>18</Paragraphs>
  <ScaleCrop>false</ScaleCrop>
  <Company/>
  <LinksUpToDate>false</LinksUpToDate>
  <CharactersWithSpaces>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18</cp:revision>
  <dcterms:created xsi:type="dcterms:W3CDTF">2024-02-07T16:05:00Z</dcterms:created>
  <dcterms:modified xsi:type="dcterms:W3CDTF">2024-02-10T18:33:00Z</dcterms:modified>
</cp:coreProperties>
</file>