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D677DC" w14:textId="2C90D32C" w:rsidR="001622D3" w:rsidRDefault="008C3B4F">
      <w:pPr>
        <w:rPr>
          <w:rFonts w:ascii="Times New Roman" w:hAnsi="Times New Roman" w:cs="Times New Roman"/>
          <w:u w:val="single"/>
        </w:rPr>
      </w:pPr>
      <w:r w:rsidRPr="007D71E1">
        <w:rPr>
          <w:rFonts w:ascii="Times New Roman" w:hAnsi="Times New Roman" w:cs="Times New Roman"/>
          <w:u w:val="single"/>
        </w:rPr>
        <w:t xml:space="preserve">Case formulation – Mark </w:t>
      </w:r>
    </w:p>
    <w:p w14:paraId="322E4D0C" w14:textId="77777777" w:rsidR="007D71E1" w:rsidRPr="007D71E1" w:rsidRDefault="007D71E1">
      <w:pPr>
        <w:rPr>
          <w:rFonts w:ascii="Times New Roman" w:hAnsi="Times New Roman" w:cs="Times New Roman"/>
          <w:u w:val="single"/>
        </w:rPr>
      </w:pPr>
    </w:p>
    <w:p w14:paraId="28923B82" w14:textId="77B11A69" w:rsidR="008C3B4F" w:rsidRDefault="007D71E1" w:rsidP="007D71E1">
      <w:pPr>
        <w:spacing w:line="360" w:lineRule="auto"/>
        <w:ind w:firstLine="720"/>
        <w:rPr>
          <w:rFonts w:ascii="Times New Roman" w:hAnsi="Times New Roman" w:cs="Times New Roman"/>
          <w:color w:val="000000"/>
        </w:rPr>
      </w:pPr>
      <w:r>
        <w:rPr>
          <w:rFonts w:ascii="-webkit-standard" w:hAnsi="-webkit-standard"/>
          <w:color w:val="000000"/>
        </w:rPr>
        <w:t xml:space="preserve"> </w:t>
      </w:r>
      <w:r w:rsidR="008C3B4F" w:rsidRPr="007D71E1">
        <w:rPr>
          <w:rFonts w:ascii="Times New Roman" w:hAnsi="Times New Roman" w:cs="Times New Roman"/>
          <w:color w:val="000000"/>
        </w:rPr>
        <w:t xml:space="preserve">Forensic case formulation is a structured psychological approach used to explain offending behaviour through the integration of theory, empirical evidence, and individual case material, with the aim of informing risk assessment and intervention planning (Howells et al., 2004). </w:t>
      </w:r>
      <w:r w:rsidRPr="007D71E1">
        <w:rPr>
          <w:rFonts w:ascii="Times New Roman" w:hAnsi="Times New Roman" w:cs="Times New Roman"/>
          <w:color w:val="000000"/>
        </w:rPr>
        <w:t>F</w:t>
      </w:r>
      <w:r w:rsidR="008C3B4F" w:rsidRPr="007D71E1">
        <w:rPr>
          <w:rFonts w:ascii="Times New Roman" w:hAnsi="Times New Roman" w:cs="Times New Roman"/>
          <w:color w:val="000000"/>
        </w:rPr>
        <w:t>orensic formulations emphasise the functional relationship between psychological factors and criminal behaviour, particularly in relation to risk of reoffending and rehabilitation needs (Ward &amp; Hudson, 1998). Within forensic settings, formulation is essential for understanding why an offence occurred, how similar behaviour may be repeated, and what interventions may be most effective in reducing future risk.</w:t>
      </w:r>
    </w:p>
    <w:p w14:paraId="6A5A1B1D" w14:textId="3785A28B" w:rsidR="007D71E1" w:rsidRDefault="007D71E1" w:rsidP="007D71E1">
      <w:pPr>
        <w:spacing w:line="360" w:lineRule="auto"/>
        <w:ind w:firstLine="720"/>
        <w:rPr>
          <w:rFonts w:ascii="Times New Roman" w:hAnsi="Times New Roman" w:cs="Times New Roman"/>
          <w:color w:val="000000"/>
        </w:rPr>
      </w:pPr>
      <w:r w:rsidRPr="007D71E1">
        <w:rPr>
          <w:rFonts w:ascii="Times New Roman" w:hAnsi="Times New Roman" w:cs="Times New Roman"/>
          <w:color w:val="000000"/>
        </w:rPr>
        <w:t xml:space="preserve">The present formulation </w:t>
      </w:r>
      <w:r>
        <w:rPr>
          <w:rFonts w:ascii="Times New Roman" w:hAnsi="Times New Roman" w:cs="Times New Roman"/>
          <w:color w:val="000000"/>
        </w:rPr>
        <w:t>is about Mark</w:t>
      </w:r>
      <w:r w:rsidRPr="007D71E1">
        <w:rPr>
          <w:rFonts w:ascii="Times New Roman" w:hAnsi="Times New Roman" w:cs="Times New Roman"/>
          <w:color w:val="000000"/>
        </w:rPr>
        <w:t xml:space="preserve">, a 41-year-old male convicted of sexual assault against an adult female colleague. Sexual offending against adults is a complex phenomenon influenced by an interaction of individual vulnerabilities, cognitive processes, emotional regulation difficulties, and situational factors (Ward, </w:t>
      </w:r>
      <w:proofErr w:type="spellStart"/>
      <w:r w:rsidRPr="007D71E1">
        <w:rPr>
          <w:rFonts w:ascii="Times New Roman" w:hAnsi="Times New Roman" w:cs="Times New Roman"/>
          <w:color w:val="000000"/>
        </w:rPr>
        <w:t>Polaschek</w:t>
      </w:r>
      <w:proofErr w:type="spellEnd"/>
      <w:r w:rsidRPr="007D71E1">
        <w:rPr>
          <w:rFonts w:ascii="Times New Roman" w:hAnsi="Times New Roman" w:cs="Times New Roman"/>
          <w:color w:val="000000"/>
        </w:rPr>
        <w:t>, &amp; Beech, 2006). Contemporary forensic psychology emphasises the importance of identifying dynamic risk factors</w:t>
      </w:r>
      <w:r>
        <w:rPr>
          <w:rFonts w:ascii="Times New Roman" w:hAnsi="Times New Roman" w:cs="Times New Roman"/>
          <w:color w:val="000000"/>
        </w:rPr>
        <w:t xml:space="preserve">, </w:t>
      </w:r>
      <w:r w:rsidRPr="007D71E1">
        <w:rPr>
          <w:rFonts w:ascii="Times New Roman" w:hAnsi="Times New Roman" w:cs="Times New Roman"/>
          <w:color w:val="000000"/>
        </w:rPr>
        <w:t>such as offence-supportive beliefs, substance misuse, and emotional dysregulation</w:t>
      </w:r>
      <w:r>
        <w:rPr>
          <w:rFonts w:ascii="Times New Roman" w:hAnsi="Times New Roman" w:cs="Times New Roman"/>
          <w:color w:val="000000"/>
        </w:rPr>
        <w:t xml:space="preserve"> </w:t>
      </w:r>
      <w:r w:rsidRPr="007D71E1">
        <w:rPr>
          <w:rFonts w:ascii="Times New Roman" w:hAnsi="Times New Roman" w:cs="Times New Roman"/>
          <w:color w:val="000000"/>
        </w:rPr>
        <w:t>alongside protective factors that may support desistance (Andrews &amp; Bonta, 2010).</w:t>
      </w:r>
      <w:r>
        <w:rPr>
          <w:rFonts w:ascii="Times New Roman" w:hAnsi="Times New Roman" w:cs="Times New Roman"/>
          <w:color w:val="000000"/>
        </w:rPr>
        <w:t xml:space="preserve"> </w:t>
      </w:r>
    </w:p>
    <w:p w14:paraId="30A8B04B" w14:textId="191ED6E9" w:rsidR="007D71E1" w:rsidRDefault="007D71E1" w:rsidP="008C3B4F">
      <w:pPr>
        <w:spacing w:line="360" w:lineRule="auto"/>
        <w:rPr>
          <w:rFonts w:ascii="Times New Roman" w:hAnsi="Times New Roman" w:cs="Times New Roman"/>
          <w:color w:val="000000"/>
        </w:rPr>
      </w:pPr>
      <w:r>
        <w:rPr>
          <w:rFonts w:ascii="Times New Roman" w:hAnsi="Times New Roman" w:cs="Times New Roman"/>
          <w:color w:val="000000"/>
        </w:rPr>
        <w:tab/>
        <w:t xml:space="preserve">This formulation adopts the 4 P’s model, examining marks presenting, predisposing, precipitating and perpetuating factors, followed by a proposed rehabilitation plan. The 4 P’s framework is an effective way to understand Mark’s offending behaviour and by linking developmental experiences and psychological processes to the offence itself and ongoing risks (Johnstone &amp; Dallas, 2014). The aim of this formulation is to provide a psychologically informed explanation of Mark’s offending behaviour and to identify appropriate intervention targets within a forensic rehabilitation context. </w:t>
      </w:r>
    </w:p>
    <w:p w14:paraId="33E9243A" w14:textId="277548C4" w:rsidR="007D71E1" w:rsidRDefault="00795E22" w:rsidP="008C3B4F">
      <w:pPr>
        <w:spacing w:line="360" w:lineRule="auto"/>
        <w:rPr>
          <w:rFonts w:ascii="Times New Roman" w:hAnsi="Times New Roman" w:cs="Times New Roman"/>
        </w:rPr>
      </w:pPr>
      <w:r>
        <w:rPr>
          <w:rFonts w:ascii="Times New Roman" w:hAnsi="Times New Roman" w:cs="Times New Roman"/>
        </w:rPr>
        <w:tab/>
        <w:t xml:space="preserve">Mark is a 41-year-old adult male residing in a medium-secure forensic unit following a conviction for sexual assault against an adult female victim. The offense took place during a workplace social event where alcohol consumption was a present factor. Evidence indicated that Mark engaged in in non-consensual inappropriate and sexual touching and persisted despite verbal refusals from the female victim. Such behaviour reflects a failure to recognise or respect interpersonal boundaries, a feature which is commonly found in adult sexual offending. (Beech, Ward &amp; Fisher, 2006). </w:t>
      </w:r>
    </w:p>
    <w:p w14:paraId="03FC787F" w14:textId="706571B3" w:rsidR="00795E22" w:rsidRDefault="00795E22" w:rsidP="008C3B4F">
      <w:pPr>
        <w:spacing w:line="360" w:lineRule="auto"/>
        <w:rPr>
          <w:rFonts w:ascii="Times New Roman" w:hAnsi="Times New Roman" w:cs="Times New Roman"/>
        </w:rPr>
      </w:pPr>
      <w:r>
        <w:rPr>
          <w:rFonts w:ascii="Times New Roman" w:hAnsi="Times New Roman" w:cs="Times New Roman"/>
        </w:rPr>
        <w:lastRenderedPageBreak/>
        <w:tab/>
        <w:t xml:space="preserve">Psychologically, Mark presents as a cooperative and polite during assessment, yet he is notably defensive when discussing his offence. He demonstrates partial denial and minimisation, initially framing the incident as a “misunderstanding” then later acknowledging that he “went too far” while continuing to downplay his actions. Denial and minimisation are well documented offence </w:t>
      </w:r>
      <w:r w:rsidR="00B132C0">
        <w:rPr>
          <w:rFonts w:ascii="Times New Roman" w:hAnsi="Times New Roman" w:cs="Times New Roman"/>
        </w:rPr>
        <w:t xml:space="preserve">supportive </w:t>
      </w:r>
      <w:r w:rsidR="0054187E">
        <w:rPr>
          <w:rFonts w:ascii="Times New Roman" w:hAnsi="Times New Roman" w:cs="Times New Roman"/>
        </w:rPr>
        <w:t xml:space="preserve">cognitive strategies among sexual offenders and are understood to function as mechanisms for reducing shame and preserving a positive self-concept (Ware &amp; Mann, 2012). While Mark expresses some remorse, this appears to be intertwined with resentment about being labelled as a sexual offender, suggesting ambivalence toward responsibility and change. </w:t>
      </w:r>
    </w:p>
    <w:p w14:paraId="51CD2D64" w14:textId="07C43BDB" w:rsidR="0054187E" w:rsidRDefault="0054187E" w:rsidP="008C3B4F">
      <w:pPr>
        <w:spacing w:line="360" w:lineRule="auto"/>
        <w:rPr>
          <w:rFonts w:ascii="Times New Roman" w:hAnsi="Times New Roman" w:cs="Times New Roman"/>
        </w:rPr>
      </w:pPr>
      <w:r>
        <w:rPr>
          <w:rFonts w:ascii="Times New Roman" w:hAnsi="Times New Roman" w:cs="Times New Roman"/>
        </w:rPr>
        <w:tab/>
        <w:t xml:space="preserve">Alcohol misuse is a prevalent presenting issue. Mark reports a history of problematic alcohol use, and intoxication was present at the time of the offence. Empirical research consistently identifies substance misuse as a significant risk factor for sexual offending, through its effects on impaired judgement, misinterpretation on social cues and disinhibition (Seto et al., 2015). In Mark’s case, alcohol use appears to have amplified pre-existing </w:t>
      </w:r>
      <w:r w:rsidR="001C2936">
        <w:rPr>
          <w:rFonts w:ascii="Times New Roman" w:hAnsi="Times New Roman" w:cs="Times New Roman"/>
        </w:rPr>
        <w:t xml:space="preserve">difficulties with emotional regulation and boundary recognition. </w:t>
      </w:r>
    </w:p>
    <w:p w14:paraId="39D170A0" w14:textId="3248CDFF" w:rsidR="001C2936" w:rsidRDefault="001C2936" w:rsidP="008C3B4F">
      <w:pPr>
        <w:spacing w:line="360" w:lineRule="auto"/>
        <w:rPr>
          <w:rFonts w:ascii="Times New Roman" w:hAnsi="Times New Roman" w:cs="Times New Roman"/>
        </w:rPr>
      </w:pPr>
      <w:r>
        <w:rPr>
          <w:rFonts w:ascii="Times New Roman" w:hAnsi="Times New Roman" w:cs="Times New Roman"/>
        </w:rPr>
        <w:tab/>
        <w:t xml:space="preserve">Emotionally, Mark shows discomfort when engaging with affective material and tends to rationalise his behaviour rather than explore underlying emotional states. </w:t>
      </w:r>
      <w:r w:rsidR="00267B1D">
        <w:rPr>
          <w:rFonts w:ascii="Times New Roman" w:hAnsi="Times New Roman" w:cs="Times New Roman"/>
        </w:rPr>
        <w:t xml:space="preserve">Avoidance of emotional vulnerability has been associated with increased reliance on coping strategies, including substance abuse and cognitive distortions, which may heighten risk if left unaddressed (Marshall, Marshall, Serran &amp; O’Brien, 2011). Although Mark has engaged with alcohol reduction groups and individual psychological sessions since his transfer to the forensic unit, his ongoing defensiveness and partial denial suggest that Mark’s engagement with treatment is not yet secure and may be at risk of breakdown without the use of a trauma-informed therapeutic approach. </w:t>
      </w:r>
    </w:p>
    <w:p w14:paraId="0C8C1BBC" w14:textId="0AF74AD0" w:rsidR="00E81218" w:rsidRDefault="00E81218" w:rsidP="008C3B4F">
      <w:pPr>
        <w:spacing w:line="360" w:lineRule="auto"/>
        <w:rPr>
          <w:rFonts w:ascii="Times New Roman" w:hAnsi="Times New Roman" w:cs="Times New Roman"/>
        </w:rPr>
      </w:pPr>
      <w:r>
        <w:rPr>
          <w:rFonts w:ascii="Times New Roman" w:hAnsi="Times New Roman" w:cs="Times New Roman"/>
        </w:rPr>
        <w:tab/>
        <w:t xml:space="preserve">Predisposing factors </w:t>
      </w:r>
      <w:r w:rsidR="004D4D02">
        <w:rPr>
          <w:rFonts w:ascii="Times New Roman" w:hAnsi="Times New Roman" w:cs="Times New Roman"/>
        </w:rPr>
        <w:t xml:space="preserve">refer to long-standing vulnerabilities that increase an. Individuals likelihood of engaging in offending behaviour </w:t>
      </w:r>
      <w:r w:rsidR="00C62954">
        <w:rPr>
          <w:rFonts w:ascii="Times New Roman" w:hAnsi="Times New Roman" w:cs="Times New Roman"/>
        </w:rPr>
        <w:t xml:space="preserve">over time. </w:t>
      </w:r>
      <w:r w:rsidR="00FB48BA">
        <w:rPr>
          <w:rFonts w:ascii="Times New Roman" w:hAnsi="Times New Roman" w:cs="Times New Roman"/>
        </w:rPr>
        <w:t>In Mark’s case, several developmental</w:t>
      </w:r>
      <w:r w:rsidR="006F2B37">
        <w:rPr>
          <w:rFonts w:ascii="Times New Roman" w:hAnsi="Times New Roman" w:cs="Times New Roman"/>
        </w:rPr>
        <w:t xml:space="preserve">, relational and psychological factors appear to have contributed to an underlying vulnerability to sexual offending. </w:t>
      </w:r>
    </w:p>
    <w:p w14:paraId="62843B8D" w14:textId="355E88BD" w:rsidR="006F2B37" w:rsidRDefault="006F2B37" w:rsidP="008C3B4F">
      <w:pPr>
        <w:spacing w:line="360" w:lineRule="auto"/>
        <w:rPr>
          <w:rFonts w:ascii="Times New Roman" w:hAnsi="Times New Roman" w:cs="Times New Roman"/>
        </w:rPr>
      </w:pPr>
      <w:r>
        <w:rPr>
          <w:rFonts w:ascii="Times New Roman" w:hAnsi="Times New Roman" w:cs="Times New Roman"/>
        </w:rPr>
        <w:tab/>
        <w:t xml:space="preserve">Mark describes his childhood as “chaotic and unpredictable”, </w:t>
      </w:r>
      <w:r w:rsidR="002F532D">
        <w:rPr>
          <w:rFonts w:ascii="Times New Roman" w:hAnsi="Times New Roman" w:cs="Times New Roman"/>
        </w:rPr>
        <w:t xml:space="preserve">by exposure to parental alcohol misuse and domestic violence. Adverse childhood experiences </w:t>
      </w:r>
      <w:r w:rsidR="00DD36B4">
        <w:rPr>
          <w:rFonts w:ascii="Times New Roman" w:hAnsi="Times New Roman" w:cs="Times New Roman"/>
        </w:rPr>
        <w:t xml:space="preserve">of this nature have been consistently associated with later difficulties in emotional </w:t>
      </w:r>
      <w:r w:rsidR="00654651">
        <w:rPr>
          <w:rFonts w:ascii="Times New Roman" w:hAnsi="Times New Roman" w:cs="Times New Roman"/>
        </w:rPr>
        <w:t>regulation, interpersonal functioning and coping strategies (Fel</w:t>
      </w:r>
      <w:r w:rsidR="007B6069">
        <w:rPr>
          <w:rFonts w:ascii="Times New Roman" w:hAnsi="Times New Roman" w:cs="Times New Roman"/>
        </w:rPr>
        <w:t xml:space="preserve">itti et al., 1998). Growing up in an environment </w:t>
      </w:r>
      <w:r w:rsidR="00BC48F8">
        <w:rPr>
          <w:rFonts w:ascii="Times New Roman" w:hAnsi="Times New Roman" w:cs="Times New Roman"/>
        </w:rPr>
        <w:t xml:space="preserve">marked </w:t>
      </w:r>
      <w:r w:rsidR="00BC48F8">
        <w:rPr>
          <w:rFonts w:ascii="Times New Roman" w:hAnsi="Times New Roman" w:cs="Times New Roman"/>
        </w:rPr>
        <w:lastRenderedPageBreak/>
        <w:t xml:space="preserve">by fear and instability may have limited Mark’s </w:t>
      </w:r>
      <w:r w:rsidR="00A438F1">
        <w:rPr>
          <w:rFonts w:ascii="Times New Roman" w:hAnsi="Times New Roman" w:cs="Times New Roman"/>
        </w:rPr>
        <w:t xml:space="preserve">opportunity to develop secure attachment </w:t>
      </w:r>
      <w:r w:rsidR="002D69C5">
        <w:rPr>
          <w:rFonts w:ascii="Times New Roman" w:hAnsi="Times New Roman" w:cs="Times New Roman"/>
        </w:rPr>
        <w:t xml:space="preserve">patterns and effective models </w:t>
      </w:r>
      <w:r w:rsidR="001E13A0">
        <w:rPr>
          <w:rFonts w:ascii="Times New Roman" w:hAnsi="Times New Roman" w:cs="Times New Roman"/>
        </w:rPr>
        <w:t xml:space="preserve">of respectful adult relationships. Attachment theory suggests </w:t>
      </w:r>
      <w:r w:rsidR="00AF57FA">
        <w:rPr>
          <w:rFonts w:ascii="Times New Roman" w:hAnsi="Times New Roman" w:cs="Times New Roman"/>
        </w:rPr>
        <w:t xml:space="preserve">that early exposure to inconsistent </w:t>
      </w:r>
      <w:r w:rsidR="005E0EED">
        <w:rPr>
          <w:rFonts w:ascii="Times New Roman" w:hAnsi="Times New Roman" w:cs="Times New Roman"/>
        </w:rPr>
        <w:t xml:space="preserve">or threatening caregiving can result in insecure attachment styles, which have been </w:t>
      </w:r>
      <w:r w:rsidR="005E0666">
        <w:rPr>
          <w:rFonts w:ascii="Times New Roman" w:hAnsi="Times New Roman" w:cs="Times New Roman"/>
        </w:rPr>
        <w:t>linked to impaired empathy, boundary difficulties and problematic intimacy in adulthood (Bowlb</w:t>
      </w:r>
      <w:r w:rsidR="008E6E4D">
        <w:rPr>
          <w:rFonts w:ascii="Times New Roman" w:hAnsi="Times New Roman" w:cs="Times New Roman"/>
        </w:rPr>
        <w:t>y, 1988)</w:t>
      </w:r>
      <w:r w:rsidR="009F707A">
        <w:rPr>
          <w:rFonts w:ascii="Times New Roman" w:hAnsi="Times New Roman" w:cs="Times New Roman"/>
        </w:rPr>
        <w:t xml:space="preserve">. </w:t>
      </w:r>
    </w:p>
    <w:p w14:paraId="13947E30" w14:textId="07DDF1CC" w:rsidR="00483B95" w:rsidRDefault="00483B95" w:rsidP="008C3B4F">
      <w:pPr>
        <w:spacing w:line="360" w:lineRule="auto"/>
        <w:rPr>
          <w:rFonts w:ascii="Times New Roman" w:hAnsi="Times New Roman" w:cs="Times New Roman"/>
        </w:rPr>
      </w:pPr>
      <w:r>
        <w:rPr>
          <w:rFonts w:ascii="Times New Roman" w:hAnsi="Times New Roman" w:cs="Times New Roman"/>
        </w:rPr>
        <w:tab/>
        <w:t xml:space="preserve">Educational disengagement </w:t>
      </w:r>
      <w:r w:rsidR="004217CC">
        <w:rPr>
          <w:rFonts w:ascii="Times New Roman" w:hAnsi="Times New Roman" w:cs="Times New Roman"/>
        </w:rPr>
        <w:t xml:space="preserve">also appears to be a relevant predisposing factor. </w:t>
      </w:r>
      <w:r w:rsidR="004F3AC3">
        <w:rPr>
          <w:rFonts w:ascii="Times New Roman" w:hAnsi="Times New Roman" w:cs="Times New Roman"/>
        </w:rPr>
        <w:t xml:space="preserve">Mark left school at 16 with few qualifications, which may have </w:t>
      </w:r>
      <w:r w:rsidR="009162B3">
        <w:rPr>
          <w:rFonts w:ascii="Times New Roman" w:hAnsi="Times New Roman" w:cs="Times New Roman"/>
        </w:rPr>
        <w:t xml:space="preserve">restricted his access to stable employment and adaptive </w:t>
      </w:r>
      <w:r w:rsidR="009F3C9B">
        <w:rPr>
          <w:rFonts w:ascii="Times New Roman" w:hAnsi="Times New Roman" w:cs="Times New Roman"/>
        </w:rPr>
        <w:t xml:space="preserve">problem-solving skills. Limited educational attainment </w:t>
      </w:r>
      <w:r w:rsidR="003C7BF6">
        <w:rPr>
          <w:rFonts w:ascii="Times New Roman" w:hAnsi="Times New Roman" w:cs="Times New Roman"/>
        </w:rPr>
        <w:t>has been linked with reduced cognitive and emotional resources for managing stress</w:t>
      </w:r>
      <w:r w:rsidR="00B366EC">
        <w:rPr>
          <w:rFonts w:ascii="Times New Roman" w:hAnsi="Times New Roman" w:cs="Times New Roman"/>
        </w:rPr>
        <w:t xml:space="preserve">, increasing reliance on coping strategies such as substance abuse (Andrews &amp; Bonta, 2010). </w:t>
      </w:r>
    </w:p>
    <w:p w14:paraId="3DBE70DD" w14:textId="42CB5933" w:rsidR="005B1A52" w:rsidRDefault="005B1A52" w:rsidP="008C3B4F">
      <w:pPr>
        <w:spacing w:line="360" w:lineRule="auto"/>
        <w:rPr>
          <w:rFonts w:ascii="Times New Roman" w:hAnsi="Times New Roman" w:cs="Times New Roman"/>
        </w:rPr>
      </w:pPr>
      <w:r>
        <w:rPr>
          <w:rFonts w:ascii="Times New Roman" w:hAnsi="Times New Roman" w:cs="Times New Roman"/>
        </w:rPr>
        <w:tab/>
      </w:r>
      <w:r w:rsidR="00CD26EA">
        <w:rPr>
          <w:rFonts w:ascii="Times New Roman" w:hAnsi="Times New Roman" w:cs="Times New Roman"/>
        </w:rPr>
        <w:t xml:space="preserve">Additionally, Marks long standing alcohol </w:t>
      </w:r>
      <w:proofErr w:type="spellStart"/>
      <w:r w:rsidR="00CD26EA">
        <w:rPr>
          <w:rFonts w:ascii="Times New Roman" w:hAnsi="Times New Roman" w:cs="Times New Roman"/>
        </w:rPr>
        <w:t>missuse</w:t>
      </w:r>
      <w:proofErr w:type="spellEnd"/>
      <w:r w:rsidR="00CD26EA">
        <w:rPr>
          <w:rFonts w:ascii="Times New Roman" w:hAnsi="Times New Roman" w:cs="Times New Roman"/>
        </w:rPr>
        <w:t xml:space="preserve"> </w:t>
      </w:r>
      <w:r w:rsidR="00C0710C">
        <w:rPr>
          <w:rFonts w:ascii="Times New Roman" w:hAnsi="Times New Roman" w:cs="Times New Roman"/>
        </w:rPr>
        <w:t xml:space="preserve">represents a key predisposing factor. Substance misuse is widely </w:t>
      </w:r>
      <w:r w:rsidR="00E91543">
        <w:rPr>
          <w:rFonts w:ascii="Times New Roman" w:hAnsi="Times New Roman" w:cs="Times New Roman"/>
        </w:rPr>
        <w:t>recognised as both a developmental and dynamic risk factor for sexual offending</w:t>
      </w:r>
      <w:r w:rsidR="002A2C80">
        <w:rPr>
          <w:rFonts w:ascii="Times New Roman" w:hAnsi="Times New Roman" w:cs="Times New Roman"/>
        </w:rPr>
        <w:t xml:space="preserve">, particularly when it becomes a habitual method of coping with emotional distress </w:t>
      </w:r>
      <w:r w:rsidR="00416911">
        <w:rPr>
          <w:rFonts w:ascii="Times New Roman" w:hAnsi="Times New Roman" w:cs="Times New Roman"/>
        </w:rPr>
        <w:t xml:space="preserve">(Seto et al., 2015). Over time, reliance on alcohol may have reinforced patterns of emotional </w:t>
      </w:r>
      <w:r w:rsidR="00F763A7">
        <w:rPr>
          <w:rFonts w:ascii="Times New Roman" w:hAnsi="Times New Roman" w:cs="Times New Roman"/>
        </w:rPr>
        <w:t>avoidance and impulsivity, therefore increasing Mark’s</w:t>
      </w:r>
      <w:r w:rsidR="00714B4C">
        <w:rPr>
          <w:rFonts w:ascii="Times New Roman" w:hAnsi="Times New Roman" w:cs="Times New Roman"/>
        </w:rPr>
        <w:t xml:space="preserve"> “chaotic and unpredictable” </w:t>
      </w:r>
      <w:r w:rsidR="007B4502">
        <w:rPr>
          <w:rFonts w:ascii="Times New Roman" w:hAnsi="Times New Roman" w:cs="Times New Roman"/>
        </w:rPr>
        <w:t xml:space="preserve">behaviour in social settings. </w:t>
      </w:r>
    </w:p>
    <w:p w14:paraId="0541F872" w14:textId="2ACCEA6B" w:rsidR="00FF095B" w:rsidRDefault="00FF095B" w:rsidP="008C3B4F">
      <w:pPr>
        <w:spacing w:line="360" w:lineRule="auto"/>
        <w:rPr>
          <w:rFonts w:ascii="Times New Roman" w:hAnsi="Times New Roman" w:cs="Times New Roman"/>
        </w:rPr>
      </w:pPr>
      <w:r>
        <w:rPr>
          <w:rFonts w:ascii="Times New Roman" w:hAnsi="Times New Roman" w:cs="Times New Roman"/>
        </w:rPr>
        <w:tab/>
        <w:t xml:space="preserve">Altogether, </w:t>
      </w:r>
      <w:r w:rsidR="00083C1D">
        <w:rPr>
          <w:rFonts w:ascii="Times New Roman" w:hAnsi="Times New Roman" w:cs="Times New Roman"/>
        </w:rPr>
        <w:t>Mark’s early exposure to vio</w:t>
      </w:r>
      <w:r w:rsidR="005346D3">
        <w:rPr>
          <w:rFonts w:ascii="Times New Roman" w:hAnsi="Times New Roman" w:cs="Times New Roman"/>
        </w:rPr>
        <w:t>lence, disrupted</w:t>
      </w:r>
      <w:r w:rsidR="00F001AC">
        <w:rPr>
          <w:rFonts w:ascii="Times New Roman" w:hAnsi="Times New Roman" w:cs="Times New Roman"/>
        </w:rPr>
        <w:t xml:space="preserve"> attachment experiences, educational disengagement and chronic </w:t>
      </w:r>
      <w:r w:rsidR="00302F2F">
        <w:rPr>
          <w:rFonts w:ascii="Times New Roman" w:hAnsi="Times New Roman" w:cs="Times New Roman"/>
        </w:rPr>
        <w:t xml:space="preserve">alcohol misuse appear to have </w:t>
      </w:r>
      <w:r w:rsidR="00CC5EAE">
        <w:rPr>
          <w:rFonts w:ascii="Times New Roman" w:hAnsi="Times New Roman" w:cs="Times New Roman"/>
        </w:rPr>
        <w:t xml:space="preserve">contributed to a developmental </w:t>
      </w:r>
      <w:r w:rsidR="006A2A03">
        <w:rPr>
          <w:rFonts w:ascii="Times New Roman" w:hAnsi="Times New Roman" w:cs="Times New Roman"/>
        </w:rPr>
        <w:t xml:space="preserve">pathway marked by emotional avoidance, difficulties in </w:t>
      </w:r>
      <w:r w:rsidR="0012061E">
        <w:rPr>
          <w:rFonts w:ascii="Times New Roman" w:hAnsi="Times New Roman" w:cs="Times New Roman"/>
        </w:rPr>
        <w:t xml:space="preserve">forming </w:t>
      </w:r>
      <w:proofErr w:type="spellStart"/>
      <w:r w:rsidR="0012061E">
        <w:rPr>
          <w:rFonts w:ascii="Times New Roman" w:hAnsi="Times New Roman" w:cs="Times New Roman"/>
        </w:rPr>
        <w:t>helathy</w:t>
      </w:r>
      <w:proofErr w:type="spellEnd"/>
      <w:r w:rsidR="0012061E">
        <w:rPr>
          <w:rFonts w:ascii="Times New Roman" w:hAnsi="Times New Roman" w:cs="Times New Roman"/>
        </w:rPr>
        <w:t xml:space="preserve"> relationships and reduced awareness of personal boundaries. </w:t>
      </w:r>
      <w:r w:rsidR="002D5B78">
        <w:rPr>
          <w:rFonts w:ascii="Times New Roman" w:hAnsi="Times New Roman" w:cs="Times New Roman"/>
        </w:rPr>
        <w:t xml:space="preserve">These predisposing factors likely interacted to increase his </w:t>
      </w:r>
      <w:r w:rsidR="00E27589">
        <w:rPr>
          <w:rFonts w:ascii="Times New Roman" w:hAnsi="Times New Roman" w:cs="Times New Roman"/>
        </w:rPr>
        <w:t xml:space="preserve">susceptibility to engaging in sexually inappropriate behaviour. </w:t>
      </w:r>
    </w:p>
    <w:p w14:paraId="359EC566" w14:textId="7143FAF4" w:rsidR="00E27589" w:rsidRDefault="00E27589" w:rsidP="008C3B4F">
      <w:pPr>
        <w:spacing w:line="360" w:lineRule="auto"/>
        <w:rPr>
          <w:rFonts w:ascii="Times New Roman" w:hAnsi="Times New Roman" w:cs="Times New Roman"/>
        </w:rPr>
      </w:pPr>
      <w:r>
        <w:rPr>
          <w:rFonts w:ascii="Times New Roman" w:hAnsi="Times New Roman" w:cs="Times New Roman"/>
        </w:rPr>
        <w:tab/>
      </w:r>
      <w:r w:rsidR="00501563">
        <w:rPr>
          <w:rFonts w:ascii="Times New Roman" w:hAnsi="Times New Roman" w:cs="Times New Roman"/>
        </w:rPr>
        <w:t xml:space="preserve">Precipitating factors </w:t>
      </w:r>
      <w:r w:rsidR="009F0BEB">
        <w:rPr>
          <w:rFonts w:ascii="Times New Roman" w:hAnsi="Times New Roman" w:cs="Times New Roman"/>
        </w:rPr>
        <w:t xml:space="preserve">are </w:t>
      </w:r>
      <w:r w:rsidR="00715F9E">
        <w:rPr>
          <w:rFonts w:ascii="Times New Roman" w:hAnsi="Times New Roman" w:cs="Times New Roman"/>
        </w:rPr>
        <w:t xml:space="preserve">events or circumstances that immediately </w:t>
      </w:r>
      <w:r w:rsidR="001E4802">
        <w:rPr>
          <w:rFonts w:ascii="Times New Roman" w:hAnsi="Times New Roman" w:cs="Times New Roman"/>
        </w:rPr>
        <w:t xml:space="preserve">preceded and contributed to the offence. These factors often lead to shifts in a </w:t>
      </w:r>
      <w:r w:rsidR="00B94303">
        <w:rPr>
          <w:rFonts w:ascii="Times New Roman" w:hAnsi="Times New Roman" w:cs="Times New Roman"/>
        </w:rPr>
        <w:t>person’s</w:t>
      </w:r>
      <w:r w:rsidR="001E4802">
        <w:rPr>
          <w:rFonts w:ascii="Times New Roman" w:hAnsi="Times New Roman" w:cs="Times New Roman"/>
        </w:rPr>
        <w:t xml:space="preserve"> emotional state</w:t>
      </w:r>
      <w:r w:rsidR="00706921">
        <w:rPr>
          <w:rFonts w:ascii="Times New Roman" w:hAnsi="Times New Roman" w:cs="Times New Roman"/>
        </w:rPr>
        <w:t xml:space="preserve"> (Crisis Prevention Institute, 2025). </w:t>
      </w:r>
      <w:r w:rsidR="00AD1C22">
        <w:rPr>
          <w:rFonts w:ascii="Times New Roman" w:hAnsi="Times New Roman" w:cs="Times New Roman"/>
        </w:rPr>
        <w:t xml:space="preserve">In Mark’s case, the sexual assault occurred within a specific situational context that appears to have </w:t>
      </w:r>
      <w:r w:rsidR="00B94303">
        <w:rPr>
          <w:rFonts w:ascii="Times New Roman" w:hAnsi="Times New Roman" w:cs="Times New Roman"/>
        </w:rPr>
        <w:t xml:space="preserve">activated existing vulnerabilities. </w:t>
      </w:r>
    </w:p>
    <w:p w14:paraId="7BB667D4" w14:textId="094F0201" w:rsidR="00B94303" w:rsidRDefault="00B94303" w:rsidP="008C3B4F">
      <w:pPr>
        <w:spacing w:line="360" w:lineRule="auto"/>
        <w:rPr>
          <w:rFonts w:ascii="Times New Roman" w:hAnsi="Times New Roman" w:cs="Times New Roman"/>
        </w:rPr>
      </w:pPr>
      <w:r>
        <w:rPr>
          <w:rFonts w:ascii="Times New Roman" w:hAnsi="Times New Roman" w:cs="Times New Roman"/>
        </w:rPr>
        <w:tab/>
        <w:t xml:space="preserve"> A </w:t>
      </w:r>
      <w:r w:rsidR="00236544">
        <w:rPr>
          <w:rFonts w:ascii="Times New Roman" w:hAnsi="Times New Roman" w:cs="Times New Roman"/>
        </w:rPr>
        <w:t>central</w:t>
      </w:r>
      <w:r>
        <w:rPr>
          <w:rFonts w:ascii="Times New Roman" w:hAnsi="Times New Roman" w:cs="Times New Roman"/>
        </w:rPr>
        <w:t xml:space="preserve"> </w:t>
      </w:r>
      <w:r w:rsidR="00236544">
        <w:rPr>
          <w:rFonts w:ascii="Times New Roman" w:hAnsi="Times New Roman" w:cs="Times New Roman"/>
        </w:rPr>
        <w:t xml:space="preserve">precipitating factor was alcohol </w:t>
      </w:r>
      <w:r w:rsidR="0016553E">
        <w:rPr>
          <w:rFonts w:ascii="Times New Roman" w:hAnsi="Times New Roman" w:cs="Times New Roman"/>
        </w:rPr>
        <w:t>at the workplace social event. Alcohol is known to impair executive functioning</w:t>
      </w:r>
      <w:r w:rsidR="00831A6E">
        <w:rPr>
          <w:rFonts w:ascii="Times New Roman" w:hAnsi="Times New Roman" w:cs="Times New Roman"/>
        </w:rPr>
        <w:t>, reduce behavioural inhibition and increase the likelihood of misinterpreting social and sexual cues (Steele &amp; Jo</w:t>
      </w:r>
      <w:r w:rsidR="0001062E">
        <w:rPr>
          <w:rFonts w:ascii="Times New Roman" w:hAnsi="Times New Roman" w:cs="Times New Roman"/>
        </w:rPr>
        <w:t>sephs, 1990). Empirical research indicates that intoxication can amplify pre-</w:t>
      </w:r>
      <w:r w:rsidR="002A1834">
        <w:rPr>
          <w:rFonts w:ascii="Times New Roman" w:hAnsi="Times New Roman" w:cs="Times New Roman"/>
        </w:rPr>
        <w:t xml:space="preserve">existing cognitive distortions related to entitlement and sexual </w:t>
      </w:r>
      <w:r w:rsidR="00182AAA">
        <w:rPr>
          <w:rFonts w:ascii="Times New Roman" w:hAnsi="Times New Roman" w:cs="Times New Roman"/>
        </w:rPr>
        <w:t>misinterpretation, particularly in men who already display difficulties with boundaries and consent (Abbey et al., 2014). In Mark’s case</w:t>
      </w:r>
      <w:r w:rsidR="008C118D">
        <w:rPr>
          <w:rFonts w:ascii="Times New Roman" w:hAnsi="Times New Roman" w:cs="Times New Roman"/>
        </w:rPr>
        <w:t xml:space="preserve">, alcohol use likely reduced </w:t>
      </w:r>
      <w:r w:rsidR="008C118D">
        <w:rPr>
          <w:rFonts w:ascii="Times New Roman" w:hAnsi="Times New Roman" w:cs="Times New Roman"/>
        </w:rPr>
        <w:lastRenderedPageBreak/>
        <w:t xml:space="preserve">his capacity to </w:t>
      </w:r>
      <w:proofErr w:type="spellStart"/>
      <w:r w:rsidR="008C118D">
        <w:rPr>
          <w:rFonts w:ascii="Times New Roman" w:hAnsi="Times New Roman" w:cs="Times New Roman"/>
        </w:rPr>
        <w:t>to</w:t>
      </w:r>
      <w:proofErr w:type="spellEnd"/>
      <w:r w:rsidR="008C118D">
        <w:rPr>
          <w:rFonts w:ascii="Times New Roman" w:hAnsi="Times New Roman" w:cs="Times New Roman"/>
        </w:rPr>
        <w:t xml:space="preserve"> accurately interpret the victims </w:t>
      </w:r>
      <w:r w:rsidR="003C2A3F">
        <w:rPr>
          <w:rFonts w:ascii="Times New Roman" w:hAnsi="Times New Roman" w:cs="Times New Roman"/>
        </w:rPr>
        <w:t xml:space="preserve">verbal refusals and diminished his ability to regulate </w:t>
      </w:r>
      <w:r w:rsidR="006E4AFF">
        <w:rPr>
          <w:rFonts w:ascii="Times New Roman" w:hAnsi="Times New Roman" w:cs="Times New Roman"/>
        </w:rPr>
        <w:t xml:space="preserve">his behaviour in line with social and legal norms. </w:t>
      </w:r>
    </w:p>
    <w:p w14:paraId="7748BF84" w14:textId="00279874" w:rsidR="006E4AFF" w:rsidRDefault="006E4AFF" w:rsidP="008C3B4F">
      <w:pPr>
        <w:spacing w:line="360" w:lineRule="auto"/>
        <w:rPr>
          <w:rFonts w:ascii="Times New Roman" w:hAnsi="Times New Roman" w:cs="Times New Roman"/>
          <w:color w:val="000000"/>
        </w:rPr>
      </w:pPr>
      <w:r>
        <w:rPr>
          <w:rFonts w:ascii="Times New Roman" w:hAnsi="Times New Roman" w:cs="Times New Roman"/>
        </w:rPr>
        <w:tab/>
      </w:r>
      <w:r w:rsidR="00042F76" w:rsidRPr="00042F76">
        <w:rPr>
          <w:rFonts w:ascii="Times New Roman" w:hAnsi="Times New Roman" w:cs="Times New Roman"/>
          <w:color w:val="000000"/>
        </w:rPr>
        <w:t>The social context of the offence also appears significant. The informal nature of the office party may have blurred professional boundaries, creating an environment in which Mark felt justified in interpreting social interaction as sexual interest. Situational models of sexual offending emphasise that opportunity, perceived permissiveness, and lack of immediate consequences can act as critical triggers for offending behaviour (Ward &amp; Hudson, 1998). These situational factors, when combined with intoxication, may have increased Mark’s likelihood of acting on inappropriate impulses.</w:t>
      </w:r>
    </w:p>
    <w:p w14:paraId="602AA151" w14:textId="06A89875" w:rsidR="00042F76" w:rsidRDefault="004C7D00" w:rsidP="008C3B4F">
      <w:pPr>
        <w:spacing w:line="360" w:lineRule="auto"/>
        <w:rPr>
          <w:rFonts w:ascii="Times New Roman" w:hAnsi="Times New Roman" w:cs="Times New Roman"/>
          <w:color w:val="000000"/>
        </w:rPr>
      </w:pPr>
      <w:r>
        <w:rPr>
          <w:rFonts w:ascii="Times New Roman" w:hAnsi="Times New Roman" w:cs="Times New Roman"/>
          <w:color w:val="000000"/>
        </w:rPr>
        <w:tab/>
      </w:r>
      <w:r w:rsidR="005E36E2" w:rsidRPr="005E36E2">
        <w:rPr>
          <w:rFonts w:ascii="Times New Roman" w:hAnsi="Times New Roman" w:cs="Times New Roman"/>
          <w:color w:val="000000"/>
        </w:rPr>
        <w:t xml:space="preserve">In addition, Mark was experiencing significant psychosocial stressors at the time of the offence, including marital breakdown and increasing emotional instability associated with alcohol </w:t>
      </w:r>
      <w:r w:rsidR="005E36E2" w:rsidRPr="005E36E2">
        <w:rPr>
          <w:rFonts w:ascii="Times New Roman" w:hAnsi="Times New Roman" w:cs="Times New Roman"/>
          <w:color w:val="000000"/>
        </w:rPr>
        <w:t>misuse.</w:t>
      </w:r>
      <w:r w:rsidR="005E36E2" w:rsidRPr="004C7D00">
        <w:rPr>
          <w:rFonts w:ascii="Times New Roman" w:hAnsi="Times New Roman" w:cs="Times New Roman"/>
          <w:color w:val="000000"/>
        </w:rPr>
        <w:t xml:space="preserve"> Stressful</w:t>
      </w:r>
      <w:r w:rsidRPr="004C7D00">
        <w:rPr>
          <w:rFonts w:ascii="Times New Roman" w:hAnsi="Times New Roman" w:cs="Times New Roman"/>
          <w:color w:val="000000"/>
        </w:rPr>
        <w:t xml:space="preserve"> life events have been shown to increase the risk of offending by heightening negative affect and reducing coping capacity, particularly in individuals with limited emotional regulation skills (Howells et al., 2004). </w:t>
      </w:r>
    </w:p>
    <w:p w14:paraId="2555911B" w14:textId="3F0F0F96" w:rsidR="008A3551" w:rsidRDefault="008A3551" w:rsidP="008C3B4F">
      <w:pPr>
        <w:spacing w:line="360" w:lineRule="auto"/>
        <w:rPr>
          <w:rFonts w:ascii="Times New Roman" w:hAnsi="Times New Roman" w:cs="Times New Roman"/>
          <w:color w:val="000000"/>
        </w:rPr>
      </w:pPr>
      <w:r>
        <w:rPr>
          <w:rFonts w:ascii="Times New Roman" w:hAnsi="Times New Roman" w:cs="Times New Roman"/>
          <w:color w:val="000000"/>
        </w:rPr>
        <w:tab/>
      </w:r>
      <w:r w:rsidRPr="008A3551">
        <w:rPr>
          <w:rFonts w:ascii="Times New Roman" w:hAnsi="Times New Roman" w:cs="Times New Roman"/>
          <w:color w:val="000000"/>
        </w:rPr>
        <w:t xml:space="preserve">Overall, the offence appears to have been precipitated by the interaction of acute intoxication, a socially permissive environment, and heightened emotional stress. These factors did not cause the offence in isolation but acted </w:t>
      </w:r>
      <w:r w:rsidR="00D36837">
        <w:rPr>
          <w:rFonts w:ascii="Times New Roman" w:hAnsi="Times New Roman" w:cs="Times New Roman"/>
          <w:color w:val="000000"/>
        </w:rPr>
        <w:t xml:space="preserve">as a </w:t>
      </w:r>
      <w:r w:rsidRPr="008A3551">
        <w:rPr>
          <w:rFonts w:ascii="Times New Roman" w:hAnsi="Times New Roman" w:cs="Times New Roman"/>
          <w:color w:val="000000"/>
        </w:rPr>
        <w:t>trigger</w:t>
      </w:r>
      <w:r w:rsidR="00D36837">
        <w:rPr>
          <w:rFonts w:ascii="Times New Roman" w:hAnsi="Times New Roman" w:cs="Times New Roman"/>
          <w:color w:val="000000"/>
        </w:rPr>
        <w:t xml:space="preserve"> to</w:t>
      </w:r>
      <w:r w:rsidRPr="008A3551">
        <w:rPr>
          <w:rFonts w:ascii="Times New Roman" w:hAnsi="Times New Roman" w:cs="Times New Roman"/>
          <w:color w:val="000000"/>
        </w:rPr>
        <w:t xml:space="preserve"> behaviour within the context of Mark’s broader developmental vulnerabilities.</w:t>
      </w:r>
    </w:p>
    <w:p w14:paraId="08440E6F" w14:textId="7E9AABCF" w:rsidR="00D36837" w:rsidRPr="001C58AF" w:rsidRDefault="00D36837" w:rsidP="008C3B4F">
      <w:pPr>
        <w:spacing w:line="360" w:lineRule="auto"/>
        <w:rPr>
          <w:rFonts w:ascii="Times New Roman" w:hAnsi="Times New Roman" w:cs="Times New Roman"/>
          <w:color w:val="000000"/>
        </w:rPr>
      </w:pPr>
      <w:r>
        <w:rPr>
          <w:rFonts w:ascii="Times New Roman" w:hAnsi="Times New Roman" w:cs="Times New Roman"/>
          <w:color w:val="000000"/>
        </w:rPr>
        <w:tab/>
      </w:r>
      <w:r w:rsidR="00FE07B2" w:rsidRPr="00FE07B2">
        <w:rPr>
          <w:rFonts w:ascii="Times New Roman" w:hAnsi="Times New Roman" w:cs="Times New Roman"/>
          <w:color w:val="000000"/>
        </w:rPr>
        <w:t>Perpetuating factors refer to the psychological and contextual processes that maintain offending behaviour and sustain the risk of reoffending over time</w:t>
      </w:r>
      <w:r w:rsidR="00D57986">
        <w:rPr>
          <w:rFonts w:ascii="Times New Roman" w:hAnsi="Times New Roman" w:cs="Times New Roman"/>
          <w:color w:val="000000"/>
        </w:rPr>
        <w:t xml:space="preserve"> (Andrews &amp; Bonta, 20</w:t>
      </w:r>
      <w:r w:rsidR="001C58AF">
        <w:rPr>
          <w:rFonts w:ascii="Times New Roman" w:hAnsi="Times New Roman" w:cs="Times New Roman"/>
          <w:color w:val="000000"/>
        </w:rPr>
        <w:t>10).</w:t>
      </w:r>
      <w:r w:rsidR="00FE07B2" w:rsidRPr="00FE07B2">
        <w:rPr>
          <w:rFonts w:ascii="Times New Roman" w:hAnsi="Times New Roman" w:cs="Times New Roman"/>
          <w:color w:val="000000"/>
        </w:rPr>
        <w:t xml:space="preserve"> In Mark’s case, </w:t>
      </w:r>
      <w:r w:rsidR="00D33B75">
        <w:rPr>
          <w:rFonts w:ascii="Times New Roman" w:hAnsi="Times New Roman" w:cs="Times New Roman"/>
          <w:color w:val="000000"/>
        </w:rPr>
        <w:t xml:space="preserve">multiple interacting cognitive, emotional and behavioural factors appear to maintain the ongoing risk of sexual offending without proper and effective </w:t>
      </w:r>
      <w:r w:rsidR="00952EF1">
        <w:rPr>
          <w:rFonts w:ascii="Times New Roman" w:hAnsi="Times New Roman" w:cs="Times New Roman"/>
          <w:color w:val="000000"/>
        </w:rPr>
        <w:t xml:space="preserve">treatment. </w:t>
      </w:r>
    </w:p>
    <w:p w14:paraId="6D071445" w14:textId="1603424B" w:rsidR="009F0BEB" w:rsidRDefault="00A842C4" w:rsidP="008C3B4F">
      <w:pPr>
        <w:spacing w:line="360" w:lineRule="auto"/>
        <w:rPr>
          <w:rFonts w:ascii="Times New Roman" w:hAnsi="Times New Roman" w:cs="Times New Roman"/>
        </w:rPr>
      </w:pPr>
      <w:r>
        <w:rPr>
          <w:rFonts w:ascii="Times New Roman" w:hAnsi="Times New Roman" w:cs="Times New Roman"/>
        </w:rPr>
        <w:tab/>
        <w:t xml:space="preserve"> A prominent perpetuating</w:t>
      </w:r>
      <w:r w:rsidR="00196B6C">
        <w:rPr>
          <w:rFonts w:ascii="Times New Roman" w:hAnsi="Times New Roman" w:cs="Times New Roman"/>
        </w:rPr>
        <w:t xml:space="preserve"> factor is Mark’s continued </w:t>
      </w:r>
      <w:r w:rsidR="004C26BF">
        <w:rPr>
          <w:rFonts w:ascii="Times New Roman" w:hAnsi="Times New Roman" w:cs="Times New Roman"/>
        </w:rPr>
        <w:t>minimisation</w:t>
      </w:r>
      <w:r w:rsidR="00DC2B11">
        <w:rPr>
          <w:rFonts w:ascii="Times New Roman" w:hAnsi="Times New Roman" w:cs="Times New Roman"/>
        </w:rPr>
        <w:t xml:space="preserve"> and partial denial. Although he has acknowledged that he </w:t>
      </w:r>
      <w:r w:rsidR="001A07D5">
        <w:rPr>
          <w:rFonts w:ascii="Times New Roman" w:hAnsi="Times New Roman" w:cs="Times New Roman"/>
        </w:rPr>
        <w:t>“went too far</w:t>
      </w:r>
      <w:r w:rsidR="008842FC">
        <w:rPr>
          <w:rFonts w:ascii="Times New Roman" w:hAnsi="Times New Roman" w:cs="Times New Roman"/>
        </w:rPr>
        <w:t xml:space="preserve">”, </w:t>
      </w:r>
      <w:r w:rsidR="00506FBF">
        <w:rPr>
          <w:rFonts w:ascii="Times New Roman" w:hAnsi="Times New Roman" w:cs="Times New Roman"/>
        </w:rPr>
        <w:t>he continues to frame the offence as a misunderstanding and downplays the harm caused to the victim</w:t>
      </w:r>
      <w:r w:rsidR="00600982">
        <w:rPr>
          <w:rFonts w:ascii="Times New Roman" w:hAnsi="Times New Roman" w:cs="Times New Roman"/>
        </w:rPr>
        <w:t xml:space="preserve">. Cognitive distortion theory suggests that such beliefs serve </w:t>
      </w:r>
      <w:r w:rsidR="00F67E6F">
        <w:rPr>
          <w:rFonts w:ascii="Times New Roman" w:hAnsi="Times New Roman" w:cs="Times New Roman"/>
        </w:rPr>
        <w:t xml:space="preserve">a defensive function by allowing </w:t>
      </w:r>
      <w:r w:rsidR="00491BC3">
        <w:rPr>
          <w:rFonts w:ascii="Times New Roman" w:hAnsi="Times New Roman" w:cs="Times New Roman"/>
        </w:rPr>
        <w:t>individuals to reduce shame and maintain a non-offending self-image</w:t>
      </w:r>
      <w:r w:rsidR="008A4FC9">
        <w:rPr>
          <w:rFonts w:ascii="Times New Roman" w:hAnsi="Times New Roman" w:cs="Times New Roman"/>
        </w:rPr>
        <w:t>, therefore, limiting responsibility taking (Ward</w:t>
      </w:r>
      <w:r w:rsidR="006078C8">
        <w:rPr>
          <w:rFonts w:ascii="Times New Roman" w:hAnsi="Times New Roman" w:cs="Times New Roman"/>
        </w:rPr>
        <w:t xml:space="preserve"> &amp; Keenan, 1999). </w:t>
      </w:r>
    </w:p>
    <w:p w14:paraId="6E958EF2" w14:textId="653FA154" w:rsidR="00300C55" w:rsidRDefault="00300C55" w:rsidP="008C3B4F">
      <w:pPr>
        <w:spacing w:line="360" w:lineRule="auto"/>
        <w:rPr>
          <w:rFonts w:ascii="Times New Roman" w:hAnsi="Times New Roman" w:cs="Times New Roman"/>
        </w:rPr>
      </w:pPr>
      <w:r>
        <w:rPr>
          <w:rFonts w:ascii="Times New Roman" w:hAnsi="Times New Roman" w:cs="Times New Roman"/>
        </w:rPr>
        <w:tab/>
        <w:t xml:space="preserve">Shame appears </w:t>
      </w:r>
      <w:r w:rsidR="00CA489B">
        <w:rPr>
          <w:rFonts w:ascii="Times New Roman" w:hAnsi="Times New Roman" w:cs="Times New Roman"/>
        </w:rPr>
        <w:t xml:space="preserve">to play an apparent role in Marks case. While he reports feelings of shame related to his conviction, this emotional response appears to be accompanied by defensiveness and resentment </w:t>
      </w:r>
      <w:r w:rsidR="00034F5A">
        <w:rPr>
          <w:rFonts w:ascii="Times New Roman" w:hAnsi="Times New Roman" w:cs="Times New Roman"/>
        </w:rPr>
        <w:t xml:space="preserve">toward being labelled a sexual offender. </w:t>
      </w:r>
      <w:r w:rsidR="00420FC7">
        <w:rPr>
          <w:rFonts w:ascii="Times New Roman" w:hAnsi="Times New Roman" w:cs="Times New Roman"/>
        </w:rPr>
        <w:t xml:space="preserve">Research suggests that </w:t>
      </w:r>
      <w:r w:rsidR="00420FC7">
        <w:rPr>
          <w:rFonts w:ascii="Times New Roman" w:hAnsi="Times New Roman" w:cs="Times New Roman"/>
        </w:rPr>
        <w:lastRenderedPageBreak/>
        <w:t>unmanaged shame can increase avoidance, hostility</w:t>
      </w:r>
      <w:r w:rsidR="00B76ABD">
        <w:rPr>
          <w:rFonts w:ascii="Times New Roman" w:hAnsi="Times New Roman" w:cs="Times New Roman"/>
        </w:rPr>
        <w:t xml:space="preserve"> and disengagement from treatment,</w:t>
      </w:r>
      <w:r w:rsidR="00673C5E">
        <w:rPr>
          <w:rFonts w:ascii="Times New Roman" w:hAnsi="Times New Roman" w:cs="Times New Roman"/>
        </w:rPr>
        <w:t xml:space="preserve"> therefore, increasing risk rather than </w:t>
      </w:r>
      <w:r w:rsidR="006B2843">
        <w:rPr>
          <w:rFonts w:ascii="Times New Roman" w:hAnsi="Times New Roman" w:cs="Times New Roman"/>
        </w:rPr>
        <w:t>promoting accountability (Tangney et al., 2014). In marks case</w:t>
      </w:r>
      <w:r w:rsidR="00E76D5E">
        <w:rPr>
          <w:rFonts w:ascii="Times New Roman" w:hAnsi="Times New Roman" w:cs="Times New Roman"/>
        </w:rPr>
        <w:t xml:space="preserve">, shame may act as a maintaining factor by reinforcing denial and emotional withdrawal rather than </w:t>
      </w:r>
      <w:r w:rsidR="0006309A">
        <w:rPr>
          <w:rFonts w:ascii="Times New Roman" w:hAnsi="Times New Roman" w:cs="Times New Roman"/>
        </w:rPr>
        <w:t xml:space="preserve">accepting reflection and change. </w:t>
      </w:r>
    </w:p>
    <w:p w14:paraId="5487EE2D" w14:textId="79A6B9E6" w:rsidR="0006309A" w:rsidRDefault="0006309A" w:rsidP="008C3B4F">
      <w:pPr>
        <w:spacing w:line="360" w:lineRule="auto"/>
        <w:rPr>
          <w:rFonts w:ascii="Times New Roman" w:hAnsi="Times New Roman" w:cs="Times New Roman"/>
          <w:color w:val="000000"/>
        </w:rPr>
      </w:pPr>
      <w:r>
        <w:rPr>
          <w:rFonts w:ascii="Times New Roman" w:hAnsi="Times New Roman" w:cs="Times New Roman"/>
        </w:rPr>
        <w:tab/>
      </w:r>
      <w:r w:rsidR="008A4CC5" w:rsidRPr="008A4CC5">
        <w:rPr>
          <w:rFonts w:ascii="Times New Roman" w:hAnsi="Times New Roman" w:cs="Times New Roman"/>
          <w:color w:val="000000"/>
        </w:rPr>
        <w:t xml:space="preserve">Mark demonstrates discomfort when discussing emotions and a tendency to rationalise rather than process experiences. Difficulties in emotional regulation have been consistently identified as dynamic risk factors for sexual offending, particularly when individuals rely on coping strategies such as substance use to manage distress (Marshall et al., 2011). Mark’s history of alcohol misuse remains a </w:t>
      </w:r>
      <w:r w:rsidR="00F37039">
        <w:rPr>
          <w:rFonts w:ascii="Times New Roman" w:hAnsi="Times New Roman" w:cs="Times New Roman"/>
          <w:color w:val="000000"/>
        </w:rPr>
        <w:t xml:space="preserve">prominent </w:t>
      </w:r>
      <w:r w:rsidR="008A4CC5" w:rsidRPr="008A4CC5">
        <w:rPr>
          <w:rFonts w:ascii="Times New Roman" w:hAnsi="Times New Roman" w:cs="Times New Roman"/>
          <w:color w:val="000000"/>
        </w:rPr>
        <w:t>concern, as substance use not only increases disinhibition but also functions as an avoidant coping mechanism that sustains underlying psychological vulnerabilities.</w:t>
      </w:r>
    </w:p>
    <w:p w14:paraId="2996D454" w14:textId="2F18E7F3" w:rsidR="00F37039" w:rsidRDefault="00F37039" w:rsidP="008C3B4F">
      <w:pPr>
        <w:spacing w:line="360" w:lineRule="auto"/>
        <w:rPr>
          <w:rFonts w:ascii="Times New Roman" w:hAnsi="Times New Roman" w:cs="Times New Roman"/>
          <w:color w:val="000000"/>
        </w:rPr>
      </w:pPr>
      <w:r>
        <w:rPr>
          <w:rFonts w:ascii="Times New Roman" w:hAnsi="Times New Roman" w:cs="Times New Roman"/>
          <w:color w:val="000000"/>
        </w:rPr>
        <w:tab/>
      </w:r>
      <w:r w:rsidR="00DC11C1" w:rsidRPr="00DC11C1">
        <w:rPr>
          <w:rFonts w:ascii="Times New Roman" w:hAnsi="Times New Roman" w:cs="Times New Roman"/>
          <w:color w:val="000000"/>
        </w:rPr>
        <w:t xml:space="preserve">Mark’s limited victim empathy and impaired boundary awareness appear to </w:t>
      </w:r>
      <w:r w:rsidR="0072195F">
        <w:rPr>
          <w:rFonts w:ascii="Times New Roman" w:hAnsi="Times New Roman" w:cs="Times New Roman"/>
          <w:color w:val="000000"/>
        </w:rPr>
        <w:t xml:space="preserve">prolong </w:t>
      </w:r>
      <w:r w:rsidR="00DC11C1" w:rsidRPr="00DC11C1">
        <w:rPr>
          <w:rFonts w:ascii="Times New Roman" w:hAnsi="Times New Roman" w:cs="Times New Roman"/>
          <w:color w:val="000000"/>
        </w:rPr>
        <w:t xml:space="preserve">risk. His difficulty fully recognising the impact of his behaviour on the victim suggests ongoing deficits in perspective-taking and empathy, both of which have been linked to </w:t>
      </w:r>
      <w:r w:rsidR="007377AF">
        <w:rPr>
          <w:rFonts w:ascii="Times New Roman" w:hAnsi="Times New Roman" w:cs="Times New Roman"/>
          <w:color w:val="000000"/>
        </w:rPr>
        <w:t xml:space="preserve">sexual offenders reoffending </w:t>
      </w:r>
      <w:r w:rsidR="00DC11C1" w:rsidRPr="00DC11C1">
        <w:rPr>
          <w:rFonts w:ascii="Times New Roman" w:hAnsi="Times New Roman" w:cs="Times New Roman"/>
          <w:color w:val="000000"/>
        </w:rPr>
        <w:t>when unaddressed (Hanson &amp; Morton-Bourgon, 2005). Collectively, these perpetuating factors indicate that Mark’s risk is maintained through a cycle of emotional avoidance, cognitive distortion, shame-based defensiveness, and substance</w:t>
      </w:r>
      <w:r w:rsidR="00D241DE">
        <w:rPr>
          <w:rFonts w:ascii="Times New Roman" w:hAnsi="Times New Roman" w:cs="Times New Roman"/>
          <w:color w:val="000000"/>
        </w:rPr>
        <w:t xml:space="preserve"> abuse. </w:t>
      </w:r>
    </w:p>
    <w:p w14:paraId="7F5BA3C5" w14:textId="3B3CE5B6" w:rsidR="00D241DE" w:rsidRDefault="00D241DE" w:rsidP="008C3B4F">
      <w:pPr>
        <w:spacing w:line="360" w:lineRule="auto"/>
        <w:rPr>
          <w:rFonts w:ascii="Times New Roman" w:hAnsi="Times New Roman" w:cs="Times New Roman"/>
          <w:color w:val="000000"/>
        </w:rPr>
      </w:pPr>
      <w:r>
        <w:rPr>
          <w:rFonts w:ascii="Times New Roman" w:hAnsi="Times New Roman" w:cs="Times New Roman"/>
          <w:color w:val="000000"/>
        </w:rPr>
        <w:tab/>
      </w:r>
      <w:r w:rsidR="00F35CFE" w:rsidRPr="00F35CFE">
        <w:rPr>
          <w:rFonts w:ascii="Times New Roman" w:hAnsi="Times New Roman" w:cs="Times New Roman"/>
          <w:color w:val="000000"/>
        </w:rPr>
        <w:t>In Mark’s case, intervention planning is best understood within the</w:t>
      </w:r>
      <w:r w:rsidR="00F35CFE" w:rsidRPr="00F35CFE">
        <w:rPr>
          <w:rStyle w:val="apple-converted-space"/>
          <w:rFonts w:ascii="Times New Roman" w:hAnsi="Times New Roman" w:cs="Times New Roman"/>
          <w:color w:val="000000"/>
        </w:rPr>
        <w:t> </w:t>
      </w:r>
      <w:r w:rsidR="00F35CFE" w:rsidRPr="00F35CFE">
        <w:rPr>
          <w:rStyle w:val="Strong"/>
          <w:rFonts w:ascii="Times New Roman" w:hAnsi="Times New Roman" w:cs="Times New Roman"/>
          <w:b w:val="0"/>
          <w:bCs w:val="0"/>
          <w:color w:val="000000"/>
        </w:rPr>
        <w:t>Risk–Need–Responsivity (RNR) model</w:t>
      </w:r>
      <w:r w:rsidR="00F35CFE" w:rsidRPr="00F35CFE">
        <w:rPr>
          <w:rFonts w:ascii="Times New Roman" w:hAnsi="Times New Roman" w:cs="Times New Roman"/>
          <w:color w:val="000000"/>
        </w:rPr>
        <w:t>, which emphasises targeting dynamic risk factors using approaches responsive to the individual’s learning style, motivation, and psychological needs (Andrews &amp; Bonta, 2010).</w:t>
      </w:r>
    </w:p>
    <w:p w14:paraId="1CFC028D" w14:textId="4689F613" w:rsidR="00121A42" w:rsidRDefault="00121A42" w:rsidP="008C3B4F">
      <w:pPr>
        <w:spacing w:line="360" w:lineRule="auto"/>
        <w:rPr>
          <w:rFonts w:ascii="Times New Roman" w:hAnsi="Times New Roman" w:cs="Times New Roman"/>
          <w:color w:val="000000"/>
        </w:rPr>
      </w:pPr>
      <w:r>
        <w:rPr>
          <w:rFonts w:ascii="Times New Roman" w:hAnsi="Times New Roman" w:cs="Times New Roman"/>
          <w:color w:val="000000"/>
        </w:rPr>
        <w:tab/>
        <w:t>Given the prominence of offence-supportive beliefs and partial denial, a cognitive behavioural therapy (CBT)</w:t>
      </w:r>
      <w:r w:rsidR="0004613C">
        <w:rPr>
          <w:rFonts w:ascii="Times New Roman" w:hAnsi="Times New Roman" w:cs="Times New Roman"/>
          <w:color w:val="000000"/>
        </w:rPr>
        <w:t xml:space="preserve"> based sexual offending programme would be useful. </w:t>
      </w:r>
      <w:r w:rsidR="001C0C64">
        <w:rPr>
          <w:rFonts w:ascii="Times New Roman" w:hAnsi="Times New Roman" w:cs="Times New Roman"/>
          <w:color w:val="000000"/>
        </w:rPr>
        <w:t xml:space="preserve">CBT interventions have a strong empirical </w:t>
      </w:r>
      <w:r w:rsidR="00C3555A">
        <w:rPr>
          <w:rFonts w:ascii="Times New Roman" w:hAnsi="Times New Roman" w:cs="Times New Roman"/>
          <w:color w:val="000000"/>
        </w:rPr>
        <w:t xml:space="preserve">foundation in reducing reoffending </w:t>
      </w:r>
      <w:r w:rsidR="007B2356">
        <w:rPr>
          <w:rFonts w:ascii="Times New Roman" w:hAnsi="Times New Roman" w:cs="Times New Roman"/>
          <w:color w:val="000000"/>
        </w:rPr>
        <w:t>by addressing cognitive distortions, enhancing self-regulation skills</w:t>
      </w:r>
      <w:r w:rsidR="00637103">
        <w:rPr>
          <w:rFonts w:ascii="Times New Roman" w:hAnsi="Times New Roman" w:cs="Times New Roman"/>
          <w:color w:val="000000"/>
        </w:rPr>
        <w:t xml:space="preserve"> and increasing accountability (Hanson et al., 2009). Structured offence focused work would aim to challenge minimisation, improve </w:t>
      </w:r>
      <w:r w:rsidR="00472386">
        <w:rPr>
          <w:rFonts w:ascii="Times New Roman" w:hAnsi="Times New Roman" w:cs="Times New Roman"/>
          <w:color w:val="000000"/>
        </w:rPr>
        <w:t xml:space="preserve">the understanding of consent and develop a more accurate </w:t>
      </w:r>
      <w:r w:rsidR="00456C1C">
        <w:rPr>
          <w:rFonts w:ascii="Times New Roman" w:hAnsi="Times New Roman" w:cs="Times New Roman"/>
          <w:color w:val="000000"/>
        </w:rPr>
        <w:t xml:space="preserve">understanding of harm caused to the victim. </w:t>
      </w:r>
    </w:p>
    <w:p w14:paraId="2A6B03A0" w14:textId="6C674F49" w:rsidR="00BE1197" w:rsidRDefault="00BE1197" w:rsidP="008C3B4F">
      <w:pPr>
        <w:spacing w:line="360" w:lineRule="auto"/>
        <w:rPr>
          <w:rFonts w:ascii="Times New Roman" w:hAnsi="Times New Roman" w:cs="Times New Roman"/>
          <w:color w:val="000000"/>
        </w:rPr>
      </w:pPr>
      <w:r>
        <w:rPr>
          <w:rFonts w:ascii="Times New Roman" w:hAnsi="Times New Roman" w:cs="Times New Roman"/>
          <w:color w:val="000000"/>
        </w:rPr>
        <w:tab/>
        <w:t xml:space="preserve"> Alcohol </w:t>
      </w:r>
      <w:proofErr w:type="spellStart"/>
      <w:r>
        <w:rPr>
          <w:rFonts w:ascii="Times New Roman" w:hAnsi="Times New Roman" w:cs="Times New Roman"/>
          <w:color w:val="000000"/>
        </w:rPr>
        <w:t>misues</w:t>
      </w:r>
      <w:proofErr w:type="spellEnd"/>
      <w:r>
        <w:rPr>
          <w:rFonts w:ascii="Times New Roman" w:hAnsi="Times New Roman" w:cs="Times New Roman"/>
          <w:color w:val="000000"/>
        </w:rPr>
        <w:t xml:space="preserve"> represents a key dynamic risk factor and should be addressed through </w:t>
      </w:r>
      <w:r w:rsidR="00222DE2">
        <w:rPr>
          <w:rFonts w:ascii="Times New Roman" w:hAnsi="Times New Roman" w:cs="Times New Roman"/>
          <w:color w:val="000000"/>
        </w:rPr>
        <w:t xml:space="preserve">substance misuse intervention. Research shows that </w:t>
      </w:r>
      <w:r w:rsidR="00931F61">
        <w:rPr>
          <w:rFonts w:ascii="Times New Roman" w:hAnsi="Times New Roman" w:cs="Times New Roman"/>
          <w:color w:val="000000"/>
        </w:rPr>
        <w:t xml:space="preserve">interventions targeting substance use are most effective when use in broader </w:t>
      </w:r>
      <w:r w:rsidR="00597F40">
        <w:rPr>
          <w:rFonts w:ascii="Times New Roman" w:hAnsi="Times New Roman" w:cs="Times New Roman"/>
          <w:color w:val="000000"/>
        </w:rPr>
        <w:t>offending</w:t>
      </w:r>
      <w:r w:rsidR="00931F61">
        <w:rPr>
          <w:rFonts w:ascii="Times New Roman" w:hAnsi="Times New Roman" w:cs="Times New Roman"/>
          <w:color w:val="000000"/>
        </w:rPr>
        <w:t xml:space="preserve"> </w:t>
      </w:r>
      <w:r w:rsidR="00FD6E6D">
        <w:rPr>
          <w:rFonts w:ascii="Times New Roman" w:hAnsi="Times New Roman" w:cs="Times New Roman"/>
          <w:color w:val="000000"/>
        </w:rPr>
        <w:t xml:space="preserve">focused treater rather than in isolation (Dowden </w:t>
      </w:r>
      <w:r w:rsidR="00FD6E6D">
        <w:rPr>
          <w:rFonts w:ascii="Times New Roman" w:hAnsi="Times New Roman" w:cs="Times New Roman"/>
          <w:color w:val="000000"/>
        </w:rPr>
        <w:lastRenderedPageBreak/>
        <w:t>&amp; Brown, 2002)</w:t>
      </w:r>
      <w:r w:rsidR="00597F40">
        <w:rPr>
          <w:rFonts w:ascii="Times New Roman" w:hAnsi="Times New Roman" w:cs="Times New Roman"/>
          <w:color w:val="000000"/>
        </w:rPr>
        <w:t xml:space="preserve">. Continued </w:t>
      </w:r>
      <w:r w:rsidR="00753F95">
        <w:rPr>
          <w:rFonts w:ascii="Times New Roman" w:hAnsi="Times New Roman" w:cs="Times New Roman"/>
          <w:color w:val="000000"/>
        </w:rPr>
        <w:t xml:space="preserve">engagement with alcohol reduction programmes would be essential in reducing </w:t>
      </w:r>
      <w:r w:rsidR="00621D97">
        <w:rPr>
          <w:rFonts w:ascii="Times New Roman" w:hAnsi="Times New Roman" w:cs="Times New Roman"/>
          <w:color w:val="000000"/>
        </w:rPr>
        <w:t xml:space="preserve">reoffending risk. </w:t>
      </w:r>
    </w:p>
    <w:p w14:paraId="54803B3A" w14:textId="7A3F2BAB" w:rsidR="00621D97" w:rsidRDefault="00621D97" w:rsidP="008C3B4F">
      <w:pPr>
        <w:spacing w:line="360" w:lineRule="auto"/>
        <w:rPr>
          <w:rFonts w:ascii="Times New Roman" w:hAnsi="Times New Roman" w:cs="Times New Roman"/>
          <w:color w:val="000000"/>
        </w:rPr>
      </w:pPr>
      <w:r>
        <w:rPr>
          <w:rFonts w:ascii="Times New Roman" w:hAnsi="Times New Roman" w:cs="Times New Roman"/>
          <w:color w:val="000000"/>
        </w:rPr>
        <w:tab/>
        <w:t xml:space="preserve">While trauma does not excuse offending behaviour, acknowledging marks history of exposure to violence and instability may enhance </w:t>
      </w:r>
      <w:r w:rsidR="00D45D3D">
        <w:rPr>
          <w:rFonts w:ascii="Times New Roman" w:hAnsi="Times New Roman" w:cs="Times New Roman"/>
          <w:color w:val="000000"/>
        </w:rPr>
        <w:t xml:space="preserve">engagement by reducing defensiveness and promoting </w:t>
      </w:r>
      <w:r w:rsidR="009F3B36">
        <w:rPr>
          <w:rFonts w:ascii="Times New Roman" w:hAnsi="Times New Roman" w:cs="Times New Roman"/>
          <w:color w:val="000000"/>
        </w:rPr>
        <w:t>psychological safety (Levenson, Willis &amp; Prescott, 2016). Trauma-informed practice</w:t>
      </w:r>
      <w:r w:rsidR="00864EBF">
        <w:rPr>
          <w:rFonts w:ascii="Times New Roman" w:hAnsi="Times New Roman" w:cs="Times New Roman"/>
          <w:color w:val="000000"/>
        </w:rPr>
        <w:t xml:space="preserve"> emphasises emotional regulation skills and healthy coping </w:t>
      </w:r>
      <w:proofErr w:type="spellStart"/>
      <w:r w:rsidR="00864EBF">
        <w:rPr>
          <w:rFonts w:ascii="Times New Roman" w:hAnsi="Times New Roman" w:cs="Times New Roman"/>
          <w:color w:val="000000"/>
        </w:rPr>
        <w:t>stratagies</w:t>
      </w:r>
      <w:proofErr w:type="spellEnd"/>
      <w:r w:rsidR="00864EBF">
        <w:rPr>
          <w:rFonts w:ascii="Times New Roman" w:hAnsi="Times New Roman" w:cs="Times New Roman"/>
          <w:color w:val="000000"/>
        </w:rPr>
        <w:t xml:space="preserve"> which is relevant</w:t>
      </w:r>
      <w:r w:rsidR="0033671C">
        <w:rPr>
          <w:rFonts w:ascii="Times New Roman" w:hAnsi="Times New Roman" w:cs="Times New Roman"/>
          <w:color w:val="000000"/>
        </w:rPr>
        <w:t xml:space="preserve"> given Mark’s shame responses and emotional avoidance. </w:t>
      </w:r>
    </w:p>
    <w:p w14:paraId="6772A24F" w14:textId="03B93396" w:rsidR="0033671C" w:rsidRDefault="0033671C" w:rsidP="008C3B4F">
      <w:pPr>
        <w:spacing w:line="360" w:lineRule="auto"/>
        <w:rPr>
          <w:rFonts w:ascii="Times New Roman" w:hAnsi="Times New Roman" w:cs="Times New Roman"/>
          <w:color w:val="000000"/>
        </w:rPr>
      </w:pPr>
      <w:r>
        <w:rPr>
          <w:rFonts w:ascii="Times New Roman" w:hAnsi="Times New Roman" w:cs="Times New Roman"/>
          <w:color w:val="000000"/>
        </w:rPr>
        <w:tab/>
      </w:r>
      <w:r w:rsidR="007D2F9B" w:rsidRPr="007D2F9B">
        <w:rPr>
          <w:rFonts w:ascii="Times New Roman" w:hAnsi="Times New Roman" w:cs="Times New Roman"/>
          <w:color w:val="000000"/>
        </w:rPr>
        <w:t xml:space="preserve">Intervention should also </w:t>
      </w:r>
      <w:r w:rsidR="007D2F9B">
        <w:rPr>
          <w:rFonts w:ascii="Times New Roman" w:hAnsi="Times New Roman" w:cs="Times New Roman"/>
          <w:color w:val="000000"/>
        </w:rPr>
        <w:t xml:space="preserve">include </w:t>
      </w:r>
      <w:r w:rsidR="007D2F9B" w:rsidRPr="007D2F9B">
        <w:rPr>
          <w:rStyle w:val="Strong"/>
          <w:rFonts w:ascii="Times New Roman" w:hAnsi="Times New Roman" w:cs="Times New Roman"/>
          <w:b w:val="0"/>
          <w:bCs w:val="0"/>
          <w:color w:val="000000"/>
        </w:rPr>
        <w:t>emotion regulation and empathy development</w:t>
      </w:r>
      <w:r w:rsidR="007D2F9B" w:rsidRPr="007D2F9B">
        <w:rPr>
          <w:rFonts w:ascii="Times New Roman" w:hAnsi="Times New Roman" w:cs="Times New Roman"/>
          <w:color w:val="000000"/>
        </w:rPr>
        <w:t>, using evidence-based techniques such as mindfulness</w:t>
      </w:r>
      <w:r w:rsidR="004F79CA">
        <w:rPr>
          <w:rFonts w:ascii="Times New Roman" w:hAnsi="Times New Roman" w:cs="Times New Roman"/>
          <w:color w:val="000000"/>
        </w:rPr>
        <w:t xml:space="preserve"> </w:t>
      </w:r>
      <w:r w:rsidR="007D2F9B" w:rsidRPr="007D2F9B">
        <w:rPr>
          <w:rFonts w:ascii="Times New Roman" w:hAnsi="Times New Roman" w:cs="Times New Roman"/>
          <w:color w:val="000000"/>
        </w:rPr>
        <w:t xml:space="preserve">and perspective-taking exercises. Improving emotional literacy and victim empathy has been shown to support risk reduction when delivered within a structured and accountable framework (Marshall et al., 2011). Finally, relapse prevention work should support Mark in identifying personal offence pathways, high-risk situations, and protective strategies, </w:t>
      </w:r>
      <w:proofErr w:type="gramStart"/>
      <w:r w:rsidR="007D2F9B" w:rsidRPr="007D2F9B">
        <w:rPr>
          <w:rFonts w:ascii="Times New Roman" w:hAnsi="Times New Roman" w:cs="Times New Roman"/>
          <w:color w:val="000000"/>
        </w:rPr>
        <w:t>ther</w:t>
      </w:r>
      <w:r w:rsidR="004F79CA">
        <w:rPr>
          <w:rFonts w:ascii="Times New Roman" w:hAnsi="Times New Roman" w:cs="Times New Roman"/>
          <w:color w:val="000000"/>
        </w:rPr>
        <w:t xml:space="preserve">efore, </w:t>
      </w:r>
      <w:r w:rsidR="007D2F9B" w:rsidRPr="007D2F9B">
        <w:rPr>
          <w:rFonts w:ascii="Times New Roman" w:hAnsi="Times New Roman" w:cs="Times New Roman"/>
          <w:color w:val="000000"/>
        </w:rPr>
        <w:t xml:space="preserve"> promoting</w:t>
      </w:r>
      <w:proofErr w:type="gramEnd"/>
      <w:r w:rsidR="007D2F9B" w:rsidRPr="007D2F9B">
        <w:rPr>
          <w:rFonts w:ascii="Times New Roman" w:hAnsi="Times New Roman" w:cs="Times New Roman"/>
          <w:color w:val="000000"/>
        </w:rPr>
        <w:t xml:space="preserve"> long-term self-management of risk (Ward &amp; Hudson, 1998).</w:t>
      </w:r>
    </w:p>
    <w:p w14:paraId="661E8416" w14:textId="6F811BDE" w:rsidR="004F79CA" w:rsidRDefault="0089115A" w:rsidP="008C3B4F">
      <w:pPr>
        <w:spacing w:line="360" w:lineRule="auto"/>
        <w:rPr>
          <w:rFonts w:ascii="Times New Roman" w:hAnsi="Times New Roman" w:cs="Times New Roman"/>
          <w:color w:val="000000"/>
        </w:rPr>
      </w:pPr>
      <w:r>
        <w:rPr>
          <w:rFonts w:ascii="Times New Roman" w:hAnsi="Times New Roman" w:cs="Times New Roman"/>
          <w:color w:val="000000"/>
        </w:rPr>
        <w:tab/>
      </w:r>
      <w:r w:rsidRPr="0089115A">
        <w:rPr>
          <w:rFonts w:ascii="Times New Roman" w:hAnsi="Times New Roman" w:cs="Times New Roman"/>
          <w:color w:val="000000"/>
        </w:rPr>
        <w:t>Overall, an integrative intervention plan targeting cognitive distortions, emotional regulation difficulties, substance misuse, and responsivity issues offers the greatest potential for reducing Mark’s risk of reoffending and supporting rehabilitative progress.</w:t>
      </w:r>
    </w:p>
    <w:p w14:paraId="2A46C8F9" w14:textId="056EC26A" w:rsidR="0024676E" w:rsidRDefault="00E402A6" w:rsidP="008C3B4F">
      <w:pPr>
        <w:spacing w:line="360" w:lineRule="auto"/>
        <w:rPr>
          <w:rFonts w:ascii="Times New Roman" w:hAnsi="Times New Roman" w:cs="Times New Roman"/>
          <w:color w:val="000000"/>
        </w:rPr>
      </w:pPr>
      <w:r>
        <w:rPr>
          <w:rFonts w:ascii="Times New Roman" w:hAnsi="Times New Roman" w:cs="Times New Roman"/>
          <w:color w:val="000000"/>
        </w:rPr>
        <w:tab/>
        <w:t xml:space="preserve"> Following six months of </w:t>
      </w:r>
      <w:r w:rsidR="005708F6">
        <w:rPr>
          <w:rFonts w:ascii="Times New Roman" w:hAnsi="Times New Roman" w:cs="Times New Roman"/>
          <w:color w:val="000000"/>
        </w:rPr>
        <w:t>structured, offence-focused intervention within a forensic rehabilitation setting</w:t>
      </w:r>
      <w:r w:rsidR="003E08C8">
        <w:rPr>
          <w:rFonts w:ascii="Times New Roman" w:hAnsi="Times New Roman" w:cs="Times New Roman"/>
          <w:color w:val="000000"/>
        </w:rPr>
        <w:t xml:space="preserve">, a </w:t>
      </w:r>
      <w:proofErr w:type="spellStart"/>
      <w:proofErr w:type="gramStart"/>
      <w:r w:rsidR="003E08C8">
        <w:rPr>
          <w:rFonts w:ascii="Times New Roman" w:hAnsi="Times New Roman" w:cs="Times New Roman"/>
          <w:color w:val="000000"/>
        </w:rPr>
        <w:t>num,ber</w:t>
      </w:r>
      <w:proofErr w:type="spellEnd"/>
      <w:proofErr w:type="gramEnd"/>
      <w:r w:rsidR="003E08C8">
        <w:rPr>
          <w:rFonts w:ascii="Times New Roman" w:hAnsi="Times New Roman" w:cs="Times New Roman"/>
          <w:color w:val="000000"/>
        </w:rPr>
        <w:t xml:space="preserve"> of tentative but meaningful outcomes may be anticipated. </w:t>
      </w:r>
      <w:r w:rsidR="00B31CBF">
        <w:rPr>
          <w:rFonts w:ascii="Times New Roman" w:hAnsi="Times New Roman" w:cs="Times New Roman"/>
          <w:color w:val="000000"/>
        </w:rPr>
        <w:t xml:space="preserve">It is important to note that change within this timeframe is likely to be </w:t>
      </w:r>
      <w:r w:rsidR="00DC3140">
        <w:rPr>
          <w:rFonts w:ascii="Times New Roman" w:hAnsi="Times New Roman" w:cs="Times New Roman"/>
          <w:color w:val="000000"/>
        </w:rPr>
        <w:t>incremental rather than drastic</w:t>
      </w:r>
      <w:r w:rsidR="00144BE2">
        <w:rPr>
          <w:rFonts w:ascii="Times New Roman" w:hAnsi="Times New Roman" w:cs="Times New Roman"/>
          <w:color w:val="000000"/>
        </w:rPr>
        <w:t xml:space="preserve">, particularly given Mark’s initial defensiveness </w:t>
      </w:r>
      <w:r w:rsidR="002A6026">
        <w:rPr>
          <w:rFonts w:ascii="Times New Roman" w:hAnsi="Times New Roman" w:cs="Times New Roman"/>
          <w:color w:val="000000"/>
        </w:rPr>
        <w:t xml:space="preserve">and partial denial. Even so, engagement in </w:t>
      </w:r>
      <w:r w:rsidR="003D4467">
        <w:rPr>
          <w:rFonts w:ascii="Times New Roman" w:hAnsi="Times New Roman" w:cs="Times New Roman"/>
          <w:color w:val="000000"/>
        </w:rPr>
        <w:t>evidence-based</w:t>
      </w:r>
      <w:r w:rsidR="002A6026">
        <w:rPr>
          <w:rFonts w:ascii="Times New Roman" w:hAnsi="Times New Roman" w:cs="Times New Roman"/>
          <w:color w:val="000000"/>
        </w:rPr>
        <w:t xml:space="preserve"> treatment has the potential to produce </w:t>
      </w:r>
      <w:r w:rsidR="003D4467">
        <w:rPr>
          <w:rFonts w:ascii="Times New Roman" w:hAnsi="Times New Roman" w:cs="Times New Roman"/>
          <w:color w:val="000000"/>
        </w:rPr>
        <w:t xml:space="preserve">indicators of risk reduction and </w:t>
      </w:r>
      <w:proofErr w:type="spellStart"/>
      <w:r w:rsidR="003D4467">
        <w:rPr>
          <w:rFonts w:ascii="Times New Roman" w:hAnsi="Times New Roman" w:cs="Times New Roman"/>
          <w:color w:val="000000"/>
        </w:rPr>
        <w:t>rehabilitave</w:t>
      </w:r>
      <w:proofErr w:type="spellEnd"/>
      <w:r w:rsidR="003D4467">
        <w:rPr>
          <w:rFonts w:ascii="Times New Roman" w:hAnsi="Times New Roman" w:cs="Times New Roman"/>
          <w:color w:val="000000"/>
        </w:rPr>
        <w:t xml:space="preserve"> progress. </w:t>
      </w:r>
    </w:p>
    <w:p w14:paraId="74A8736B" w14:textId="200C380D" w:rsidR="003D4467" w:rsidRDefault="003D4467" w:rsidP="008C3B4F">
      <w:pPr>
        <w:spacing w:line="360" w:lineRule="auto"/>
        <w:rPr>
          <w:rFonts w:ascii="Times New Roman" w:hAnsi="Times New Roman" w:cs="Times New Roman"/>
          <w:color w:val="000000"/>
        </w:rPr>
      </w:pPr>
      <w:r>
        <w:rPr>
          <w:rFonts w:ascii="Times New Roman" w:hAnsi="Times New Roman" w:cs="Times New Roman"/>
          <w:color w:val="000000"/>
        </w:rPr>
        <w:tab/>
      </w:r>
      <w:r w:rsidR="00174ED0" w:rsidRPr="00174ED0">
        <w:rPr>
          <w:rFonts w:ascii="Times New Roman" w:hAnsi="Times New Roman" w:cs="Times New Roman"/>
          <w:color w:val="000000"/>
        </w:rPr>
        <w:t xml:space="preserve">One anticipated outcome is a reduction in offence-supportive cognitions, including minimisation of responsibility. Cognitive–behavioural interventions have been shown to support increased accountability and improved understanding of consent and victim impact, particularly when responsivity issues are appropriately managed (Hanson et al., 2009). Mark may therefore demonstrate </w:t>
      </w:r>
      <w:r w:rsidR="0023142C">
        <w:rPr>
          <w:rFonts w:ascii="Times New Roman" w:hAnsi="Times New Roman" w:cs="Times New Roman"/>
          <w:color w:val="000000"/>
        </w:rPr>
        <w:t xml:space="preserve">a greater </w:t>
      </w:r>
      <w:r w:rsidR="00174ED0" w:rsidRPr="00174ED0">
        <w:rPr>
          <w:rFonts w:ascii="Times New Roman" w:hAnsi="Times New Roman" w:cs="Times New Roman"/>
          <w:color w:val="000000"/>
        </w:rPr>
        <w:t xml:space="preserve">willingness to acknowledge the seriousness of his behaviour and a more realistic </w:t>
      </w:r>
      <w:r w:rsidR="00D24A3F">
        <w:rPr>
          <w:rFonts w:ascii="Times New Roman" w:hAnsi="Times New Roman" w:cs="Times New Roman"/>
          <w:color w:val="000000"/>
        </w:rPr>
        <w:t xml:space="preserve">evaluation </w:t>
      </w:r>
      <w:r w:rsidR="00174ED0" w:rsidRPr="00174ED0">
        <w:rPr>
          <w:rFonts w:ascii="Times New Roman" w:hAnsi="Times New Roman" w:cs="Times New Roman"/>
          <w:color w:val="000000"/>
        </w:rPr>
        <w:t>of its consequences</w:t>
      </w:r>
      <w:r w:rsidR="00174ED0">
        <w:rPr>
          <w:rFonts w:ascii="Times New Roman" w:hAnsi="Times New Roman" w:cs="Times New Roman"/>
          <w:color w:val="000000"/>
        </w:rPr>
        <w:t xml:space="preserve">. </w:t>
      </w:r>
    </w:p>
    <w:p w14:paraId="1403304E" w14:textId="34F1304B" w:rsidR="00D24A3F" w:rsidRDefault="001C242D" w:rsidP="008C3B4F">
      <w:pPr>
        <w:spacing w:line="360" w:lineRule="auto"/>
        <w:rPr>
          <w:rFonts w:ascii="Times New Roman" w:hAnsi="Times New Roman" w:cs="Times New Roman"/>
          <w:color w:val="000000"/>
        </w:rPr>
      </w:pPr>
      <w:r>
        <w:rPr>
          <w:rFonts w:ascii="Times New Roman" w:hAnsi="Times New Roman" w:cs="Times New Roman"/>
          <w:color w:val="000000"/>
        </w:rPr>
        <w:tab/>
      </w:r>
      <w:r w:rsidRPr="001C242D">
        <w:rPr>
          <w:rFonts w:ascii="Times New Roman" w:hAnsi="Times New Roman" w:cs="Times New Roman"/>
          <w:color w:val="000000"/>
        </w:rPr>
        <w:t xml:space="preserve">Improvements in emotional awareness and regulation may also be evident. Through targeted work on affect identification and coping strategies, Mark may begin to rely less on </w:t>
      </w:r>
      <w:r w:rsidRPr="001C242D">
        <w:rPr>
          <w:rFonts w:ascii="Times New Roman" w:hAnsi="Times New Roman" w:cs="Times New Roman"/>
          <w:color w:val="000000"/>
        </w:rPr>
        <w:lastRenderedPageBreak/>
        <w:t>avoidance and substance use as methods of managing distress. Research indicates that even modest gains in emotional regulation can contribute to reductions in dynamic risk factors associated with sexual reoffending (Marshall et al., 2011).</w:t>
      </w:r>
    </w:p>
    <w:p w14:paraId="36C23BF7" w14:textId="4A8ADF2B" w:rsidR="008D3DA9" w:rsidRDefault="008D3DA9" w:rsidP="008C3B4F">
      <w:pPr>
        <w:spacing w:line="360" w:lineRule="auto"/>
        <w:rPr>
          <w:rFonts w:ascii="Times New Roman" w:hAnsi="Times New Roman" w:cs="Times New Roman"/>
          <w:color w:val="000000"/>
        </w:rPr>
      </w:pPr>
      <w:r>
        <w:rPr>
          <w:rFonts w:ascii="Times New Roman" w:hAnsi="Times New Roman" w:cs="Times New Roman"/>
          <w:color w:val="000000"/>
        </w:rPr>
        <w:tab/>
        <w:t xml:space="preserve">In relation to substance misuse, continued engagement with alcohol reduction interventions may result in increased insight </w:t>
      </w:r>
      <w:r w:rsidR="00F34434">
        <w:rPr>
          <w:rFonts w:ascii="Times New Roman" w:hAnsi="Times New Roman" w:cs="Times New Roman"/>
          <w:color w:val="000000"/>
        </w:rPr>
        <w:t>into the role of alcohol</w:t>
      </w:r>
      <w:r w:rsidR="00B2487B">
        <w:rPr>
          <w:rFonts w:ascii="Times New Roman" w:hAnsi="Times New Roman" w:cs="Times New Roman"/>
          <w:color w:val="000000"/>
        </w:rPr>
        <w:t xml:space="preserve"> as a risk enhancing factor. While abstinence may not be fully achieved within six months, enhanced awareness of </w:t>
      </w:r>
      <w:proofErr w:type="gramStart"/>
      <w:r w:rsidR="00B2487B">
        <w:rPr>
          <w:rFonts w:ascii="Times New Roman" w:hAnsi="Times New Roman" w:cs="Times New Roman"/>
          <w:color w:val="000000"/>
        </w:rPr>
        <w:t>high risk</w:t>
      </w:r>
      <w:proofErr w:type="gramEnd"/>
      <w:r w:rsidR="00B2487B">
        <w:rPr>
          <w:rFonts w:ascii="Times New Roman" w:hAnsi="Times New Roman" w:cs="Times New Roman"/>
          <w:color w:val="000000"/>
        </w:rPr>
        <w:t xml:space="preserve"> </w:t>
      </w:r>
      <w:r w:rsidR="00005A1F">
        <w:rPr>
          <w:rFonts w:ascii="Times New Roman" w:hAnsi="Times New Roman" w:cs="Times New Roman"/>
          <w:color w:val="000000"/>
        </w:rPr>
        <w:t xml:space="preserve">situations and the development of relapse prevention would show meaningful progress (Dowden &amp; Brown, 2002). </w:t>
      </w:r>
    </w:p>
    <w:p w14:paraId="3DEBCB29" w14:textId="42EAC6A6" w:rsidR="00005A1F" w:rsidRDefault="0004181A" w:rsidP="008C3B4F">
      <w:pPr>
        <w:spacing w:line="360" w:lineRule="auto"/>
        <w:rPr>
          <w:rFonts w:ascii="Times New Roman" w:hAnsi="Times New Roman" w:cs="Times New Roman"/>
          <w:color w:val="000000"/>
        </w:rPr>
      </w:pPr>
      <w:r>
        <w:rPr>
          <w:rFonts w:ascii="Times New Roman" w:hAnsi="Times New Roman" w:cs="Times New Roman"/>
          <w:color w:val="000000"/>
        </w:rPr>
        <w:tab/>
      </w:r>
      <w:r w:rsidR="00340440" w:rsidRPr="00340440">
        <w:rPr>
          <w:rFonts w:ascii="Times New Roman" w:hAnsi="Times New Roman" w:cs="Times New Roman"/>
          <w:color w:val="000000"/>
        </w:rPr>
        <w:t>Mark may also show improved engagement with treatment, reflected in reduced defensiveness and greater receptivity to therapeutic work. Trauma-informed approaches have been shown to enhance engagement by addressing shame and emotional avoidance without legitimising harmful behaviour (Levenson et al., 2016). Taken together, such changes would indicate early progress in reducing dynamic risk, while recognising that ongoing intervention and monitoring remain necessary.</w:t>
      </w:r>
    </w:p>
    <w:p w14:paraId="78731A18" w14:textId="101A89FC" w:rsidR="00340440" w:rsidRDefault="00C31AC3" w:rsidP="008C3B4F">
      <w:pPr>
        <w:spacing w:line="360" w:lineRule="auto"/>
        <w:rPr>
          <w:rFonts w:ascii="Times New Roman" w:hAnsi="Times New Roman" w:cs="Times New Roman"/>
          <w:color w:val="000000"/>
        </w:rPr>
      </w:pPr>
      <w:r>
        <w:rPr>
          <w:rFonts w:ascii="Times New Roman" w:hAnsi="Times New Roman" w:cs="Times New Roman"/>
          <w:color w:val="000000"/>
        </w:rPr>
        <w:tab/>
        <w:t xml:space="preserve">This forensic case formulation has applied the 4 P’s model to provide an </w:t>
      </w:r>
      <w:proofErr w:type="spellStart"/>
      <w:r>
        <w:rPr>
          <w:rFonts w:ascii="Times New Roman" w:hAnsi="Times New Roman" w:cs="Times New Roman"/>
          <w:color w:val="000000"/>
        </w:rPr>
        <w:t>inter</w:t>
      </w:r>
      <w:r w:rsidR="00F238AD">
        <w:rPr>
          <w:rFonts w:ascii="Times New Roman" w:hAnsi="Times New Roman" w:cs="Times New Roman"/>
          <w:color w:val="000000"/>
        </w:rPr>
        <w:t>grative</w:t>
      </w:r>
      <w:proofErr w:type="spellEnd"/>
      <w:r w:rsidR="00F238AD">
        <w:rPr>
          <w:rFonts w:ascii="Times New Roman" w:hAnsi="Times New Roman" w:cs="Times New Roman"/>
          <w:color w:val="000000"/>
        </w:rPr>
        <w:t>, evidence-based explanation of Mark’s sexual offending behaviour. By examining presenting, predisposing, precipitating and perpetuating factors, the formulatio</w:t>
      </w:r>
      <w:r w:rsidR="00000C4E">
        <w:rPr>
          <w:rFonts w:ascii="Times New Roman" w:hAnsi="Times New Roman" w:cs="Times New Roman"/>
          <w:color w:val="000000"/>
        </w:rPr>
        <w:t xml:space="preserve">n highlights how developmental </w:t>
      </w:r>
      <w:r w:rsidR="006F44FB">
        <w:rPr>
          <w:rFonts w:ascii="Times New Roman" w:hAnsi="Times New Roman" w:cs="Times New Roman"/>
          <w:color w:val="000000"/>
        </w:rPr>
        <w:t xml:space="preserve">adversity, substance misuse, emotional regulation difficulties, cognitive </w:t>
      </w:r>
      <w:r w:rsidR="00F20B35">
        <w:rPr>
          <w:rFonts w:ascii="Times New Roman" w:hAnsi="Times New Roman" w:cs="Times New Roman"/>
          <w:color w:val="000000"/>
        </w:rPr>
        <w:t>distortions</w:t>
      </w:r>
      <w:r w:rsidR="006F44FB">
        <w:rPr>
          <w:rFonts w:ascii="Times New Roman" w:hAnsi="Times New Roman" w:cs="Times New Roman"/>
          <w:color w:val="000000"/>
        </w:rPr>
        <w:t xml:space="preserve"> and situational stressors interacted to </w:t>
      </w:r>
      <w:r w:rsidR="00F20B35">
        <w:rPr>
          <w:rFonts w:ascii="Times New Roman" w:hAnsi="Times New Roman" w:cs="Times New Roman"/>
          <w:color w:val="000000"/>
        </w:rPr>
        <w:t xml:space="preserve">contribute to the offence and ongoing risk. </w:t>
      </w:r>
    </w:p>
    <w:p w14:paraId="6FB964D0" w14:textId="7E3DE401" w:rsidR="00F20B35" w:rsidRDefault="00F20B35" w:rsidP="008C3B4F">
      <w:pPr>
        <w:spacing w:line="360" w:lineRule="auto"/>
        <w:rPr>
          <w:rFonts w:ascii="Times New Roman" w:hAnsi="Times New Roman" w:cs="Times New Roman"/>
          <w:color w:val="000000"/>
        </w:rPr>
      </w:pPr>
      <w:r>
        <w:rPr>
          <w:rFonts w:ascii="Times New Roman" w:hAnsi="Times New Roman" w:cs="Times New Roman"/>
          <w:color w:val="000000"/>
        </w:rPr>
        <w:tab/>
      </w:r>
      <w:r w:rsidR="007E6687" w:rsidRPr="007E6687">
        <w:rPr>
          <w:rFonts w:ascii="Times New Roman" w:hAnsi="Times New Roman" w:cs="Times New Roman"/>
          <w:color w:val="000000"/>
        </w:rPr>
        <w:t>In Mark’s case, risk appears to be primarily maintained by dynamic factors, including offence-supportive beliefs, shame-based defensiveness, emotional avoidance, and alcohol misuse. These factors represent critical targets for intervention and are consistent with contemporary models of effective forensic rehabilitation (Andrews &amp; Bonta, 2010).</w:t>
      </w:r>
    </w:p>
    <w:p w14:paraId="4E5C9FB7" w14:textId="356BC711" w:rsidR="007E6687" w:rsidRDefault="007E6687" w:rsidP="008C3B4F">
      <w:pPr>
        <w:spacing w:line="360" w:lineRule="auto"/>
        <w:rPr>
          <w:rFonts w:ascii="Times New Roman" w:hAnsi="Times New Roman" w:cs="Times New Roman"/>
          <w:color w:val="000000"/>
        </w:rPr>
      </w:pPr>
      <w:r>
        <w:rPr>
          <w:rFonts w:ascii="Times New Roman" w:hAnsi="Times New Roman" w:cs="Times New Roman"/>
          <w:color w:val="000000"/>
        </w:rPr>
        <w:tab/>
      </w:r>
      <w:r w:rsidR="00097BF5" w:rsidRPr="00097BF5">
        <w:rPr>
          <w:rFonts w:ascii="Times New Roman" w:hAnsi="Times New Roman" w:cs="Times New Roman"/>
          <w:color w:val="000000"/>
        </w:rPr>
        <w:t xml:space="preserve">The proposed intervention plan, </w:t>
      </w:r>
      <w:r w:rsidR="00097BF5">
        <w:rPr>
          <w:rFonts w:ascii="Times New Roman" w:hAnsi="Times New Roman" w:cs="Times New Roman"/>
          <w:color w:val="000000"/>
        </w:rPr>
        <w:t xml:space="preserve">which is </w:t>
      </w:r>
      <w:r w:rsidR="00097BF5" w:rsidRPr="00097BF5">
        <w:rPr>
          <w:rFonts w:ascii="Times New Roman" w:hAnsi="Times New Roman" w:cs="Times New Roman"/>
          <w:color w:val="000000"/>
        </w:rPr>
        <w:t>grounded in cognitive–behavioural and trauma-informed principles, aims to reduce risk by addressing these dynamic factors while supporting engagement and responsivity. While meaningful change is unlikely to be fully rea</w:t>
      </w:r>
      <w:r w:rsidR="000616E3">
        <w:rPr>
          <w:rFonts w:ascii="Times New Roman" w:hAnsi="Times New Roman" w:cs="Times New Roman"/>
          <w:color w:val="000000"/>
        </w:rPr>
        <w:t>ched</w:t>
      </w:r>
      <w:r w:rsidR="00097BF5" w:rsidRPr="00097BF5">
        <w:rPr>
          <w:rFonts w:ascii="Times New Roman" w:hAnsi="Times New Roman" w:cs="Times New Roman"/>
          <w:color w:val="000000"/>
        </w:rPr>
        <w:t xml:space="preserve"> within six months, early improvements in</w:t>
      </w:r>
      <w:r w:rsidR="000616E3">
        <w:rPr>
          <w:rFonts w:ascii="Times New Roman" w:hAnsi="Times New Roman" w:cs="Times New Roman"/>
          <w:color w:val="000000"/>
        </w:rPr>
        <w:t xml:space="preserve"> </w:t>
      </w:r>
      <w:r w:rsidR="00097BF5" w:rsidRPr="00097BF5">
        <w:rPr>
          <w:rFonts w:ascii="Times New Roman" w:hAnsi="Times New Roman" w:cs="Times New Roman"/>
          <w:color w:val="000000"/>
        </w:rPr>
        <w:t>emotional regulation, and treatment engagement may indicate progress toward longer-term risk reduction.</w:t>
      </w:r>
    </w:p>
    <w:p w14:paraId="357BF651" w14:textId="355C4601" w:rsidR="000616E3" w:rsidRPr="000616E3" w:rsidRDefault="000616E3" w:rsidP="008C3B4F">
      <w:pPr>
        <w:spacing w:line="360" w:lineRule="auto"/>
        <w:rPr>
          <w:rFonts w:ascii="Times New Roman" w:hAnsi="Times New Roman" w:cs="Times New Roman"/>
          <w:color w:val="000000"/>
        </w:rPr>
      </w:pPr>
      <w:r>
        <w:rPr>
          <w:rFonts w:ascii="Times New Roman" w:hAnsi="Times New Roman" w:cs="Times New Roman"/>
          <w:color w:val="000000"/>
        </w:rPr>
        <w:tab/>
      </w:r>
      <w:r w:rsidRPr="000616E3">
        <w:rPr>
          <w:rFonts w:ascii="Times New Roman" w:hAnsi="Times New Roman" w:cs="Times New Roman"/>
          <w:color w:val="000000"/>
        </w:rPr>
        <w:t xml:space="preserve">Overall, this formulation demonstrates the value of psychologically informed case formulation in forensic settings, both for explaining offending behaviour and for guiding </w:t>
      </w:r>
      <w:r w:rsidRPr="000616E3">
        <w:rPr>
          <w:rFonts w:ascii="Times New Roman" w:hAnsi="Times New Roman" w:cs="Times New Roman"/>
          <w:color w:val="000000"/>
        </w:rPr>
        <w:lastRenderedPageBreak/>
        <w:t>evidence-based intervention. Ongoing assessment and review will be essential to ensure that intervention remains responsive to Mark’s evolving risk profile and rehabilitative needs.</w:t>
      </w:r>
    </w:p>
    <w:p w14:paraId="3DB90692" w14:textId="77777777" w:rsidR="007E6687" w:rsidRPr="007E6687" w:rsidRDefault="007E6687" w:rsidP="008C3B4F">
      <w:pPr>
        <w:spacing w:line="360" w:lineRule="auto"/>
        <w:rPr>
          <w:rFonts w:ascii="Times New Roman" w:hAnsi="Times New Roman" w:cs="Times New Roman"/>
          <w:color w:val="000000"/>
        </w:rPr>
      </w:pPr>
    </w:p>
    <w:p w14:paraId="63EDC06B" w14:textId="3EB58369" w:rsidR="00AA10A5" w:rsidRDefault="00AA10A5" w:rsidP="008C3B4F">
      <w:pPr>
        <w:spacing w:line="360" w:lineRule="auto"/>
        <w:rPr>
          <w:rFonts w:ascii="Times New Roman" w:hAnsi="Times New Roman" w:cs="Times New Roman"/>
          <w:color w:val="000000"/>
        </w:rPr>
      </w:pPr>
    </w:p>
    <w:p w14:paraId="547F27D0" w14:textId="77777777" w:rsidR="00AA10A5" w:rsidRDefault="00AA10A5">
      <w:pPr>
        <w:rPr>
          <w:rFonts w:ascii="Times New Roman" w:hAnsi="Times New Roman" w:cs="Times New Roman"/>
          <w:color w:val="000000"/>
        </w:rPr>
      </w:pPr>
      <w:r>
        <w:rPr>
          <w:rFonts w:ascii="Times New Roman" w:hAnsi="Times New Roman" w:cs="Times New Roman"/>
          <w:color w:val="000000"/>
        </w:rPr>
        <w:br w:type="page"/>
      </w:r>
    </w:p>
    <w:p w14:paraId="18ACF812" w14:textId="56FEF48F" w:rsidR="00F20B35" w:rsidRPr="00861229" w:rsidRDefault="00AA10A5" w:rsidP="008C3B4F">
      <w:pPr>
        <w:spacing w:line="360" w:lineRule="auto"/>
        <w:rPr>
          <w:rFonts w:ascii="Times New Roman" w:hAnsi="Times New Roman" w:cs="Times New Roman"/>
          <w:color w:val="000000"/>
          <w:u w:val="single"/>
        </w:rPr>
      </w:pPr>
      <w:r w:rsidRPr="00861229">
        <w:rPr>
          <w:rFonts w:ascii="Times New Roman" w:hAnsi="Times New Roman" w:cs="Times New Roman"/>
          <w:color w:val="000000"/>
          <w:u w:val="single"/>
        </w:rPr>
        <w:lastRenderedPageBreak/>
        <w:t xml:space="preserve">References </w:t>
      </w:r>
    </w:p>
    <w:p w14:paraId="6F29615A" w14:textId="77777777" w:rsidR="00291B8B" w:rsidRPr="00291B8B" w:rsidRDefault="00291B8B" w:rsidP="00291B8B">
      <w:pPr>
        <w:rPr>
          <w:rStyle w:val="apple-converted-space"/>
          <w:rFonts w:ascii="Times New Roman" w:hAnsi="Times New Roman" w:cs="Times New Roman"/>
          <w:color w:val="000000"/>
        </w:rPr>
      </w:pPr>
      <w:r w:rsidRPr="00291B8B">
        <w:rPr>
          <w:rFonts w:ascii="Times New Roman" w:hAnsi="Times New Roman" w:cs="Times New Roman"/>
          <w:color w:val="000000"/>
        </w:rPr>
        <w:t>Abbey, A., Wegner, R., Woerner, J., Pegram, S. E., &amp; Pierce, J. (2014). Review of survey and experimental research that examines the relationship between alcohol consumption and men’s sexual aggression perpetration.</w:t>
      </w:r>
      <w:r w:rsidRPr="00291B8B">
        <w:rPr>
          <w:rStyle w:val="apple-converted-space"/>
          <w:rFonts w:ascii="Times New Roman" w:hAnsi="Times New Roman" w:cs="Times New Roman"/>
          <w:color w:val="000000"/>
        </w:rPr>
        <w:t> </w:t>
      </w:r>
      <w:r w:rsidRPr="00291B8B">
        <w:rPr>
          <w:rStyle w:val="Emphasis"/>
          <w:rFonts w:ascii="Times New Roman" w:hAnsi="Times New Roman" w:cs="Times New Roman"/>
          <w:color w:val="000000"/>
        </w:rPr>
        <w:t>Trauma, Violence, &amp; Abuse, 15</w:t>
      </w:r>
      <w:r w:rsidRPr="00291B8B">
        <w:rPr>
          <w:rFonts w:ascii="Times New Roman" w:hAnsi="Times New Roman" w:cs="Times New Roman"/>
          <w:color w:val="000000"/>
        </w:rPr>
        <w:t>(4), 265–282.</w:t>
      </w:r>
      <w:r w:rsidRPr="00291B8B">
        <w:rPr>
          <w:rStyle w:val="apple-converted-space"/>
          <w:rFonts w:ascii="Times New Roman" w:hAnsi="Times New Roman" w:cs="Times New Roman"/>
          <w:color w:val="000000"/>
        </w:rPr>
        <w:t> </w:t>
      </w:r>
      <w:hyperlink r:id="rId4" w:history="1">
        <w:r w:rsidRPr="00291B8B">
          <w:rPr>
            <w:rStyle w:val="Hyperlink"/>
            <w:rFonts w:ascii="Times New Roman" w:hAnsi="Times New Roman" w:cs="Times New Roman"/>
          </w:rPr>
          <w:t>https://journals.sagepub.com/doi/10.1177/1524838014521031</w:t>
        </w:r>
      </w:hyperlink>
    </w:p>
    <w:p w14:paraId="21889D47" w14:textId="77777777" w:rsidR="00291B8B" w:rsidRPr="00291B8B" w:rsidRDefault="00291B8B" w:rsidP="00291B8B">
      <w:pPr>
        <w:rPr>
          <w:rFonts w:ascii="Times New Roman" w:hAnsi="Times New Roman" w:cs="Times New Roman"/>
        </w:rPr>
      </w:pPr>
      <w:r w:rsidRPr="00291B8B">
        <w:rPr>
          <w:rFonts w:ascii="Times New Roman" w:hAnsi="Times New Roman" w:cs="Times New Roman"/>
        </w:rPr>
        <w:t xml:space="preserve"> </w:t>
      </w:r>
    </w:p>
    <w:p w14:paraId="11066FB5" w14:textId="77777777" w:rsidR="00291B8B" w:rsidRPr="00291B8B" w:rsidRDefault="00291B8B" w:rsidP="00291B8B">
      <w:pPr>
        <w:pStyle w:val="NormalWeb"/>
        <w:rPr>
          <w:color w:val="000000"/>
        </w:rPr>
      </w:pPr>
      <w:r w:rsidRPr="00291B8B">
        <w:rPr>
          <w:color w:val="000000"/>
        </w:rPr>
        <w:t>Andrews, D. A., &amp; Bonta, J. (2010).</w:t>
      </w:r>
      <w:r w:rsidRPr="00291B8B">
        <w:rPr>
          <w:rStyle w:val="apple-converted-space"/>
          <w:rFonts w:eastAsiaTheme="majorEastAsia"/>
          <w:color w:val="000000"/>
        </w:rPr>
        <w:t> </w:t>
      </w:r>
      <w:r w:rsidRPr="00291B8B">
        <w:rPr>
          <w:rStyle w:val="Emphasis"/>
          <w:rFonts w:eastAsiaTheme="majorEastAsia"/>
          <w:color w:val="000000"/>
        </w:rPr>
        <w:t>The psychology of criminal conduct</w:t>
      </w:r>
      <w:r w:rsidRPr="00291B8B">
        <w:rPr>
          <w:rStyle w:val="apple-converted-space"/>
          <w:rFonts w:eastAsiaTheme="majorEastAsia"/>
          <w:color w:val="000000"/>
        </w:rPr>
        <w:t> </w:t>
      </w:r>
      <w:r w:rsidRPr="00291B8B">
        <w:rPr>
          <w:color w:val="000000"/>
        </w:rPr>
        <w:t>(5th ed.). Routledge.</w:t>
      </w:r>
      <w:r w:rsidRPr="00291B8B">
        <w:t xml:space="preserve"> </w:t>
      </w:r>
      <w:hyperlink r:id="rId5" w:history="1">
        <w:r w:rsidRPr="00291B8B">
          <w:rPr>
            <w:rStyle w:val="Hyperlink"/>
          </w:rPr>
          <w:t>https://books.google.co.uk/books?hl=en&amp;lr=&amp;id=mD2PBAAAQBAJ&amp;oi=fnd&amp;pg=PT6&amp;dq=Andrews,+D.+A.,+%26+Bonta,+J.+(2010).+The+psychology+of+criminal+conduct+(5th+ed.).+Routledge.&amp;ots=QKFMFb4qok&amp;sig=ZzUL2hz_8cOts2_Hw4qtfjFVFEU#v=onepage&amp;q&amp;f=false</w:t>
        </w:r>
      </w:hyperlink>
    </w:p>
    <w:p w14:paraId="3EF82E19" w14:textId="77777777" w:rsidR="00291B8B" w:rsidRPr="00291B8B" w:rsidRDefault="00291B8B" w:rsidP="00291B8B">
      <w:pPr>
        <w:pStyle w:val="NormalWeb"/>
        <w:rPr>
          <w:color w:val="000000"/>
        </w:rPr>
      </w:pPr>
    </w:p>
    <w:p w14:paraId="520D4987" w14:textId="77777777" w:rsidR="00291B8B" w:rsidRPr="00291B8B" w:rsidRDefault="00291B8B" w:rsidP="00291B8B">
      <w:pPr>
        <w:pStyle w:val="NormalWeb"/>
        <w:rPr>
          <w:rStyle w:val="apple-converted-space"/>
          <w:rFonts w:eastAsiaTheme="majorEastAsia"/>
          <w:color w:val="000000"/>
        </w:rPr>
      </w:pPr>
      <w:r w:rsidRPr="00291B8B">
        <w:rPr>
          <w:color w:val="000000"/>
        </w:rPr>
        <w:t>Beech, A. R., Ward, T., &amp; Fisher, D. (2006). The identification of sexual and violent motivations in men who assault women: Implications for treatment.</w:t>
      </w:r>
      <w:r w:rsidRPr="00291B8B">
        <w:rPr>
          <w:rStyle w:val="apple-converted-space"/>
          <w:rFonts w:eastAsiaTheme="majorEastAsia"/>
          <w:color w:val="000000"/>
        </w:rPr>
        <w:t> </w:t>
      </w:r>
      <w:r w:rsidRPr="00291B8B">
        <w:rPr>
          <w:rStyle w:val="Emphasis"/>
          <w:rFonts w:eastAsiaTheme="majorEastAsia"/>
          <w:color w:val="000000"/>
        </w:rPr>
        <w:t>Journal of Interpersonal Violence, 21</w:t>
      </w:r>
      <w:r w:rsidRPr="00291B8B">
        <w:rPr>
          <w:color w:val="000000"/>
        </w:rPr>
        <w:t>(12), 1635–1653.</w:t>
      </w:r>
      <w:r w:rsidRPr="00291B8B">
        <w:rPr>
          <w:rStyle w:val="apple-converted-space"/>
          <w:rFonts w:eastAsiaTheme="majorEastAsia"/>
          <w:color w:val="000000"/>
        </w:rPr>
        <w:t> </w:t>
      </w:r>
      <w:hyperlink r:id="rId6" w:history="1">
        <w:r w:rsidRPr="00291B8B">
          <w:rPr>
            <w:rStyle w:val="Hyperlink"/>
            <w:rFonts w:eastAsiaTheme="majorEastAsia"/>
          </w:rPr>
          <w:t>https://pubmed.ncbi.nlm.nih.gov/17065658/</w:t>
        </w:r>
      </w:hyperlink>
    </w:p>
    <w:p w14:paraId="62CA8EB7" w14:textId="77777777" w:rsidR="00291B8B" w:rsidRPr="00291B8B" w:rsidRDefault="00291B8B" w:rsidP="00291B8B">
      <w:pPr>
        <w:pStyle w:val="NormalWeb"/>
        <w:rPr>
          <w:color w:val="000000"/>
        </w:rPr>
      </w:pPr>
      <w:r w:rsidRPr="00291B8B">
        <w:rPr>
          <w:color w:val="000000"/>
        </w:rPr>
        <w:t>Bowlby, J. (1988).</w:t>
      </w:r>
      <w:r w:rsidRPr="00291B8B">
        <w:rPr>
          <w:rStyle w:val="apple-converted-space"/>
          <w:rFonts w:eastAsiaTheme="majorEastAsia"/>
          <w:color w:val="000000"/>
        </w:rPr>
        <w:t> </w:t>
      </w:r>
      <w:r w:rsidRPr="00291B8B">
        <w:rPr>
          <w:rStyle w:val="Emphasis"/>
          <w:rFonts w:eastAsiaTheme="majorEastAsia"/>
          <w:color w:val="000000"/>
        </w:rPr>
        <w:t>A secure base: Parent-child attachment and healthy human development</w:t>
      </w:r>
      <w:r w:rsidRPr="00291B8B">
        <w:rPr>
          <w:color w:val="000000"/>
        </w:rPr>
        <w:t>. Basic Books.</w:t>
      </w:r>
    </w:p>
    <w:p w14:paraId="0FD1F80C" w14:textId="77777777" w:rsidR="00291B8B" w:rsidRPr="00291B8B" w:rsidRDefault="00291B8B" w:rsidP="00291B8B">
      <w:pPr>
        <w:pStyle w:val="NormalWeb"/>
        <w:rPr>
          <w:rStyle w:val="apple-converted-space"/>
          <w:rFonts w:eastAsiaTheme="majorEastAsia"/>
          <w:color w:val="000000"/>
        </w:rPr>
      </w:pPr>
      <w:r w:rsidRPr="00291B8B">
        <w:rPr>
          <w:color w:val="000000"/>
        </w:rPr>
        <w:t>Dowden, C., &amp; Brown, S. L. (2002). The role of substance abuse factors in predicting recidivism: A meta-analysis.</w:t>
      </w:r>
      <w:r w:rsidRPr="00291B8B">
        <w:rPr>
          <w:rStyle w:val="apple-converted-space"/>
          <w:rFonts w:eastAsiaTheme="majorEastAsia"/>
          <w:color w:val="000000"/>
        </w:rPr>
        <w:t> </w:t>
      </w:r>
      <w:r w:rsidRPr="00291B8B">
        <w:rPr>
          <w:rStyle w:val="Emphasis"/>
          <w:rFonts w:eastAsiaTheme="majorEastAsia"/>
          <w:color w:val="000000"/>
        </w:rPr>
        <w:t>Psychology, Crime &amp; Law, 8</w:t>
      </w:r>
      <w:r w:rsidRPr="00291B8B">
        <w:rPr>
          <w:color w:val="000000"/>
        </w:rPr>
        <w:t>(3), 243–264.</w:t>
      </w:r>
      <w:r w:rsidRPr="00291B8B">
        <w:rPr>
          <w:rStyle w:val="apple-converted-space"/>
          <w:rFonts w:eastAsiaTheme="majorEastAsia"/>
          <w:color w:val="000000"/>
        </w:rPr>
        <w:t> </w:t>
      </w:r>
      <w:hyperlink r:id="rId7" w:history="1">
        <w:r w:rsidRPr="00291B8B">
          <w:rPr>
            <w:rStyle w:val="Hyperlink"/>
            <w:rFonts w:eastAsiaTheme="majorEastAsia"/>
          </w:rPr>
          <w:t>https://www.tandfonline.com/doi/abs/10.1080/10683160208401818</w:t>
        </w:r>
      </w:hyperlink>
    </w:p>
    <w:p w14:paraId="4D48843A" w14:textId="2BE74CA4" w:rsidR="00291B8B" w:rsidRPr="007C27D9" w:rsidRDefault="00291B8B" w:rsidP="00291B8B">
      <w:pPr>
        <w:pStyle w:val="NormalWeb"/>
      </w:pPr>
      <w:r w:rsidRPr="00291B8B">
        <w:t xml:space="preserve"> </w:t>
      </w:r>
      <w:proofErr w:type="spellStart"/>
      <w:r w:rsidR="00F20B73">
        <w:t>Crisis</w:t>
      </w:r>
      <w:r w:rsidR="007C27D9">
        <w:t>prevention</w:t>
      </w:r>
      <w:proofErr w:type="spellEnd"/>
      <w:r w:rsidR="007C27D9">
        <w:t>. (2025)</w:t>
      </w:r>
      <w:r w:rsidR="00861229" w:rsidRPr="00861229">
        <w:rPr>
          <w:rStyle w:val="Heading1Char"/>
          <w:color w:val="000000"/>
        </w:rPr>
        <w:t xml:space="preserve"> </w:t>
      </w:r>
      <w:r w:rsidR="00861229" w:rsidRPr="00861229">
        <w:rPr>
          <w:rStyle w:val="Emphasis"/>
          <w:rFonts w:eastAsiaTheme="majorEastAsia"/>
          <w:color w:val="000000"/>
        </w:rPr>
        <w:t xml:space="preserve">Defining precipitating factors and understanding how they influence </w:t>
      </w:r>
      <w:proofErr w:type="spellStart"/>
      <w:r w:rsidR="00861229" w:rsidRPr="00861229">
        <w:rPr>
          <w:rStyle w:val="Emphasis"/>
          <w:rFonts w:eastAsiaTheme="majorEastAsia"/>
          <w:color w:val="000000"/>
        </w:rPr>
        <w:t>behavior</w:t>
      </w:r>
      <w:proofErr w:type="spellEnd"/>
      <w:r w:rsidR="00861229" w:rsidRPr="00861229">
        <w:rPr>
          <w:color w:val="000000"/>
        </w:rPr>
        <w:t>. Crisis Prevention Institute.</w:t>
      </w:r>
      <w:r w:rsidRPr="00291B8B">
        <w:rPr>
          <w:color w:val="000000"/>
        </w:rPr>
        <w:t xml:space="preserve"> </w:t>
      </w:r>
      <w:hyperlink r:id="rId8" w:history="1">
        <w:r w:rsidRPr="00291B8B">
          <w:rPr>
            <w:rStyle w:val="Hyperlink"/>
          </w:rPr>
          <w:t>https://www.crisisprevention.com/en-CA/blog/general/defining-precipitating-factors-and-understanding-how-they-influence-behavior/</w:t>
        </w:r>
      </w:hyperlink>
    </w:p>
    <w:p w14:paraId="7205722B" w14:textId="77777777" w:rsidR="00291B8B" w:rsidRPr="00291B8B" w:rsidRDefault="00291B8B" w:rsidP="00291B8B">
      <w:pPr>
        <w:pStyle w:val="NormalWeb"/>
        <w:rPr>
          <w:rStyle w:val="apple-converted-space"/>
          <w:rFonts w:eastAsiaTheme="majorEastAsia"/>
          <w:color w:val="000000"/>
        </w:rPr>
      </w:pPr>
      <w:r w:rsidRPr="00291B8B">
        <w:rPr>
          <w:color w:val="000000"/>
        </w:rPr>
        <w:t>Felitti, V. J., Anda, R. F., Nordenberg, D., Williamson, D. F., Spitz, A. M., Edwards, V., … Marks, J. S. (1998). Relationship of childhood abuse and household dysfunction to many of the leading causes of death in adults.</w:t>
      </w:r>
      <w:r w:rsidRPr="00291B8B">
        <w:rPr>
          <w:rStyle w:val="apple-converted-space"/>
          <w:rFonts w:eastAsiaTheme="majorEastAsia"/>
          <w:color w:val="000000"/>
        </w:rPr>
        <w:t> </w:t>
      </w:r>
      <w:r w:rsidRPr="00291B8B">
        <w:rPr>
          <w:rStyle w:val="Emphasis"/>
          <w:rFonts w:eastAsiaTheme="majorEastAsia"/>
          <w:color w:val="000000"/>
        </w:rPr>
        <w:t>American Journal of Preventive Medicine, 14</w:t>
      </w:r>
      <w:r w:rsidRPr="00291B8B">
        <w:rPr>
          <w:color w:val="000000"/>
        </w:rPr>
        <w:t>(4), 245–258.</w:t>
      </w:r>
      <w:r w:rsidRPr="00291B8B">
        <w:rPr>
          <w:rStyle w:val="apple-converted-space"/>
          <w:rFonts w:eastAsiaTheme="majorEastAsia"/>
          <w:color w:val="000000"/>
        </w:rPr>
        <w:t> </w:t>
      </w:r>
      <w:hyperlink r:id="rId9" w:history="1">
        <w:r w:rsidRPr="00291B8B">
          <w:rPr>
            <w:rStyle w:val="Hyperlink"/>
            <w:rFonts w:eastAsiaTheme="majorEastAsia"/>
          </w:rPr>
          <w:t>https://www.ajpmonline.org/article/S0749-3797(98)00017-8/fulltext</w:t>
        </w:r>
      </w:hyperlink>
    </w:p>
    <w:p w14:paraId="6CEBE566" w14:textId="316FDE44" w:rsidR="00291B8B" w:rsidRPr="00291B8B" w:rsidRDefault="00291B8B" w:rsidP="00291B8B">
      <w:pPr>
        <w:pStyle w:val="NormalWeb"/>
        <w:rPr>
          <w:rStyle w:val="apple-converted-space"/>
          <w:rFonts w:eastAsiaTheme="majorEastAsia"/>
          <w:color w:val="000000"/>
        </w:rPr>
      </w:pPr>
      <w:r w:rsidRPr="00291B8B">
        <w:rPr>
          <w:color w:val="000000"/>
        </w:rPr>
        <w:t>Hanson, R. K., Bourgon, G., Helmus, L., &amp; Hodgson, S. (2009). The principles of effective correctional treatment also apply to sexual offenders.</w:t>
      </w:r>
      <w:r w:rsidRPr="00291B8B">
        <w:rPr>
          <w:rStyle w:val="apple-converted-space"/>
          <w:rFonts w:eastAsiaTheme="majorEastAsia"/>
          <w:color w:val="000000"/>
        </w:rPr>
        <w:t> </w:t>
      </w:r>
      <w:r w:rsidRPr="00291B8B">
        <w:rPr>
          <w:rStyle w:val="Emphasis"/>
          <w:rFonts w:eastAsiaTheme="majorEastAsia"/>
          <w:color w:val="000000"/>
        </w:rPr>
        <w:t xml:space="preserve">Criminal Justice and </w:t>
      </w:r>
      <w:proofErr w:type="spellStart"/>
      <w:r w:rsidRPr="00291B8B">
        <w:rPr>
          <w:rStyle w:val="Emphasis"/>
          <w:rFonts w:eastAsiaTheme="majorEastAsia"/>
          <w:color w:val="000000"/>
        </w:rPr>
        <w:t>Behavior</w:t>
      </w:r>
      <w:proofErr w:type="spellEnd"/>
      <w:r w:rsidRPr="00291B8B">
        <w:rPr>
          <w:rStyle w:val="Emphasis"/>
          <w:rFonts w:eastAsiaTheme="majorEastAsia"/>
          <w:color w:val="000000"/>
        </w:rPr>
        <w:t>, 36</w:t>
      </w:r>
      <w:r w:rsidRPr="00291B8B">
        <w:rPr>
          <w:color w:val="000000"/>
        </w:rPr>
        <w:t>(9), 865–891.</w:t>
      </w:r>
      <w:r w:rsidRPr="00291B8B">
        <w:rPr>
          <w:rStyle w:val="apple-converted-space"/>
          <w:rFonts w:eastAsiaTheme="majorEastAsia"/>
          <w:color w:val="000000"/>
        </w:rPr>
        <w:t> </w:t>
      </w:r>
      <w:hyperlink r:id="rId10" w:history="1">
        <w:r w:rsidRPr="00291B8B">
          <w:rPr>
            <w:rStyle w:val="Hyperlink"/>
            <w:rFonts w:eastAsiaTheme="majorEastAsia"/>
          </w:rPr>
          <w:t>https://journals.sagepub.com/doi/10.1177/0093854809338545</w:t>
        </w:r>
      </w:hyperlink>
      <w:r w:rsidRPr="00291B8B">
        <w:rPr>
          <w:rStyle w:val="apple-converted-space"/>
          <w:rFonts w:eastAsiaTheme="majorEastAsia"/>
          <w:color w:val="000000"/>
        </w:rPr>
        <w:br w:type="page"/>
      </w:r>
    </w:p>
    <w:p w14:paraId="30CC7BAF" w14:textId="77777777" w:rsidR="00291B8B" w:rsidRPr="00291B8B" w:rsidRDefault="00291B8B" w:rsidP="00291B8B">
      <w:pPr>
        <w:pStyle w:val="NormalWeb"/>
      </w:pPr>
      <w:r w:rsidRPr="00291B8B">
        <w:lastRenderedPageBreak/>
        <w:t xml:space="preserve"> </w:t>
      </w:r>
    </w:p>
    <w:p w14:paraId="2FB1A558" w14:textId="77777777" w:rsidR="00291B8B" w:rsidRPr="00291B8B" w:rsidRDefault="00291B8B" w:rsidP="00291B8B">
      <w:pPr>
        <w:pStyle w:val="NormalWeb"/>
        <w:rPr>
          <w:color w:val="000000"/>
        </w:rPr>
      </w:pPr>
    </w:p>
    <w:p w14:paraId="014BF687" w14:textId="0A57C943" w:rsidR="00291B8B" w:rsidRPr="00291B8B" w:rsidRDefault="00291B8B" w:rsidP="00291B8B">
      <w:pPr>
        <w:pStyle w:val="NormalWeb"/>
        <w:rPr>
          <w:rFonts w:eastAsiaTheme="majorEastAsia"/>
          <w:color w:val="000000"/>
        </w:rPr>
      </w:pPr>
      <w:r w:rsidRPr="00291B8B">
        <w:rPr>
          <w:color w:val="000000"/>
        </w:rPr>
        <w:t>Howells, K., Day, A., &amp; Wright, S. (2004). Affect, emotions and sex offending.</w:t>
      </w:r>
      <w:r w:rsidRPr="00291B8B">
        <w:rPr>
          <w:rStyle w:val="apple-converted-space"/>
          <w:rFonts w:eastAsiaTheme="majorEastAsia"/>
          <w:color w:val="000000"/>
        </w:rPr>
        <w:t> </w:t>
      </w:r>
      <w:r w:rsidRPr="00291B8B">
        <w:rPr>
          <w:rStyle w:val="Emphasis"/>
          <w:rFonts w:eastAsiaTheme="majorEastAsia"/>
          <w:color w:val="000000"/>
        </w:rPr>
        <w:t>Psychology, Crime &amp; Law, 10</w:t>
      </w:r>
      <w:r w:rsidRPr="00291B8B">
        <w:rPr>
          <w:color w:val="000000"/>
        </w:rPr>
        <w:t>(2), 179–195.</w:t>
      </w:r>
      <w:r w:rsidRPr="00291B8B">
        <w:rPr>
          <w:rStyle w:val="apple-converted-space"/>
          <w:rFonts w:eastAsiaTheme="majorEastAsia"/>
          <w:color w:val="000000"/>
        </w:rPr>
        <w:t> </w:t>
      </w:r>
      <w:hyperlink r:id="rId11" w:history="1">
        <w:r w:rsidRPr="00291B8B">
          <w:rPr>
            <w:rStyle w:val="Hyperlink"/>
            <w:rFonts w:eastAsiaTheme="majorEastAsia"/>
          </w:rPr>
          <w:t>https://www.tandfonline.com/doi/full/10.1080/10683160310001609988</w:t>
        </w:r>
      </w:hyperlink>
    </w:p>
    <w:p w14:paraId="5A3D48FF" w14:textId="77777777" w:rsidR="00291B8B" w:rsidRPr="00291B8B" w:rsidRDefault="00291B8B" w:rsidP="00291B8B">
      <w:pPr>
        <w:pStyle w:val="NormalWeb"/>
        <w:rPr>
          <w:color w:val="000000"/>
        </w:rPr>
      </w:pPr>
      <w:r w:rsidRPr="00291B8B">
        <w:rPr>
          <w:color w:val="000000"/>
        </w:rPr>
        <w:t>Johnstone, L., &amp; Dallos, R. (2014).</w:t>
      </w:r>
      <w:r w:rsidRPr="00291B8B">
        <w:rPr>
          <w:rStyle w:val="apple-converted-space"/>
          <w:rFonts w:eastAsiaTheme="majorEastAsia"/>
          <w:color w:val="000000"/>
        </w:rPr>
        <w:t> </w:t>
      </w:r>
      <w:r w:rsidRPr="00291B8B">
        <w:rPr>
          <w:rStyle w:val="Emphasis"/>
          <w:rFonts w:eastAsiaTheme="majorEastAsia"/>
          <w:color w:val="000000"/>
        </w:rPr>
        <w:t>Formulation in psychology and psychotherapy</w:t>
      </w:r>
      <w:r w:rsidRPr="00291B8B">
        <w:rPr>
          <w:rStyle w:val="apple-converted-space"/>
          <w:rFonts w:eastAsiaTheme="majorEastAsia"/>
          <w:color w:val="000000"/>
        </w:rPr>
        <w:t> </w:t>
      </w:r>
      <w:r w:rsidRPr="00291B8B">
        <w:rPr>
          <w:color w:val="000000"/>
        </w:rPr>
        <w:t>(2nd ed.). Routledge.</w:t>
      </w:r>
    </w:p>
    <w:p w14:paraId="317BB4F5" w14:textId="6D942393" w:rsidR="00291B8B" w:rsidRPr="00291B8B" w:rsidRDefault="00291B8B" w:rsidP="00291B8B">
      <w:pPr>
        <w:pStyle w:val="NormalWeb"/>
        <w:rPr>
          <w:rFonts w:eastAsiaTheme="majorEastAsia"/>
          <w:color w:val="000000"/>
        </w:rPr>
      </w:pPr>
      <w:r w:rsidRPr="00291B8B">
        <w:rPr>
          <w:color w:val="000000"/>
        </w:rPr>
        <w:t>Levenson, J. S., Willis, G. M., &amp; Prescott, D. S. (2016). Adverse childhood experiences in the lives of male sex offenders: Implications for trauma-informed care.</w:t>
      </w:r>
      <w:r w:rsidRPr="00291B8B">
        <w:rPr>
          <w:rStyle w:val="apple-converted-space"/>
          <w:rFonts w:eastAsiaTheme="majorEastAsia"/>
          <w:color w:val="000000"/>
        </w:rPr>
        <w:t> </w:t>
      </w:r>
      <w:r w:rsidRPr="00291B8B">
        <w:rPr>
          <w:rStyle w:val="Emphasis"/>
          <w:rFonts w:eastAsiaTheme="majorEastAsia"/>
          <w:color w:val="000000"/>
        </w:rPr>
        <w:t>Sexual Abuse, 28</w:t>
      </w:r>
      <w:r w:rsidRPr="00291B8B">
        <w:rPr>
          <w:color w:val="000000"/>
        </w:rPr>
        <w:t>(4), 340–359.</w:t>
      </w:r>
      <w:r w:rsidRPr="00291B8B">
        <w:rPr>
          <w:rStyle w:val="apple-converted-space"/>
          <w:rFonts w:eastAsiaTheme="majorEastAsia"/>
          <w:color w:val="000000"/>
        </w:rPr>
        <w:t> </w:t>
      </w:r>
      <w:hyperlink r:id="rId12" w:history="1">
        <w:r w:rsidRPr="00291B8B">
          <w:rPr>
            <w:rStyle w:val="Hyperlink"/>
            <w:rFonts w:eastAsiaTheme="majorEastAsia"/>
          </w:rPr>
          <w:t>https://journals.sagepub.com/doi/10.1177/1079063214535819</w:t>
        </w:r>
      </w:hyperlink>
    </w:p>
    <w:p w14:paraId="4FCF8872" w14:textId="39C0FA1F" w:rsidR="00291B8B" w:rsidRPr="00291B8B" w:rsidRDefault="00291B8B" w:rsidP="00291B8B">
      <w:pPr>
        <w:pStyle w:val="NormalWeb"/>
        <w:rPr>
          <w:rFonts w:eastAsiaTheme="majorEastAsia"/>
          <w:color w:val="000000"/>
        </w:rPr>
      </w:pPr>
      <w:r w:rsidRPr="00291B8B">
        <w:rPr>
          <w:color w:val="000000"/>
        </w:rPr>
        <w:t>Marshall, W. L., Marshall, L. E., Serran, G. A., &amp; O’Brien, M. D. (2011). Rehabilitating sexual offenders: A strengths-based approach.</w:t>
      </w:r>
      <w:r w:rsidRPr="00291B8B">
        <w:rPr>
          <w:rStyle w:val="apple-converted-space"/>
          <w:rFonts w:eastAsiaTheme="majorEastAsia"/>
          <w:color w:val="000000"/>
        </w:rPr>
        <w:t> </w:t>
      </w:r>
      <w:r w:rsidRPr="00291B8B">
        <w:rPr>
          <w:rStyle w:val="Emphasis"/>
          <w:rFonts w:eastAsiaTheme="majorEastAsia"/>
          <w:color w:val="000000"/>
        </w:rPr>
        <w:t>American Psychological Association</w:t>
      </w:r>
      <w:r w:rsidRPr="00291B8B">
        <w:rPr>
          <w:color w:val="000000"/>
        </w:rPr>
        <w:t>.</w:t>
      </w:r>
      <w:r w:rsidRPr="00291B8B">
        <w:rPr>
          <w:rStyle w:val="apple-converted-space"/>
          <w:rFonts w:eastAsiaTheme="majorEastAsia"/>
          <w:color w:val="000000"/>
        </w:rPr>
        <w:t> </w:t>
      </w:r>
      <w:hyperlink r:id="rId13" w:history="1">
        <w:r w:rsidRPr="00291B8B">
          <w:rPr>
            <w:rStyle w:val="Hyperlink"/>
            <w:rFonts w:eastAsiaTheme="majorEastAsia"/>
          </w:rPr>
          <w:t>https://psycnet.apa.org/record/2010-19438-000</w:t>
        </w:r>
      </w:hyperlink>
    </w:p>
    <w:p w14:paraId="67B251B5" w14:textId="77777777" w:rsidR="00291B8B" w:rsidRPr="00291B8B" w:rsidRDefault="00291B8B" w:rsidP="00291B8B">
      <w:pPr>
        <w:pStyle w:val="NormalWeb"/>
        <w:rPr>
          <w:rStyle w:val="apple-converted-space"/>
          <w:rFonts w:eastAsiaTheme="majorEastAsia"/>
          <w:color w:val="000000"/>
        </w:rPr>
      </w:pPr>
      <w:r w:rsidRPr="00291B8B">
        <w:rPr>
          <w:color w:val="000000"/>
        </w:rPr>
        <w:t xml:space="preserve">Seto, M. C., Hanson, R. K., &amp; </w:t>
      </w:r>
      <w:proofErr w:type="spellStart"/>
      <w:r w:rsidRPr="00291B8B">
        <w:rPr>
          <w:color w:val="000000"/>
        </w:rPr>
        <w:t>Babchishin</w:t>
      </w:r>
      <w:proofErr w:type="spellEnd"/>
      <w:r w:rsidRPr="00291B8B">
        <w:rPr>
          <w:color w:val="000000"/>
        </w:rPr>
        <w:t>, K. M. (2011). Contact sexual offending by men with online sexual offenses.</w:t>
      </w:r>
      <w:r w:rsidRPr="00291B8B">
        <w:rPr>
          <w:rStyle w:val="apple-converted-space"/>
          <w:rFonts w:eastAsiaTheme="majorEastAsia"/>
          <w:color w:val="000000"/>
        </w:rPr>
        <w:t> </w:t>
      </w:r>
      <w:r w:rsidRPr="00291B8B">
        <w:rPr>
          <w:rStyle w:val="Emphasis"/>
          <w:rFonts w:eastAsiaTheme="majorEastAsia"/>
          <w:color w:val="000000"/>
        </w:rPr>
        <w:t>Sexual Abuse, 27</w:t>
      </w:r>
      <w:r w:rsidRPr="00291B8B">
        <w:rPr>
          <w:color w:val="000000"/>
        </w:rPr>
        <w:t>(2), 124–145.</w:t>
      </w:r>
      <w:r w:rsidRPr="00291B8B">
        <w:rPr>
          <w:rStyle w:val="apple-converted-space"/>
          <w:rFonts w:eastAsiaTheme="majorEastAsia"/>
          <w:color w:val="000000"/>
        </w:rPr>
        <w:t> </w:t>
      </w:r>
      <w:hyperlink r:id="rId14" w:history="1">
        <w:r w:rsidRPr="00291B8B">
          <w:rPr>
            <w:rStyle w:val="Hyperlink"/>
            <w:rFonts w:eastAsiaTheme="majorEastAsia"/>
          </w:rPr>
          <w:t>https://pubmed.ncbi.nlm.nih.gov/21173158/</w:t>
        </w:r>
      </w:hyperlink>
    </w:p>
    <w:p w14:paraId="3EF573DB" w14:textId="77777777" w:rsidR="00291B8B" w:rsidRPr="00291B8B" w:rsidRDefault="00291B8B" w:rsidP="00291B8B">
      <w:pPr>
        <w:pStyle w:val="NormalWeb"/>
        <w:rPr>
          <w:rStyle w:val="apple-converted-space"/>
          <w:rFonts w:eastAsiaTheme="majorEastAsia"/>
          <w:color w:val="000000"/>
        </w:rPr>
      </w:pPr>
      <w:r w:rsidRPr="00291B8B">
        <w:rPr>
          <w:color w:val="000000"/>
        </w:rPr>
        <w:t xml:space="preserve"> Steele, C. M., &amp; Josephs, R. A. (1990). Alcohol myopia: Its prized and dangerous effects.</w:t>
      </w:r>
      <w:r w:rsidRPr="00291B8B">
        <w:rPr>
          <w:rStyle w:val="apple-converted-space"/>
          <w:rFonts w:eastAsiaTheme="majorEastAsia"/>
          <w:color w:val="000000"/>
        </w:rPr>
        <w:t> </w:t>
      </w:r>
      <w:r w:rsidRPr="00291B8B">
        <w:rPr>
          <w:rStyle w:val="Emphasis"/>
          <w:rFonts w:eastAsiaTheme="majorEastAsia"/>
          <w:color w:val="000000"/>
        </w:rPr>
        <w:t>American Psychologist, 45</w:t>
      </w:r>
      <w:r w:rsidRPr="00291B8B">
        <w:rPr>
          <w:color w:val="000000"/>
        </w:rPr>
        <w:t>(8), 921–933.</w:t>
      </w:r>
      <w:r w:rsidRPr="00291B8B">
        <w:rPr>
          <w:rStyle w:val="apple-converted-space"/>
          <w:rFonts w:eastAsiaTheme="majorEastAsia"/>
          <w:color w:val="000000"/>
        </w:rPr>
        <w:t> </w:t>
      </w:r>
      <w:hyperlink r:id="rId15" w:history="1">
        <w:r w:rsidRPr="00291B8B">
          <w:rPr>
            <w:rStyle w:val="Hyperlink"/>
            <w:rFonts w:eastAsiaTheme="majorEastAsia"/>
          </w:rPr>
          <w:t>https://psycnet.apa.org/doiLanding?doi=10.1037%2F0003-066X.45.8.921</w:t>
        </w:r>
      </w:hyperlink>
    </w:p>
    <w:p w14:paraId="402A7075" w14:textId="55ED8C10" w:rsidR="00291B8B" w:rsidRPr="00291B8B" w:rsidRDefault="00291B8B" w:rsidP="00291B8B">
      <w:pPr>
        <w:pStyle w:val="NormalWeb"/>
        <w:rPr>
          <w:rFonts w:eastAsiaTheme="majorEastAsia"/>
          <w:color w:val="000000"/>
        </w:rPr>
      </w:pPr>
      <w:r w:rsidRPr="00291B8B">
        <w:rPr>
          <w:color w:val="000000"/>
        </w:rPr>
        <w:t xml:space="preserve">Tangney, J. P., </w:t>
      </w:r>
      <w:proofErr w:type="spellStart"/>
      <w:r w:rsidRPr="00291B8B">
        <w:rPr>
          <w:color w:val="000000"/>
        </w:rPr>
        <w:t>Stuewig</w:t>
      </w:r>
      <w:proofErr w:type="spellEnd"/>
      <w:r w:rsidRPr="00291B8B">
        <w:rPr>
          <w:color w:val="000000"/>
        </w:rPr>
        <w:t>, J., &amp; Martinez, A. G. (2014). Two faces of shame: The roles of shame and guilt in predicting recidivism.</w:t>
      </w:r>
      <w:r w:rsidRPr="00291B8B">
        <w:rPr>
          <w:rStyle w:val="apple-converted-space"/>
          <w:rFonts w:eastAsiaTheme="majorEastAsia"/>
          <w:color w:val="000000"/>
        </w:rPr>
        <w:t> </w:t>
      </w:r>
      <w:r w:rsidRPr="00291B8B">
        <w:rPr>
          <w:rStyle w:val="Emphasis"/>
          <w:rFonts w:eastAsiaTheme="majorEastAsia"/>
          <w:color w:val="000000"/>
        </w:rPr>
        <w:t>Psychological Science, 25</w:t>
      </w:r>
      <w:r w:rsidRPr="00291B8B">
        <w:rPr>
          <w:color w:val="000000"/>
        </w:rPr>
        <w:t>(3), 799–805.</w:t>
      </w:r>
      <w:r w:rsidRPr="00291B8B">
        <w:rPr>
          <w:rStyle w:val="apple-converted-space"/>
          <w:rFonts w:eastAsiaTheme="majorEastAsia"/>
          <w:color w:val="000000"/>
        </w:rPr>
        <w:t> </w:t>
      </w:r>
      <w:hyperlink r:id="rId16" w:history="1">
        <w:r w:rsidRPr="00291B8B">
          <w:rPr>
            <w:rStyle w:val="Hyperlink"/>
            <w:rFonts w:eastAsiaTheme="majorEastAsia"/>
          </w:rPr>
          <w:t>http</w:t>
        </w:r>
        <w:r w:rsidRPr="00291B8B">
          <w:rPr>
            <w:rStyle w:val="Hyperlink"/>
            <w:rFonts w:eastAsiaTheme="majorEastAsia"/>
          </w:rPr>
          <w:t>s</w:t>
        </w:r>
        <w:r w:rsidRPr="00291B8B">
          <w:rPr>
            <w:rStyle w:val="Hyperlink"/>
            <w:rFonts w:eastAsiaTheme="majorEastAsia"/>
          </w:rPr>
          <w:t>://journals.sagepub.com/doi/10.1177/0956797613508790</w:t>
        </w:r>
      </w:hyperlink>
    </w:p>
    <w:p w14:paraId="3729211B" w14:textId="77777777" w:rsidR="00291B8B" w:rsidRPr="00291B8B" w:rsidRDefault="00291B8B" w:rsidP="00291B8B">
      <w:pPr>
        <w:pStyle w:val="NormalWeb"/>
        <w:rPr>
          <w:rStyle w:val="apple-converted-space"/>
          <w:rFonts w:eastAsiaTheme="majorEastAsia"/>
          <w:color w:val="000000"/>
        </w:rPr>
      </w:pPr>
      <w:r w:rsidRPr="00291B8B">
        <w:rPr>
          <w:color w:val="000000"/>
        </w:rPr>
        <w:t>Ward, T., &amp; Hudson, S. M. (1998). A model of the relapse process in sexual offenders.</w:t>
      </w:r>
      <w:r w:rsidRPr="00291B8B">
        <w:rPr>
          <w:rStyle w:val="apple-converted-space"/>
          <w:rFonts w:eastAsiaTheme="majorEastAsia"/>
          <w:color w:val="000000"/>
        </w:rPr>
        <w:t> </w:t>
      </w:r>
      <w:r w:rsidRPr="00291B8B">
        <w:rPr>
          <w:rStyle w:val="Emphasis"/>
          <w:rFonts w:eastAsiaTheme="majorEastAsia"/>
          <w:color w:val="000000"/>
        </w:rPr>
        <w:t>Journal of Interpersonal Violence, 13</w:t>
      </w:r>
      <w:r w:rsidRPr="00291B8B">
        <w:rPr>
          <w:color w:val="000000"/>
        </w:rPr>
        <w:t>(6), 700–725.</w:t>
      </w:r>
      <w:r w:rsidRPr="00291B8B">
        <w:rPr>
          <w:rStyle w:val="apple-converted-space"/>
          <w:rFonts w:eastAsiaTheme="majorEastAsia"/>
          <w:color w:val="000000"/>
        </w:rPr>
        <w:t> </w:t>
      </w:r>
      <w:hyperlink r:id="rId17" w:history="1">
        <w:r w:rsidRPr="00291B8B">
          <w:rPr>
            <w:rStyle w:val="Hyperlink"/>
            <w:rFonts w:eastAsiaTheme="majorEastAsia"/>
          </w:rPr>
          <w:t>https://journals.sagepub.com/doi/10.1177/088626098013006003</w:t>
        </w:r>
      </w:hyperlink>
    </w:p>
    <w:p w14:paraId="3B76686E" w14:textId="5AD75B8B" w:rsidR="00291B8B" w:rsidRPr="00291B8B" w:rsidRDefault="00291B8B" w:rsidP="00291B8B">
      <w:pPr>
        <w:pStyle w:val="NormalWeb"/>
        <w:rPr>
          <w:rFonts w:eastAsiaTheme="majorEastAsia"/>
          <w:color w:val="000000"/>
        </w:rPr>
      </w:pPr>
      <w:r w:rsidRPr="00291B8B">
        <w:rPr>
          <w:color w:val="000000"/>
        </w:rPr>
        <w:t>Ward, T., Keenan, T., &amp; Hudson, S. M. (2000). Understanding cognitive, affective, and intimacy deficits in sexual offenders: A developmental perspective.</w:t>
      </w:r>
      <w:r w:rsidRPr="00291B8B">
        <w:rPr>
          <w:rStyle w:val="apple-converted-space"/>
          <w:rFonts w:eastAsiaTheme="majorEastAsia"/>
          <w:color w:val="000000"/>
        </w:rPr>
        <w:t> </w:t>
      </w:r>
      <w:r w:rsidRPr="00291B8B">
        <w:rPr>
          <w:rStyle w:val="Emphasis"/>
          <w:rFonts w:eastAsiaTheme="majorEastAsia"/>
          <w:color w:val="000000"/>
        </w:rPr>
        <w:t xml:space="preserve">Aggression and Violent </w:t>
      </w:r>
      <w:proofErr w:type="spellStart"/>
      <w:r w:rsidRPr="00291B8B">
        <w:rPr>
          <w:rStyle w:val="Emphasis"/>
          <w:rFonts w:eastAsiaTheme="majorEastAsia"/>
          <w:color w:val="000000"/>
        </w:rPr>
        <w:t>Behavior</w:t>
      </w:r>
      <w:proofErr w:type="spellEnd"/>
      <w:r w:rsidRPr="00291B8B">
        <w:rPr>
          <w:rStyle w:val="Emphasis"/>
          <w:rFonts w:eastAsiaTheme="majorEastAsia"/>
          <w:color w:val="000000"/>
        </w:rPr>
        <w:t>, 5</w:t>
      </w:r>
      <w:r w:rsidRPr="00291B8B">
        <w:rPr>
          <w:color w:val="000000"/>
        </w:rPr>
        <w:t>(1), 41–62.</w:t>
      </w:r>
      <w:r w:rsidRPr="00291B8B">
        <w:rPr>
          <w:rStyle w:val="apple-converted-space"/>
          <w:rFonts w:eastAsiaTheme="majorEastAsia"/>
          <w:color w:val="000000"/>
        </w:rPr>
        <w:t> </w:t>
      </w:r>
      <w:hyperlink r:id="rId18" w:history="1">
        <w:r w:rsidRPr="00291B8B">
          <w:rPr>
            <w:rStyle w:val="Hyperlink"/>
            <w:rFonts w:eastAsiaTheme="majorEastAsia"/>
          </w:rPr>
          <w:t>https://psycnet.apa.org/record/1999-01195-003</w:t>
        </w:r>
      </w:hyperlink>
    </w:p>
    <w:p w14:paraId="00036C3D" w14:textId="4F6B9AF9" w:rsidR="00291B8B" w:rsidRPr="00291B8B" w:rsidRDefault="00291B8B" w:rsidP="00291B8B">
      <w:pPr>
        <w:pStyle w:val="NormalWeb"/>
        <w:rPr>
          <w:color w:val="000000"/>
        </w:rPr>
      </w:pPr>
      <w:r w:rsidRPr="00291B8B">
        <w:rPr>
          <w:color w:val="000000"/>
        </w:rPr>
        <w:t xml:space="preserve">Ward, T., </w:t>
      </w:r>
      <w:proofErr w:type="spellStart"/>
      <w:r w:rsidRPr="00291B8B">
        <w:rPr>
          <w:color w:val="000000"/>
        </w:rPr>
        <w:t>Polaschek</w:t>
      </w:r>
      <w:proofErr w:type="spellEnd"/>
      <w:r w:rsidRPr="00291B8B">
        <w:rPr>
          <w:color w:val="000000"/>
        </w:rPr>
        <w:t>, D. L. L., &amp; Beech, A. R. (2006).</w:t>
      </w:r>
      <w:r w:rsidRPr="00291B8B">
        <w:rPr>
          <w:rStyle w:val="apple-converted-space"/>
          <w:rFonts w:eastAsiaTheme="majorEastAsia"/>
          <w:color w:val="000000"/>
        </w:rPr>
        <w:t> </w:t>
      </w:r>
      <w:r w:rsidRPr="00291B8B">
        <w:rPr>
          <w:rStyle w:val="Emphasis"/>
          <w:rFonts w:eastAsiaTheme="majorEastAsia"/>
          <w:color w:val="000000"/>
        </w:rPr>
        <w:t>Theories of sexual offending</w:t>
      </w:r>
      <w:r w:rsidRPr="00291B8B">
        <w:rPr>
          <w:color w:val="000000"/>
        </w:rPr>
        <w:t>. Wiley.</w:t>
      </w:r>
    </w:p>
    <w:p w14:paraId="1E5C0D0B" w14:textId="77777777" w:rsidR="00291B8B" w:rsidRPr="00291B8B" w:rsidRDefault="00291B8B" w:rsidP="00291B8B">
      <w:pPr>
        <w:pStyle w:val="NormalWeb"/>
        <w:rPr>
          <w:rStyle w:val="apple-converted-space"/>
          <w:rFonts w:eastAsiaTheme="majorEastAsia"/>
          <w:color w:val="000000"/>
        </w:rPr>
      </w:pPr>
      <w:r w:rsidRPr="00291B8B">
        <w:rPr>
          <w:color w:val="000000"/>
        </w:rPr>
        <w:t>Ware, J., &amp; Mann, R. E. (2012). How should “acceptance of responsibility” be addressed in sexual offending treatment programmes?</w:t>
      </w:r>
      <w:r w:rsidRPr="00291B8B">
        <w:rPr>
          <w:rStyle w:val="apple-converted-space"/>
          <w:rFonts w:eastAsiaTheme="majorEastAsia"/>
          <w:color w:val="000000"/>
        </w:rPr>
        <w:t> </w:t>
      </w:r>
      <w:r w:rsidRPr="00291B8B">
        <w:rPr>
          <w:rStyle w:val="Emphasis"/>
          <w:rFonts w:eastAsiaTheme="majorEastAsia"/>
          <w:color w:val="000000"/>
        </w:rPr>
        <w:t xml:space="preserve">Aggression and Violent </w:t>
      </w:r>
      <w:proofErr w:type="spellStart"/>
      <w:r w:rsidRPr="00291B8B">
        <w:rPr>
          <w:rStyle w:val="Emphasis"/>
          <w:rFonts w:eastAsiaTheme="majorEastAsia"/>
          <w:color w:val="000000"/>
        </w:rPr>
        <w:t>Behavior</w:t>
      </w:r>
      <w:proofErr w:type="spellEnd"/>
      <w:r w:rsidRPr="00291B8B">
        <w:rPr>
          <w:rStyle w:val="Emphasis"/>
          <w:rFonts w:eastAsiaTheme="majorEastAsia"/>
          <w:color w:val="000000"/>
        </w:rPr>
        <w:t>, 17</w:t>
      </w:r>
      <w:r w:rsidRPr="00291B8B">
        <w:rPr>
          <w:color w:val="000000"/>
        </w:rPr>
        <w:t>(4), 279–288.</w:t>
      </w:r>
      <w:r w:rsidRPr="00291B8B">
        <w:rPr>
          <w:rStyle w:val="apple-converted-space"/>
          <w:rFonts w:eastAsiaTheme="majorEastAsia"/>
          <w:color w:val="000000"/>
        </w:rPr>
        <w:t> </w:t>
      </w:r>
      <w:hyperlink r:id="rId19" w:history="1">
        <w:r w:rsidRPr="00291B8B">
          <w:rPr>
            <w:rStyle w:val="Hyperlink"/>
            <w:rFonts w:eastAsiaTheme="majorEastAsia"/>
          </w:rPr>
          <w:t>https://www.sciencedirect.com/science/article/abs/pii/S1359178912000213</w:t>
        </w:r>
      </w:hyperlink>
    </w:p>
    <w:p w14:paraId="210D3AF9" w14:textId="77777777" w:rsidR="00AA10A5" w:rsidRPr="00340440" w:rsidRDefault="00AA10A5" w:rsidP="008C3B4F">
      <w:pPr>
        <w:spacing w:line="360" w:lineRule="auto"/>
        <w:rPr>
          <w:rFonts w:ascii="Times New Roman" w:hAnsi="Times New Roman" w:cs="Times New Roman"/>
          <w:color w:val="000000"/>
        </w:rPr>
      </w:pPr>
    </w:p>
    <w:p w14:paraId="4D200312" w14:textId="77777777" w:rsidR="008D3DA9" w:rsidRDefault="008D3DA9" w:rsidP="008C3B4F">
      <w:pPr>
        <w:spacing w:line="360" w:lineRule="auto"/>
        <w:rPr>
          <w:rFonts w:ascii="Times New Roman" w:hAnsi="Times New Roman" w:cs="Times New Roman"/>
          <w:color w:val="000000"/>
        </w:rPr>
      </w:pPr>
    </w:p>
    <w:p w14:paraId="2DB9FCB4" w14:textId="77777777" w:rsidR="008D3DA9" w:rsidRDefault="008D3DA9" w:rsidP="008C3B4F">
      <w:pPr>
        <w:spacing w:line="360" w:lineRule="auto"/>
        <w:rPr>
          <w:rFonts w:ascii="Times New Roman" w:hAnsi="Times New Roman" w:cs="Times New Roman"/>
          <w:color w:val="000000"/>
        </w:rPr>
      </w:pPr>
    </w:p>
    <w:p w14:paraId="73F8977A" w14:textId="5320471A" w:rsidR="008D3DA9" w:rsidRPr="008D3DA9" w:rsidRDefault="008D3DA9" w:rsidP="008C3B4F">
      <w:pPr>
        <w:spacing w:line="360" w:lineRule="auto"/>
        <w:rPr>
          <w:rFonts w:ascii="Times New Roman" w:hAnsi="Times New Roman" w:cs="Times New Roman"/>
          <w:color w:val="000000"/>
        </w:rPr>
      </w:pPr>
      <w:r>
        <w:rPr>
          <w:rFonts w:ascii="Times New Roman" w:hAnsi="Times New Roman" w:cs="Times New Roman"/>
          <w:color w:val="000000"/>
        </w:rPr>
        <w:lastRenderedPageBreak/>
        <w:tab/>
      </w:r>
    </w:p>
    <w:p w14:paraId="0CB1A9C2" w14:textId="77777777" w:rsidR="00456C1C" w:rsidRPr="00F35CFE" w:rsidRDefault="00456C1C" w:rsidP="008C3B4F">
      <w:pPr>
        <w:spacing w:line="360" w:lineRule="auto"/>
        <w:rPr>
          <w:rFonts w:ascii="Times New Roman" w:hAnsi="Times New Roman" w:cs="Times New Roman"/>
          <w:color w:val="000000"/>
        </w:rPr>
      </w:pPr>
    </w:p>
    <w:p w14:paraId="3BA5DD21" w14:textId="77777777" w:rsidR="007377AF" w:rsidRPr="00DC11C1" w:rsidRDefault="007377AF" w:rsidP="008C3B4F">
      <w:pPr>
        <w:spacing w:line="360" w:lineRule="auto"/>
        <w:rPr>
          <w:rFonts w:ascii="Times New Roman" w:hAnsi="Times New Roman" w:cs="Times New Roman"/>
        </w:rPr>
      </w:pPr>
    </w:p>
    <w:p w14:paraId="4C73E086" w14:textId="4217DA94" w:rsidR="006F2B37" w:rsidRPr="008C3B4F" w:rsidRDefault="00716FF8" w:rsidP="008C3B4F">
      <w:pPr>
        <w:spacing w:line="360" w:lineRule="auto"/>
        <w:rPr>
          <w:rFonts w:ascii="Times New Roman" w:hAnsi="Times New Roman" w:cs="Times New Roman"/>
        </w:rPr>
      </w:pPr>
      <w:r>
        <w:rPr>
          <w:rFonts w:ascii="Times New Roman" w:hAnsi="Times New Roman" w:cs="Times New Roman"/>
        </w:rPr>
        <w:tab/>
      </w:r>
    </w:p>
    <w:sectPr w:rsidR="006F2B37" w:rsidRPr="008C3B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B4F"/>
    <w:rsid w:val="00000C4E"/>
    <w:rsid w:val="00005A1F"/>
    <w:rsid w:val="0001062E"/>
    <w:rsid w:val="00034F5A"/>
    <w:rsid w:val="0004181A"/>
    <w:rsid w:val="00042F76"/>
    <w:rsid w:val="0004613C"/>
    <w:rsid w:val="000616E3"/>
    <w:rsid w:val="0006309A"/>
    <w:rsid w:val="00083C1D"/>
    <w:rsid w:val="00097BF5"/>
    <w:rsid w:val="0012061E"/>
    <w:rsid w:val="00121A42"/>
    <w:rsid w:val="00144BE2"/>
    <w:rsid w:val="0015429D"/>
    <w:rsid w:val="001622D3"/>
    <w:rsid w:val="0016553E"/>
    <w:rsid w:val="00174ED0"/>
    <w:rsid w:val="00180FBB"/>
    <w:rsid w:val="00182AAA"/>
    <w:rsid w:val="00196B6C"/>
    <w:rsid w:val="001A07D5"/>
    <w:rsid w:val="001C0C64"/>
    <w:rsid w:val="001C242D"/>
    <w:rsid w:val="001C2936"/>
    <w:rsid w:val="001C58AF"/>
    <w:rsid w:val="001E13A0"/>
    <w:rsid w:val="001E4802"/>
    <w:rsid w:val="00222DE2"/>
    <w:rsid w:val="0023142C"/>
    <w:rsid w:val="00236544"/>
    <w:rsid w:val="0024676E"/>
    <w:rsid w:val="00267B1D"/>
    <w:rsid w:val="00291B8B"/>
    <w:rsid w:val="002A1834"/>
    <w:rsid w:val="002A2C80"/>
    <w:rsid w:val="002A6026"/>
    <w:rsid w:val="002D5B78"/>
    <w:rsid w:val="002D69C5"/>
    <w:rsid w:val="002F532D"/>
    <w:rsid w:val="00300C55"/>
    <w:rsid w:val="00302F2F"/>
    <w:rsid w:val="003241AD"/>
    <w:rsid w:val="0033671C"/>
    <w:rsid w:val="00340440"/>
    <w:rsid w:val="00395AF9"/>
    <w:rsid w:val="003C2A3F"/>
    <w:rsid w:val="003C7BF6"/>
    <w:rsid w:val="003D4467"/>
    <w:rsid w:val="003E08C8"/>
    <w:rsid w:val="003E432A"/>
    <w:rsid w:val="00416911"/>
    <w:rsid w:val="00420FC7"/>
    <w:rsid w:val="004217CC"/>
    <w:rsid w:val="00456C1C"/>
    <w:rsid w:val="0046418B"/>
    <w:rsid w:val="00472386"/>
    <w:rsid w:val="00483B95"/>
    <w:rsid w:val="00491BC3"/>
    <w:rsid w:val="004935E5"/>
    <w:rsid w:val="004C26BF"/>
    <w:rsid w:val="004C7D00"/>
    <w:rsid w:val="004D4D02"/>
    <w:rsid w:val="004F3AC3"/>
    <w:rsid w:val="004F79CA"/>
    <w:rsid w:val="00501563"/>
    <w:rsid w:val="00506FBF"/>
    <w:rsid w:val="005346D3"/>
    <w:rsid w:val="0054187E"/>
    <w:rsid w:val="005708F6"/>
    <w:rsid w:val="00597F40"/>
    <w:rsid w:val="005B1A52"/>
    <w:rsid w:val="005E0666"/>
    <w:rsid w:val="005E0EED"/>
    <w:rsid w:val="005E36E2"/>
    <w:rsid w:val="00600982"/>
    <w:rsid w:val="006078C8"/>
    <w:rsid w:val="00621D97"/>
    <w:rsid w:val="00637103"/>
    <w:rsid w:val="00654651"/>
    <w:rsid w:val="00673C5E"/>
    <w:rsid w:val="006A2A03"/>
    <w:rsid w:val="006B2843"/>
    <w:rsid w:val="006C4B39"/>
    <w:rsid w:val="006E4AFF"/>
    <w:rsid w:val="006F2B37"/>
    <w:rsid w:val="006F44FB"/>
    <w:rsid w:val="00706921"/>
    <w:rsid w:val="00714B4C"/>
    <w:rsid w:val="00715F9E"/>
    <w:rsid w:val="00716FF8"/>
    <w:rsid w:val="0072195F"/>
    <w:rsid w:val="007377AF"/>
    <w:rsid w:val="00753F95"/>
    <w:rsid w:val="00795E22"/>
    <w:rsid w:val="007B2356"/>
    <w:rsid w:val="007B2499"/>
    <w:rsid w:val="007B4502"/>
    <w:rsid w:val="007B6069"/>
    <w:rsid w:val="007C27D9"/>
    <w:rsid w:val="007D2F9B"/>
    <w:rsid w:val="007D71E1"/>
    <w:rsid w:val="007E3883"/>
    <w:rsid w:val="007E6687"/>
    <w:rsid w:val="0080359F"/>
    <w:rsid w:val="00831A6E"/>
    <w:rsid w:val="00861229"/>
    <w:rsid w:val="00864EBF"/>
    <w:rsid w:val="00866282"/>
    <w:rsid w:val="008842FC"/>
    <w:rsid w:val="0089115A"/>
    <w:rsid w:val="008A3551"/>
    <w:rsid w:val="008A4CC5"/>
    <w:rsid w:val="008A4FC9"/>
    <w:rsid w:val="008C118D"/>
    <w:rsid w:val="008C3B4F"/>
    <w:rsid w:val="008D3DA9"/>
    <w:rsid w:val="008E6E4D"/>
    <w:rsid w:val="009162B3"/>
    <w:rsid w:val="00931F61"/>
    <w:rsid w:val="00952EF1"/>
    <w:rsid w:val="009C66BC"/>
    <w:rsid w:val="009F0BEB"/>
    <w:rsid w:val="009F3B36"/>
    <w:rsid w:val="009F3C9B"/>
    <w:rsid w:val="009F707A"/>
    <w:rsid w:val="00A438F1"/>
    <w:rsid w:val="00A842C4"/>
    <w:rsid w:val="00AA10A5"/>
    <w:rsid w:val="00AD1C22"/>
    <w:rsid w:val="00AF57FA"/>
    <w:rsid w:val="00B132C0"/>
    <w:rsid w:val="00B2487B"/>
    <w:rsid w:val="00B31CBF"/>
    <w:rsid w:val="00B366EC"/>
    <w:rsid w:val="00B76ABD"/>
    <w:rsid w:val="00B94303"/>
    <w:rsid w:val="00BC48F8"/>
    <w:rsid w:val="00BE1197"/>
    <w:rsid w:val="00C0710C"/>
    <w:rsid w:val="00C31AC3"/>
    <w:rsid w:val="00C3555A"/>
    <w:rsid w:val="00C37BB5"/>
    <w:rsid w:val="00C62954"/>
    <w:rsid w:val="00C929EE"/>
    <w:rsid w:val="00CA489B"/>
    <w:rsid w:val="00CC5EAE"/>
    <w:rsid w:val="00CD26EA"/>
    <w:rsid w:val="00D06710"/>
    <w:rsid w:val="00D241DE"/>
    <w:rsid w:val="00D24A3F"/>
    <w:rsid w:val="00D33B75"/>
    <w:rsid w:val="00D347AA"/>
    <w:rsid w:val="00D36837"/>
    <w:rsid w:val="00D45D3D"/>
    <w:rsid w:val="00D57986"/>
    <w:rsid w:val="00DC11C1"/>
    <w:rsid w:val="00DC2B11"/>
    <w:rsid w:val="00DC3140"/>
    <w:rsid w:val="00DD36B4"/>
    <w:rsid w:val="00DF6488"/>
    <w:rsid w:val="00E27589"/>
    <w:rsid w:val="00E402A6"/>
    <w:rsid w:val="00E76D5E"/>
    <w:rsid w:val="00E81218"/>
    <w:rsid w:val="00E91543"/>
    <w:rsid w:val="00EF054E"/>
    <w:rsid w:val="00F001AC"/>
    <w:rsid w:val="00F1424E"/>
    <w:rsid w:val="00F20B35"/>
    <w:rsid w:val="00F20B73"/>
    <w:rsid w:val="00F238AD"/>
    <w:rsid w:val="00F34434"/>
    <w:rsid w:val="00F35CFE"/>
    <w:rsid w:val="00F37039"/>
    <w:rsid w:val="00F67E6F"/>
    <w:rsid w:val="00F763A7"/>
    <w:rsid w:val="00FB48BA"/>
    <w:rsid w:val="00FD6E6D"/>
    <w:rsid w:val="00FE07B2"/>
    <w:rsid w:val="00FF09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751C39"/>
  <w15:chartTrackingRefBased/>
  <w15:docId w15:val="{EB7C54BA-2F4A-F747-B53D-DB619503C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3B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3B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3B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3B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3B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3B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3B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3B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3B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B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3B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3B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3B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3B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3B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3B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3B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3B4F"/>
    <w:rPr>
      <w:rFonts w:eastAsiaTheme="majorEastAsia" w:cstheme="majorBidi"/>
      <w:color w:val="272727" w:themeColor="text1" w:themeTint="D8"/>
    </w:rPr>
  </w:style>
  <w:style w:type="paragraph" w:styleId="Title">
    <w:name w:val="Title"/>
    <w:basedOn w:val="Normal"/>
    <w:next w:val="Normal"/>
    <w:link w:val="TitleChar"/>
    <w:uiPriority w:val="10"/>
    <w:qFormat/>
    <w:rsid w:val="008C3B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3B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3B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3B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3B4F"/>
    <w:pPr>
      <w:spacing w:before="160"/>
      <w:jc w:val="center"/>
    </w:pPr>
    <w:rPr>
      <w:i/>
      <w:iCs/>
      <w:color w:val="404040" w:themeColor="text1" w:themeTint="BF"/>
    </w:rPr>
  </w:style>
  <w:style w:type="character" w:customStyle="1" w:styleId="QuoteChar">
    <w:name w:val="Quote Char"/>
    <w:basedOn w:val="DefaultParagraphFont"/>
    <w:link w:val="Quote"/>
    <w:uiPriority w:val="29"/>
    <w:rsid w:val="008C3B4F"/>
    <w:rPr>
      <w:i/>
      <w:iCs/>
      <w:color w:val="404040" w:themeColor="text1" w:themeTint="BF"/>
    </w:rPr>
  </w:style>
  <w:style w:type="paragraph" w:styleId="ListParagraph">
    <w:name w:val="List Paragraph"/>
    <w:basedOn w:val="Normal"/>
    <w:uiPriority w:val="34"/>
    <w:qFormat/>
    <w:rsid w:val="008C3B4F"/>
    <w:pPr>
      <w:ind w:left="720"/>
      <w:contextualSpacing/>
    </w:pPr>
  </w:style>
  <w:style w:type="character" w:styleId="IntenseEmphasis">
    <w:name w:val="Intense Emphasis"/>
    <w:basedOn w:val="DefaultParagraphFont"/>
    <w:uiPriority w:val="21"/>
    <w:qFormat/>
    <w:rsid w:val="008C3B4F"/>
    <w:rPr>
      <w:i/>
      <w:iCs/>
      <w:color w:val="0F4761" w:themeColor="accent1" w:themeShade="BF"/>
    </w:rPr>
  </w:style>
  <w:style w:type="paragraph" w:styleId="IntenseQuote">
    <w:name w:val="Intense Quote"/>
    <w:basedOn w:val="Normal"/>
    <w:next w:val="Normal"/>
    <w:link w:val="IntenseQuoteChar"/>
    <w:uiPriority w:val="30"/>
    <w:qFormat/>
    <w:rsid w:val="008C3B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3B4F"/>
    <w:rPr>
      <w:i/>
      <w:iCs/>
      <w:color w:val="0F4761" w:themeColor="accent1" w:themeShade="BF"/>
    </w:rPr>
  </w:style>
  <w:style w:type="character" w:styleId="IntenseReference">
    <w:name w:val="Intense Reference"/>
    <w:basedOn w:val="DefaultParagraphFont"/>
    <w:uiPriority w:val="32"/>
    <w:qFormat/>
    <w:rsid w:val="008C3B4F"/>
    <w:rPr>
      <w:b/>
      <w:bCs/>
      <w:smallCaps/>
      <w:color w:val="0F4761" w:themeColor="accent1" w:themeShade="BF"/>
      <w:spacing w:val="5"/>
    </w:rPr>
  </w:style>
  <w:style w:type="character" w:customStyle="1" w:styleId="apple-converted-space">
    <w:name w:val="apple-converted-space"/>
    <w:basedOn w:val="DefaultParagraphFont"/>
    <w:rsid w:val="007D71E1"/>
  </w:style>
  <w:style w:type="character" w:styleId="Emphasis">
    <w:name w:val="Emphasis"/>
    <w:basedOn w:val="DefaultParagraphFont"/>
    <w:uiPriority w:val="20"/>
    <w:qFormat/>
    <w:rsid w:val="007D71E1"/>
    <w:rPr>
      <w:i/>
      <w:iCs/>
    </w:rPr>
  </w:style>
  <w:style w:type="character" w:styleId="Strong">
    <w:name w:val="Strong"/>
    <w:basedOn w:val="DefaultParagraphFont"/>
    <w:uiPriority w:val="22"/>
    <w:qFormat/>
    <w:rsid w:val="007D71E1"/>
    <w:rPr>
      <w:b/>
      <w:bCs/>
    </w:rPr>
  </w:style>
  <w:style w:type="character" w:styleId="Hyperlink">
    <w:name w:val="Hyperlink"/>
    <w:basedOn w:val="DefaultParagraphFont"/>
    <w:uiPriority w:val="99"/>
    <w:semiHidden/>
    <w:unhideWhenUsed/>
    <w:rsid w:val="00D06710"/>
    <w:rPr>
      <w:color w:val="0000FF"/>
      <w:u w:val="single"/>
    </w:rPr>
  </w:style>
  <w:style w:type="paragraph" w:styleId="NormalWeb">
    <w:name w:val="Normal (Web)"/>
    <w:basedOn w:val="Normal"/>
    <w:uiPriority w:val="99"/>
    <w:unhideWhenUsed/>
    <w:rsid w:val="00291B8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291B8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isisprevention.com/en-CA/blog/general/defining-precipitating-factors-and-understanding-how-they-influence-behavior/" TargetMode="External"/><Relationship Id="rId13" Type="http://schemas.openxmlformats.org/officeDocument/2006/relationships/hyperlink" Target="https://psycnet.apa.org/record/2010-19438-000" TargetMode="External"/><Relationship Id="rId18" Type="http://schemas.openxmlformats.org/officeDocument/2006/relationships/hyperlink" Target="https://psycnet.apa.org/record/1999-01195-003"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tandfonline.com/doi/abs/10.1080/10683160208401818" TargetMode="External"/><Relationship Id="rId12" Type="http://schemas.openxmlformats.org/officeDocument/2006/relationships/hyperlink" Target="https://journals.sagepub.com/doi/10.1177/1079063214535819" TargetMode="External"/><Relationship Id="rId17" Type="http://schemas.openxmlformats.org/officeDocument/2006/relationships/hyperlink" Target="https://journals.sagepub.com/doi/10.1177/088626098013006003" TargetMode="External"/><Relationship Id="rId2" Type="http://schemas.openxmlformats.org/officeDocument/2006/relationships/settings" Target="settings.xml"/><Relationship Id="rId16" Type="http://schemas.openxmlformats.org/officeDocument/2006/relationships/hyperlink" Target="https://journals.sagepub.com/doi/10.1177/0956797613508790"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pubmed.ncbi.nlm.nih.gov/17065658/" TargetMode="External"/><Relationship Id="rId11" Type="http://schemas.openxmlformats.org/officeDocument/2006/relationships/hyperlink" Target="https://www.tandfonline.com/doi/full/10.1080/10683160310001609988" TargetMode="External"/><Relationship Id="rId5" Type="http://schemas.openxmlformats.org/officeDocument/2006/relationships/hyperlink" Target="https://books.google.co.uk/books?hl=en&amp;lr=&amp;id=mD2PBAAAQBAJ&amp;oi=fnd&amp;pg=PT6&amp;dq=Andrews,+D.+A.,+%26+Bonta,+J.+(2010).+The+psychology+of+criminal+conduct+(5th+ed.).+Routledge.&amp;ots=QKFMFb4qok&amp;sig=ZzUL2hz_8cOts2_Hw4qtfjFVFEU#v=onepage&amp;q&amp;f=false" TargetMode="External"/><Relationship Id="rId15" Type="http://schemas.openxmlformats.org/officeDocument/2006/relationships/hyperlink" Target="https://psycnet.apa.org/doiLanding?doi=10.1037%2F0003-066X.45.8.921" TargetMode="External"/><Relationship Id="rId10" Type="http://schemas.openxmlformats.org/officeDocument/2006/relationships/hyperlink" Target="https://journals.sagepub.com/doi/10.1177/0093854809338545" TargetMode="External"/><Relationship Id="rId19" Type="http://schemas.openxmlformats.org/officeDocument/2006/relationships/hyperlink" Target="https://www.sciencedirect.com/science/article/abs/pii/S1359178912000213" TargetMode="External"/><Relationship Id="rId4" Type="http://schemas.openxmlformats.org/officeDocument/2006/relationships/hyperlink" Target="https://journals.sagepub.com/doi/10.1177/1524838014521031" TargetMode="External"/><Relationship Id="rId9" Type="http://schemas.openxmlformats.org/officeDocument/2006/relationships/hyperlink" Target="https://www.ajpmonline.org/article/S0749-3797(98)00017-8/fulltext" TargetMode="External"/><Relationship Id="rId14" Type="http://schemas.openxmlformats.org/officeDocument/2006/relationships/hyperlink" Target="https://pubmed.ncbi.nlm.nih.gov/211731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243</TotalTime>
  <Pages>11</Pages>
  <Words>3543</Words>
  <Characters>20196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Lexi Keedwell (2200910)</dc:creator>
  <cp:keywords/>
  <dc:description/>
  <cp:lastModifiedBy>Lexi Keedwell (2200910)</cp:lastModifiedBy>
  <cp:revision>169</cp:revision>
  <dcterms:created xsi:type="dcterms:W3CDTF">2026-01-07T11:15:00Z</dcterms:created>
  <dcterms:modified xsi:type="dcterms:W3CDTF">2026-01-08T18:52:00Z</dcterms:modified>
</cp:coreProperties>
</file>