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64F44" w14:textId="577A858A" w:rsidR="003D088A" w:rsidRPr="004C0131" w:rsidRDefault="003D088A" w:rsidP="00A47037">
      <w:pPr>
        <w:spacing w:after="200"/>
        <w:rPr>
          <w:rFonts w:ascii="Arial" w:hAnsi="Arial" w:cs="Arial"/>
          <w:color w:val="000000" w:themeColor="text1"/>
          <w:sz w:val="24"/>
          <w:szCs w:val="24"/>
        </w:rPr>
      </w:pPr>
    </w:p>
    <w:p w14:paraId="1261DDC5" w14:textId="78E67CFD" w:rsidR="00E61B06" w:rsidRPr="004C0131" w:rsidRDefault="00E61B06" w:rsidP="00E61B06">
      <w:pPr>
        <w:spacing w:after="200"/>
        <w:jc w:val="center"/>
        <w:rPr>
          <w:rFonts w:ascii="Arial" w:hAnsi="Arial" w:cs="Arial"/>
          <w:color w:val="000000" w:themeColor="text1"/>
          <w:sz w:val="24"/>
          <w:szCs w:val="24"/>
        </w:rPr>
      </w:pPr>
      <w:r w:rsidRPr="004C0131">
        <w:rPr>
          <w:noProof/>
          <w:color w:val="000000" w:themeColor="text1"/>
        </w:rPr>
        <w:drawing>
          <wp:inline distT="0" distB="0" distL="0" distR="0" wp14:anchorId="3D55F1D8" wp14:editId="258EDD4F">
            <wp:extent cx="5020310" cy="1682150"/>
            <wp:effectExtent l="95250" t="95250" r="104140" b="5657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38325" cy="1688186"/>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40CF6938" w14:textId="77777777" w:rsidR="00E61B06" w:rsidRPr="004C0131" w:rsidRDefault="00E61B06" w:rsidP="00E61B06">
      <w:pPr>
        <w:jc w:val="center"/>
        <w:rPr>
          <w:rFonts w:ascii="Arial" w:hAnsi="Arial" w:cs="Arial"/>
          <w:color w:val="000000" w:themeColor="text1"/>
          <w:sz w:val="52"/>
          <w:szCs w:val="52"/>
        </w:rPr>
      </w:pPr>
      <w:r w:rsidRPr="004C0131">
        <w:rPr>
          <w:rFonts w:ascii="Arial" w:hAnsi="Arial" w:cs="Arial"/>
          <w:color w:val="000000" w:themeColor="text1"/>
          <w:sz w:val="52"/>
          <w:szCs w:val="52"/>
        </w:rPr>
        <w:t>Master of Business Administration</w:t>
      </w:r>
    </w:p>
    <w:p w14:paraId="3F3510E8" w14:textId="748571CF" w:rsidR="00E61B06" w:rsidRPr="004C0131" w:rsidRDefault="00E61B06" w:rsidP="00E61B06">
      <w:pPr>
        <w:jc w:val="center"/>
        <w:rPr>
          <w:rFonts w:ascii="Arial" w:hAnsi="Arial" w:cs="Arial"/>
          <w:color w:val="000000" w:themeColor="text1"/>
          <w:sz w:val="52"/>
          <w:szCs w:val="52"/>
        </w:rPr>
      </w:pPr>
      <w:r w:rsidRPr="004C0131">
        <w:rPr>
          <w:rFonts w:ascii="Arial" w:hAnsi="Arial" w:cs="Arial"/>
          <w:color w:val="000000" w:themeColor="text1"/>
          <w:sz w:val="52"/>
          <w:szCs w:val="52"/>
        </w:rPr>
        <w:t xml:space="preserve"> International Business</w:t>
      </w:r>
    </w:p>
    <w:p w14:paraId="5A6C3E6C" w14:textId="05A3A39C" w:rsidR="00E61B06" w:rsidRPr="004C0131" w:rsidRDefault="00E61B06" w:rsidP="00925298">
      <w:pPr>
        <w:rPr>
          <w:rFonts w:ascii="Arial" w:hAnsi="Arial" w:cs="Arial"/>
          <w:color w:val="000000" w:themeColor="text1"/>
          <w:sz w:val="52"/>
          <w:szCs w:val="52"/>
        </w:rPr>
      </w:pPr>
    </w:p>
    <w:p w14:paraId="71C83A23" w14:textId="77777777" w:rsidR="00E61B06" w:rsidRPr="004C0131" w:rsidRDefault="00E61B06" w:rsidP="00E61B06">
      <w:pPr>
        <w:jc w:val="center"/>
        <w:rPr>
          <w:color w:val="000000" w:themeColor="text1"/>
        </w:rPr>
      </w:pPr>
    </w:p>
    <w:p w14:paraId="71D65FBB" w14:textId="77777777" w:rsidR="00E61B06" w:rsidRPr="004C0131" w:rsidRDefault="00E61B06" w:rsidP="00E61B06">
      <w:pPr>
        <w:jc w:val="center"/>
        <w:rPr>
          <w:rFonts w:ascii="Arial" w:hAnsi="Arial" w:cs="Arial"/>
          <w:b/>
          <w:bCs/>
          <w:color w:val="000000" w:themeColor="text1"/>
          <w:sz w:val="28"/>
          <w:szCs w:val="28"/>
        </w:rPr>
      </w:pPr>
      <w:r w:rsidRPr="004C0131">
        <w:rPr>
          <w:rFonts w:ascii="Arial" w:hAnsi="Arial" w:cs="Arial"/>
          <w:b/>
          <w:bCs/>
          <w:color w:val="000000" w:themeColor="text1"/>
          <w:sz w:val="28"/>
          <w:szCs w:val="28"/>
        </w:rPr>
        <w:t>Student Name: Kartikkumar Dharmendrabhai Raval</w:t>
      </w:r>
    </w:p>
    <w:p w14:paraId="482385C4" w14:textId="77777777" w:rsidR="00E61B06" w:rsidRPr="004C0131" w:rsidRDefault="00E61B06" w:rsidP="00E61B06">
      <w:pPr>
        <w:jc w:val="center"/>
        <w:rPr>
          <w:rFonts w:ascii="Arial" w:hAnsi="Arial" w:cs="Arial"/>
          <w:b/>
          <w:bCs/>
          <w:color w:val="000000" w:themeColor="text1"/>
          <w:sz w:val="28"/>
          <w:szCs w:val="28"/>
        </w:rPr>
      </w:pPr>
    </w:p>
    <w:p w14:paraId="15CF7B5C" w14:textId="77777777" w:rsidR="00E61B06" w:rsidRPr="004C0131" w:rsidRDefault="00E61B06" w:rsidP="00E61B06">
      <w:pPr>
        <w:jc w:val="center"/>
        <w:rPr>
          <w:rFonts w:ascii="Arial" w:hAnsi="Arial" w:cs="Arial"/>
          <w:b/>
          <w:bCs/>
          <w:color w:val="000000" w:themeColor="text1"/>
          <w:sz w:val="28"/>
          <w:szCs w:val="28"/>
        </w:rPr>
      </w:pPr>
      <w:r w:rsidRPr="004C0131">
        <w:rPr>
          <w:rFonts w:ascii="Arial" w:hAnsi="Arial" w:cs="Arial"/>
          <w:b/>
          <w:bCs/>
          <w:color w:val="000000" w:themeColor="text1"/>
          <w:sz w:val="28"/>
          <w:szCs w:val="28"/>
        </w:rPr>
        <w:t>Student ID: 2537202</w:t>
      </w:r>
    </w:p>
    <w:p w14:paraId="53BC3304" w14:textId="77777777" w:rsidR="00E61B06" w:rsidRPr="004C0131" w:rsidRDefault="00E61B06" w:rsidP="00E61B06">
      <w:pPr>
        <w:jc w:val="center"/>
        <w:rPr>
          <w:rFonts w:ascii="Arial" w:hAnsi="Arial" w:cs="Arial"/>
          <w:color w:val="000000" w:themeColor="text1"/>
          <w:sz w:val="28"/>
          <w:szCs w:val="28"/>
        </w:rPr>
      </w:pPr>
    </w:p>
    <w:p w14:paraId="75FDFBF0" w14:textId="77777777" w:rsidR="00E61B06" w:rsidRPr="004C0131" w:rsidRDefault="00E61B06" w:rsidP="00E61B06">
      <w:pPr>
        <w:jc w:val="center"/>
        <w:rPr>
          <w:rFonts w:ascii="Arial" w:hAnsi="Arial" w:cs="Arial"/>
          <w:color w:val="000000" w:themeColor="text1"/>
          <w:sz w:val="28"/>
          <w:szCs w:val="28"/>
        </w:rPr>
      </w:pPr>
    </w:p>
    <w:p w14:paraId="2BB71E13" w14:textId="77777777" w:rsidR="00E61B06" w:rsidRPr="004C0131" w:rsidRDefault="00E61B06" w:rsidP="00E61B06">
      <w:pPr>
        <w:jc w:val="center"/>
        <w:rPr>
          <w:rFonts w:ascii="Arial" w:hAnsi="Arial" w:cs="Arial"/>
          <w:b/>
          <w:bCs/>
          <w:color w:val="000000" w:themeColor="text1"/>
          <w:sz w:val="28"/>
          <w:szCs w:val="28"/>
        </w:rPr>
      </w:pPr>
      <w:r w:rsidRPr="004C0131">
        <w:rPr>
          <w:rFonts w:ascii="Arial" w:hAnsi="Arial" w:cs="Arial"/>
          <w:b/>
          <w:bCs/>
          <w:color w:val="000000" w:themeColor="text1"/>
          <w:sz w:val="28"/>
          <w:szCs w:val="28"/>
        </w:rPr>
        <w:t>Module Name: Marketing Management</w:t>
      </w:r>
    </w:p>
    <w:p w14:paraId="2B098A5B" w14:textId="77777777" w:rsidR="00E61B06" w:rsidRPr="004C0131" w:rsidRDefault="00E61B06" w:rsidP="00E61B06">
      <w:pPr>
        <w:jc w:val="center"/>
        <w:rPr>
          <w:rFonts w:ascii="Arial" w:hAnsi="Arial" w:cs="Arial"/>
          <w:b/>
          <w:bCs/>
          <w:color w:val="000000" w:themeColor="text1"/>
          <w:sz w:val="28"/>
          <w:szCs w:val="28"/>
        </w:rPr>
      </w:pPr>
    </w:p>
    <w:p w14:paraId="280D9B87" w14:textId="08DAF4FE" w:rsidR="00E61B06" w:rsidRPr="004C0131" w:rsidRDefault="00E61B06" w:rsidP="00E61B06">
      <w:pPr>
        <w:jc w:val="center"/>
        <w:rPr>
          <w:rFonts w:ascii="Arial" w:hAnsi="Arial" w:cs="Arial"/>
          <w:b/>
          <w:bCs/>
          <w:color w:val="000000" w:themeColor="text1"/>
          <w:sz w:val="28"/>
          <w:szCs w:val="28"/>
        </w:rPr>
      </w:pPr>
      <w:r w:rsidRPr="004C0131">
        <w:rPr>
          <w:rFonts w:ascii="Arial" w:hAnsi="Arial" w:cs="Arial"/>
          <w:b/>
          <w:bCs/>
          <w:color w:val="000000" w:themeColor="text1"/>
          <w:sz w:val="28"/>
          <w:szCs w:val="28"/>
        </w:rPr>
        <w:t>Module Code: LCMB7024</w:t>
      </w:r>
    </w:p>
    <w:p w14:paraId="52F56CB2" w14:textId="77777777" w:rsidR="00925298" w:rsidRPr="004C0131" w:rsidRDefault="00925298" w:rsidP="00E61B06">
      <w:pPr>
        <w:jc w:val="center"/>
        <w:rPr>
          <w:rFonts w:ascii="Arial" w:hAnsi="Arial" w:cs="Arial"/>
          <w:b/>
          <w:bCs/>
          <w:color w:val="000000" w:themeColor="text1"/>
          <w:sz w:val="28"/>
          <w:szCs w:val="28"/>
        </w:rPr>
      </w:pPr>
    </w:p>
    <w:p w14:paraId="3BC17CBB" w14:textId="77777777" w:rsidR="00925298" w:rsidRPr="004C0131" w:rsidRDefault="00925298" w:rsidP="00925298">
      <w:pPr>
        <w:jc w:val="center"/>
        <w:rPr>
          <w:rFonts w:ascii="Segoe UI" w:hAnsi="Segoe UI" w:cs="Segoe UI"/>
          <w:b/>
          <w:bCs/>
          <w:color w:val="000000" w:themeColor="text1"/>
          <w:sz w:val="28"/>
          <w:szCs w:val="28"/>
          <w:shd w:val="clear" w:color="auto" w:fill="FFFFFF"/>
        </w:rPr>
      </w:pPr>
      <w:r w:rsidRPr="004C0131">
        <w:rPr>
          <w:rFonts w:ascii="Arial" w:hAnsi="Arial" w:cs="Arial"/>
          <w:b/>
          <w:bCs/>
          <w:color w:val="000000" w:themeColor="text1"/>
          <w:sz w:val="28"/>
          <w:szCs w:val="28"/>
        </w:rPr>
        <w:t xml:space="preserve">Lecturer’s Name: </w:t>
      </w:r>
      <w:proofErr w:type="spellStart"/>
      <w:r w:rsidRPr="004C0131">
        <w:rPr>
          <w:rFonts w:ascii="Arial" w:hAnsi="Arial" w:cs="Arial"/>
          <w:b/>
          <w:bCs/>
          <w:color w:val="000000" w:themeColor="text1"/>
          <w:sz w:val="28"/>
          <w:szCs w:val="28"/>
        </w:rPr>
        <w:t>Dr.</w:t>
      </w:r>
      <w:proofErr w:type="spellEnd"/>
      <w:r w:rsidRPr="004C0131">
        <w:rPr>
          <w:rFonts w:ascii="Segoe UI" w:hAnsi="Segoe UI" w:cs="Segoe UI"/>
          <w:b/>
          <w:bCs/>
          <w:color w:val="000000" w:themeColor="text1"/>
          <w:sz w:val="28"/>
          <w:szCs w:val="28"/>
          <w:shd w:val="clear" w:color="auto" w:fill="FFFFFF"/>
        </w:rPr>
        <w:t xml:space="preserve"> Sinan He</w:t>
      </w:r>
    </w:p>
    <w:p w14:paraId="31E510C7" w14:textId="77777777" w:rsidR="00925298" w:rsidRPr="004C0131" w:rsidRDefault="00925298" w:rsidP="00E61B06">
      <w:pPr>
        <w:jc w:val="center"/>
        <w:rPr>
          <w:rFonts w:ascii="Arial" w:hAnsi="Arial" w:cs="Arial"/>
          <w:b/>
          <w:bCs/>
          <w:color w:val="000000" w:themeColor="text1"/>
          <w:sz w:val="28"/>
          <w:szCs w:val="28"/>
        </w:rPr>
      </w:pPr>
    </w:p>
    <w:p w14:paraId="74FB0BE1" w14:textId="77777777" w:rsidR="00925298" w:rsidRPr="004C0131" w:rsidRDefault="00925298" w:rsidP="00E61B06">
      <w:pPr>
        <w:jc w:val="center"/>
        <w:rPr>
          <w:rFonts w:ascii="Arial" w:hAnsi="Arial" w:cs="Arial"/>
          <w:b/>
          <w:bCs/>
          <w:color w:val="000000" w:themeColor="text1"/>
          <w:sz w:val="28"/>
          <w:szCs w:val="28"/>
        </w:rPr>
      </w:pPr>
    </w:p>
    <w:p w14:paraId="05D077F3" w14:textId="3EC12FD7" w:rsidR="00925298" w:rsidRPr="004C0131" w:rsidRDefault="00925298" w:rsidP="00E61B06">
      <w:pPr>
        <w:jc w:val="center"/>
        <w:rPr>
          <w:rFonts w:ascii="Arial" w:hAnsi="Arial" w:cs="Arial"/>
          <w:b/>
          <w:bCs/>
          <w:color w:val="000000" w:themeColor="text1"/>
          <w:sz w:val="28"/>
          <w:szCs w:val="28"/>
        </w:rPr>
      </w:pPr>
      <w:r w:rsidRPr="004C0131">
        <w:rPr>
          <w:rFonts w:ascii="Arial" w:hAnsi="Arial" w:cs="Arial"/>
          <w:b/>
          <w:bCs/>
          <w:color w:val="000000" w:themeColor="text1"/>
          <w:sz w:val="28"/>
          <w:szCs w:val="28"/>
        </w:rPr>
        <w:t xml:space="preserve">Assignment 2 </w:t>
      </w:r>
    </w:p>
    <w:p w14:paraId="14552C37" w14:textId="77777777" w:rsidR="00925298" w:rsidRPr="004C0131" w:rsidRDefault="00925298" w:rsidP="00E61B06">
      <w:pPr>
        <w:jc w:val="center"/>
        <w:rPr>
          <w:rFonts w:ascii="Arial" w:hAnsi="Arial" w:cs="Arial"/>
          <w:b/>
          <w:bCs/>
          <w:color w:val="000000" w:themeColor="text1"/>
          <w:sz w:val="28"/>
          <w:szCs w:val="28"/>
        </w:rPr>
      </w:pPr>
    </w:p>
    <w:p w14:paraId="4D26E8F9" w14:textId="0677C8DD" w:rsidR="00925298" w:rsidRPr="004C0131" w:rsidRDefault="00925298" w:rsidP="00925298">
      <w:pPr>
        <w:jc w:val="center"/>
        <w:rPr>
          <w:rFonts w:ascii="Arial" w:hAnsi="Arial" w:cs="Arial"/>
          <w:b/>
          <w:bCs/>
          <w:color w:val="000000" w:themeColor="text1"/>
          <w:sz w:val="28"/>
          <w:szCs w:val="28"/>
        </w:rPr>
      </w:pPr>
      <w:r w:rsidRPr="004C0131">
        <w:rPr>
          <w:rFonts w:ascii="Arial" w:hAnsi="Arial" w:cs="Arial"/>
          <w:b/>
          <w:bCs/>
          <w:color w:val="000000" w:themeColor="text1"/>
          <w:sz w:val="28"/>
          <w:szCs w:val="28"/>
        </w:rPr>
        <w:t>Word count: 2500(</w:t>
      </w:r>
      <m:oMath>
        <m:r>
          <m:rPr>
            <m:sty m:val="bi"/>
          </m:rPr>
          <w:rPr>
            <w:rFonts w:ascii="Cambria Math" w:hAnsi="Cambria Math" w:cs="Arial"/>
            <w:color w:val="000000" w:themeColor="text1"/>
            <w:sz w:val="28"/>
            <w:szCs w:val="28"/>
          </w:rPr>
          <m:t>±10)</m:t>
        </m:r>
      </m:oMath>
    </w:p>
    <w:p w14:paraId="2D14550C" w14:textId="77777777" w:rsidR="00E61B06" w:rsidRPr="004C0131" w:rsidRDefault="00E61B06" w:rsidP="00E61B06">
      <w:pPr>
        <w:jc w:val="center"/>
        <w:rPr>
          <w:rFonts w:ascii="Arial" w:hAnsi="Arial" w:cs="Arial"/>
          <w:b/>
          <w:bCs/>
          <w:color w:val="000000" w:themeColor="text1"/>
          <w:sz w:val="28"/>
          <w:szCs w:val="28"/>
        </w:rPr>
      </w:pPr>
    </w:p>
    <w:p w14:paraId="1F0342EF" w14:textId="388B8363" w:rsidR="00E61B06" w:rsidRPr="004C0131" w:rsidRDefault="00E61B06" w:rsidP="00925298">
      <w:pPr>
        <w:rPr>
          <w:rFonts w:ascii="Segoe UI" w:hAnsi="Segoe UI" w:cs="Segoe UI"/>
          <w:b/>
          <w:bCs/>
          <w:color w:val="000000" w:themeColor="text1"/>
          <w:sz w:val="28"/>
          <w:szCs w:val="28"/>
          <w:shd w:val="clear" w:color="auto" w:fill="FFFFFF"/>
        </w:rPr>
      </w:pPr>
    </w:p>
    <w:p w14:paraId="623B7251" w14:textId="379F9B0C" w:rsidR="00E61B06" w:rsidRDefault="00925298" w:rsidP="00925298">
      <w:pPr>
        <w:jc w:val="center"/>
        <w:rPr>
          <w:rFonts w:ascii="Arial" w:hAnsi="Arial" w:cs="Arial"/>
          <w:color w:val="000000" w:themeColor="text1"/>
          <w:sz w:val="32"/>
          <w:szCs w:val="32"/>
        </w:rPr>
      </w:pPr>
      <w:r w:rsidRPr="004C0131">
        <w:rPr>
          <w:rFonts w:ascii="Arial" w:hAnsi="Arial" w:cs="Arial"/>
          <w:color w:val="000000" w:themeColor="text1"/>
          <w:sz w:val="32"/>
          <w:szCs w:val="32"/>
        </w:rPr>
        <w:t>Final submission: Friday 14th August 2026 by 2 PM</w:t>
      </w:r>
    </w:p>
    <w:p w14:paraId="010BF3B4" w14:textId="4290F9C9" w:rsidR="004C0131" w:rsidRDefault="004C0131" w:rsidP="00925298">
      <w:pPr>
        <w:jc w:val="center"/>
        <w:rPr>
          <w:rFonts w:ascii="Arial" w:hAnsi="Arial" w:cs="Arial"/>
          <w:color w:val="000000" w:themeColor="text1"/>
          <w:sz w:val="32"/>
          <w:szCs w:val="32"/>
        </w:rPr>
      </w:pPr>
    </w:p>
    <w:p w14:paraId="4ECB731B" w14:textId="310D92F1" w:rsidR="004C0131" w:rsidRDefault="004C0131" w:rsidP="00925298">
      <w:pPr>
        <w:jc w:val="center"/>
        <w:rPr>
          <w:rFonts w:ascii="Arial" w:hAnsi="Arial" w:cs="Arial"/>
          <w:color w:val="000000" w:themeColor="text1"/>
          <w:sz w:val="32"/>
          <w:szCs w:val="32"/>
        </w:rPr>
      </w:pPr>
      <w:r>
        <w:rPr>
          <w:rFonts w:ascii="Arial" w:hAnsi="Arial" w:cs="Arial"/>
          <w:color w:val="000000" w:themeColor="text1"/>
          <w:sz w:val="32"/>
          <w:szCs w:val="32"/>
        </w:rPr>
        <w:lastRenderedPageBreak/>
        <w:t>Context</w:t>
      </w:r>
    </w:p>
    <w:p w14:paraId="70CB0549" w14:textId="77777777" w:rsidR="004C0131" w:rsidRDefault="004C0131" w:rsidP="00925298">
      <w:pPr>
        <w:jc w:val="center"/>
        <w:rPr>
          <w:rFonts w:ascii="Arial" w:hAnsi="Arial" w:cs="Arial"/>
          <w:color w:val="000000" w:themeColor="text1"/>
          <w:sz w:val="32"/>
          <w:szCs w:val="32"/>
        </w:rPr>
      </w:pPr>
    </w:p>
    <w:p w14:paraId="08DA60EC" w14:textId="255C336B" w:rsidR="004C0131" w:rsidRDefault="004C0131" w:rsidP="004C0131">
      <w:pPr>
        <w:rPr>
          <w:rFonts w:ascii="Arial" w:hAnsi="Arial" w:cs="Arial"/>
          <w:b/>
          <w:bCs/>
          <w:color w:val="000000" w:themeColor="text1"/>
          <w:sz w:val="24"/>
          <w:szCs w:val="24"/>
        </w:rPr>
      </w:pPr>
      <w:r w:rsidRPr="004C0131">
        <w:rPr>
          <w:rFonts w:ascii="Arial" w:hAnsi="Arial" w:cs="Arial"/>
          <w:b/>
          <w:bCs/>
          <w:color w:val="000000" w:themeColor="text1"/>
          <w:sz w:val="24"/>
          <w:szCs w:val="24"/>
        </w:rPr>
        <w:t>Element:1 Poster – JBL Re-Sound: a circular-economy brand extension</w:t>
      </w:r>
      <w:r>
        <w:rPr>
          <w:rFonts w:ascii="Arial" w:hAnsi="Arial" w:cs="Arial"/>
          <w:b/>
          <w:bCs/>
          <w:color w:val="000000" w:themeColor="text1"/>
          <w:sz w:val="24"/>
          <w:szCs w:val="24"/>
        </w:rPr>
        <w:t>…………3</w:t>
      </w:r>
    </w:p>
    <w:p w14:paraId="4600CC80" w14:textId="3438AE58" w:rsidR="004C0131" w:rsidRDefault="004C0131" w:rsidP="004C0131">
      <w:pPr>
        <w:pStyle w:val="Heading1"/>
        <w:rPr>
          <w:rFonts w:ascii="Arial" w:hAnsi="Arial" w:cs="Arial"/>
          <w:color w:val="000000" w:themeColor="text1"/>
          <w:sz w:val="24"/>
          <w:szCs w:val="24"/>
        </w:rPr>
      </w:pPr>
      <w:r w:rsidRPr="004C0131">
        <w:rPr>
          <w:rFonts w:ascii="Arial" w:hAnsi="Arial" w:cs="Arial"/>
          <w:color w:val="000000" w:themeColor="text1"/>
          <w:sz w:val="24"/>
          <w:szCs w:val="24"/>
        </w:rPr>
        <w:t>Element 2: Segmentation, Targeting, Differentiation and Positioning (STDP)</w:t>
      </w:r>
      <w:r>
        <w:rPr>
          <w:rFonts w:ascii="Arial" w:hAnsi="Arial" w:cs="Arial"/>
          <w:color w:val="000000" w:themeColor="text1"/>
          <w:sz w:val="24"/>
          <w:szCs w:val="24"/>
        </w:rPr>
        <w:t>…….4</w:t>
      </w:r>
      <w:r w:rsidRPr="004C0131">
        <w:rPr>
          <w:rFonts w:ascii="Arial" w:hAnsi="Arial" w:cs="Arial"/>
          <w:color w:val="000000" w:themeColor="text1"/>
          <w:sz w:val="24"/>
          <w:szCs w:val="24"/>
        </w:rPr>
        <w:t xml:space="preserve"> Analysis</w:t>
      </w:r>
    </w:p>
    <w:p w14:paraId="703B7578" w14:textId="5E569643" w:rsidR="004C0131" w:rsidRDefault="004C0131" w:rsidP="004C0131">
      <w:pPr>
        <w:rPr>
          <w:rFonts w:ascii="Arial" w:hAnsi="Arial" w:cs="Arial"/>
          <w:b/>
          <w:bCs/>
          <w:color w:val="000000" w:themeColor="text1"/>
          <w:sz w:val="24"/>
          <w:szCs w:val="24"/>
        </w:rPr>
      </w:pPr>
      <w:r w:rsidRPr="004C0131">
        <w:rPr>
          <w:rFonts w:ascii="Arial" w:hAnsi="Arial" w:cs="Arial"/>
          <w:b/>
          <w:bCs/>
          <w:color w:val="000000" w:themeColor="text1"/>
          <w:sz w:val="24"/>
          <w:szCs w:val="24"/>
        </w:rPr>
        <w:t>Element 3: Marketing Mix (7Ps)</w:t>
      </w:r>
      <w:r w:rsidR="00166798">
        <w:rPr>
          <w:rFonts w:ascii="Arial" w:hAnsi="Arial" w:cs="Arial"/>
          <w:b/>
          <w:bCs/>
          <w:color w:val="000000" w:themeColor="text1"/>
          <w:sz w:val="24"/>
          <w:szCs w:val="24"/>
        </w:rPr>
        <w:t xml:space="preserve"> </w:t>
      </w:r>
      <w:r>
        <w:rPr>
          <w:rFonts w:ascii="Arial" w:hAnsi="Arial" w:cs="Arial"/>
          <w:b/>
          <w:bCs/>
          <w:color w:val="000000" w:themeColor="text1"/>
          <w:sz w:val="24"/>
          <w:szCs w:val="24"/>
        </w:rPr>
        <w:t>………………………………………………………</w:t>
      </w:r>
      <w:r w:rsidR="00166798">
        <w:rPr>
          <w:rFonts w:ascii="Arial" w:hAnsi="Arial" w:cs="Arial"/>
          <w:b/>
          <w:bCs/>
          <w:color w:val="000000" w:themeColor="text1"/>
          <w:sz w:val="24"/>
          <w:szCs w:val="24"/>
        </w:rPr>
        <w:t>…….7</w:t>
      </w:r>
    </w:p>
    <w:p w14:paraId="61190631" w14:textId="77777777" w:rsidR="004C0131" w:rsidRDefault="004C0131" w:rsidP="004C0131">
      <w:pPr>
        <w:rPr>
          <w:rFonts w:ascii="Arial" w:hAnsi="Arial" w:cs="Arial"/>
          <w:b/>
          <w:bCs/>
          <w:color w:val="000000" w:themeColor="text1"/>
          <w:sz w:val="24"/>
          <w:szCs w:val="24"/>
        </w:rPr>
      </w:pPr>
    </w:p>
    <w:p w14:paraId="34500AAF" w14:textId="186C78CD" w:rsidR="004C0131" w:rsidRDefault="004C0131" w:rsidP="004C0131">
      <w:pPr>
        <w:rPr>
          <w:rFonts w:ascii="Arial" w:hAnsi="Arial" w:cs="Arial"/>
          <w:b/>
          <w:bCs/>
          <w:color w:val="000000" w:themeColor="text1"/>
          <w:sz w:val="24"/>
          <w:szCs w:val="24"/>
        </w:rPr>
      </w:pPr>
      <w:r w:rsidRPr="004C0131">
        <w:rPr>
          <w:rFonts w:ascii="Arial" w:hAnsi="Arial" w:cs="Arial"/>
          <w:b/>
          <w:bCs/>
          <w:color w:val="000000" w:themeColor="text1"/>
          <w:sz w:val="24"/>
          <w:szCs w:val="24"/>
        </w:rPr>
        <w:t>Element 4: Reflection</w:t>
      </w:r>
      <w:r w:rsidR="00166798">
        <w:rPr>
          <w:rFonts w:ascii="Arial" w:hAnsi="Arial" w:cs="Arial"/>
          <w:b/>
          <w:bCs/>
          <w:color w:val="000000" w:themeColor="text1"/>
          <w:sz w:val="24"/>
          <w:szCs w:val="24"/>
        </w:rPr>
        <w:t>.………………………………………………………………………10</w:t>
      </w:r>
    </w:p>
    <w:p w14:paraId="786DB6CF" w14:textId="240B17F1" w:rsidR="004C0131" w:rsidRDefault="004C0131" w:rsidP="004C0131">
      <w:pPr>
        <w:rPr>
          <w:rFonts w:ascii="Arial" w:hAnsi="Arial" w:cs="Arial"/>
          <w:b/>
          <w:bCs/>
          <w:color w:val="000000" w:themeColor="text1"/>
          <w:sz w:val="24"/>
          <w:szCs w:val="24"/>
        </w:rPr>
      </w:pPr>
    </w:p>
    <w:p w14:paraId="607FDA37" w14:textId="077106B6" w:rsidR="004C0131" w:rsidRPr="004C0131" w:rsidRDefault="004C0131" w:rsidP="004C0131">
      <w:pPr>
        <w:rPr>
          <w:rFonts w:ascii="Arial" w:hAnsi="Arial" w:cs="Arial"/>
          <w:b/>
          <w:bCs/>
          <w:color w:val="000000" w:themeColor="text1"/>
          <w:sz w:val="24"/>
          <w:szCs w:val="24"/>
        </w:rPr>
      </w:pPr>
      <w:r w:rsidRPr="004C0131">
        <w:rPr>
          <w:rFonts w:ascii="Arial" w:hAnsi="Arial" w:cs="Arial"/>
          <w:b/>
          <w:bCs/>
          <w:color w:val="000000" w:themeColor="text1"/>
          <w:sz w:val="24"/>
          <w:szCs w:val="24"/>
        </w:rPr>
        <w:t>References</w:t>
      </w:r>
      <w:r w:rsidR="00166798">
        <w:rPr>
          <w:rFonts w:ascii="Arial" w:hAnsi="Arial" w:cs="Arial"/>
          <w:b/>
          <w:bCs/>
          <w:color w:val="000000" w:themeColor="text1"/>
          <w:sz w:val="24"/>
          <w:szCs w:val="24"/>
        </w:rPr>
        <w:t>…………………………………………………………………………………….11</w:t>
      </w:r>
    </w:p>
    <w:p w14:paraId="58A22C06" w14:textId="77777777" w:rsidR="004C0131" w:rsidRDefault="004C0131" w:rsidP="004C0131">
      <w:pPr>
        <w:rPr>
          <w:rFonts w:ascii="Arial" w:hAnsi="Arial" w:cs="Arial"/>
          <w:b/>
          <w:bCs/>
          <w:color w:val="000000" w:themeColor="text1"/>
          <w:sz w:val="24"/>
          <w:szCs w:val="24"/>
        </w:rPr>
      </w:pPr>
    </w:p>
    <w:p w14:paraId="24DFB9B2" w14:textId="35E3A147" w:rsidR="004C0131" w:rsidRDefault="004C0131" w:rsidP="004C0131">
      <w:pPr>
        <w:rPr>
          <w:rFonts w:ascii="Arial" w:hAnsi="Arial" w:cs="Arial"/>
          <w:b/>
          <w:bCs/>
          <w:color w:val="000000" w:themeColor="text1"/>
          <w:sz w:val="24"/>
          <w:szCs w:val="24"/>
        </w:rPr>
      </w:pPr>
    </w:p>
    <w:p w14:paraId="78AF02CC" w14:textId="77777777" w:rsidR="004C0131" w:rsidRPr="004C0131" w:rsidRDefault="004C0131" w:rsidP="004C0131">
      <w:pPr>
        <w:rPr>
          <w:rFonts w:ascii="Arial" w:hAnsi="Arial" w:cs="Arial"/>
          <w:b/>
          <w:bCs/>
          <w:color w:val="000000" w:themeColor="text1"/>
          <w:sz w:val="24"/>
          <w:szCs w:val="24"/>
        </w:rPr>
      </w:pPr>
    </w:p>
    <w:p w14:paraId="0E141AAD" w14:textId="77777777" w:rsidR="004C0131" w:rsidRPr="004C0131" w:rsidRDefault="004C0131" w:rsidP="004C0131">
      <w:pPr>
        <w:rPr>
          <w:rFonts w:ascii="Arial" w:hAnsi="Arial" w:cs="Arial"/>
          <w:b/>
          <w:bCs/>
          <w:color w:val="000000" w:themeColor="text1"/>
          <w:sz w:val="24"/>
          <w:szCs w:val="24"/>
        </w:rPr>
      </w:pPr>
    </w:p>
    <w:p w14:paraId="3BD4DD52" w14:textId="77777777" w:rsidR="004C0131" w:rsidRDefault="004C0131" w:rsidP="004C0131">
      <w:pPr>
        <w:pStyle w:val="Heading1"/>
        <w:rPr>
          <w:rFonts w:ascii="Arial" w:hAnsi="Arial" w:cs="Arial"/>
          <w:color w:val="000000" w:themeColor="text1"/>
          <w:sz w:val="24"/>
          <w:szCs w:val="24"/>
        </w:rPr>
      </w:pPr>
    </w:p>
    <w:p w14:paraId="7568AEF6" w14:textId="77777777" w:rsidR="004C0131" w:rsidRPr="004C0131" w:rsidRDefault="004C0131" w:rsidP="004C0131">
      <w:pPr>
        <w:pStyle w:val="Heading1"/>
        <w:rPr>
          <w:rFonts w:ascii="Arial" w:hAnsi="Arial" w:cs="Arial"/>
          <w:color w:val="000000" w:themeColor="text1"/>
          <w:sz w:val="24"/>
          <w:szCs w:val="24"/>
        </w:rPr>
      </w:pPr>
    </w:p>
    <w:p w14:paraId="173421C9" w14:textId="77777777" w:rsidR="004C0131" w:rsidRDefault="004C0131" w:rsidP="004C0131">
      <w:pPr>
        <w:rPr>
          <w:rFonts w:ascii="Arial" w:hAnsi="Arial" w:cs="Arial"/>
          <w:b/>
          <w:bCs/>
          <w:color w:val="000000" w:themeColor="text1"/>
          <w:sz w:val="24"/>
          <w:szCs w:val="24"/>
        </w:rPr>
      </w:pPr>
    </w:p>
    <w:p w14:paraId="2928FADB" w14:textId="77777777" w:rsidR="004C0131" w:rsidRPr="004C0131" w:rsidRDefault="004C0131" w:rsidP="004C0131">
      <w:pPr>
        <w:rPr>
          <w:rFonts w:ascii="Arial" w:hAnsi="Arial" w:cs="Arial"/>
          <w:b/>
          <w:bCs/>
          <w:color w:val="000000" w:themeColor="text1"/>
          <w:sz w:val="24"/>
          <w:szCs w:val="24"/>
        </w:rPr>
      </w:pPr>
    </w:p>
    <w:p w14:paraId="7D824EA3" w14:textId="3AD756D1" w:rsidR="00E61B06" w:rsidRPr="004C0131" w:rsidRDefault="00E61B06" w:rsidP="00925298">
      <w:pPr>
        <w:rPr>
          <w:rFonts w:ascii="Arial" w:hAnsi="Arial" w:cs="Arial"/>
          <w:b/>
          <w:bCs/>
          <w:color w:val="000000" w:themeColor="text1"/>
          <w:sz w:val="24"/>
          <w:szCs w:val="24"/>
        </w:rPr>
      </w:pPr>
      <w:r w:rsidRPr="004C0131">
        <w:rPr>
          <w:rFonts w:ascii="Arial" w:hAnsi="Arial" w:cs="Arial"/>
          <w:b/>
          <w:bCs/>
          <w:noProof/>
          <w:color w:val="000000" w:themeColor="text1"/>
        </w:rPr>
        <w:lastRenderedPageBreak/>
        <w:drawing>
          <wp:anchor distT="0" distB="0" distL="114300" distR="114300" simplePos="0" relativeHeight="251661312" behindDoc="1" locked="0" layoutInCell="1" allowOverlap="1" wp14:anchorId="610EFEE2" wp14:editId="68833E34">
            <wp:simplePos x="0" y="0"/>
            <wp:positionH relativeFrom="page">
              <wp:align>left</wp:align>
            </wp:positionH>
            <wp:positionV relativeFrom="paragraph">
              <wp:posOffset>321334</wp:posOffset>
            </wp:positionV>
            <wp:extent cx="7435215" cy="7735570"/>
            <wp:effectExtent l="133350" t="114300" r="146685" b="1701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7435955" cy="773650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925298" w:rsidRPr="004C0131">
        <w:rPr>
          <w:rFonts w:ascii="Arial" w:hAnsi="Arial" w:cs="Arial"/>
          <w:b/>
          <w:bCs/>
          <w:color w:val="000000" w:themeColor="text1"/>
        </w:rPr>
        <w:t xml:space="preserve"> </w:t>
      </w:r>
      <w:r w:rsidR="00925298" w:rsidRPr="004C0131">
        <w:rPr>
          <w:rFonts w:ascii="Arial" w:hAnsi="Arial" w:cs="Arial"/>
          <w:b/>
          <w:bCs/>
          <w:color w:val="000000" w:themeColor="text1"/>
          <w:sz w:val="24"/>
          <w:szCs w:val="24"/>
        </w:rPr>
        <w:t>Element:1 Poster – JBL Re-Sound: a circular-economy brand extension</w:t>
      </w:r>
    </w:p>
    <w:p w14:paraId="722A6D49" w14:textId="60539FDE" w:rsidR="00925298" w:rsidRPr="004C0131" w:rsidRDefault="00550259" w:rsidP="00550259">
      <w:pPr>
        <w:rPr>
          <w:rFonts w:ascii="Arial" w:hAnsi="Arial" w:cs="Arial"/>
          <w:color w:val="000000" w:themeColor="text1"/>
          <w:sz w:val="24"/>
          <w:szCs w:val="24"/>
        </w:rPr>
      </w:pPr>
      <w:r>
        <w:rPr>
          <w:rFonts w:ascii="Arial" w:hAnsi="Arial"/>
          <w:color w:val="000000"/>
          <w:sz w:val="24"/>
        </w:rPr>
        <w:lastRenderedPageBreak/>
        <w:t>This poster shows an example of the JBL-Resound as a circular-economy brand extension. In this case, the brand extension is an example of a new service. In particular, it includes repairing or recycling JBL devices, after which it resells to their customers. Moreover, in this context, new locations will appear, in which JBL RE-Sound will open its operating stores, and it will offer outstanding service to their bonded customers.</w:t>
      </w:r>
    </w:p>
    <w:p w14:paraId="164403C8" w14:textId="77777777" w:rsidR="003D088A" w:rsidRPr="004C0131" w:rsidRDefault="007D4237">
      <w:pPr>
        <w:pStyle w:val="Heading1"/>
        <w:rPr>
          <w:rFonts w:ascii="Arial" w:hAnsi="Arial" w:cs="Arial"/>
          <w:color w:val="000000" w:themeColor="text1"/>
          <w:sz w:val="24"/>
          <w:szCs w:val="24"/>
        </w:rPr>
      </w:pPr>
      <w:r w:rsidRPr="004C0131">
        <w:rPr>
          <w:rFonts w:ascii="Arial" w:hAnsi="Arial" w:cs="Arial"/>
          <w:color w:val="000000" w:themeColor="text1"/>
          <w:sz w:val="24"/>
          <w:szCs w:val="24"/>
        </w:rPr>
        <w:t>Element 2: Segmentation, Targeting, Differentiation and Positioning (STDP) Analysis</w:t>
      </w:r>
    </w:p>
    <w:p w14:paraId="4A51CC59"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JBL, a brand owned by Samsung Electronics as a subsidiary of Harman International, enjoys a global reputation for portable and home audio engineering (Harman International, 2023). The report introduces a sustainable brand extension idea named "JBL Regenerate", a line of portable speakers and headphones made primarily out of recycled ocean-bound plastics and post-consumer materials, with a closed-loop take-back scheme and solar-powered accessories. Utilisation of the Segmentation, Targeting, Differentiation and Positioning (STDP) framework (Kotler and Keller, 2016) can provide a well-structured basis for identifying a viable target market and defining a distinct position for the extension.</w:t>
      </w:r>
    </w:p>
    <w:p w14:paraId="3F19511E"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Segmentation</w:t>
      </w:r>
    </w:p>
    <w:p w14:paraId="23DAFA3C" w14:textId="4D0E547A" w:rsidR="00A47037"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Market segmentation is the process of dividing a diverse market into homogeneous groups of consumers, based on similar needs and attributes (Smith, 1956; Wind, 1978). Four types of market segmentation bases are considered in the case of JBL Regenerate. First, geographically, the extension targets urban areas of the markets with regulatory measures in place and eco-consumerism being widespread. Specifically, these include the United Kingdom, Western Europe, North America and metropolitan cities in the emerging markets like India and China, where outdoors lifestyle and music festivals contribute to the portable audio consumption. Secondly, demographically, the extension targets consumers aged 18-40, including Generation Z and younger Millennials, of middle to upper-middle income, gender-neutral and mainly consisting of students and young professionals with disposable income to spend on premium electronics. Thirdly, attitudinally, the segment consists of individuals whose lifestyles revolve around self-expression, social experience and environmental consciousness. Following the VALS-based consumer typology (Solomon, Marshall and Stuart, 2019), these consumers are mostly "Innovators" and "Experiencers", being early adopters, socially active and open to new, value-added products. Finally, behaviourally, this segment includes heavy users of portable audio and music streaming services, consumers actively engaging with the brands through social media, as well as willing to pay a premium for sustainable products (Nielsen, 2018; White, Habib and Hardisty, 2019).</w:t>
      </w:r>
    </w:p>
    <w:p w14:paraId="428A6BFF" w14:textId="77777777" w:rsidR="00A47037" w:rsidRPr="004C0131" w:rsidRDefault="00A47037">
      <w:pPr>
        <w:spacing w:after="200" w:line="276" w:lineRule="auto"/>
        <w:jc w:val="both"/>
        <w:rPr>
          <w:rFonts w:ascii="Arial" w:hAnsi="Arial" w:cs="Arial"/>
          <w:color w:val="000000" w:themeColor="text1"/>
          <w:sz w:val="24"/>
          <w:szCs w:val="24"/>
        </w:rPr>
      </w:pPr>
    </w:p>
    <w:p w14:paraId="2CE92435" w14:textId="03D49693" w:rsidR="003D088A" w:rsidRPr="004C0131" w:rsidRDefault="003D088A">
      <w:pPr>
        <w:spacing w:before="120" w:after="120"/>
        <w:rPr>
          <w:rFonts w:ascii="Arial" w:hAnsi="Arial" w:cs="Arial"/>
          <w:color w:val="000000" w:themeColor="text1"/>
          <w:sz w:val="24"/>
          <w:szCs w:val="24"/>
        </w:rPr>
      </w:pPr>
    </w:p>
    <w:tbl>
      <w:tblPr>
        <w:tblStyle w:val="GridTable6Colorful-Accent2"/>
        <w:tblW w:w="9752" w:type="dxa"/>
        <w:tblLook w:val="04A0" w:firstRow="1" w:lastRow="0" w:firstColumn="1" w:lastColumn="0" w:noHBand="0" w:noVBand="1"/>
      </w:tblPr>
      <w:tblGrid>
        <w:gridCol w:w="1866"/>
        <w:gridCol w:w="2540"/>
        <w:gridCol w:w="5346"/>
      </w:tblGrid>
      <w:tr w:rsidR="004C0131" w:rsidRPr="004C0131" w14:paraId="4164C2BD" w14:textId="77777777" w:rsidTr="004C0131">
        <w:trPr>
          <w:cnfStyle w:val="100000000000" w:firstRow="1" w:lastRow="0" w:firstColumn="0" w:lastColumn="0" w:oddVBand="0" w:evenVBand="0" w:oddHBand="0" w:evenHBand="0" w:firstRowFirstColumn="0" w:firstRowLastColumn="0" w:lastRowFirstColumn="0" w:lastRowLastColumn="0"/>
          <w:trHeight w:val="359"/>
        </w:trPr>
        <w:tc>
          <w:tcPr>
            <w:cnfStyle w:val="001000000000" w:firstRow="0" w:lastRow="0" w:firstColumn="1" w:lastColumn="0" w:oddVBand="0" w:evenVBand="0" w:oddHBand="0" w:evenHBand="0" w:firstRowFirstColumn="0" w:firstRowLastColumn="0" w:lastRowFirstColumn="0" w:lastRowLastColumn="0"/>
            <w:tcW w:w="1866" w:type="dxa"/>
          </w:tcPr>
          <w:p w14:paraId="071EC5D9" w14:textId="77777777" w:rsidR="003D088A" w:rsidRPr="004C0131" w:rsidRDefault="007D4237">
            <w:pPr>
              <w:rPr>
                <w:rFonts w:ascii="Arial" w:hAnsi="Arial" w:cs="Arial"/>
                <w:color w:val="000000" w:themeColor="text1"/>
                <w:sz w:val="24"/>
                <w:szCs w:val="24"/>
              </w:rPr>
            </w:pPr>
            <w:r w:rsidRPr="004C0131">
              <w:rPr>
                <w:rFonts w:ascii="Arial" w:hAnsi="Arial" w:cs="Arial"/>
                <w:color w:val="000000" w:themeColor="text1"/>
                <w:sz w:val="24"/>
                <w:szCs w:val="24"/>
              </w:rPr>
              <w:t>Basis</w:t>
            </w:r>
          </w:p>
        </w:tc>
        <w:tc>
          <w:tcPr>
            <w:tcW w:w="2540" w:type="dxa"/>
          </w:tcPr>
          <w:p w14:paraId="73AD7A08" w14:textId="77777777" w:rsidR="003D088A" w:rsidRDefault="007D4237">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rPr>
            </w:pPr>
            <w:r w:rsidRPr="004C0131">
              <w:rPr>
                <w:rFonts w:ascii="Arial" w:hAnsi="Arial" w:cs="Arial"/>
                <w:color w:val="000000" w:themeColor="text1"/>
                <w:sz w:val="24"/>
                <w:szCs w:val="24"/>
              </w:rPr>
              <w:t>Variables</w:t>
            </w:r>
          </w:p>
          <w:p w14:paraId="4298B8F9" w14:textId="612F7F56" w:rsidR="004C0131" w:rsidRPr="004C0131" w:rsidRDefault="004C0131">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c>
          <w:tcPr>
            <w:tcW w:w="5346" w:type="dxa"/>
          </w:tcPr>
          <w:p w14:paraId="77FD0990" w14:textId="77777777" w:rsidR="003D088A" w:rsidRPr="004C0131" w:rsidRDefault="007D4237">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Description</w:t>
            </w:r>
          </w:p>
        </w:tc>
      </w:tr>
      <w:tr w:rsidR="004C0131" w:rsidRPr="004C0131" w14:paraId="0DFA8F7F" w14:textId="77777777" w:rsidTr="004C0131">
        <w:trPr>
          <w:cnfStyle w:val="000000100000" w:firstRow="0" w:lastRow="0" w:firstColumn="0" w:lastColumn="0" w:oddVBand="0" w:evenVBand="0" w:oddHBand="1" w:evenHBand="0" w:firstRowFirstColumn="0" w:firstRowLastColumn="0" w:lastRowFirstColumn="0" w:lastRowLastColumn="0"/>
          <w:trHeight w:val="736"/>
        </w:trPr>
        <w:tc>
          <w:tcPr>
            <w:cnfStyle w:val="001000000000" w:firstRow="0" w:lastRow="0" w:firstColumn="1" w:lastColumn="0" w:oddVBand="0" w:evenVBand="0" w:oddHBand="0" w:evenHBand="0" w:firstRowFirstColumn="0" w:firstRowLastColumn="0" w:lastRowFirstColumn="0" w:lastRowLastColumn="0"/>
            <w:tcW w:w="1866" w:type="dxa"/>
          </w:tcPr>
          <w:p w14:paraId="518F9604" w14:textId="77777777" w:rsidR="003D088A" w:rsidRPr="004C0131" w:rsidRDefault="007D4237">
            <w:pPr>
              <w:rPr>
                <w:rFonts w:ascii="Arial" w:hAnsi="Arial" w:cs="Arial"/>
                <w:color w:val="000000" w:themeColor="text1"/>
                <w:sz w:val="24"/>
                <w:szCs w:val="24"/>
              </w:rPr>
            </w:pPr>
            <w:r w:rsidRPr="004C0131">
              <w:rPr>
                <w:rFonts w:ascii="Arial" w:hAnsi="Arial" w:cs="Arial"/>
                <w:b w:val="0"/>
                <w:bCs w:val="0"/>
                <w:color w:val="000000" w:themeColor="text1"/>
                <w:sz w:val="24"/>
                <w:szCs w:val="24"/>
              </w:rPr>
              <w:t>Geographic</w:t>
            </w:r>
          </w:p>
        </w:tc>
        <w:tc>
          <w:tcPr>
            <w:tcW w:w="2540" w:type="dxa"/>
          </w:tcPr>
          <w:p w14:paraId="0C7AEAA1" w14:textId="77777777" w:rsidR="003D088A" w:rsidRPr="004C0131" w:rsidRDefault="007D4237">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Region, urbanicity</w:t>
            </w:r>
          </w:p>
        </w:tc>
        <w:tc>
          <w:tcPr>
            <w:tcW w:w="5346" w:type="dxa"/>
          </w:tcPr>
          <w:p w14:paraId="6287C76D" w14:textId="77777777" w:rsidR="003D088A" w:rsidRPr="004C0131" w:rsidRDefault="007D4237">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Urban areas in the UK, EU, North America and metropolitan emerging markets</w:t>
            </w:r>
          </w:p>
        </w:tc>
      </w:tr>
      <w:tr w:rsidR="004C0131" w:rsidRPr="004C0131" w14:paraId="1DA1BAD3" w14:textId="77777777" w:rsidTr="004C0131">
        <w:trPr>
          <w:trHeight w:val="717"/>
        </w:trPr>
        <w:tc>
          <w:tcPr>
            <w:cnfStyle w:val="001000000000" w:firstRow="0" w:lastRow="0" w:firstColumn="1" w:lastColumn="0" w:oddVBand="0" w:evenVBand="0" w:oddHBand="0" w:evenHBand="0" w:firstRowFirstColumn="0" w:firstRowLastColumn="0" w:lastRowFirstColumn="0" w:lastRowLastColumn="0"/>
            <w:tcW w:w="1866" w:type="dxa"/>
          </w:tcPr>
          <w:p w14:paraId="605FA804" w14:textId="77777777" w:rsidR="003D088A" w:rsidRPr="004C0131" w:rsidRDefault="007D4237">
            <w:pPr>
              <w:rPr>
                <w:rFonts w:ascii="Arial" w:hAnsi="Arial" w:cs="Arial"/>
                <w:color w:val="000000" w:themeColor="text1"/>
                <w:sz w:val="24"/>
                <w:szCs w:val="24"/>
              </w:rPr>
            </w:pPr>
            <w:r w:rsidRPr="004C0131">
              <w:rPr>
                <w:rFonts w:ascii="Arial" w:hAnsi="Arial" w:cs="Arial"/>
                <w:b w:val="0"/>
                <w:bCs w:val="0"/>
                <w:color w:val="000000" w:themeColor="text1"/>
                <w:sz w:val="24"/>
                <w:szCs w:val="24"/>
              </w:rPr>
              <w:t>Demographic</w:t>
            </w:r>
          </w:p>
        </w:tc>
        <w:tc>
          <w:tcPr>
            <w:tcW w:w="2540" w:type="dxa"/>
          </w:tcPr>
          <w:p w14:paraId="50BD9A16" w14:textId="77777777" w:rsidR="003D088A" w:rsidRPr="004C0131" w:rsidRDefault="007D4237">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Age, income, occupation</w:t>
            </w:r>
          </w:p>
        </w:tc>
        <w:tc>
          <w:tcPr>
            <w:tcW w:w="5346" w:type="dxa"/>
          </w:tcPr>
          <w:p w14:paraId="14CD28C5" w14:textId="77777777" w:rsidR="003D088A" w:rsidRPr="004C0131" w:rsidRDefault="007D4237">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18-40 years, middle/upper-middle income, students and young professionals</w:t>
            </w:r>
          </w:p>
        </w:tc>
      </w:tr>
      <w:tr w:rsidR="004C0131" w:rsidRPr="004C0131" w14:paraId="6EC8820D" w14:textId="77777777" w:rsidTr="004C0131">
        <w:trPr>
          <w:cnfStyle w:val="000000100000" w:firstRow="0" w:lastRow="0" w:firstColumn="0" w:lastColumn="0" w:oddVBand="0" w:evenVBand="0" w:oddHBand="1" w:evenHBand="0" w:firstRowFirstColumn="0" w:firstRowLastColumn="0" w:lastRowFirstColumn="0" w:lastRowLastColumn="0"/>
          <w:trHeight w:val="1095"/>
        </w:trPr>
        <w:tc>
          <w:tcPr>
            <w:cnfStyle w:val="001000000000" w:firstRow="0" w:lastRow="0" w:firstColumn="1" w:lastColumn="0" w:oddVBand="0" w:evenVBand="0" w:oddHBand="0" w:evenHBand="0" w:firstRowFirstColumn="0" w:firstRowLastColumn="0" w:lastRowFirstColumn="0" w:lastRowLastColumn="0"/>
            <w:tcW w:w="1866" w:type="dxa"/>
          </w:tcPr>
          <w:p w14:paraId="6088FF66" w14:textId="77777777" w:rsidR="003D088A" w:rsidRPr="004C0131" w:rsidRDefault="007D4237">
            <w:pPr>
              <w:rPr>
                <w:rFonts w:ascii="Arial" w:hAnsi="Arial" w:cs="Arial"/>
                <w:color w:val="000000" w:themeColor="text1"/>
                <w:sz w:val="24"/>
                <w:szCs w:val="24"/>
              </w:rPr>
            </w:pPr>
            <w:r w:rsidRPr="004C0131">
              <w:rPr>
                <w:rFonts w:ascii="Arial" w:hAnsi="Arial" w:cs="Arial"/>
                <w:b w:val="0"/>
                <w:bCs w:val="0"/>
                <w:color w:val="000000" w:themeColor="text1"/>
                <w:sz w:val="24"/>
                <w:szCs w:val="24"/>
              </w:rPr>
              <w:t>Psychographic</w:t>
            </w:r>
          </w:p>
        </w:tc>
        <w:tc>
          <w:tcPr>
            <w:tcW w:w="2540" w:type="dxa"/>
          </w:tcPr>
          <w:p w14:paraId="02BAE897" w14:textId="77777777" w:rsidR="003D088A" w:rsidRPr="004C0131" w:rsidRDefault="007D4237">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Lifestyle, values, personality</w:t>
            </w:r>
          </w:p>
        </w:tc>
        <w:tc>
          <w:tcPr>
            <w:tcW w:w="5346" w:type="dxa"/>
          </w:tcPr>
          <w:p w14:paraId="577997FC" w14:textId="77777777" w:rsidR="003D088A" w:rsidRPr="004C0131" w:rsidRDefault="007D4237">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Environmentally conscious, experience-seeking, socially engaged 'Innovators/Experiencers'</w:t>
            </w:r>
          </w:p>
        </w:tc>
      </w:tr>
      <w:tr w:rsidR="004C0131" w:rsidRPr="004C0131" w14:paraId="686BF527" w14:textId="77777777" w:rsidTr="004C0131">
        <w:trPr>
          <w:trHeight w:val="717"/>
        </w:trPr>
        <w:tc>
          <w:tcPr>
            <w:cnfStyle w:val="001000000000" w:firstRow="0" w:lastRow="0" w:firstColumn="1" w:lastColumn="0" w:oddVBand="0" w:evenVBand="0" w:oddHBand="0" w:evenHBand="0" w:firstRowFirstColumn="0" w:firstRowLastColumn="0" w:lastRowFirstColumn="0" w:lastRowLastColumn="0"/>
            <w:tcW w:w="1866" w:type="dxa"/>
          </w:tcPr>
          <w:p w14:paraId="1D3225F6" w14:textId="77777777" w:rsidR="003D088A" w:rsidRPr="004C0131" w:rsidRDefault="007D4237">
            <w:pPr>
              <w:rPr>
                <w:rFonts w:ascii="Arial" w:hAnsi="Arial" w:cs="Arial"/>
                <w:color w:val="000000" w:themeColor="text1"/>
                <w:sz w:val="24"/>
                <w:szCs w:val="24"/>
              </w:rPr>
            </w:pPr>
            <w:r w:rsidRPr="004C0131">
              <w:rPr>
                <w:rFonts w:ascii="Arial" w:hAnsi="Arial" w:cs="Arial"/>
                <w:b w:val="0"/>
                <w:bCs w:val="0"/>
                <w:color w:val="000000" w:themeColor="text1"/>
                <w:sz w:val="24"/>
                <w:szCs w:val="24"/>
              </w:rPr>
              <w:t>Behavioural</w:t>
            </w:r>
          </w:p>
        </w:tc>
        <w:tc>
          <w:tcPr>
            <w:tcW w:w="2540" w:type="dxa"/>
          </w:tcPr>
          <w:p w14:paraId="27E6FDF3" w14:textId="77777777" w:rsidR="003D088A" w:rsidRPr="004C0131" w:rsidRDefault="007D4237">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Usage rate, loyalty, attitude</w:t>
            </w:r>
          </w:p>
        </w:tc>
        <w:tc>
          <w:tcPr>
            <w:tcW w:w="5346" w:type="dxa"/>
          </w:tcPr>
          <w:p w14:paraId="63A913DD" w14:textId="77777777" w:rsidR="003D088A" w:rsidRPr="004C0131" w:rsidRDefault="007D4237">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Heavy portable-audio users, premium-willing, digitally engaged, values-driven purchasing</w:t>
            </w:r>
          </w:p>
        </w:tc>
      </w:tr>
    </w:tbl>
    <w:p w14:paraId="31F440E4" w14:textId="77777777" w:rsidR="00A47037" w:rsidRPr="004C0131" w:rsidRDefault="00A47037" w:rsidP="00A47037">
      <w:pPr>
        <w:spacing w:before="120" w:after="120"/>
        <w:rPr>
          <w:rFonts w:ascii="Arial" w:hAnsi="Arial" w:cs="Arial"/>
          <w:color w:val="000000" w:themeColor="text1"/>
          <w:sz w:val="24"/>
          <w:szCs w:val="24"/>
        </w:rPr>
      </w:pPr>
      <w:r w:rsidRPr="004C0131">
        <w:rPr>
          <w:rFonts w:ascii="Arial" w:hAnsi="Arial" w:cs="Arial"/>
          <w:color w:val="000000" w:themeColor="text1"/>
          <w:sz w:val="24"/>
          <w:szCs w:val="24"/>
        </w:rPr>
        <w:t>Table 1: Segmentation variables for JBL Regenerate (adapted from Kotler and Keller, 2016)</w:t>
      </w:r>
    </w:p>
    <w:p w14:paraId="10A8BA47" w14:textId="77777777" w:rsidR="003D088A" w:rsidRPr="004C0131" w:rsidRDefault="003D088A">
      <w:pPr>
        <w:spacing w:after="200"/>
        <w:rPr>
          <w:rFonts w:ascii="Arial" w:hAnsi="Arial" w:cs="Arial"/>
          <w:color w:val="000000" w:themeColor="text1"/>
          <w:sz w:val="24"/>
          <w:szCs w:val="24"/>
        </w:rPr>
      </w:pPr>
    </w:p>
    <w:p w14:paraId="33FEF8DB"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Targeting</w:t>
      </w:r>
    </w:p>
    <w:p w14:paraId="579DB2D6"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Based on the analysis of the segment against Wind's (1978) criteria of measurability, accessibility, substantiality and actionability, JBL applies concentrated targeting (Kotler and Keller, 2016), directing marketing efforts on the segment of "eco-conscious urban Millennials and Generation Z music enthusiasts". It is significant and growing: the share of purchase intent related to sustainability among younger consumers was found to be significantly higher than among the older group (Nielsen, 2018), while the target group already constitutes a significant portion of JBL's customer base. A concentrated, rather than differentiated approach is chosen because it helps allocate marketing resources, messages and retail partnerships around one value proposition and follow the niche strategy for a first-generation sustainable product extension (Belz and Peattie, 2012).</w:t>
      </w:r>
    </w:p>
    <w:p w14:paraId="57E2AE4E"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Differentiation</w:t>
      </w:r>
    </w:p>
    <w:p w14:paraId="2E45DC20"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 xml:space="preserve">The design of differentiation involves developing a series of differences to differentiate the offer from those of its rivals (Porter, 1985; Kotler and Keller, 2016). JBL Regenerate uses product, service and image differentiation. Product differentiation is gained using certified recycled ocean-bound plastics and post-consumer waste in production, as well as JBL's legacy in sound engineering expertise not yet duplicated by main competitors like Bose, Sony and Marshall with their sustainability practices being less substantial or piecemeal. Service differentiation is achieved via a closed-loop take-back and recycle incentives programme, increasing switching costs and building relationships with customers throughout the product life cycle. Image differentiation is developed by using Aaker's (1991) brand equity model, adding JBL's existing performance and reliability </w:t>
      </w:r>
      <w:r>
        <w:rPr>
          <w:rFonts w:ascii="Arial" w:hAnsi="Arial"/>
          <w:color w:val="000000"/>
          <w:sz w:val="24"/>
        </w:rPr>
        <w:lastRenderedPageBreak/>
        <w:t>associations with its strengthened brand personality of being "adventurous, responsible and connected", thereby supporting the perception of the brand extension adding value as opposed to price competition. Such a combination makes it less likely for the extension to be seen as opportunistic "greenwashing" (Peattie and Crane, 2005), since its sustainability claims are backed by tangible material source and genuine circular-economy mechanism rather than mere promotions alone.</w:t>
      </w:r>
    </w:p>
    <w:p w14:paraId="491A7FC8"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Positioning</w:t>
      </w:r>
    </w:p>
    <w:p w14:paraId="18A4F26D"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Positioning is about designing an offering to occupy a distinct place in the minds of the target consumer relative to its rivals' offers (Ries and Trout, 2001; Kotler and Keller, 2016). The suggested positioning statement is as follows: "For eco-conscious young adults who refuse to settle for anything but the best sound quality, JBL Regenerate is the range of portable speakers and headphones made of recycled ocean plastics with the iconic JBL sound delivered in an environmentally-friendly way". Such positioning can be demonstrated in a two-dimensional perceptual map with "sound performance" being one axis and "sustainability credentials" another one (see Table 2). Established brands like Bose and Sony usually have a high-performance but low sustainability communication positioning, whereas dedicated ethical brands like House of Marley have a high sustainability but low mainstream performance positioning. JBL Regenerate is designed to occupy the currently under-occupied niche of high-performance and high-sustainability positioning, relying on the credibility of the parent brand. This is in line with the findings of Aaker and Keller (1990) stating that the success of brand extension largely depends on the fit of the parent brand with the extension category and associations of the parent brand; JBL's core association with audio engineering expertise makes a "sustainable sound" positioning credible rather than otherwise.</w:t>
      </w:r>
    </w:p>
    <w:p w14:paraId="0AF5001D" w14:textId="2AADF84D" w:rsidR="003D088A" w:rsidRPr="004C0131" w:rsidRDefault="003D088A">
      <w:pPr>
        <w:spacing w:before="120" w:after="120"/>
        <w:rPr>
          <w:rFonts w:ascii="Arial" w:hAnsi="Arial" w:cs="Arial"/>
          <w:color w:val="000000" w:themeColor="text1"/>
          <w:sz w:val="24"/>
          <w:szCs w:val="24"/>
        </w:rPr>
      </w:pPr>
    </w:p>
    <w:tbl>
      <w:tblPr>
        <w:tblStyle w:val="GridTable4-Accent3"/>
        <w:tblW w:w="9670" w:type="dxa"/>
        <w:tblLook w:val="04A0" w:firstRow="1" w:lastRow="0" w:firstColumn="1" w:lastColumn="0" w:noHBand="0" w:noVBand="1"/>
      </w:tblPr>
      <w:tblGrid>
        <w:gridCol w:w="2438"/>
        <w:gridCol w:w="3616"/>
        <w:gridCol w:w="3616"/>
      </w:tblGrid>
      <w:tr w:rsidR="004C0131" w:rsidRPr="004C0131" w14:paraId="5550A85C" w14:textId="77777777" w:rsidTr="004C0131">
        <w:trPr>
          <w:cnfStyle w:val="100000000000" w:firstRow="1" w:lastRow="0" w:firstColumn="0" w:lastColumn="0" w:oddVBand="0" w:evenVBand="0" w:oddHBand="0"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2438" w:type="dxa"/>
          </w:tcPr>
          <w:p w14:paraId="74121B12" w14:textId="77777777" w:rsidR="003D088A" w:rsidRPr="004C0131" w:rsidRDefault="003D088A">
            <w:pPr>
              <w:rPr>
                <w:rFonts w:ascii="Arial" w:hAnsi="Arial" w:cs="Arial"/>
                <w:color w:val="000000" w:themeColor="text1"/>
                <w:sz w:val="24"/>
                <w:szCs w:val="24"/>
              </w:rPr>
            </w:pPr>
          </w:p>
        </w:tc>
        <w:tc>
          <w:tcPr>
            <w:tcW w:w="3616" w:type="dxa"/>
          </w:tcPr>
          <w:p w14:paraId="75A566C4" w14:textId="77777777" w:rsidR="003D088A" w:rsidRPr="004C0131" w:rsidRDefault="007D4237">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Low sustainability credentials</w:t>
            </w:r>
          </w:p>
        </w:tc>
        <w:tc>
          <w:tcPr>
            <w:tcW w:w="3616" w:type="dxa"/>
          </w:tcPr>
          <w:p w14:paraId="65645653" w14:textId="77777777" w:rsidR="003D088A" w:rsidRPr="004C0131" w:rsidRDefault="007D4237">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High sustainability credentials</w:t>
            </w:r>
          </w:p>
        </w:tc>
      </w:tr>
      <w:tr w:rsidR="004C0131" w:rsidRPr="004C0131" w14:paraId="2BF5F679" w14:textId="77777777" w:rsidTr="004C0131">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2438" w:type="dxa"/>
          </w:tcPr>
          <w:p w14:paraId="1257B514" w14:textId="77777777" w:rsidR="003D088A" w:rsidRPr="004C0131" w:rsidRDefault="007D4237">
            <w:pPr>
              <w:rPr>
                <w:rFonts w:ascii="Arial" w:hAnsi="Arial" w:cs="Arial"/>
                <w:color w:val="000000" w:themeColor="text1"/>
                <w:sz w:val="24"/>
                <w:szCs w:val="24"/>
              </w:rPr>
            </w:pPr>
            <w:r w:rsidRPr="004C0131">
              <w:rPr>
                <w:rFonts w:ascii="Arial" w:hAnsi="Arial" w:cs="Arial"/>
                <w:b w:val="0"/>
                <w:bCs w:val="0"/>
                <w:color w:val="000000" w:themeColor="text1"/>
                <w:sz w:val="24"/>
                <w:szCs w:val="24"/>
              </w:rPr>
              <w:t>High sound performance</w:t>
            </w:r>
          </w:p>
        </w:tc>
        <w:tc>
          <w:tcPr>
            <w:tcW w:w="3616" w:type="dxa"/>
          </w:tcPr>
          <w:p w14:paraId="49CA8A12" w14:textId="77777777" w:rsidR="003D088A" w:rsidRPr="004C0131" w:rsidRDefault="007D4237">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Bose, Sony (established leaders)</w:t>
            </w:r>
          </w:p>
        </w:tc>
        <w:tc>
          <w:tcPr>
            <w:tcW w:w="3616" w:type="dxa"/>
          </w:tcPr>
          <w:p w14:paraId="7A1FAB27" w14:textId="77777777" w:rsidR="003D088A" w:rsidRPr="004C0131" w:rsidRDefault="007D4237">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JBL Regenerate (target position)</w:t>
            </w:r>
          </w:p>
        </w:tc>
      </w:tr>
      <w:tr w:rsidR="004C0131" w:rsidRPr="004C0131" w14:paraId="31CCB408" w14:textId="77777777" w:rsidTr="004C0131">
        <w:trPr>
          <w:trHeight w:val="753"/>
        </w:trPr>
        <w:tc>
          <w:tcPr>
            <w:cnfStyle w:val="001000000000" w:firstRow="0" w:lastRow="0" w:firstColumn="1" w:lastColumn="0" w:oddVBand="0" w:evenVBand="0" w:oddHBand="0" w:evenHBand="0" w:firstRowFirstColumn="0" w:firstRowLastColumn="0" w:lastRowFirstColumn="0" w:lastRowLastColumn="0"/>
            <w:tcW w:w="2438" w:type="dxa"/>
          </w:tcPr>
          <w:p w14:paraId="15FD4AD0" w14:textId="77777777" w:rsidR="003D088A" w:rsidRPr="004C0131" w:rsidRDefault="007D4237">
            <w:pPr>
              <w:rPr>
                <w:rFonts w:ascii="Arial" w:hAnsi="Arial" w:cs="Arial"/>
                <w:color w:val="000000" w:themeColor="text1"/>
                <w:sz w:val="24"/>
                <w:szCs w:val="24"/>
              </w:rPr>
            </w:pPr>
            <w:r w:rsidRPr="004C0131">
              <w:rPr>
                <w:rFonts w:ascii="Arial" w:hAnsi="Arial" w:cs="Arial"/>
                <w:b w:val="0"/>
                <w:bCs w:val="0"/>
                <w:color w:val="000000" w:themeColor="text1"/>
                <w:sz w:val="24"/>
                <w:szCs w:val="24"/>
              </w:rPr>
              <w:t>Low sound performance</w:t>
            </w:r>
          </w:p>
        </w:tc>
        <w:tc>
          <w:tcPr>
            <w:tcW w:w="3616" w:type="dxa"/>
          </w:tcPr>
          <w:p w14:paraId="312BD2A6" w14:textId="77777777" w:rsidR="003D088A" w:rsidRPr="004C0131" w:rsidRDefault="007D4237">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Generic/budget speakers</w:t>
            </w:r>
          </w:p>
        </w:tc>
        <w:tc>
          <w:tcPr>
            <w:tcW w:w="3616" w:type="dxa"/>
          </w:tcPr>
          <w:p w14:paraId="793CEFE9" w14:textId="77777777" w:rsidR="003D088A" w:rsidRPr="004C0131" w:rsidRDefault="007D4237">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4C0131">
              <w:rPr>
                <w:rFonts w:ascii="Arial" w:hAnsi="Arial" w:cs="Arial"/>
                <w:color w:val="000000" w:themeColor="text1"/>
                <w:sz w:val="24"/>
                <w:szCs w:val="24"/>
              </w:rPr>
              <w:t>House of Marley (ethical niche brands)</w:t>
            </w:r>
          </w:p>
        </w:tc>
      </w:tr>
    </w:tbl>
    <w:p w14:paraId="15237073" w14:textId="3F2ACCBF" w:rsidR="003D088A" w:rsidRDefault="00A47037" w:rsidP="004C0131">
      <w:pPr>
        <w:spacing w:before="120" w:after="120"/>
        <w:rPr>
          <w:rFonts w:ascii="Arial" w:hAnsi="Arial" w:cs="Arial"/>
          <w:color w:val="000000" w:themeColor="text1"/>
          <w:sz w:val="24"/>
          <w:szCs w:val="24"/>
        </w:rPr>
      </w:pPr>
      <w:r>
        <w:rPr>
          <w:rFonts w:ascii="Arial" w:hAnsi="Arial"/>
          <w:color w:val="000000"/>
          <w:sz w:val="24"/>
        </w:rPr>
        <w:t>Table 2: Simplified perceptual positioning map – sound performance vs sustainability credentials</w:t>
      </w:r>
    </w:p>
    <w:p w14:paraId="67FD7EAC" w14:textId="6D44B6A2" w:rsidR="004C0131" w:rsidRDefault="004C0131" w:rsidP="004C0131">
      <w:pPr>
        <w:spacing w:before="120" w:after="120"/>
        <w:rPr>
          <w:rFonts w:ascii="Arial" w:hAnsi="Arial" w:cs="Arial"/>
          <w:color w:val="000000" w:themeColor="text1"/>
          <w:sz w:val="24"/>
          <w:szCs w:val="24"/>
        </w:rPr>
      </w:pPr>
    </w:p>
    <w:p w14:paraId="001F55D9" w14:textId="4D2D1603" w:rsidR="00981B6F" w:rsidRDefault="00981B6F" w:rsidP="004C0131">
      <w:pPr>
        <w:spacing w:before="120" w:after="120"/>
        <w:rPr>
          <w:rFonts w:ascii="Arial" w:hAnsi="Arial" w:cs="Arial"/>
          <w:color w:val="000000" w:themeColor="text1"/>
          <w:sz w:val="24"/>
          <w:szCs w:val="24"/>
        </w:rPr>
      </w:pPr>
    </w:p>
    <w:p w14:paraId="55B24310" w14:textId="77777777" w:rsidR="00981B6F" w:rsidRPr="004C0131" w:rsidRDefault="00981B6F" w:rsidP="004C0131">
      <w:pPr>
        <w:spacing w:before="120" w:after="120"/>
        <w:rPr>
          <w:rFonts w:ascii="Arial" w:hAnsi="Arial" w:cs="Arial"/>
          <w:color w:val="000000" w:themeColor="text1"/>
          <w:sz w:val="24"/>
          <w:szCs w:val="24"/>
        </w:rPr>
      </w:pPr>
    </w:p>
    <w:p w14:paraId="394C6E47" w14:textId="26DB6D11" w:rsidR="003D088A" w:rsidRPr="004C0131" w:rsidRDefault="007D4237" w:rsidP="00A47037">
      <w:pPr>
        <w:rPr>
          <w:rFonts w:ascii="Arial" w:hAnsi="Arial" w:cs="Arial"/>
          <w:b/>
          <w:bCs/>
          <w:color w:val="000000" w:themeColor="text1"/>
          <w:sz w:val="24"/>
          <w:szCs w:val="24"/>
        </w:rPr>
      </w:pPr>
      <w:r w:rsidRPr="004C0131">
        <w:rPr>
          <w:rFonts w:ascii="Arial" w:hAnsi="Arial" w:cs="Arial"/>
          <w:b/>
          <w:bCs/>
          <w:color w:val="000000" w:themeColor="text1"/>
          <w:sz w:val="24"/>
          <w:szCs w:val="24"/>
        </w:rPr>
        <w:lastRenderedPageBreak/>
        <w:t>Element 3: Marketing Mix (7Ps)</w:t>
      </w:r>
    </w:p>
    <w:p w14:paraId="4AF3F2F3" w14:textId="77777777" w:rsidR="004C0131" w:rsidRPr="004C0131" w:rsidRDefault="004C0131" w:rsidP="00A47037">
      <w:pPr>
        <w:rPr>
          <w:rFonts w:ascii="Arial" w:hAnsi="Arial" w:cs="Arial"/>
          <w:color w:val="000000" w:themeColor="text1"/>
          <w:sz w:val="24"/>
          <w:szCs w:val="24"/>
        </w:rPr>
      </w:pPr>
    </w:p>
    <w:p w14:paraId="442F6685"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The marketing mix turns the STDP strategy into a set of tactical decisions (Booms and Bitner, 1981; Kotler and Keller, 2016). Since JBL Regenerate is a combination of a physical product and services such as take-back and retail experience, the extended 7P framework is used rather than the classic 4P approach, consistent with modern services marketing practice (Booms and Bitner, 1981; Solomon, Marshall and Stuart, 2019). Each element below corresponds with the segmentation, targeting, differentiation and positioning discussed in Element 2.</w:t>
      </w:r>
    </w:p>
    <w:p w14:paraId="697CD627"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Product</w:t>
      </w:r>
    </w:p>
    <w:p w14:paraId="75308E33"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The core product is a range of portable Bluetooth speakers and headphones constructed using no less than 90% certified recycled ocean-bound plastics with modular, repairable construction and recyclable packaging. Such design is consistent with Kapferer's (2012) view that brand extensions should be anchored by the parent brand's core competence; JBL's audio engineering competence is retained in using the same driver technology and sound-tuning standards, whereas the augmented product layer includes sustainability certification, promise of lifetime firmware support and a mobile app carbon footprint calculator. This augmented offering helps achieve differentiation by converting the abstract ethical claim into a tangible and verifiable product feature (Aaker, 1991), thus addressing the psychographic profile of the target segment. The product line will include entry-level and premium tiers in order to ensure that the sustainable product range is accessible across all segments of income levels of the target segment while retaining the premium anchor product demonstrating all sustainability and performance characteristics of the extension.</w:t>
      </w:r>
    </w:p>
    <w:p w14:paraId="62CC3A47"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Price</w:t>
      </w:r>
    </w:p>
    <w:p w14:paraId="4FE4AA75"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A premium pricing strategy is recommended, placing JBL Regenerate slightly above the regular equivalent range of JBL products (10-15% more expensive), but at the same level as, or just below, premium sustainable alternatives. Research suggests that many young people would be willing to pay a premium for a genuinely sustainable product, provided the value of sustainability is believable (Nielsen, 2018; White, Habib and Hardisty, 2019). Value-based pricing (Kotler and Keller, 2016) reflects willingness to pay for both high-performance and sustainability assurance, while still leaving the product affordable enough to make sure the core target market is not priced out of consideration, thus helping position the product as "premium, but accessible" sustainability as opposed to luxury products.</w:t>
      </w:r>
    </w:p>
    <w:p w14:paraId="126C1D3A"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Place</w:t>
      </w:r>
    </w:p>
    <w:p w14:paraId="58AA01ED"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 xml:space="preserve">Distribution includes JBL's current global network of retail stores (electronics retailers, department stores, and online sales including JBL's own website for direct-to-consumer </w:t>
      </w:r>
      <w:r>
        <w:rPr>
          <w:rFonts w:ascii="Arial" w:hAnsi="Arial"/>
          <w:color w:val="000000"/>
          <w:sz w:val="24"/>
        </w:rPr>
        <w:lastRenderedPageBreak/>
        <w:t>sales), as well as exclusive placement with specialty stores of sustainable lifestyle brands, as well as pop-up stores during festivals and other outdoor events. Online sales to individual customers are prioritized as they allow for the carbon-tracker experience in the app, the collection of behavioural data, and the management of the take-back process, which are crucial elements of differentiation. The exclusivity element of specialty retailers helps create an "eco-credible" image of the product, while keeping mass electronics retailers for mass-market accessibility and volume sales, thus making sense of the hybrid distribution strategy in view of the fact that JBL Regenerate is a brand extension with both mainstream and niche positioning (Kotler and Keller, 2016).</w:t>
      </w:r>
    </w:p>
    <w:p w14:paraId="0D18C25C"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Promotion</w:t>
      </w:r>
    </w:p>
    <w:p w14:paraId="09E4EE0F" w14:textId="690996C6"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The promotion strategy should consist of authentic storytelling to avoid the greenwashing problem identified by Peattie and Crane (2005). Integrated marketing communications include social media content (especially Instagram and Tik-Tok, which the target group frequently uses), partnerships with influencers and artists at music festivals, and PR communications about sustainable outcome metrics, such as tons of ocean plastic avoided. User-generated content, where customers record the "material journey" of their product from the garbage in the ocean to the finished speaker, creates the engagement typical for the Experiencer/Innovator psychographic profile (Solomon, Marshall and Stuart, 2019). Tie-ins with recognized charity organizations focused on ocean conservation also help substantiate the credibility of claims, which helps address the skepticism of consumers towards environmental marketing (Ottman, 2011). It is recommended that a phased communications strategy is used, starting with awareness communication focused on the "material journey," then consideration phase communication about sound quality using influencer demos to dispel concerns about performance, and loyalty phase promotion of the take-back program for the existing customers, following the classic Hierarchy-of-Effects model of consumer response (Kotler and Keller, 2016).</w:t>
      </w:r>
    </w:p>
    <w:p w14:paraId="2E8D767D"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People</w:t>
      </w:r>
    </w:p>
    <w:p w14:paraId="0407665E" w14:textId="220BB1E2" w:rsidR="003D088A" w:rsidRDefault="007D4237">
      <w:pPr>
        <w:spacing w:after="200" w:line="276" w:lineRule="auto"/>
        <w:jc w:val="both"/>
        <w:rPr>
          <w:rFonts w:ascii="Arial" w:hAnsi="Arial"/>
          <w:color w:val="000000"/>
          <w:sz w:val="24"/>
        </w:rPr>
      </w:pPr>
      <w:r>
        <w:rPr>
          <w:rFonts w:ascii="Arial" w:hAnsi="Arial"/>
          <w:color w:val="000000"/>
          <w:sz w:val="24"/>
        </w:rPr>
        <w:t>Employees and retail partners are crucial in delivering the brand promise. JBL's frontline retail and customer service employees need to get training on the sustainability story of the product and the take-back process in order to provide consistent and credible information, which is a necessity due to skepticism among consumers about unverified green marketing (Peattie and Crane, 2005). Internally, the cooperation of the product design, logistics, and marketing departments of JBL is needed to ensure the consistency between the marketing claims and the realities of the operation, supporting the internal marketing approach of services marketing (Booms and Bitner, 1981).</w:t>
      </w:r>
    </w:p>
    <w:p w14:paraId="35B3E6E5" w14:textId="3AA6FB00" w:rsidR="00981B6F" w:rsidRDefault="00981B6F">
      <w:pPr>
        <w:spacing w:after="200" w:line="276" w:lineRule="auto"/>
        <w:jc w:val="both"/>
        <w:rPr>
          <w:rFonts w:ascii="Arial" w:hAnsi="Arial"/>
          <w:color w:val="000000"/>
          <w:sz w:val="24"/>
        </w:rPr>
      </w:pPr>
    </w:p>
    <w:p w14:paraId="32F7F37C" w14:textId="77777777" w:rsidR="00981B6F" w:rsidRPr="004C0131" w:rsidRDefault="00981B6F">
      <w:pPr>
        <w:spacing w:after="200" w:line="276" w:lineRule="auto"/>
        <w:jc w:val="both"/>
        <w:rPr>
          <w:rFonts w:ascii="Arial" w:hAnsi="Arial" w:cs="Arial"/>
          <w:color w:val="000000" w:themeColor="text1"/>
          <w:sz w:val="24"/>
          <w:szCs w:val="24"/>
        </w:rPr>
      </w:pPr>
    </w:p>
    <w:p w14:paraId="2AEEC62B"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Process</w:t>
      </w:r>
    </w:p>
    <w:p w14:paraId="253524EF"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Process means the system through which the service aspects of the offer are delivered (Booms and Bitner, 1981). In case of JBL Regenerate, the process is the take-back scheme: the customer registers the product, returns it once it has reached end-of-life either by returning it for free post or in store, receives a loyalty discount on his next purchase, and the returned product is tracked through the material recovery process. It is crucial to have a simple process of registration and tracking in the app to facilitate participation and generate verifiable sustainability data for marketing communications. Efficient after-sales processes, including a prompt repair service to prolong the life cycle of the product, minimize environmental footprint and support the sustainability positioning.</w:t>
      </w:r>
    </w:p>
    <w:p w14:paraId="02D698FA" w14:textId="77777777" w:rsidR="003D088A" w:rsidRPr="004C0131" w:rsidRDefault="007D4237">
      <w:pPr>
        <w:pStyle w:val="Heading2"/>
        <w:rPr>
          <w:rFonts w:ascii="Arial" w:hAnsi="Arial" w:cs="Arial"/>
          <w:color w:val="000000" w:themeColor="text1"/>
        </w:rPr>
      </w:pPr>
      <w:r w:rsidRPr="004C0131">
        <w:rPr>
          <w:rFonts w:ascii="Arial" w:hAnsi="Arial" w:cs="Arial"/>
          <w:color w:val="000000" w:themeColor="text1"/>
        </w:rPr>
        <w:t>Physical Evidence</w:t>
      </w:r>
    </w:p>
    <w:p w14:paraId="7DB7727A"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Tangible evidence serves as tangible signs that can lessen the intangibility of the sustainability claims (Booms and Bitner, 1981). For instance, unique packaging of the product, which utilizes minimum amount of recycled materials that are environmentally friendly, certified labels for recycled material content, "ocean plastic to soundwave" story in the form of display elements in stores, and an unboxing experience. These tangible signs play an important role since the sustainability is a credence attribute which the customer cannot validate at the moment of purchase (Belz and Peattie, 2012).</w:t>
      </w:r>
    </w:p>
    <w:p w14:paraId="01AFB35A"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Together, the seven aspects of the marketing mix are meant to complement each other, implementing the differentiation and positioning strategy from Element 2, such that the sustainability claims made about JBL Regenerate will be backed by relevant product characteristics, realistic pricing, proper distribution, appropriate promotion, qualified personnel, effective process and physical proof, and not just a stand-alone marketing effort.</w:t>
      </w:r>
    </w:p>
    <w:p w14:paraId="6189015D" w14:textId="77777777" w:rsidR="00A47037" w:rsidRPr="004C0131" w:rsidRDefault="00A47037" w:rsidP="00A47037">
      <w:pPr>
        <w:rPr>
          <w:rFonts w:ascii="Arial" w:hAnsi="Arial" w:cs="Arial"/>
          <w:color w:val="000000" w:themeColor="text1"/>
          <w:sz w:val="24"/>
          <w:szCs w:val="24"/>
        </w:rPr>
      </w:pPr>
    </w:p>
    <w:p w14:paraId="6755162C" w14:textId="77777777" w:rsidR="00A47037" w:rsidRPr="004C0131" w:rsidRDefault="00A47037" w:rsidP="00A47037">
      <w:pPr>
        <w:rPr>
          <w:rFonts w:ascii="Arial" w:hAnsi="Arial" w:cs="Arial"/>
          <w:color w:val="000000" w:themeColor="text1"/>
          <w:sz w:val="24"/>
          <w:szCs w:val="24"/>
        </w:rPr>
      </w:pPr>
    </w:p>
    <w:p w14:paraId="71E878BD" w14:textId="77777777" w:rsidR="004C0131" w:rsidRDefault="004C0131" w:rsidP="00A47037">
      <w:pPr>
        <w:rPr>
          <w:rFonts w:ascii="Arial" w:hAnsi="Arial" w:cs="Arial"/>
          <w:b/>
          <w:bCs/>
          <w:color w:val="000000" w:themeColor="text1"/>
          <w:sz w:val="24"/>
          <w:szCs w:val="24"/>
        </w:rPr>
      </w:pPr>
    </w:p>
    <w:p w14:paraId="2EE34701" w14:textId="77777777" w:rsidR="004C0131" w:rsidRDefault="004C0131" w:rsidP="00A47037">
      <w:pPr>
        <w:rPr>
          <w:rFonts w:ascii="Arial" w:hAnsi="Arial" w:cs="Arial"/>
          <w:b/>
          <w:bCs/>
          <w:color w:val="000000" w:themeColor="text1"/>
          <w:sz w:val="24"/>
          <w:szCs w:val="24"/>
        </w:rPr>
      </w:pPr>
    </w:p>
    <w:p w14:paraId="6D950AA2" w14:textId="77777777" w:rsidR="004C0131" w:rsidRDefault="004C0131" w:rsidP="00A47037">
      <w:pPr>
        <w:rPr>
          <w:rFonts w:ascii="Arial" w:hAnsi="Arial" w:cs="Arial"/>
          <w:b/>
          <w:bCs/>
          <w:color w:val="000000" w:themeColor="text1"/>
          <w:sz w:val="24"/>
          <w:szCs w:val="24"/>
        </w:rPr>
      </w:pPr>
    </w:p>
    <w:p w14:paraId="090EC9E3" w14:textId="77777777" w:rsidR="004C0131" w:rsidRDefault="004C0131" w:rsidP="00A47037">
      <w:pPr>
        <w:rPr>
          <w:rFonts w:ascii="Arial" w:hAnsi="Arial" w:cs="Arial"/>
          <w:b/>
          <w:bCs/>
          <w:color w:val="000000" w:themeColor="text1"/>
          <w:sz w:val="24"/>
          <w:szCs w:val="24"/>
        </w:rPr>
      </w:pPr>
    </w:p>
    <w:p w14:paraId="69A48C17" w14:textId="77777777" w:rsidR="004C0131" w:rsidRDefault="004C0131" w:rsidP="00A47037">
      <w:pPr>
        <w:rPr>
          <w:rFonts w:ascii="Arial" w:hAnsi="Arial" w:cs="Arial"/>
          <w:b/>
          <w:bCs/>
          <w:color w:val="000000" w:themeColor="text1"/>
          <w:sz w:val="24"/>
          <w:szCs w:val="24"/>
        </w:rPr>
      </w:pPr>
    </w:p>
    <w:p w14:paraId="3F3FDC08" w14:textId="77777777" w:rsidR="004C0131" w:rsidRDefault="004C0131" w:rsidP="00A47037">
      <w:pPr>
        <w:rPr>
          <w:rFonts w:ascii="Arial" w:hAnsi="Arial" w:cs="Arial"/>
          <w:b/>
          <w:bCs/>
          <w:color w:val="000000" w:themeColor="text1"/>
          <w:sz w:val="24"/>
          <w:szCs w:val="24"/>
        </w:rPr>
      </w:pPr>
    </w:p>
    <w:p w14:paraId="76FD702B" w14:textId="77777777" w:rsidR="004C0131" w:rsidRDefault="004C0131" w:rsidP="00A47037">
      <w:pPr>
        <w:rPr>
          <w:rFonts w:ascii="Arial" w:hAnsi="Arial" w:cs="Arial"/>
          <w:b/>
          <w:bCs/>
          <w:color w:val="000000" w:themeColor="text1"/>
          <w:sz w:val="24"/>
          <w:szCs w:val="24"/>
        </w:rPr>
      </w:pPr>
    </w:p>
    <w:p w14:paraId="6C171453" w14:textId="77777777" w:rsidR="004C0131" w:rsidRDefault="004C0131" w:rsidP="00A47037">
      <w:pPr>
        <w:rPr>
          <w:rFonts w:ascii="Arial" w:hAnsi="Arial" w:cs="Arial"/>
          <w:b/>
          <w:bCs/>
          <w:color w:val="000000" w:themeColor="text1"/>
          <w:sz w:val="24"/>
          <w:szCs w:val="24"/>
        </w:rPr>
      </w:pPr>
    </w:p>
    <w:p w14:paraId="0E1FD5B4" w14:textId="77777777" w:rsidR="004C0131" w:rsidRDefault="004C0131" w:rsidP="00A47037">
      <w:pPr>
        <w:rPr>
          <w:rFonts w:ascii="Arial" w:hAnsi="Arial" w:cs="Arial"/>
          <w:b/>
          <w:bCs/>
          <w:color w:val="000000" w:themeColor="text1"/>
          <w:sz w:val="24"/>
          <w:szCs w:val="24"/>
        </w:rPr>
      </w:pPr>
    </w:p>
    <w:p w14:paraId="61C5C822" w14:textId="77777777" w:rsidR="004C0131" w:rsidRDefault="004C0131" w:rsidP="00A47037">
      <w:pPr>
        <w:rPr>
          <w:rFonts w:ascii="Arial" w:hAnsi="Arial" w:cs="Arial"/>
          <w:b/>
          <w:bCs/>
          <w:color w:val="000000" w:themeColor="text1"/>
          <w:sz w:val="24"/>
          <w:szCs w:val="24"/>
        </w:rPr>
      </w:pPr>
    </w:p>
    <w:p w14:paraId="1E00BE3F" w14:textId="77777777" w:rsidR="004C0131" w:rsidRDefault="004C0131" w:rsidP="00A47037">
      <w:pPr>
        <w:rPr>
          <w:rFonts w:ascii="Arial" w:hAnsi="Arial" w:cs="Arial"/>
          <w:b/>
          <w:bCs/>
          <w:color w:val="000000" w:themeColor="text1"/>
          <w:sz w:val="24"/>
          <w:szCs w:val="24"/>
        </w:rPr>
      </w:pPr>
    </w:p>
    <w:p w14:paraId="1C6F5463" w14:textId="77777777" w:rsidR="004C0131" w:rsidRDefault="004C0131" w:rsidP="00A47037">
      <w:pPr>
        <w:rPr>
          <w:rFonts w:ascii="Arial" w:hAnsi="Arial" w:cs="Arial"/>
          <w:b/>
          <w:bCs/>
          <w:color w:val="000000" w:themeColor="text1"/>
          <w:sz w:val="24"/>
          <w:szCs w:val="24"/>
        </w:rPr>
      </w:pPr>
    </w:p>
    <w:p w14:paraId="700A8B0D" w14:textId="1D8F45A4" w:rsidR="003D088A" w:rsidRPr="004C0131" w:rsidRDefault="007D4237" w:rsidP="00A47037">
      <w:pPr>
        <w:rPr>
          <w:rFonts w:ascii="Arial" w:hAnsi="Arial" w:cs="Arial"/>
          <w:b/>
          <w:bCs/>
          <w:color w:val="000000" w:themeColor="text1"/>
          <w:sz w:val="24"/>
          <w:szCs w:val="24"/>
        </w:rPr>
      </w:pPr>
      <w:r w:rsidRPr="004C0131">
        <w:rPr>
          <w:rFonts w:ascii="Arial" w:hAnsi="Arial" w:cs="Arial"/>
          <w:b/>
          <w:bCs/>
          <w:color w:val="000000" w:themeColor="text1"/>
          <w:sz w:val="24"/>
          <w:szCs w:val="24"/>
        </w:rPr>
        <w:lastRenderedPageBreak/>
        <w:t>Element 4: Reflection</w:t>
      </w:r>
    </w:p>
    <w:p w14:paraId="76A0C89D" w14:textId="77777777" w:rsidR="004C0131" w:rsidRPr="004C0131" w:rsidRDefault="004C0131" w:rsidP="00A47037">
      <w:pPr>
        <w:rPr>
          <w:rFonts w:ascii="Arial" w:hAnsi="Arial" w:cs="Arial"/>
          <w:color w:val="000000" w:themeColor="text1"/>
          <w:sz w:val="24"/>
          <w:szCs w:val="24"/>
        </w:rPr>
      </w:pPr>
    </w:p>
    <w:p w14:paraId="5F8557C6"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Creating a sustainable brand extension strategy for JBL has been an enriching yet at times challenging process. Based on the reflection framework offered by Gibbs (1988), this reflection is based on the discussion of what has occurred, my feelings during this process, the things that have gone well or not so well, the reasons for this and what needs to be done differently next time. To begin with, I have struggled to come up with something concrete and justified about "eco-friendly marketing" instead of just using general ideas and creating an extension strategy based on the real brand equity of JBL and its product category.</w:t>
      </w:r>
    </w:p>
    <w:p w14:paraId="1985300F"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One of the lessons that I learned from the assignment was the need to guard against green washing since reading Peattie &amp; Crane (2005)'s critique of superficial green marketing altered my approach towards both differentiation and promotion as I had to come up with actual tangible measures of evidence like take back program and materials certification as opposed to just using the promotional words. The assignment improved my critical evaluation skills as I had to always wonder whether the methods suggested were actually related to sustainability issues or not. My synthesis skills relating academic theory to real world brands also improved as I was able to relate Aaker &amp; Keller (1990)'s brand extension theory.</w:t>
      </w:r>
    </w:p>
    <w:p w14:paraId="25915CDC" w14:textId="77777777" w:rsidR="003D088A"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The creation of this poster presentation allowed me to further develop my communication skills and visual literacy, since summarizing an entire written strategy in one visual poster meant that I had to select the best evidence and represent it in a clear manner within a short period of time. I learned that writing a paper is different from communicating with an audience, which led to the improvement of my ability to justify strategic decisions verbally and answer questions in a limited period of time. Time management was an issue for me in the beginning, since I did not realize that it would take so much time to create a perceptual map; in the future, I will set aside some time specifically for designing visuals.</w:t>
      </w:r>
    </w:p>
    <w:p w14:paraId="20F225DE" w14:textId="76050917" w:rsidR="00A47037" w:rsidRPr="004C0131" w:rsidRDefault="007D4237">
      <w:pPr>
        <w:spacing w:after="200" w:line="276" w:lineRule="auto"/>
        <w:jc w:val="both"/>
        <w:rPr>
          <w:rFonts w:ascii="Arial" w:hAnsi="Arial" w:cs="Arial"/>
          <w:color w:val="000000" w:themeColor="text1"/>
          <w:sz w:val="24"/>
          <w:szCs w:val="24"/>
        </w:rPr>
      </w:pPr>
      <w:r>
        <w:rPr>
          <w:rFonts w:ascii="Arial" w:hAnsi="Arial"/>
          <w:color w:val="000000"/>
          <w:sz w:val="24"/>
        </w:rPr>
        <w:t xml:space="preserve">On the whole, this project has proved to be quite productive in terms of personal and professional growth because it has improved my skills of conducting strategic analysis, researching and referring to literature, as well as presenting complex marketing strategy in a concise manner. In order to improve my performance even more in case of future similar projects, I will use primary market research, such as short consumers' survey, in order to prove the assumptions related to segmentation with the help of primary, not secondary, data. In addition, I will try to deliver my presentation earlier and more often in order to master my speaking skills and minimize the need for having a script. Finally, working in the framework of a structured module has emphasized the importance of the process of iterative writing. The early drafts of STDP analysis were much less focused than the final one. Reviewing this assignment in the light of the peer feedback has revealed some gaps in the logical structure of the document that have not been apparent </w:t>
      </w:r>
      <w:r>
        <w:rPr>
          <w:rFonts w:ascii="Arial" w:hAnsi="Arial"/>
          <w:color w:val="000000"/>
          <w:sz w:val="24"/>
        </w:rPr>
        <w:lastRenderedPageBreak/>
        <w:t>to me previously. This can be considered as another proof that in general, strategic marketing plans are to be subjected to critical evaluation prior to implementation.</w:t>
      </w:r>
    </w:p>
    <w:p w14:paraId="1333D233" w14:textId="77777777" w:rsidR="00A47037" w:rsidRPr="004C0131" w:rsidRDefault="00A47037">
      <w:pPr>
        <w:spacing w:after="200" w:line="276" w:lineRule="auto"/>
        <w:jc w:val="both"/>
        <w:rPr>
          <w:rFonts w:ascii="Arial" w:hAnsi="Arial" w:cs="Arial"/>
          <w:color w:val="000000" w:themeColor="text1"/>
          <w:sz w:val="24"/>
          <w:szCs w:val="24"/>
        </w:rPr>
      </w:pPr>
    </w:p>
    <w:p w14:paraId="417EF1CE" w14:textId="3A3AC139" w:rsidR="003D088A" w:rsidRPr="004C0131" w:rsidRDefault="007D4237" w:rsidP="00A47037">
      <w:pPr>
        <w:rPr>
          <w:rFonts w:ascii="Arial" w:hAnsi="Arial" w:cs="Arial"/>
          <w:b/>
          <w:bCs/>
          <w:color w:val="000000" w:themeColor="text1"/>
          <w:sz w:val="24"/>
          <w:szCs w:val="24"/>
        </w:rPr>
      </w:pPr>
      <w:r w:rsidRPr="004C0131">
        <w:rPr>
          <w:rFonts w:ascii="Arial" w:hAnsi="Arial" w:cs="Arial"/>
          <w:b/>
          <w:bCs/>
          <w:color w:val="000000" w:themeColor="text1"/>
          <w:sz w:val="24"/>
          <w:szCs w:val="24"/>
        </w:rPr>
        <w:t>Reference</w:t>
      </w:r>
      <w:r w:rsidR="00A47037" w:rsidRPr="004C0131">
        <w:rPr>
          <w:rFonts w:ascii="Arial" w:hAnsi="Arial" w:cs="Arial"/>
          <w:b/>
          <w:bCs/>
          <w:color w:val="000000" w:themeColor="text1"/>
          <w:sz w:val="24"/>
          <w:szCs w:val="24"/>
        </w:rPr>
        <w:t>s:</w:t>
      </w:r>
    </w:p>
    <w:p w14:paraId="7B1389EF" w14:textId="77777777" w:rsidR="004C0131" w:rsidRPr="004C0131" w:rsidRDefault="004C0131" w:rsidP="00A47037">
      <w:pPr>
        <w:rPr>
          <w:rFonts w:ascii="Arial" w:hAnsi="Arial" w:cs="Arial"/>
          <w:color w:val="000000" w:themeColor="text1"/>
          <w:sz w:val="24"/>
          <w:szCs w:val="24"/>
        </w:rPr>
      </w:pPr>
    </w:p>
    <w:p w14:paraId="3E0F484C"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t>Aaker, D.A. (1991) Managing Brand Equity: Capitalizing on the Value of a Brand Name. New York: Free Press.</w:t>
      </w:r>
    </w:p>
    <w:p w14:paraId="6B556AFE"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t>Aaker, D.A. and Keller, K.L. (1990) 'Consumer evaluations of brand extensions', Journal of Marketing, 54(1), pp. 27-41.</w:t>
      </w:r>
    </w:p>
    <w:p w14:paraId="46F674E1" w14:textId="77777777" w:rsidR="003D088A" w:rsidRPr="004C0131" w:rsidRDefault="007D4237">
      <w:pPr>
        <w:spacing w:after="160" w:line="276" w:lineRule="auto"/>
        <w:ind w:left="720" w:hanging="720"/>
        <w:jc w:val="both"/>
        <w:rPr>
          <w:rFonts w:ascii="Arial" w:hAnsi="Arial" w:cs="Arial"/>
          <w:color w:val="000000" w:themeColor="text1"/>
          <w:sz w:val="24"/>
          <w:szCs w:val="24"/>
        </w:rPr>
      </w:pPr>
      <w:proofErr w:type="spellStart"/>
      <w:r w:rsidRPr="004C0131">
        <w:rPr>
          <w:rFonts w:ascii="Arial" w:hAnsi="Arial" w:cs="Arial"/>
          <w:color w:val="000000" w:themeColor="text1"/>
          <w:sz w:val="24"/>
          <w:szCs w:val="24"/>
        </w:rPr>
        <w:t>Belz</w:t>
      </w:r>
      <w:proofErr w:type="spellEnd"/>
      <w:r w:rsidRPr="004C0131">
        <w:rPr>
          <w:rFonts w:ascii="Arial" w:hAnsi="Arial" w:cs="Arial"/>
          <w:color w:val="000000" w:themeColor="text1"/>
          <w:sz w:val="24"/>
          <w:szCs w:val="24"/>
        </w:rPr>
        <w:t xml:space="preserve">, F.M. and Peattie, K. (2012) Sustainability Marketing: A Global Perspective. 2nd </w:t>
      </w:r>
      <w:proofErr w:type="spellStart"/>
      <w:r w:rsidRPr="004C0131">
        <w:rPr>
          <w:rFonts w:ascii="Arial" w:hAnsi="Arial" w:cs="Arial"/>
          <w:color w:val="000000" w:themeColor="text1"/>
          <w:sz w:val="24"/>
          <w:szCs w:val="24"/>
        </w:rPr>
        <w:t>edn</w:t>
      </w:r>
      <w:proofErr w:type="spellEnd"/>
      <w:r w:rsidRPr="004C0131">
        <w:rPr>
          <w:rFonts w:ascii="Arial" w:hAnsi="Arial" w:cs="Arial"/>
          <w:color w:val="000000" w:themeColor="text1"/>
          <w:sz w:val="24"/>
          <w:szCs w:val="24"/>
        </w:rPr>
        <w:t>. Chichester: Wiley.</w:t>
      </w:r>
    </w:p>
    <w:p w14:paraId="77EEB713"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t>Booms, B.H. and Bitner, M.J. (1981) 'Marketing strategies and organization structures for service firms', in Donnelly, J.H. and George, W.R. (eds.) Marketing of Services. Chicago: American Marketing Association, pp. 47-51.</w:t>
      </w:r>
    </w:p>
    <w:p w14:paraId="1BF23DDA"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t>Gibbs, G. (1988) Learning by Doing: A Guide to Teaching and Learning Methods. Oxford: Further Education Unit, Oxford Polytechnic.</w:t>
      </w:r>
    </w:p>
    <w:p w14:paraId="373BA80A" w14:textId="77777777" w:rsidR="003D088A" w:rsidRPr="004C0131" w:rsidRDefault="007D4237">
      <w:pPr>
        <w:spacing w:after="160" w:line="276" w:lineRule="auto"/>
        <w:ind w:left="720" w:hanging="720"/>
        <w:jc w:val="both"/>
        <w:rPr>
          <w:rFonts w:ascii="Arial" w:hAnsi="Arial" w:cs="Arial"/>
          <w:color w:val="000000" w:themeColor="text1"/>
          <w:sz w:val="24"/>
          <w:szCs w:val="24"/>
        </w:rPr>
      </w:pPr>
      <w:r>
        <w:rPr>
          <w:rFonts w:ascii="Arial" w:hAnsi="Arial"/>
          <w:color w:val="000000"/>
          <w:sz w:val="24"/>
        </w:rPr>
        <w:t>Harman International (2023) About Harman. Available at: https://www.harman.com (Accessed: 10 August 2026)</w:t>
      </w:r>
    </w:p>
    <w:p w14:paraId="06AA6B4B" w14:textId="77777777" w:rsidR="003D088A" w:rsidRPr="004C0131" w:rsidRDefault="007D4237">
      <w:pPr>
        <w:spacing w:after="160" w:line="276" w:lineRule="auto"/>
        <w:ind w:left="720" w:hanging="720"/>
        <w:jc w:val="both"/>
        <w:rPr>
          <w:rFonts w:ascii="Arial" w:hAnsi="Arial" w:cs="Arial"/>
          <w:color w:val="000000" w:themeColor="text1"/>
          <w:sz w:val="24"/>
          <w:szCs w:val="24"/>
        </w:rPr>
      </w:pPr>
      <w:proofErr w:type="spellStart"/>
      <w:r w:rsidRPr="004C0131">
        <w:rPr>
          <w:rFonts w:ascii="Arial" w:hAnsi="Arial" w:cs="Arial"/>
          <w:color w:val="000000" w:themeColor="text1"/>
          <w:sz w:val="24"/>
          <w:szCs w:val="24"/>
        </w:rPr>
        <w:t>Kapferer</w:t>
      </w:r>
      <w:proofErr w:type="spellEnd"/>
      <w:r w:rsidRPr="004C0131">
        <w:rPr>
          <w:rFonts w:ascii="Arial" w:hAnsi="Arial" w:cs="Arial"/>
          <w:color w:val="000000" w:themeColor="text1"/>
          <w:sz w:val="24"/>
          <w:szCs w:val="24"/>
        </w:rPr>
        <w:t xml:space="preserve">, J-N. (2012) The New Strategic Brand Management: Advanced Insights and Strategic Thinking. 5th </w:t>
      </w:r>
      <w:proofErr w:type="spellStart"/>
      <w:r w:rsidRPr="004C0131">
        <w:rPr>
          <w:rFonts w:ascii="Arial" w:hAnsi="Arial" w:cs="Arial"/>
          <w:color w:val="000000" w:themeColor="text1"/>
          <w:sz w:val="24"/>
          <w:szCs w:val="24"/>
        </w:rPr>
        <w:t>edn</w:t>
      </w:r>
      <w:proofErr w:type="spellEnd"/>
      <w:r w:rsidRPr="004C0131">
        <w:rPr>
          <w:rFonts w:ascii="Arial" w:hAnsi="Arial" w:cs="Arial"/>
          <w:color w:val="000000" w:themeColor="text1"/>
          <w:sz w:val="24"/>
          <w:szCs w:val="24"/>
        </w:rPr>
        <w:t>. London: Kogan Page.</w:t>
      </w:r>
    </w:p>
    <w:p w14:paraId="52E2BFB0"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t xml:space="preserve">Kotler, P. and Keller, K.L. (2016) Marketing Management. 15th </w:t>
      </w:r>
      <w:proofErr w:type="spellStart"/>
      <w:r w:rsidRPr="004C0131">
        <w:rPr>
          <w:rFonts w:ascii="Arial" w:hAnsi="Arial" w:cs="Arial"/>
          <w:color w:val="000000" w:themeColor="text1"/>
          <w:sz w:val="24"/>
          <w:szCs w:val="24"/>
        </w:rPr>
        <w:t>edn</w:t>
      </w:r>
      <w:proofErr w:type="spellEnd"/>
      <w:r w:rsidRPr="004C0131">
        <w:rPr>
          <w:rFonts w:ascii="Arial" w:hAnsi="Arial" w:cs="Arial"/>
          <w:color w:val="000000" w:themeColor="text1"/>
          <w:sz w:val="24"/>
          <w:szCs w:val="24"/>
        </w:rPr>
        <w:t>. Harlow: Pearson Education.</w:t>
      </w:r>
    </w:p>
    <w:p w14:paraId="5FE0998E" w14:textId="77777777" w:rsidR="003D088A" w:rsidRPr="004C0131" w:rsidRDefault="007D4237">
      <w:pPr>
        <w:spacing w:after="160" w:line="276" w:lineRule="auto"/>
        <w:ind w:left="720" w:hanging="720"/>
        <w:jc w:val="both"/>
        <w:rPr>
          <w:rFonts w:ascii="Arial" w:hAnsi="Arial" w:cs="Arial"/>
          <w:color w:val="000000" w:themeColor="text1"/>
          <w:sz w:val="24"/>
          <w:szCs w:val="24"/>
        </w:rPr>
      </w:pPr>
      <w:r>
        <w:rPr>
          <w:rFonts w:ascii="Arial" w:hAnsi="Arial"/>
          <w:color w:val="000000"/>
          <w:sz w:val="24"/>
        </w:rPr>
        <w:t>Nielsen (2018) Global Sustainability Report: Was 2018 the</w:t>
      </w:r>
    </w:p>
    <w:p w14:paraId="466FB587" w14:textId="77777777" w:rsidR="003D088A" w:rsidRPr="004C0131" w:rsidRDefault="007D4237">
      <w:pPr>
        <w:spacing w:after="160" w:line="276" w:lineRule="auto"/>
        <w:ind w:left="720" w:hanging="720"/>
        <w:jc w:val="both"/>
        <w:rPr>
          <w:rFonts w:ascii="Arial" w:hAnsi="Arial" w:cs="Arial"/>
          <w:color w:val="000000" w:themeColor="text1"/>
          <w:sz w:val="24"/>
          <w:szCs w:val="24"/>
        </w:rPr>
      </w:pPr>
      <w:proofErr w:type="spellStart"/>
      <w:r w:rsidRPr="004C0131">
        <w:rPr>
          <w:rFonts w:ascii="Arial" w:hAnsi="Arial" w:cs="Arial"/>
          <w:color w:val="000000" w:themeColor="text1"/>
          <w:sz w:val="24"/>
          <w:szCs w:val="24"/>
        </w:rPr>
        <w:t>Ottman</w:t>
      </w:r>
      <w:proofErr w:type="spellEnd"/>
      <w:r w:rsidRPr="004C0131">
        <w:rPr>
          <w:rFonts w:ascii="Arial" w:hAnsi="Arial" w:cs="Arial"/>
          <w:color w:val="000000" w:themeColor="text1"/>
          <w:sz w:val="24"/>
          <w:szCs w:val="24"/>
        </w:rPr>
        <w:t>, J.A. (2011) The New Rules of Green Marketing: Strategies, Tools, and Inspiration for Sustainable Branding. Sheffield: Greenleaf Publishing.</w:t>
      </w:r>
    </w:p>
    <w:p w14:paraId="4693C6D2"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t>Peattie, K. and Crane, A. (2005) 'Green marketing: legend, myth, farce or prophesy?', Qualitative Market Research: An International Journal, 8(4), pp. 357-370.</w:t>
      </w:r>
    </w:p>
    <w:p w14:paraId="2E3F4AC5"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t>Porter, M.E. (1985) Competitive Advantage: Creating and Sustaining Superior Performance. New York: Free Press.</w:t>
      </w:r>
    </w:p>
    <w:p w14:paraId="4D24314C" w14:textId="77777777" w:rsidR="003D088A" w:rsidRPr="004C0131" w:rsidRDefault="007D4237">
      <w:pPr>
        <w:spacing w:after="160" w:line="276" w:lineRule="auto"/>
        <w:ind w:left="720" w:hanging="720"/>
        <w:jc w:val="both"/>
        <w:rPr>
          <w:rFonts w:ascii="Arial" w:hAnsi="Arial" w:cs="Arial"/>
          <w:color w:val="000000" w:themeColor="text1"/>
          <w:sz w:val="24"/>
          <w:szCs w:val="24"/>
        </w:rPr>
      </w:pPr>
      <w:proofErr w:type="spellStart"/>
      <w:r w:rsidRPr="004C0131">
        <w:rPr>
          <w:rFonts w:ascii="Arial" w:hAnsi="Arial" w:cs="Arial"/>
          <w:color w:val="000000" w:themeColor="text1"/>
          <w:sz w:val="24"/>
          <w:szCs w:val="24"/>
        </w:rPr>
        <w:t>Ries</w:t>
      </w:r>
      <w:proofErr w:type="spellEnd"/>
      <w:r w:rsidRPr="004C0131">
        <w:rPr>
          <w:rFonts w:ascii="Arial" w:hAnsi="Arial" w:cs="Arial"/>
          <w:color w:val="000000" w:themeColor="text1"/>
          <w:sz w:val="24"/>
          <w:szCs w:val="24"/>
        </w:rPr>
        <w:t xml:space="preserve">, A. and Trout, J. (2001) Positioning: The Battle for Your Mind. 20th anniversary </w:t>
      </w:r>
      <w:proofErr w:type="spellStart"/>
      <w:r w:rsidRPr="004C0131">
        <w:rPr>
          <w:rFonts w:ascii="Arial" w:hAnsi="Arial" w:cs="Arial"/>
          <w:color w:val="000000" w:themeColor="text1"/>
          <w:sz w:val="24"/>
          <w:szCs w:val="24"/>
        </w:rPr>
        <w:t>edn</w:t>
      </w:r>
      <w:proofErr w:type="spellEnd"/>
      <w:r w:rsidRPr="004C0131">
        <w:rPr>
          <w:rFonts w:ascii="Arial" w:hAnsi="Arial" w:cs="Arial"/>
          <w:color w:val="000000" w:themeColor="text1"/>
          <w:sz w:val="24"/>
          <w:szCs w:val="24"/>
        </w:rPr>
        <w:t>. New York: McGraw-Hill.</w:t>
      </w:r>
    </w:p>
    <w:p w14:paraId="00840043" w14:textId="77777777" w:rsidR="003D088A" w:rsidRPr="004C0131" w:rsidRDefault="007D4237">
      <w:pPr>
        <w:spacing w:after="160" w:line="276" w:lineRule="auto"/>
        <w:ind w:left="720" w:hanging="720"/>
        <w:jc w:val="both"/>
        <w:rPr>
          <w:rFonts w:ascii="Arial" w:hAnsi="Arial" w:cs="Arial"/>
          <w:color w:val="000000" w:themeColor="text1"/>
          <w:sz w:val="24"/>
          <w:szCs w:val="24"/>
        </w:rPr>
      </w:pPr>
      <w:r>
        <w:rPr>
          <w:rFonts w:ascii="Arial" w:hAnsi="Arial"/>
          <w:color w:val="000000"/>
          <w:sz w:val="24"/>
        </w:rPr>
        <w:t>Smith, W.R. (1956) 'Product differentiation and market segmentation as alternative</w:t>
      </w:r>
    </w:p>
    <w:p w14:paraId="630AC109"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lastRenderedPageBreak/>
        <w:t xml:space="preserve">Solomon, M.R., Marshall, G.W. and Stuart, E.W. (2019) Marketing: Real People, Real Choices. 9th </w:t>
      </w:r>
      <w:proofErr w:type="spellStart"/>
      <w:r w:rsidRPr="004C0131">
        <w:rPr>
          <w:rFonts w:ascii="Arial" w:hAnsi="Arial" w:cs="Arial"/>
          <w:color w:val="000000" w:themeColor="text1"/>
          <w:sz w:val="24"/>
          <w:szCs w:val="24"/>
        </w:rPr>
        <w:t>edn</w:t>
      </w:r>
      <w:proofErr w:type="spellEnd"/>
      <w:r w:rsidRPr="004C0131">
        <w:rPr>
          <w:rFonts w:ascii="Arial" w:hAnsi="Arial" w:cs="Arial"/>
          <w:color w:val="000000" w:themeColor="text1"/>
          <w:sz w:val="24"/>
          <w:szCs w:val="24"/>
        </w:rPr>
        <w:t>. Harlow: Pearson Education.</w:t>
      </w:r>
    </w:p>
    <w:p w14:paraId="2E9C670A" w14:textId="77777777" w:rsidR="003D088A" w:rsidRPr="004C0131" w:rsidRDefault="007D4237">
      <w:pPr>
        <w:spacing w:after="160" w:line="276" w:lineRule="auto"/>
        <w:ind w:left="720" w:hanging="720"/>
        <w:jc w:val="both"/>
        <w:rPr>
          <w:rFonts w:ascii="Arial" w:hAnsi="Arial" w:cs="Arial"/>
          <w:color w:val="000000" w:themeColor="text1"/>
          <w:sz w:val="24"/>
          <w:szCs w:val="24"/>
        </w:rPr>
      </w:pPr>
      <w:r w:rsidRPr="004C0131">
        <w:rPr>
          <w:rFonts w:ascii="Arial" w:hAnsi="Arial" w:cs="Arial"/>
          <w:color w:val="000000" w:themeColor="text1"/>
          <w:sz w:val="24"/>
          <w:szCs w:val="24"/>
        </w:rPr>
        <w:t xml:space="preserve">White, K., Habib, R. and Hardisty, D.J. (2019) 'How to SHIFT consumer </w:t>
      </w:r>
      <w:proofErr w:type="spellStart"/>
      <w:r w:rsidRPr="004C0131">
        <w:rPr>
          <w:rFonts w:ascii="Arial" w:hAnsi="Arial" w:cs="Arial"/>
          <w:color w:val="000000" w:themeColor="text1"/>
          <w:sz w:val="24"/>
          <w:szCs w:val="24"/>
        </w:rPr>
        <w:t>behaviors</w:t>
      </w:r>
      <w:proofErr w:type="spellEnd"/>
      <w:r w:rsidRPr="004C0131">
        <w:rPr>
          <w:rFonts w:ascii="Arial" w:hAnsi="Arial" w:cs="Arial"/>
          <w:color w:val="000000" w:themeColor="text1"/>
          <w:sz w:val="24"/>
          <w:szCs w:val="24"/>
        </w:rPr>
        <w:t xml:space="preserve"> to be more sustainable: a literature review and guiding framework', Journal of Marketing, 83(3), pp. 22-49.</w:t>
      </w:r>
    </w:p>
    <w:p w14:paraId="4129B7BC" w14:textId="77777777" w:rsidR="003D088A" w:rsidRPr="004C0131" w:rsidRDefault="007D4237">
      <w:pPr>
        <w:spacing w:after="160" w:line="276" w:lineRule="auto"/>
        <w:ind w:left="720" w:hanging="720"/>
        <w:jc w:val="both"/>
        <w:rPr>
          <w:rFonts w:ascii="Arial" w:hAnsi="Arial" w:cs="Arial"/>
          <w:color w:val="000000" w:themeColor="text1"/>
          <w:sz w:val="24"/>
          <w:szCs w:val="24"/>
        </w:rPr>
      </w:pPr>
      <w:r>
        <w:rPr>
          <w:rFonts w:ascii="Arial" w:hAnsi="Arial"/>
          <w:color w:val="000000"/>
          <w:sz w:val="24"/>
        </w:rPr>
        <w:t>Wind, Y. (1978) 'Issues and advances in segmentation research', Journal of Marketing Research,</w:t>
      </w:r>
    </w:p>
    <w:sectPr w:rsidR="003D088A" w:rsidRPr="004C0131">
      <w:footerReference w:type="default" r:id="rId10"/>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63A63" w14:textId="77777777" w:rsidR="001A0B53" w:rsidRDefault="001A0B53">
      <w:r>
        <w:separator/>
      </w:r>
    </w:p>
  </w:endnote>
  <w:endnote w:type="continuationSeparator" w:id="0">
    <w:p w14:paraId="0208392B" w14:textId="77777777" w:rsidR="001A0B53" w:rsidRDefault="001A0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8B7A3" w14:textId="77777777" w:rsidR="00A47037" w:rsidRPr="004C0131" w:rsidRDefault="00A47037">
    <w:pPr>
      <w:pStyle w:val="Footer"/>
      <w:jc w:val="center"/>
      <w:rPr>
        <w:color w:val="000000" w:themeColor="text1"/>
      </w:rPr>
    </w:pPr>
    <w:r w:rsidRPr="004C0131">
      <w:rPr>
        <w:color w:val="000000" w:themeColor="text1"/>
      </w:rPr>
      <w:t xml:space="preserve">Page </w:t>
    </w:r>
    <w:r w:rsidRPr="004C0131">
      <w:rPr>
        <w:color w:val="000000" w:themeColor="text1"/>
      </w:rPr>
      <w:fldChar w:fldCharType="begin"/>
    </w:r>
    <w:r w:rsidRPr="004C0131">
      <w:rPr>
        <w:color w:val="000000" w:themeColor="text1"/>
      </w:rPr>
      <w:instrText xml:space="preserve"> PAGE  \* Arabic  \* MERGEFORMAT </w:instrText>
    </w:r>
    <w:r w:rsidRPr="004C0131">
      <w:rPr>
        <w:color w:val="000000" w:themeColor="text1"/>
      </w:rPr>
      <w:fldChar w:fldCharType="separate"/>
    </w:r>
    <w:r w:rsidRPr="004C0131">
      <w:rPr>
        <w:noProof/>
        <w:color w:val="000000" w:themeColor="text1"/>
      </w:rPr>
      <w:t>2</w:t>
    </w:r>
    <w:r w:rsidRPr="004C0131">
      <w:rPr>
        <w:color w:val="000000" w:themeColor="text1"/>
      </w:rPr>
      <w:fldChar w:fldCharType="end"/>
    </w:r>
    <w:r w:rsidRPr="004C0131">
      <w:rPr>
        <w:color w:val="000000" w:themeColor="text1"/>
      </w:rPr>
      <w:t xml:space="preserve"> of </w:t>
    </w:r>
    <w:r w:rsidRPr="004C0131">
      <w:rPr>
        <w:color w:val="000000" w:themeColor="text1"/>
      </w:rPr>
      <w:fldChar w:fldCharType="begin"/>
    </w:r>
    <w:r w:rsidRPr="004C0131">
      <w:rPr>
        <w:color w:val="000000" w:themeColor="text1"/>
      </w:rPr>
      <w:instrText xml:space="preserve"> NUMPAGES  \* Arabic  \* MERGEFORMAT </w:instrText>
    </w:r>
    <w:r w:rsidRPr="004C0131">
      <w:rPr>
        <w:color w:val="000000" w:themeColor="text1"/>
      </w:rPr>
      <w:fldChar w:fldCharType="separate"/>
    </w:r>
    <w:r w:rsidRPr="004C0131">
      <w:rPr>
        <w:noProof/>
        <w:color w:val="000000" w:themeColor="text1"/>
      </w:rPr>
      <w:t>2</w:t>
    </w:r>
    <w:r w:rsidRPr="004C0131">
      <w:rPr>
        <w:color w:val="000000" w:themeColor="text1"/>
      </w:rPr>
      <w:fldChar w:fldCharType="end"/>
    </w:r>
  </w:p>
  <w:p w14:paraId="272E09B4" w14:textId="676B249E" w:rsidR="003D088A" w:rsidRPr="004C0131" w:rsidRDefault="003D088A">
    <w:pPr>
      <w:jc w:val="cen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63542" w14:textId="77777777" w:rsidR="001A0B53" w:rsidRDefault="001A0B53">
      <w:r>
        <w:separator/>
      </w:r>
    </w:p>
  </w:footnote>
  <w:footnote w:type="continuationSeparator" w:id="0">
    <w:p w14:paraId="60362A51" w14:textId="77777777" w:rsidR="001A0B53" w:rsidRDefault="001A0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A6786"/>
    <w:multiLevelType w:val="hybridMultilevel"/>
    <w:tmpl w:val="8812BB3A"/>
    <w:lvl w:ilvl="0" w:tplc="26025F3C">
      <w:start w:val="1"/>
      <w:numFmt w:val="bullet"/>
      <w:lvlText w:val="•"/>
      <w:lvlJc w:val="left"/>
      <w:pPr>
        <w:ind w:left="720" w:hanging="360"/>
      </w:pPr>
    </w:lvl>
    <w:lvl w:ilvl="1" w:tplc="E45A0B82">
      <w:numFmt w:val="decimal"/>
      <w:lvlText w:val=""/>
      <w:lvlJc w:val="left"/>
    </w:lvl>
    <w:lvl w:ilvl="2" w:tplc="ECAC23DE">
      <w:numFmt w:val="decimal"/>
      <w:lvlText w:val=""/>
      <w:lvlJc w:val="left"/>
    </w:lvl>
    <w:lvl w:ilvl="3" w:tplc="870696B4">
      <w:numFmt w:val="decimal"/>
      <w:lvlText w:val=""/>
      <w:lvlJc w:val="left"/>
    </w:lvl>
    <w:lvl w:ilvl="4" w:tplc="F008136E">
      <w:numFmt w:val="decimal"/>
      <w:lvlText w:val=""/>
      <w:lvlJc w:val="left"/>
    </w:lvl>
    <w:lvl w:ilvl="5" w:tplc="B098429E">
      <w:numFmt w:val="decimal"/>
      <w:lvlText w:val=""/>
      <w:lvlJc w:val="left"/>
    </w:lvl>
    <w:lvl w:ilvl="6" w:tplc="03900510">
      <w:numFmt w:val="decimal"/>
      <w:lvlText w:val=""/>
      <w:lvlJc w:val="left"/>
    </w:lvl>
    <w:lvl w:ilvl="7" w:tplc="BA862B70">
      <w:numFmt w:val="decimal"/>
      <w:lvlText w:val=""/>
      <w:lvlJc w:val="left"/>
    </w:lvl>
    <w:lvl w:ilvl="8" w:tplc="E28009F4">
      <w:numFmt w:val="decimal"/>
      <w:lvlText w:val=""/>
      <w:lvlJc w:val="left"/>
    </w:lvl>
  </w:abstractNum>
  <w:abstractNum w:abstractNumId="1" w15:restartNumberingAfterBreak="0">
    <w:nsid w:val="560677C8"/>
    <w:multiLevelType w:val="hybridMultilevel"/>
    <w:tmpl w:val="2CDA0F50"/>
    <w:lvl w:ilvl="0" w:tplc="C0308402">
      <w:start w:val="1"/>
      <w:numFmt w:val="bullet"/>
      <w:lvlText w:val="●"/>
      <w:lvlJc w:val="left"/>
      <w:pPr>
        <w:ind w:left="720" w:hanging="360"/>
      </w:pPr>
    </w:lvl>
    <w:lvl w:ilvl="1" w:tplc="B95C8022">
      <w:start w:val="1"/>
      <w:numFmt w:val="bullet"/>
      <w:lvlText w:val="○"/>
      <w:lvlJc w:val="left"/>
      <w:pPr>
        <w:ind w:left="1440" w:hanging="360"/>
      </w:pPr>
    </w:lvl>
    <w:lvl w:ilvl="2" w:tplc="04FCA39C">
      <w:start w:val="1"/>
      <w:numFmt w:val="bullet"/>
      <w:lvlText w:val="■"/>
      <w:lvlJc w:val="left"/>
      <w:pPr>
        <w:ind w:left="2160" w:hanging="360"/>
      </w:pPr>
    </w:lvl>
    <w:lvl w:ilvl="3" w:tplc="205E16D8">
      <w:start w:val="1"/>
      <w:numFmt w:val="bullet"/>
      <w:lvlText w:val="●"/>
      <w:lvlJc w:val="left"/>
      <w:pPr>
        <w:ind w:left="2880" w:hanging="360"/>
      </w:pPr>
    </w:lvl>
    <w:lvl w:ilvl="4" w:tplc="B106D6B2">
      <w:start w:val="1"/>
      <w:numFmt w:val="bullet"/>
      <w:lvlText w:val="○"/>
      <w:lvlJc w:val="left"/>
      <w:pPr>
        <w:ind w:left="3600" w:hanging="360"/>
      </w:pPr>
    </w:lvl>
    <w:lvl w:ilvl="5" w:tplc="EB4ECB6C">
      <w:start w:val="1"/>
      <w:numFmt w:val="bullet"/>
      <w:lvlText w:val="■"/>
      <w:lvlJc w:val="left"/>
      <w:pPr>
        <w:ind w:left="4320" w:hanging="360"/>
      </w:pPr>
    </w:lvl>
    <w:lvl w:ilvl="6" w:tplc="8E061EE8">
      <w:start w:val="1"/>
      <w:numFmt w:val="bullet"/>
      <w:lvlText w:val="●"/>
      <w:lvlJc w:val="left"/>
      <w:pPr>
        <w:ind w:left="5040" w:hanging="360"/>
      </w:pPr>
    </w:lvl>
    <w:lvl w:ilvl="7" w:tplc="FF6A45C2">
      <w:start w:val="1"/>
      <w:numFmt w:val="bullet"/>
      <w:lvlText w:val="●"/>
      <w:lvlJc w:val="left"/>
      <w:pPr>
        <w:ind w:left="5760" w:hanging="360"/>
      </w:pPr>
    </w:lvl>
    <w:lvl w:ilvl="8" w:tplc="AE184312">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88A"/>
    <w:rsid w:val="00166798"/>
    <w:rsid w:val="001A0B53"/>
    <w:rsid w:val="003D088A"/>
    <w:rsid w:val="003E4441"/>
    <w:rsid w:val="00454A52"/>
    <w:rsid w:val="004C0131"/>
    <w:rsid w:val="00550259"/>
    <w:rsid w:val="007D4237"/>
    <w:rsid w:val="008369C1"/>
    <w:rsid w:val="00925298"/>
    <w:rsid w:val="00981B6F"/>
    <w:rsid w:val="00A47037"/>
    <w:rsid w:val="00BB0E86"/>
    <w:rsid w:val="00E61B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348A5"/>
  <w15:docId w15:val="{1EC7803C-6BB6-4FBF-8594-4F9E5B64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0"/>
      <w:szCs w:val="30"/>
    </w:rPr>
  </w:style>
  <w:style w:type="paragraph" w:styleId="Heading2">
    <w:name w:val="heading 2"/>
    <w:uiPriority w:val="9"/>
    <w:unhideWhenUsed/>
    <w:qFormat/>
    <w:pPr>
      <w:spacing w:before="240" w:after="120"/>
      <w:outlineLvl w:val="1"/>
    </w:pPr>
    <w:rPr>
      <w:b/>
      <w:bCs/>
      <w:color w:val="2E5395"/>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A47037"/>
    <w:pPr>
      <w:tabs>
        <w:tab w:val="center" w:pos="4513"/>
        <w:tab w:val="right" w:pos="9026"/>
      </w:tabs>
    </w:pPr>
  </w:style>
  <w:style w:type="character" w:customStyle="1" w:styleId="HeaderChar">
    <w:name w:val="Header Char"/>
    <w:basedOn w:val="DefaultParagraphFont"/>
    <w:link w:val="Header"/>
    <w:uiPriority w:val="99"/>
    <w:rsid w:val="00A47037"/>
  </w:style>
  <w:style w:type="paragraph" w:styleId="Footer">
    <w:name w:val="footer"/>
    <w:basedOn w:val="Normal"/>
    <w:link w:val="FooterChar"/>
    <w:uiPriority w:val="99"/>
    <w:unhideWhenUsed/>
    <w:rsid w:val="00A47037"/>
    <w:pPr>
      <w:tabs>
        <w:tab w:val="center" w:pos="4513"/>
        <w:tab w:val="right" w:pos="9026"/>
      </w:tabs>
    </w:pPr>
  </w:style>
  <w:style w:type="character" w:customStyle="1" w:styleId="FooterChar">
    <w:name w:val="Footer Char"/>
    <w:basedOn w:val="DefaultParagraphFont"/>
    <w:link w:val="Footer"/>
    <w:uiPriority w:val="99"/>
    <w:rsid w:val="00A47037"/>
  </w:style>
  <w:style w:type="character" w:styleId="PlaceholderText">
    <w:name w:val="Placeholder Text"/>
    <w:basedOn w:val="DefaultParagraphFont"/>
    <w:uiPriority w:val="99"/>
    <w:semiHidden/>
    <w:rsid w:val="00925298"/>
    <w:rPr>
      <w:color w:val="808080"/>
    </w:rPr>
  </w:style>
  <w:style w:type="table" w:styleId="GridTable4-Accent3">
    <w:name w:val="Grid Table 4 Accent 3"/>
    <w:basedOn w:val="TableNormal"/>
    <w:uiPriority w:val="49"/>
    <w:rsid w:val="004C0131"/>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2">
    <w:name w:val="Grid Table 6 Colorful Accent 2"/>
    <w:basedOn w:val="TableNormal"/>
    <w:uiPriority w:val="51"/>
    <w:rsid w:val="004C0131"/>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F2617-3F54-4935-88BC-7797A4258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3142</Words>
  <Characters>17911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Kartikkumar Dharmendrabhai Raval (2537202)</cp:lastModifiedBy>
  <cp:revision>2</cp:revision>
  <dcterms:created xsi:type="dcterms:W3CDTF">2026-08-13T13:08:00Z</dcterms:created>
  <dcterms:modified xsi:type="dcterms:W3CDTF">2026-08-13T13:08:00Z</dcterms:modified>
</cp:coreProperties>
</file>