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after="80" w:before="280" w:line="360" w:lineRule="auto"/>
        <w:jc w:val="center"/>
        <w:rPr>
          <w:rFonts w:ascii="Times New Roman" w:cs="Times New Roman" w:eastAsia="Times New Roman" w:hAnsi="Times New Roman"/>
          <w:b w:val="1"/>
          <w:bCs w:val="1"/>
        </w:rPr>
      </w:pPr>
      <w:bookmarkStart w:colFirst="0" w:colLast="0" w:name="_mi7v4utfi3fv" w:id="0"/>
      <w:bookmarkEnd w:id="0"/>
      <w:r w:rsidDel="00000000" w:rsidR="00000000" w:rsidRPr="00000000">
        <w:rPr>
          <w:rFonts w:ascii="Times New Roman" w:cs="Times New Roman" w:eastAsia="Times New Roman" w:hAnsi="Times New Roman"/>
          <w:b w:val="1"/>
          <w:bCs w:val="1"/>
        </w:rPr>
        <w:drawing>
          <wp:inline distB="114300" distT="114300" distL="114300" distR="114300">
            <wp:extent cx="4752975" cy="1895475"/>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752975" cy="18954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keepNext w:val="0"/>
        <w:keepLines w:val="0"/>
        <w:shd w:fill="ffffff" w:val="clear"/>
        <w:spacing w:after="280" w:before="220" w:line="342.85714285714283"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hd w:fill="ffffff" w:val="clear"/>
        <w:spacing w:after="280" w:before="220" w:line="342.85714285714283" w:lineRule="auto"/>
        <w:jc w:val="center"/>
        <w:rPr>
          <w:b w:val="1"/>
          <w:bCs w:val="1"/>
        </w:rPr>
      </w:pPr>
      <w:r w:rsidDel="00000000" w:rsidR="00000000" w:rsidRPr="00000000">
        <w:rPr>
          <w:b w:val="1"/>
          <w:bCs w:val="1"/>
          <w:rtl w:val="0"/>
        </w:rPr>
        <w:t xml:space="preserve">Name: Sorbane Das Toma </w:t>
      </w:r>
    </w:p>
    <w:p w:rsidR="00000000" w:rsidDel="00000000" w:rsidP="00000000" w:rsidRDefault="00000000" w:rsidRPr="00000000" w14:paraId="00000006">
      <w:pPr>
        <w:shd w:fill="ffffff" w:val="clear"/>
        <w:spacing w:after="280" w:before="220" w:line="342.85714285714283" w:lineRule="auto"/>
        <w:jc w:val="center"/>
        <w:rPr>
          <w:b w:val="1"/>
          <w:bCs w:val="1"/>
        </w:rPr>
      </w:pPr>
      <w:r w:rsidDel="00000000" w:rsidR="00000000" w:rsidRPr="00000000">
        <w:rPr>
          <w:b w:val="1"/>
          <w:bCs w:val="1"/>
          <w:rtl w:val="0"/>
        </w:rPr>
        <w:t xml:space="preserve">Student ID: 2437417</w:t>
      </w:r>
    </w:p>
    <w:p w:rsidR="00000000" w:rsidDel="00000000" w:rsidP="00000000" w:rsidRDefault="00000000" w:rsidRPr="00000000" w14:paraId="00000007">
      <w:pPr>
        <w:shd w:fill="ffffff" w:val="clear"/>
        <w:spacing w:after="280" w:before="220" w:line="342.85714285714283" w:lineRule="auto"/>
        <w:jc w:val="center"/>
        <w:rPr>
          <w:b w:val="1"/>
          <w:bCs w:val="1"/>
        </w:rPr>
      </w:pPr>
      <w:r w:rsidDel="00000000" w:rsidR="00000000" w:rsidRPr="00000000">
        <w:rPr>
          <w:b w:val="1"/>
          <w:bCs w:val="1"/>
          <w:rtl w:val="0"/>
        </w:rPr>
        <w:t xml:space="preserve">Module Name: Human Capital Management</w:t>
      </w:r>
    </w:p>
    <w:p w:rsidR="00000000" w:rsidDel="00000000" w:rsidP="00000000" w:rsidRDefault="00000000" w:rsidRPr="00000000" w14:paraId="00000008">
      <w:pPr>
        <w:shd w:fill="ffffff" w:val="clear"/>
        <w:spacing w:after="280" w:before="220" w:line="342.85714285714283" w:lineRule="auto"/>
        <w:jc w:val="center"/>
        <w:rPr>
          <w:b w:val="1"/>
          <w:bCs w:val="1"/>
        </w:rPr>
      </w:pPr>
      <w:r w:rsidDel="00000000" w:rsidR="00000000" w:rsidRPr="00000000">
        <w:rPr>
          <w:b w:val="1"/>
          <w:bCs w:val="1"/>
          <w:rtl w:val="0"/>
        </w:rPr>
        <w:t xml:space="preserve">Module Code: LCMB7023</w:t>
      </w:r>
    </w:p>
    <w:p w:rsidR="00000000" w:rsidDel="00000000" w:rsidP="00000000" w:rsidRDefault="00000000" w:rsidRPr="00000000" w14:paraId="00000009">
      <w:pPr>
        <w:shd w:fill="ffffff" w:val="clear"/>
        <w:spacing w:after="280" w:before="220" w:line="342.85714285714283" w:lineRule="auto"/>
        <w:jc w:val="center"/>
        <w:rPr>
          <w:b w:val="1"/>
          <w:bCs w:val="1"/>
        </w:rPr>
      </w:pPr>
      <w:r w:rsidDel="00000000" w:rsidR="00000000" w:rsidRPr="00000000">
        <w:rPr>
          <w:b w:val="1"/>
          <w:bCs w:val="1"/>
          <w:rtl w:val="0"/>
        </w:rPr>
        <w:t xml:space="preserve">Lecturer's Name: Dr. Gladius Kulothungan (London)</w:t>
      </w:r>
    </w:p>
    <w:p w:rsidR="00000000" w:rsidDel="00000000" w:rsidP="00000000" w:rsidRDefault="00000000" w:rsidRPr="00000000" w14:paraId="0000000A">
      <w:pPr>
        <w:shd w:fill="ffffff" w:val="clear"/>
        <w:spacing w:after="0" w:before="220" w:line="342.85714285714283" w:lineRule="auto"/>
        <w:jc w:val="center"/>
        <w:rPr>
          <w:b w:val="1"/>
          <w:bCs w:val="1"/>
        </w:rPr>
      </w:pPr>
      <w:r w:rsidDel="00000000" w:rsidR="00000000" w:rsidRPr="00000000">
        <w:rPr>
          <w:b w:val="1"/>
          <w:bCs w:val="1"/>
          <w:rtl w:val="0"/>
        </w:rPr>
        <w:t xml:space="preserve">Word Count: 2731</w:t>
      </w:r>
    </w:p>
    <w:p w:rsidR="00000000" w:rsidDel="00000000" w:rsidP="00000000" w:rsidRDefault="00000000" w:rsidRPr="00000000" w14:paraId="0000000B">
      <w:pPr>
        <w:shd w:fill="ffffff" w:val="clear"/>
        <w:spacing w:after="0" w:before="220" w:line="342.85714285714283" w:lineRule="auto"/>
        <w:jc w:val="cente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C">
      <w:pPr>
        <w:spacing w:after="80" w:before="280" w:lineRule="auto"/>
        <w:rPr>
          <w:b w:val="1"/>
          <w:bCs w:val="1"/>
          <w:sz w:val="40"/>
          <w:szCs w:val="40"/>
        </w:rPr>
      </w:pPr>
      <w:r w:rsidDel="00000000" w:rsidR="00000000" w:rsidRPr="00000000">
        <w:rPr>
          <w:b w:val="1"/>
          <w:bCs w:val="1"/>
          <w:sz w:val="40"/>
          <w:szCs w:val="40"/>
          <w:rtl w:val="0"/>
        </w:rPr>
        <w:t xml:space="preserve">HR as a Strategic Risk Mitigator </w:t>
      </w:r>
    </w:p>
    <w:p w:rsidR="00000000" w:rsidDel="00000000" w:rsidP="00000000" w:rsidRDefault="00000000" w:rsidRPr="00000000" w14:paraId="0000000D">
      <w:pPr>
        <w:keepNext w:val="0"/>
        <w:keepLines w:val="0"/>
        <w:spacing w:after="80" w:before="280" w:lineRule="auto"/>
        <w:rPr>
          <w:b w:val="1"/>
          <w:bCs w:val="1"/>
          <w:sz w:val="34"/>
          <w:szCs w:val="34"/>
        </w:rPr>
      </w:pPr>
      <w:r w:rsidDel="00000000" w:rsidR="00000000" w:rsidRPr="00000000">
        <w:rPr>
          <w:b w:val="1"/>
          <w:bCs w:val="1"/>
          <w:sz w:val="34"/>
          <w:szCs w:val="34"/>
          <w:rtl w:val="0"/>
        </w:rPr>
        <w:t xml:space="preserve">Executive Summary </w:t>
      </w:r>
    </w:p>
    <w:p w:rsidR="00000000" w:rsidDel="00000000" w:rsidP="00000000" w:rsidRDefault="00000000" w:rsidRPr="00000000" w14:paraId="0000000E">
      <w:pPr>
        <w:spacing w:before="280" w:lineRule="auto"/>
        <w:rPr/>
      </w:pPr>
      <w:r w:rsidDel="00000000" w:rsidR="00000000" w:rsidRPr="00000000">
        <w:rPr>
          <w:color w:val="111827"/>
          <w:highlight w:val="white"/>
          <w:rtl w:val="0"/>
        </w:rPr>
        <w:t xml:space="preserve">Global financial institutions in London, New York, and Hong Kong operate in a rapidly changing technological, demographic, and geopolitical environment. Through a Risk Lens, IHRM functions as a corporate Risk Management Function to manage Data &amp; Algorithms, People and Capability Stability. Although this Report will primarily reference Banking Exemplars (HSBC and Goldman Sachs), it will demonstrate the Transferability of the concepts to Tech (Google, Apple, TSMC), Hospitality (IHG/Hilton), and Healthcare (Telehealth Providers/Hospitals). Section 2.1 Reframes AI &amp; Automation as Privacy, Bias and Third Party Risks and references NYC's Automated Employment Decision Tool Bias Audit Law and the EU AI Act. Section 2.2 Connects Ageing, Migration and Geopolitics with Duty of Care and Continuity (e.g. HSBC in Hong Kong and Tech Supply Chain Relocations). Section 2.3 Views Skills Gaps as Enterprise Risk utilizing a Build–Buy–Borrow–Bind/Bot Portfolio Model. Section 2.4 Reviews my Capabilities and a Time-Bounded Plan to Lead Risk-Oriented IHRM. The Common Thread: Protect People to Protect Performance.</w:t>
      </w:r>
      <w:r w:rsidDel="00000000" w:rsidR="00000000" w:rsidRPr="00000000">
        <w:rPr>
          <w:rtl w:val="0"/>
        </w:rPr>
      </w:r>
    </w:p>
    <w:p w:rsidR="00000000" w:rsidDel="00000000" w:rsidP="00000000" w:rsidRDefault="00000000" w:rsidRPr="00000000" w14:paraId="0000000F">
      <w:pPr>
        <w:keepNext w:val="0"/>
        <w:keepLines w:val="0"/>
        <w:shd w:fill="ffffff" w:val="clear"/>
        <w:spacing w:after="0" w:before="220" w:line="342.85714285714283" w:lineRule="auto"/>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0"/>
        <w:keepLines w:val="0"/>
        <w:shd w:fill="ffffff" w:val="clear"/>
        <w:spacing w:after="0" w:before="220" w:line="360" w:lineRule="auto"/>
        <w:rPr>
          <w:sz w:val="40"/>
          <w:szCs w:val="40"/>
        </w:rPr>
      </w:pPr>
      <w:r w:rsidDel="00000000" w:rsidR="00000000" w:rsidRPr="00000000">
        <w:rPr>
          <w:b w:val="1"/>
          <w:bCs w:val="1"/>
          <w:sz w:val="40"/>
          <w:szCs w:val="40"/>
          <w:rtl w:val="0"/>
        </w:rPr>
        <w:t xml:space="preserve">Table of Contents</w:t>
      </w:r>
      <w:r w:rsidDel="00000000" w:rsidR="00000000" w:rsidRPr="00000000">
        <w:rPr>
          <w:rtl w:val="0"/>
        </w:rPr>
      </w:r>
    </w:p>
    <w:sdt>
      <w:sdtPr>
        <w:id w:val="669621948"/>
        <w:docPartObj>
          <w:docPartGallery w:val="Table of Contents"/>
          <w:docPartUnique w:val="1"/>
        </w:docPartObj>
      </w:sdtPr>
      <w:sdtContent>
        <w:p w:rsidR="00000000" w:rsidDel="00000000" w:rsidP="00000000" w:rsidRDefault="00000000" w:rsidRPr="00000000" w14:paraId="00000011">
          <w:pPr>
            <w:widowControl w:val="0"/>
            <w:tabs>
              <w:tab w:val="right" w:leader="dot" w:pos="12000"/>
            </w:tabs>
            <w:spacing w:after="0" w:before="60" w:line="360" w:lineRule="auto"/>
            <w:jc w:val="left"/>
            <w:rPr>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w6c6hzspsc9x">
            <w:r w:rsidDel="00000000" w:rsidR="00000000" w:rsidRPr="00000000">
              <w:rPr>
                <w:i w:val="0"/>
                <w:iCs w:val="0"/>
                <w:smallCaps w:val="0"/>
                <w:strike w:val="0"/>
                <w:color w:val="000000"/>
                <w:sz w:val="24"/>
                <w:szCs w:val="24"/>
                <w:u w:val="none"/>
                <w:shd w:fill="auto" w:val="clear"/>
                <w:vertAlign w:val="baseline"/>
                <w:rtl w:val="0"/>
              </w:rPr>
              <w:t xml:space="preserve">1. Introduction</w:t>
              <w:tab/>
              <w:t xml:space="preserve">4</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after="0" w:before="60" w:line="360" w:lineRule="auto"/>
            <w:jc w:val="left"/>
            <w:rPr>
              <w:b w:val="1"/>
              <w:bCs w:val="1"/>
              <w:i w:val="0"/>
              <w:iCs w:val="0"/>
              <w:smallCaps w:val="0"/>
              <w:strike w:val="0"/>
              <w:color w:val="000000"/>
              <w:sz w:val="22"/>
              <w:szCs w:val="22"/>
              <w:u w:val="none"/>
              <w:shd w:fill="auto" w:val="clear"/>
              <w:vertAlign w:val="baseline"/>
            </w:rPr>
          </w:pPr>
          <w:hyperlink w:anchor="_byc1b9xe2dgv">
            <w:r w:rsidDel="00000000" w:rsidR="00000000" w:rsidRPr="00000000">
              <w:rPr>
                <w:i w:val="0"/>
                <w:iCs w:val="0"/>
                <w:smallCaps w:val="0"/>
                <w:strike w:val="0"/>
                <w:color w:val="000000"/>
                <w:sz w:val="24"/>
                <w:szCs w:val="24"/>
                <w:u w:val="none"/>
                <w:shd w:fill="auto" w:val="clear"/>
                <w:vertAlign w:val="baseline"/>
                <w:rtl w:val="0"/>
              </w:rPr>
              <w:t xml:space="preserve">2, Technological Advancements: A New Frontier of Risk</w:t>
              <w:tab/>
              <w:t xml:space="preserve">5</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csycpo2tqw2">
            <w:r w:rsidDel="00000000" w:rsidR="00000000" w:rsidRPr="00000000">
              <w:rPr>
                <w:i w:val="0"/>
                <w:iCs w:val="0"/>
                <w:smallCaps w:val="0"/>
                <w:strike w:val="0"/>
                <w:color w:val="000000"/>
                <w:sz w:val="22"/>
                <w:szCs w:val="22"/>
                <w:u w:val="none"/>
                <w:shd w:fill="auto" w:val="clear"/>
                <w:vertAlign w:val="baseline"/>
                <w:rtl w:val="0"/>
              </w:rPr>
              <w:t xml:space="preserve">2.1 From efficiency to exposure.</w:t>
              <w:tab/>
              <w:t xml:space="preserve">5</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kbajc634amd0">
            <w:r w:rsidDel="00000000" w:rsidR="00000000" w:rsidRPr="00000000">
              <w:rPr>
                <w:i w:val="0"/>
                <w:iCs w:val="0"/>
                <w:smallCaps w:val="0"/>
                <w:strike w:val="0"/>
                <w:color w:val="000000"/>
                <w:sz w:val="22"/>
                <w:szCs w:val="22"/>
                <w:u w:val="none"/>
                <w:shd w:fill="auto" w:val="clear"/>
                <w:vertAlign w:val="baseline"/>
                <w:rtl w:val="0"/>
              </w:rPr>
              <w:t xml:space="preserve">2.2 Privacy and third-party risk.</w:t>
              <w:tab/>
              <w:t xml:space="preserve">5</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q2dr94mgohwv">
            <w:r w:rsidDel="00000000" w:rsidR="00000000" w:rsidRPr="00000000">
              <w:rPr>
                <w:i w:val="0"/>
                <w:iCs w:val="0"/>
                <w:smallCaps w:val="0"/>
                <w:strike w:val="0"/>
                <w:color w:val="000000"/>
                <w:sz w:val="22"/>
                <w:szCs w:val="22"/>
                <w:u w:val="none"/>
                <w:shd w:fill="auto" w:val="clear"/>
                <w:vertAlign w:val="baseline"/>
                <w:rtl w:val="0"/>
              </w:rPr>
              <w:t xml:space="preserve">2.3 Algorithmic bias and reputational risk (cross-sector).</w:t>
              <w:tab/>
              <w:t xml:space="preserve">5</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5jif5m2n0juz">
            <w:r w:rsidDel="00000000" w:rsidR="00000000" w:rsidRPr="00000000">
              <w:rPr>
                <w:i w:val="0"/>
                <w:iCs w:val="0"/>
                <w:smallCaps w:val="0"/>
                <w:strike w:val="0"/>
                <w:color w:val="000000"/>
                <w:sz w:val="22"/>
                <w:szCs w:val="22"/>
                <w:u w:val="none"/>
                <w:shd w:fill="auto" w:val="clear"/>
                <w:vertAlign w:val="baseline"/>
                <w:rtl w:val="0"/>
              </w:rPr>
              <w:t xml:space="preserve">2.4 Sectoral Difference in Different Settings</w:t>
              <w:tab/>
              <w:t xml:space="preserve">6</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lawb69d43s28">
            <w:r w:rsidDel="00000000" w:rsidR="00000000" w:rsidRPr="00000000">
              <w:rPr>
                <w:i w:val="0"/>
                <w:iCs w:val="0"/>
                <w:smallCaps w:val="0"/>
                <w:strike w:val="0"/>
                <w:color w:val="000000"/>
                <w:sz w:val="22"/>
                <w:szCs w:val="22"/>
                <w:u w:val="none"/>
                <w:shd w:fill="auto" w:val="clear"/>
                <w:vertAlign w:val="baseline"/>
                <w:rtl w:val="0"/>
              </w:rPr>
              <w:t xml:space="preserve">2.5 Implications for HR/IHRM—mitigation playbook.</w:t>
              <w:tab/>
              <w:t xml:space="preserve">7</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after="0" w:before="60" w:line="360" w:lineRule="auto"/>
            <w:jc w:val="left"/>
            <w:rPr>
              <w:b w:val="1"/>
              <w:bCs w:val="1"/>
              <w:i w:val="0"/>
              <w:iCs w:val="0"/>
              <w:smallCaps w:val="0"/>
              <w:strike w:val="0"/>
              <w:color w:val="000000"/>
              <w:sz w:val="22"/>
              <w:szCs w:val="22"/>
              <w:u w:val="none"/>
              <w:shd w:fill="auto" w:val="clear"/>
              <w:vertAlign w:val="baseline"/>
            </w:rPr>
          </w:pPr>
          <w:hyperlink w:anchor="_73xrdopwdx0x">
            <w:r w:rsidDel="00000000" w:rsidR="00000000" w:rsidRPr="00000000">
              <w:rPr>
                <w:i w:val="0"/>
                <w:iCs w:val="0"/>
                <w:smallCaps w:val="0"/>
                <w:strike w:val="0"/>
                <w:color w:val="000000"/>
                <w:sz w:val="24"/>
                <w:szCs w:val="24"/>
                <w:u w:val="none"/>
                <w:shd w:fill="auto" w:val="clear"/>
                <w:vertAlign w:val="baseline"/>
                <w:rtl w:val="0"/>
              </w:rPr>
              <w:t xml:space="preserve">3. Demographic and Geopolitical Factors as Primary Threats</w:t>
              <w:tab/>
              <w:t xml:space="preserve">8</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plk6y1yb37b6">
            <w:r w:rsidDel="00000000" w:rsidR="00000000" w:rsidRPr="00000000">
              <w:rPr>
                <w:i w:val="0"/>
                <w:iCs w:val="0"/>
                <w:smallCaps w:val="0"/>
                <w:strike w:val="0"/>
                <w:color w:val="000000"/>
                <w:sz w:val="22"/>
                <w:szCs w:val="22"/>
                <w:u w:val="none"/>
                <w:shd w:fill="auto" w:val="clear"/>
                <w:vertAlign w:val="baseline"/>
                <w:rtl w:val="0"/>
              </w:rPr>
              <w:t xml:space="preserve">3.1 Ageing and knowledge attrition.</w:t>
              <w:tab/>
              <w:t xml:space="preserve">8</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cp01rvr01i23">
            <w:r w:rsidDel="00000000" w:rsidR="00000000" w:rsidRPr="00000000">
              <w:rPr>
                <w:i w:val="0"/>
                <w:iCs w:val="0"/>
                <w:smallCaps w:val="0"/>
                <w:strike w:val="0"/>
                <w:color w:val="000000"/>
                <w:sz w:val="22"/>
                <w:szCs w:val="22"/>
                <w:u w:val="none"/>
                <w:shd w:fill="auto" w:val="clear"/>
                <w:vertAlign w:val="baseline"/>
                <w:rtl w:val="0"/>
              </w:rPr>
              <w:t xml:space="preserve">3.2 Migration and hospitality dependence.</w:t>
              <w:tab/>
              <w:t xml:space="preserve">8</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uopnq4qm07p3">
            <w:r w:rsidDel="00000000" w:rsidR="00000000" w:rsidRPr="00000000">
              <w:rPr>
                <w:i w:val="0"/>
                <w:iCs w:val="0"/>
                <w:smallCaps w:val="0"/>
                <w:strike w:val="0"/>
                <w:color w:val="000000"/>
                <w:sz w:val="22"/>
                <w:szCs w:val="22"/>
                <w:u w:val="none"/>
                <w:shd w:fill="auto" w:val="clear"/>
                <w:vertAlign w:val="baseline"/>
                <w:rtl w:val="0"/>
              </w:rPr>
              <w:t xml:space="preserve">3.3 Geopolitical shocks—finance and tech.</w:t>
              <w:tab/>
              <w:t xml:space="preserve">8</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ccnbh0ccduuc">
            <w:r w:rsidDel="00000000" w:rsidR="00000000" w:rsidRPr="00000000">
              <w:rPr>
                <w:i w:val="0"/>
                <w:iCs w:val="0"/>
                <w:smallCaps w:val="0"/>
                <w:strike w:val="0"/>
                <w:color w:val="000000"/>
                <w:sz w:val="22"/>
                <w:szCs w:val="22"/>
                <w:u w:val="none"/>
                <w:shd w:fill="auto" w:val="clear"/>
                <w:vertAlign w:val="baseline"/>
                <w:rtl w:val="0"/>
              </w:rPr>
              <w:t xml:space="preserve">3.4 Human impact, not just headcount.</w:t>
              <w:tab/>
              <w:t xml:space="preserve">9</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9fzwxdy96ocg">
            <w:r w:rsidDel="00000000" w:rsidR="00000000" w:rsidRPr="00000000">
              <w:rPr>
                <w:i w:val="0"/>
                <w:iCs w:val="0"/>
                <w:smallCaps w:val="0"/>
                <w:strike w:val="0"/>
                <w:color w:val="000000"/>
                <w:sz w:val="22"/>
                <w:szCs w:val="22"/>
                <w:u w:val="none"/>
                <w:shd w:fill="auto" w:val="clear"/>
                <w:vertAlign w:val="baseline"/>
                <w:rtl w:val="0"/>
              </w:rPr>
              <w:t xml:space="preserve">3.5 Mitigations—making the implicit explicit.</w:t>
              <w:tab/>
              <w:t xml:space="preserve">10</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after="0" w:before="60" w:line="360" w:lineRule="auto"/>
            <w:jc w:val="left"/>
            <w:rPr>
              <w:b w:val="1"/>
              <w:bCs w:val="1"/>
              <w:i w:val="0"/>
              <w:iCs w:val="0"/>
              <w:smallCaps w:val="0"/>
              <w:strike w:val="0"/>
              <w:color w:val="000000"/>
              <w:sz w:val="22"/>
              <w:szCs w:val="22"/>
              <w:u w:val="none"/>
              <w:shd w:fill="auto" w:val="clear"/>
              <w:vertAlign w:val="baseline"/>
            </w:rPr>
          </w:pPr>
          <w:hyperlink w:anchor="_q4uhc4rsmlkm">
            <w:r w:rsidDel="00000000" w:rsidR="00000000" w:rsidRPr="00000000">
              <w:rPr>
                <w:i w:val="0"/>
                <w:iCs w:val="0"/>
                <w:smallCaps w:val="0"/>
                <w:strike w:val="0"/>
                <w:color w:val="000000"/>
                <w:sz w:val="24"/>
                <w:szCs w:val="24"/>
                <w:u w:val="none"/>
                <w:shd w:fill="auto" w:val="clear"/>
                <w:vertAlign w:val="baseline"/>
                <w:rtl w:val="0"/>
              </w:rPr>
              <w:t xml:space="preserve">4. Closing Skills Gaps: The Build–Buy–Borrow–Bind (and Bot) Portfolio</w:t>
              <w:tab/>
              <w:t xml:space="preserve">11</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f48txvbbd8q0">
            <w:r w:rsidDel="00000000" w:rsidR="00000000" w:rsidRPr="00000000">
              <w:rPr>
                <w:i w:val="0"/>
                <w:iCs w:val="0"/>
                <w:smallCaps w:val="0"/>
                <w:strike w:val="0"/>
                <w:color w:val="000000"/>
                <w:sz w:val="22"/>
                <w:szCs w:val="22"/>
                <w:u w:val="none"/>
                <w:shd w:fill="auto" w:val="clear"/>
                <w:vertAlign w:val="baseline"/>
                <w:rtl w:val="0"/>
              </w:rPr>
              <w:t xml:space="preserve">4.1 Skills Gaps as Enterprise Risk</w:t>
              <w:tab/>
              <w:t xml:space="preserve">11</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o74s23c04ulm">
            <w:r w:rsidDel="00000000" w:rsidR="00000000" w:rsidRPr="00000000">
              <w:rPr>
                <w:i w:val="0"/>
                <w:iCs w:val="0"/>
                <w:smallCaps w:val="0"/>
                <w:strike w:val="0"/>
                <w:color w:val="000000"/>
                <w:sz w:val="22"/>
                <w:szCs w:val="22"/>
                <w:u w:val="none"/>
                <w:shd w:fill="auto" w:val="clear"/>
                <w:vertAlign w:val="baseline"/>
                <w:rtl w:val="0"/>
              </w:rPr>
              <w:t xml:space="preserve">4.2 Buy (Acquire): Speed with Volatility</w:t>
              <w:tab/>
              <w:t xml:space="preserve">11</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46i0axvje7wl">
            <w:r w:rsidDel="00000000" w:rsidR="00000000" w:rsidRPr="00000000">
              <w:rPr>
                <w:i w:val="0"/>
                <w:iCs w:val="0"/>
                <w:smallCaps w:val="0"/>
                <w:strike w:val="0"/>
                <w:color w:val="000000"/>
                <w:sz w:val="22"/>
                <w:szCs w:val="22"/>
                <w:u w:val="none"/>
                <w:shd w:fill="auto" w:val="clear"/>
                <w:vertAlign w:val="baseline"/>
                <w:rtl w:val="0"/>
              </w:rPr>
              <w:t xml:space="preserve">4.3 Build (Develop): Resilience at Source</w:t>
              <w:tab/>
              <w:t xml:space="preserve">11</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1kz35z32jh3n">
            <w:r w:rsidDel="00000000" w:rsidR="00000000" w:rsidRPr="00000000">
              <w:rPr>
                <w:i w:val="0"/>
                <w:iCs w:val="0"/>
                <w:smallCaps w:val="0"/>
                <w:strike w:val="0"/>
                <w:color w:val="000000"/>
                <w:sz w:val="22"/>
                <w:szCs w:val="22"/>
                <w:u w:val="none"/>
                <w:shd w:fill="auto" w:val="clear"/>
                <w:vertAlign w:val="baseline"/>
                <w:rtl w:val="0"/>
              </w:rPr>
              <w:t xml:space="preserve">4.4 Borrow (Contract/Agency): Flexibility with Control Risk</w:t>
              <w:tab/>
              <w:t xml:space="preserve">12</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lg30x4r3zwic">
            <w:r w:rsidDel="00000000" w:rsidR="00000000" w:rsidRPr="00000000">
              <w:rPr>
                <w:i w:val="0"/>
                <w:iCs w:val="0"/>
                <w:smallCaps w:val="0"/>
                <w:strike w:val="0"/>
                <w:color w:val="000000"/>
                <w:sz w:val="22"/>
                <w:szCs w:val="22"/>
                <w:u w:val="none"/>
                <w:shd w:fill="auto" w:val="clear"/>
                <w:vertAlign w:val="baseline"/>
                <w:rtl w:val="0"/>
              </w:rPr>
              <w:t xml:space="preserve">4.5 Bind (Retain): The Ultimate Mitigation</w:t>
              <w:tab/>
              <w:t xml:space="preserve">12</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fs8q872w5wej">
            <w:r w:rsidDel="00000000" w:rsidR="00000000" w:rsidRPr="00000000">
              <w:rPr>
                <w:i w:val="0"/>
                <w:iCs w:val="0"/>
                <w:smallCaps w:val="0"/>
                <w:strike w:val="0"/>
                <w:color w:val="000000"/>
                <w:sz w:val="22"/>
                <w:szCs w:val="22"/>
                <w:u w:val="none"/>
                <w:shd w:fill="auto" w:val="clear"/>
                <w:vertAlign w:val="baseline"/>
                <w:rtl w:val="0"/>
              </w:rPr>
              <w:t xml:space="preserve">4.6 Bot (Automate): Capacity with Ethics</w:t>
              <w:tab/>
              <w:t xml:space="preserve">12</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woislatd568r">
            <w:r w:rsidDel="00000000" w:rsidR="00000000" w:rsidRPr="00000000">
              <w:rPr>
                <w:i w:val="0"/>
                <w:iCs w:val="0"/>
                <w:smallCaps w:val="0"/>
                <w:strike w:val="0"/>
                <w:color w:val="000000"/>
                <w:sz w:val="22"/>
                <w:szCs w:val="22"/>
                <w:u w:val="none"/>
                <w:shd w:fill="auto" w:val="clear"/>
                <w:vertAlign w:val="baseline"/>
                <w:rtl w:val="0"/>
              </w:rPr>
              <w:t xml:space="preserve">Putting it together—decision rules and the human experience.</w:t>
              <w:tab/>
              <w:t xml:space="preserve">13</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after="0" w:before="60" w:line="360" w:lineRule="auto"/>
            <w:jc w:val="left"/>
            <w:rPr>
              <w:b w:val="1"/>
              <w:bCs w:val="1"/>
              <w:i w:val="0"/>
              <w:iCs w:val="0"/>
              <w:smallCaps w:val="0"/>
              <w:strike w:val="0"/>
              <w:color w:val="000000"/>
              <w:sz w:val="22"/>
              <w:szCs w:val="22"/>
              <w:u w:val="none"/>
              <w:shd w:fill="auto" w:val="clear"/>
              <w:vertAlign w:val="baseline"/>
            </w:rPr>
          </w:pPr>
          <w:hyperlink w:anchor="_um78m0t62858">
            <w:r w:rsidDel="00000000" w:rsidR="00000000" w:rsidRPr="00000000">
              <w:rPr>
                <w:i w:val="0"/>
                <w:iCs w:val="0"/>
                <w:smallCaps w:val="0"/>
                <w:strike w:val="0"/>
                <w:color w:val="000000"/>
                <w:sz w:val="24"/>
                <w:szCs w:val="24"/>
                <w:u w:val="none"/>
                <w:shd w:fill="auto" w:val="clear"/>
                <w:vertAlign w:val="baseline"/>
                <w:rtl w:val="0"/>
              </w:rPr>
              <w:t xml:space="preserve">5. Reflective Report: Developing a Risk-Oriented (and Human-Centred) HR Perspective</w:t>
              <w:tab/>
              <w:t xml:space="preserve">14</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r8h8g8vyo3e8">
            <w:r w:rsidDel="00000000" w:rsidR="00000000" w:rsidRPr="00000000">
              <w:rPr>
                <w:i w:val="0"/>
                <w:iCs w:val="0"/>
                <w:smallCaps w:val="0"/>
                <w:strike w:val="0"/>
                <w:color w:val="000000"/>
                <w:sz w:val="22"/>
                <w:szCs w:val="22"/>
                <w:u w:val="none"/>
                <w:shd w:fill="auto" w:val="clear"/>
                <w:vertAlign w:val="baseline"/>
                <w:rtl w:val="0"/>
              </w:rPr>
              <w:t xml:space="preserve">5.1 Strengths—analytics, governance mindset, digital collaboration.</w:t>
              <w:tab/>
              <w:t xml:space="preserve">14</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8tke0ihkwpz8">
            <w:r w:rsidDel="00000000" w:rsidR="00000000" w:rsidRPr="00000000">
              <w:rPr>
                <w:i w:val="0"/>
                <w:iCs w:val="0"/>
                <w:smallCaps w:val="0"/>
                <w:strike w:val="0"/>
                <w:color w:val="000000"/>
                <w:sz w:val="22"/>
                <w:szCs w:val="22"/>
                <w:u w:val="none"/>
                <w:shd w:fill="auto" w:val="clear"/>
                <w:vertAlign w:val="baseline"/>
                <w:rtl w:val="0"/>
              </w:rPr>
              <w:t xml:space="preserve">5.2 Weaknesses—crisis communication and change psychology.</w:t>
              <w:tab/>
              <w:t xml:space="preserve">14</w:t>
            </w:r>
          </w:hyperlink>
          <w:r w:rsidDel="00000000" w:rsidR="00000000" w:rsidRPr="00000000">
            <w:rPr>
              <w:rtl w:val="0"/>
            </w:rPr>
          </w:r>
        </w:p>
        <w:p w:rsidR="00000000" w:rsidDel="00000000" w:rsidP="00000000" w:rsidRDefault="00000000" w:rsidRPr="00000000" w14:paraId="00000029">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2bkclen50u13">
            <w:r w:rsidDel="00000000" w:rsidR="00000000" w:rsidRPr="00000000">
              <w:rPr>
                <w:i w:val="0"/>
                <w:iCs w:val="0"/>
                <w:smallCaps w:val="0"/>
                <w:strike w:val="0"/>
                <w:color w:val="000000"/>
                <w:sz w:val="22"/>
                <w:szCs w:val="22"/>
                <w:u w:val="none"/>
                <w:shd w:fill="auto" w:val="clear"/>
                <w:vertAlign w:val="baseline"/>
                <w:rtl w:val="0"/>
              </w:rPr>
              <w:t xml:space="preserve">5.3 Development plan—time-bound and evidence-based.</w:t>
              <w:tab/>
              <w:t xml:space="preserve">15</w:t>
            </w:r>
          </w:hyperlink>
          <w:r w:rsidDel="00000000" w:rsidR="00000000" w:rsidRPr="00000000">
            <w:rPr>
              <w:rtl w:val="0"/>
            </w:rPr>
          </w:r>
        </w:p>
        <w:p w:rsidR="00000000" w:rsidDel="00000000" w:rsidP="00000000" w:rsidRDefault="00000000" w:rsidRPr="00000000" w14:paraId="0000002A">
          <w:pPr>
            <w:widowControl w:val="0"/>
            <w:tabs>
              <w:tab w:val="right" w:leader="dot" w:pos="12000"/>
            </w:tabs>
            <w:spacing w:after="0" w:before="60" w:line="360" w:lineRule="auto"/>
            <w:ind w:left="360" w:firstLine="0"/>
            <w:jc w:val="left"/>
            <w:rPr>
              <w:i w:val="0"/>
              <w:iCs w:val="0"/>
              <w:smallCaps w:val="0"/>
              <w:strike w:val="0"/>
              <w:color w:val="000000"/>
              <w:sz w:val="22"/>
              <w:szCs w:val="22"/>
              <w:u w:val="none"/>
              <w:shd w:fill="auto" w:val="clear"/>
              <w:vertAlign w:val="baseline"/>
            </w:rPr>
          </w:pPr>
          <w:hyperlink w:anchor="_cip79fjjm46j">
            <w:r w:rsidDel="00000000" w:rsidR="00000000" w:rsidRPr="00000000">
              <w:rPr>
                <w:i w:val="0"/>
                <w:iCs w:val="0"/>
                <w:smallCaps w:val="0"/>
                <w:strike w:val="0"/>
                <w:color w:val="000000"/>
                <w:sz w:val="22"/>
                <w:szCs w:val="22"/>
                <w:u w:val="none"/>
                <w:shd w:fill="auto" w:val="clear"/>
                <w:vertAlign w:val="baseline"/>
                <w:rtl w:val="0"/>
              </w:rPr>
              <w:t xml:space="preserve">5.4 Personal ethos—keep people central.</w:t>
              <w:tab/>
              <w:t xml:space="preserve">15</w:t>
            </w:r>
          </w:hyperlink>
          <w:r w:rsidDel="00000000" w:rsidR="00000000" w:rsidRPr="00000000">
            <w:rPr>
              <w:rtl w:val="0"/>
            </w:rPr>
          </w:r>
        </w:p>
        <w:p w:rsidR="00000000" w:rsidDel="00000000" w:rsidP="00000000" w:rsidRDefault="00000000" w:rsidRPr="00000000" w14:paraId="0000002B">
          <w:pPr>
            <w:widowControl w:val="0"/>
            <w:tabs>
              <w:tab w:val="right" w:leader="dot" w:pos="12000"/>
            </w:tabs>
            <w:spacing w:after="0" w:before="60" w:line="360" w:lineRule="auto"/>
            <w:jc w:val="left"/>
            <w:rPr>
              <w:b w:val="1"/>
              <w:bCs w:val="1"/>
              <w:i w:val="0"/>
              <w:iCs w:val="0"/>
              <w:smallCaps w:val="0"/>
              <w:strike w:val="0"/>
              <w:color w:val="000000"/>
              <w:sz w:val="22"/>
              <w:szCs w:val="22"/>
              <w:u w:val="none"/>
              <w:shd w:fill="auto" w:val="clear"/>
              <w:vertAlign w:val="baseline"/>
            </w:rPr>
          </w:pPr>
          <w:hyperlink w:anchor="_o9a2jr4z8gvj">
            <w:r w:rsidDel="00000000" w:rsidR="00000000" w:rsidRPr="00000000">
              <w:rPr>
                <w:i w:val="0"/>
                <w:iCs w:val="0"/>
                <w:smallCaps w:val="0"/>
                <w:strike w:val="0"/>
                <w:color w:val="000000"/>
                <w:sz w:val="24"/>
                <w:szCs w:val="24"/>
                <w:u w:val="none"/>
                <w:shd w:fill="auto" w:val="clear"/>
                <w:vertAlign w:val="baseline"/>
                <w:rtl w:val="0"/>
              </w:rPr>
              <w:t xml:space="preserve">6. Conclusion</w:t>
              <w:tab/>
              <w:t xml:space="preserve">16</w:t>
            </w:r>
          </w:hyperlink>
          <w:r w:rsidDel="00000000" w:rsidR="00000000" w:rsidRPr="00000000">
            <w:rPr>
              <w:rtl w:val="0"/>
            </w:rPr>
          </w:r>
        </w:p>
        <w:p w:rsidR="00000000" w:rsidDel="00000000" w:rsidP="00000000" w:rsidRDefault="00000000" w:rsidRPr="00000000" w14:paraId="0000002C">
          <w:pPr>
            <w:widowControl w:val="0"/>
            <w:tabs>
              <w:tab w:val="right" w:leader="dot" w:pos="12000"/>
            </w:tabs>
            <w:spacing w:after="0" w:before="60" w:line="360" w:lineRule="auto"/>
            <w:jc w:val="left"/>
            <w:rPr>
              <w:b w:val="1"/>
              <w:bCs w:val="1"/>
              <w:i w:val="0"/>
              <w:iCs w:val="0"/>
              <w:smallCaps w:val="0"/>
              <w:strike w:val="0"/>
              <w:color w:val="000000"/>
              <w:sz w:val="22"/>
              <w:szCs w:val="22"/>
              <w:u w:val="none"/>
              <w:shd w:fill="auto" w:val="clear"/>
              <w:vertAlign w:val="baseline"/>
            </w:rPr>
          </w:pPr>
          <w:hyperlink w:anchor="_2ukd66p7703r">
            <w:r w:rsidDel="00000000" w:rsidR="00000000" w:rsidRPr="00000000">
              <w:rPr>
                <w:i w:val="0"/>
                <w:iCs w:val="0"/>
                <w:smallCaps w:val="0"/>
                <w:strike w:val="0"/>
                <w:color w:val="000000"/>
                <w:sz w:val="24"/>
                <w:szCs w:val="24"/>
                <w:u w:val="none"/>
                <w:shd w:fill="auto" w:val="clear"/>
                <w:vertAlign w:val="baseline"/>
                <w:rtl w:val="0"/>
              </w:rPr>
              <w:t xml:space="preserve">7. References List</w:t>
              <w:tab/>
              <w:t xml:space="preserve">17</w:t>
            </w:r>
          </w:hyperlink>
          <w:r w:rsidDel="00000000" w:rsidR="00000000" w:rsidRPr="00000000">
            <w:rPr>
              <w:rtl w:val="0"/>
            </w:rPr>
          </w:r>
        </w:p>
        <w:p w:rsidR="00000000" w:rsidDel="00000000" w:rsidP="00000000" w:rsidRDefault="00000000" w:rsidRPr="00000000" w14:paraId="0000002D">
          <w:pPr>
            <w:widowControl w:val="0"/>
            <w:tabs>
              <w:tab w:val="right" w:leader="dot" w:pos="12000"/>
            </w:tabs>
            <w:spacing w:after="0" w:before="60" w:line="360" w:lineRule="auto"/>
            <w:jc w:val="left"/>
            <w:rPr>
              <w:b w:val="1"/>
              <w:bCs w:val="1"/>
              <w:i w:val="0"/>
              <w:iCs w:val="0"/>
              <w:smallCaps w:val="0"/>
              <w:strike w:val="0"/>
              <w:color w:val="000000"/>
              <w:sz w:val="22"/>
              <w:szCs w:val="22"/>
              <w:u w:val="none"/>
              <w:shd w:fill="auto" w:val="clear"/>
              <w:vertAlign w:val="baseline"/>
            </w:rPr>
          </w:pPr>
          <w:hyperlink w:anchor="_df83jpkf3fqi">
            <w:r w:rsidDel="00000000" w:rsidR="00000000" w:rsidRPr="00000000">
              <w:rPr>
                <w:i w:val="0"/>
                <w:iCs w:val="0"/>
                <w:smallCaps w:val="0"/>
                <w:strike w:val="0"/>
                <w:color w:val="000000"/>
                <w:sz w:val="24"/>
                <w:szCs w:val="24"/>
                <w:u w:val="none"/>
                <w:shd w:fill="auto" w:val="clear"/>
                <w:vertAlign w:val="baseline"/>
                <w:rtl w:val="0"/>
              </w:rPr>
              <w:t xml:space="preserve">8. Appendix: SWOT Analysis</w:t>
              <w:tab/>
              <w:t xml:space="preserve">20</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E">
      <w:pPr>
        <w:keepNext w:val="0"/>
        <w:keepLines w:val="0"/>
        <w:shd w:fill="ffffff" w:val="clear"/>
        <w:spacing w:after="0" w:before="220" w:line="360" w:lineRule="auto"/>
        <w:rPr/>
      </w:pPr>
      <w:r w:rsidDel="00000000" w:rsidR="00000000" w:rsidRPr="00000000">
        <w:rPr>
          <w:rtl w:val="0"/>
        </w:rPr>
      </w:r>
    </w:p>
    <w:p w:rsidR="00000000" w:rsidDel="00000000" w:rsidP="00000000" w:rsidRDefault="00000000" w:rsidRPr="00000000" w14:paraId="0000002F">
      <w:pPr>
        <w:keepNext w:val="0"/>
        <w:keepLines w:val="0"/>
        <w:spacing w:before="280" w:lineRule="auto"/>
        <w:rPr>
          <w:color w:val="111827"/>
          <w:highlight w:val="white"/>
        </w:rPr>
      </w:pPr>
      <w:r w:rsidDel="00000000" w:rsidR="00000000" w:rsidRPr="00000000">
        <w:rPr>
          <w:rtl w:val="0"/>
        </w:rPr>
      </w:r>
    </w:p>
    <w:p w:rsidR="00000000" w:rsidDel="00000000" w:rsidP="00000000" w:rsidRDefault="00000000" w:rsidRPr="00000000" w14:paraId="00000030">
      <w:pPr>
        <w:keepNext w:val="0"/>
        <w:keepLines w:val="0"/>
        <w:spacing w:before="280" w:lineRule="auto"/>
        <w:rPr/>
      </w:pPr>
      <w:r w:rsidDel="00000000" w:rsidR="00000000" w:rsidRPr="00000000">
        <w:rPr>
          <w:rtl w:val="0"/>
        </w:rPr>
      </w:r>
    </w:p>
    <w:p w:rsidR="00000000" w:rsidDel="00000000" w:rsidP="00000000" w:rsidRDefault="00000000" w:rsidRPr="00000000" w14:paraId="00000031">
      <w:pPr>
        <w:pStyle w:val="Heading1"/>
        <w:keepNext w:val="0"/>
        <w:keepLines w:val="0"/>
        <w:spacing w:after="80" w:before="280" w:line="360" w:lineRule="auto"/>
        <w:jc w:val="both"/>
        <w:rPr>
          <w:b w:val="1"/>
          <w:bCs w:val="1"/>
        </w:rPr>
      </w:pPr>
      <w:bookmarkStart w:colFirst="0" w:colLast="0" w:name="_iclesy2jal4q" w:id="1"/>
      <w:bookmarkEnd w:id="1"/>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keepNext w:val="0"/>
        <w:keepLines w:val="0"/>
        <w:spacing w:after="80" w:before="280" w:line="360" w:lineRule="auto"/>
        <w:jc w:val="both"/>
        <w:rPr>
          <w:rFonts w:ascii="Times New Roman" w:cs="Times New Roman" w:eastAsia="Times New Roman" w:hAnsi="Times New Roman"/>
          <w:sz w:val="24"/>
          <w:szCs w:val="24"/>
        </w:rPr>
      </w:pPr>
      <w:bookmarkStart w:colFirst="0" w:colLast="0" w:name="_w6c6hzspsc9x" w:id="2"/>
      <w:bookmarkEnd w:id="2"/>
      <w:r w:rsidDel="00000000" w:rsidR="00000000" w:rsidRPr="00000000">
        <w:rPr>
          <w:rFonts w:ascii="Times New Roman" w:cs="Times New Roman" w:eastAsia="Times New Roman" w:hAnsi="Times New Roman"/>
          <w:b w:val="1"/>
          <w:bCs w:val="1"/>
          <w:rtl w:val="0"/>
        </w:rPr>
        <w:t xml:space="preserve">1. Introduction </w:t>
      </w:r>
      <w:r w:rsidDel="00000000" w:rsidR="00000000" w:rsidRPr="00000000">
        <w:rPr>
          <w:rtl w:val="0"/>
        </w:rPr>
      </w:r>
    </w:p>
    <w:p w:rsidR="00000000" w:rsidDel="00000000" w:rsidP="00000000" w:rsidRDefault="00000000" w:rsidRPr="00000000" w14:paraId="00000033">
      <w:pPr>
        <w:spacing w:after="80" w:before="280" w:lineRule="auto"/>
        <w:rPr/>
      </w:pPr>
      <w:r w:rsidDel="00000000" w:rsidR="00000000" w:rsidRPr="00000000">
        <w:rPr>
          <w:rtl w:val="0"/>
        </w:rPr>
        <w:t xml:space="preserve">Global Labour Markets are Changing due to AI Diffusion, Datafication, Demographic Ageing, Migration and Geopolitical Changes. These changes manifest as People-Risk in Global Finance as Obsolete Skills, Location Shocks, Compliance Failures and Trust Erosion (CIPD, 2023; HHS, 2023). The central argument of this report is Simple and Sector-Agnostic: IHRM Must be viewed as an Enterprise Risk Capability by Integrating Ethics-by-Design, Crisis-Ready Mobility and Portfolio-Based Talent Strategies. While Finance Serves as the primary focus for this analysis (HSBC and Goldman Sachs), similar Dynamics exist within Tech (AI Governance), Hospitality (Automation and Migrant-Labor Dependence) and Healthcare (Telehealth Privacy; Nurse Shortages) which supports the Wider Applicability of the Human Imperative.</w:t>
      </w:r>
    </w:p>
    <w:p w:rsidR="00000000" w:rsidDel="00000000" w:rsidP="00000000" w:rsidRDefault="00000000" w:rsidRPr="00000000" w14:paraId="00000034">
      <w:pPr>
        <w:spacing w:after="80" w:before="280" w:lineRule="auto"/>
        <w:rPr/>
      </w:pPr>
      <w:r w:rsidDel="00000000" w:rsidR="00000000" w:rsidRPr="00000000">
        <w:rPr>
          <w:rtl w:val="0"/>
        </w:rPr>
      </w:r>
    </w:p>
    <w:p w:rsidR="00000000" w:rsidDel="00000000" w:rsidP="00000000" w:rsidRDefault="00000000" w:rsidRPr="00000000" w14:paraId="00000035">
      <w:pPr>
        <w:keepNext w:val="0"/>
        <w:keepLines w:val="0"/>
        <w:spacing w:after="80" w:before="280" w:lineRule="auto"/>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keepNext w:val="0"/>
        <w:keepLines w:val="0"/>
        <w:spacing w:after="80" w:before="360" w:line="360" w:lineRule="auto"/>
        <w:jc w:val="both"/>
        <w:rPr>
          <w:rFonts w:ascii="Times New Roman" w:cs="Times New Roman" w:eastAsia="Times New Roman" w:hAnsi="Times New Roman"/>
          <w:b w:val="1"/>
          <w:bCs w:val="1"/>
        </w:rPr>
      </w:pPr>
      <w:bookmarkStart w:colFirst="0" w:colLast="0" w:name="_byc1b9xe2dgv" w:id="3"/>
      <w:bookmarkEnd w:id="3"/>
      <w:r w:rsidDel="00000000" w:rsidR="00000000" w:rsidRPr="00000000">
        <w:rPr>
          <w:rFonts w:ascii="Times New Roman" w:cs="Times New Roman" w:eastAsia="Times New Roman" w:hAnsi="Times New Roman"/>
          <w:b w:val="1"/>
          <w:bCs w:val="1"/>
          <w:rtl w:val="0"/>
        </w:rPr>
        <w:t xml:space="preserve">2, Technological Advancements: A New Frontier of Risk </w:t>
      </w:r>
    </w:p>
    <w:p w:rsidR="00000000" w:rsidDel="00000000" w:rsidP="00000000" w:rsidRDefault="00000000" w:rsidRPr="00000000" w14:paraId="00000037">
      <w:pPr>
        <w:pStyle w:val="Heading2"/>
        <w:rPr>
          <w:b w:val="1"/>
          <w:bCs w:val="1"/>
        </w:rPr>
      </w:pPr>
      <w:bookmarkStart w:colFirst="0" w:colLast="0" w:name="_csycpo2tqw2" w:id="4"/>
      <w:bookmarkEnd w:id="4"/>
      <w:r w:rsidDel="00000000" w:rsidR="00000000" w:rsidRPr="00000000">
        <w:rPr>
          <w:rtl w:val="0"/>
        </w:rPr>
        <w:t xml:space="preserve">2.1 From efficiency to exposure.</w:t>
      </w: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While AI and Automation contribute to Scale in Trading, Surveillance and Client Service, they Create Operational, Compliance and Ethical Risks for Firms if HR Does Not Develop Guard Rails. NYC's Local Law 144 Requires Employers to Perform Bias Audits and Provide Candidate Notice Prior to Using Automated Employment Decision Tools to Make Hiring Decisions; thus creating a de facto Benchmark for Global Firms that Want to Harmonize their HR Controls (NYC DCWP, 2023). Similar Expectations Exist Elsewhere, Including EU-Focused Guidance Which Classify Many Uses of AI by HR (Screening, Evaluation, Monitoring) as "High-Risk" Under the EU AI Act and Impose Obligations for Risk Management, Human Oversight and Transparency (Clifford Chance, 2024).</w:t>
      </w:r>
    </w:p>
    <w:p w:rsidR="00000000" w:rsidDel="00000000" w:rsidP="00000000" w:rsidRDefault="00000000" w:rsidRPr="00000000" w14:paraId="00000039">
      <w:pPr>
        <w:pStyle w:val="Heading2"/>
        <w:rPr/>
      </w:pPr>
      <w:bookmarkStart w:colFirst="0" w:colLast="0" w:name="_kbajc634amd0" w:id="5"/>
      <w:bookmarkEnd w:id="5"/>
      <w:r w:rsidDel="00000000" w:rsidR="00000000" w:rsidRPr="00000000">
        <w:rPr>
          <w:rtl w:val="0"/>
        </w:rPr>
        <w:t xml:space="preserve">2.2 Privacy and third-party risk.</w:t>
      </w:r>
    </w:p>
    <w:p w:rsidR="00000000" w:rsidDel="00000000" w:rsidP="00000000" w:rsidRDefault="00000000" w:rsidRPr="00000000" w14:paraId="0000003A">
      <w:pPr>
        <w:spacing w:after="240" w:before="240" w:line="360" w:lineRule="auto"/>
        <w:jc w:val="both"/>
        <w:rPr/>
      </w:pPr>
      <w:r w:rsidDel="00000000" w:rsidR="00000000" w:rsidRPr="00000000">
        <w:rPr>
          <w:color w:val="111827"/>
          <w:highlight w:val="white"/>
          <w:rtl w:val="0"/>
        </w:rPr>
        <w:t xml:space="preserve">HR Platforms Concentrate Sensitive Employee Data (Payroll, Health, Performance); the MOVEit/Zellis Payroll Breach in 2023 Exposed Payroll and Personal Data for Workers at Multiple Blue-Chip Employers Illustrating How a Single Supplier Compromise Can Trigger Cross-Client HR Crises (Techmonitor, 2023). For HR, This is Classic Third-Party Risk: Due Diligence on HR Technology Vendors, Least Privilege Access, Contractual Security Obligations and Rehearsed Incident Response Playbooks Become Core People Risk Controls, Rather than Simply "IT Issues".</w:t>
      </w:r>
      <w:r w:rsidDel="00000000" w:rsidR="00000000" w:rsidRPr="00000000">
        <w:rPr>
          <w:rtl w:val="0"/>
        </w:rPr>
      </w:r>
    </w:p>
    <w:p w:rsidR="00000000" w:rsidDel="00000000" w:rsidP="00000000" w:rsidRDefault="00000000" w:rsidRPr="00000000" w14:paraId="0000003B">
      <w:pPr>
        <w:pStyle w:val="Heading2"/>
        <w:rPr/>
      </w:pPr>
      <w:bookmarkStart w:colFirst="0" w:colLast="0" w:name="_q2dr94mgohwv" w:id="6"/>
      <w:bookmarkEnd w:id="6"/>
      <w:r w:rsidDel="00000000" w:rsidR="00000000" w:rsidRPr="00000000">
        <w:rPr>
          <w:rtl w:val="0"/>
        </w:rPr>
        <w:t xml:space="preserve">2.3 Algorithmic bias and reputational risk (cross-sector).</w:t>
      </w:r>
    </w:p>
    <w:p w:rsidR="00000000" w:rsidDel="00000000" w:rsidP="00000000" w:rsidRDefault="00000000" w:rsidRPr="00000000" w14:paraId="0000003C">
      <w:pPr>
        <w:spacing w:after="240" w:before="240" w:line="360" w:lineRule="auto"/>
        <w:jc w:val="both"/>
        <w:rPr/>
      </w:pPr>
      <w:r w:rsidDel="00000000" w:rsidR="00000000" w:rsidRPr="00000000">
        <w:rPr>
          <w:color w:val="111827"/>
          <w:highlight w:val="white"/>
          <w:rtl w:val="0"/>
        </w:rPr>
        <w:t xml:space="preserve">Early in 2024, Google's Gemini Generated Historically Inaccurate, Racially Biased Images; Google Paused People Image Generation and Stated Some Outputs Were "Unacceptable" (The Verge, 2024; Reuters, 2024). The Episode Demonstrates That Even Well-Intentioned Models Can Amplify Bias — Especially Hazardous If Embedded in Recruitment or Performance Tools. Kellogg, Valentine and Christin (2020) Show How Algorithims Shape Organizational Control and Create a "Contested Terrain" of Power and Accountability That HR Must Govern, Not Merely Consume.</w:t>
      </w:r>
      <w:r w:rsidDel="00000000" w:rsidR="00000000" w:rsidRPr="00000000">
        <w:rPr>
          <w:rtl w:val="0"/>
        </w:rPr>
      </w:r>
    </w:p>
    <w:p w:rsidR="00000000" w:rsidDel="00000000" w:rsidP="00000000" w:rsidRDefault="00000000" w:rsidRPr="00000000" w14:paraId="0000003D">
      <w:pPr>
        <w:pStyle w:val="Heading2"/>
        <w:rPr/>
      </w:pPr>
      <w:bookmarkStart w:colFirst="0" w:colLast="0" w:name="_5jif5m2n0juz" w:id="7"/>
      <w:bookmarkEnd w:id="7"/>
      <w:r w:rsidDel="00000000" w:rsidR="00000000" w:rsidRPr="00000000">
        <w:rPr>
          <w:rtl w:val="0"/>
        </w:rPr>
        <w:t xml:space="preserve">2.4 Sectoral Difference in Different Settings</w:t>
      </w:r>
    </w:p>
    <w:tbl>
      <w:tblPr>
        <w:tblStyle w:val="Table1"/>
        <w:tblW w:w="937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350"/>
        <w:gridCol w:w="2445"/>
        <w:gridCol w:w="2295"/>
        <w:gridCol w:w="3285"/>
        <w:tblGridChange w:id="0">
          <w:tblGrid>
            <w:gridCol w:w="1350"/>
            <w:gridCol w:w="2445"/>
            <w:gridCol w:w="2295"/>
            <w:gridCol w:w="3285"/>
          </w:tblGrid>
        </w:tblGridChange>
      </w:tblGrid>
      <w:tr>
        <w:trPr>
          <w:cantSplit w:val="0"/>
          <w:trHeight w:val="515"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3E">
            <w:pPr>
              <w:spacing w:line="24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Sector</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3F">
            <w:pPr>
              <w:spacing w:line="24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AI / Digital Use Case</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0">
            <w:pPr>
              <w:spacing w:line="24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Key Risks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1">
            <w:pPr>
              <w:spacing w:line="24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HR Focus</w:t>
            </w:r>
          </w:p>
        </w:tc>
      </w:tr>
      <w:tr>
        <w:trPr>
          <w:cantSplit w:val="0"/>
          <w:trHeight w:val="107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2">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Banking</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3">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Algorithmic screening, always-on monitoring tools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4">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Discrimination, privacy breaches, over-monitoring</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5">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Ensure proportionality, run/document bias tests, challenge vendors (NYC DCWP, 2023).</w:t>
            </w:r>
          </w:p>
        </w:tc>
      </w:tr>
      <w:tr>
        <w:trPr>
          <w:cantSplit w:val="0"/>
          <w:trHeight w:val="107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6">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Hospitality</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7">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Gen-AI travel planner (e.g. IHG with Google Cloud)</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8">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Job change for call-centre &amp; front-desk, deskilling</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9">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Redesign roles, reskill staff, use AI to augment not replace (IHG Hotels &amp; Resorts and Google Cloud, 2024).</w:t>
            </w:r>
          </w:p>
        </w:tc>
      </w:tr>
      <w:tr>
        <w:trPr>
          <w:cantSplit w:val="0"/>
          <w:trHeight w:val="107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A">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Healthcare</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B">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Telehealth: video consults, remote monitoring, virtual triage</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C">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HIPAA/privacy issues, data security in homes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4D">
            <w:pPr>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Train staff on PHI handling, secure remote work practices (HHS, 2023).</w:t>
            </w:r>
          </w:p>
        </w:tc>
      </w:tr>
    </w:tbl>
    <w:p w:rsidR="00000000" w:rsidDel="00000000" w:rsidP="00000000" w:rsidRDefault="00000000" w:rsidRPr="00000000" w14:paraId="0000004E">
      <w:pPr>
        <w:spacing w:after="240" w:before="240" w:line="360" w:lineRule="auto"/>
        <w:jc w:val="center"/>
        <w:rPr>
          <w:i w:val="1"/>
          <w:iCs w:val="1"/>
        </w:rPr>
      </w:pPr>
      <w:r w:rsidDel="00000000" w:rsidR="00000000" w:rsidRPr="00000000">
        <w:rPr>
          <w:i w:val="1"/>
          <w:iCs w:val="1"/>
          <w:rtl w:val="0"/>
        </w:rPr>
        <w:t xml:space="preserve">Table 1: Sectoral use cases, risks and HR focus</w:t>
      </w:r>
    </w:p>
    <w:p w:rsidR="00000000" w:rsidDel="00000000" w:rsidP="00000000" w:rsidRDefault="00000000" w:rsidRPr="00000000" w14:paraId="0000004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table contrasts how similar AI/automation risks show up differently across sectors. Banking grapples with fairness and surveillance, hospitality with changing customer-service roles, and healthcare with strict privacy/security duties. In each case, HR’s job is to shape how work is redesigned, ensure compliance, and protect employees from unfair or unsafe uses of AI.</w:t>
      </w:r>
    </w:p>
    <w:p w:rsidR="00000000" w:rsidDel="00000000" w:rsidP="00000000" w:rsidRDefault="00000000" w:rsidRPr="00000000" w14:paraId="00000050">
      <w:pPr>
        <w:spacing w:after="240" w:before="240" w:line="360" w:lineRule="auto"/>
        <w:jc w:val="both"/>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51">
      <w:pPr>
        <w:pStyle w:val="Heading2"/>
        <w:rPr/>
      </w:pPr>
      <w:bookmarkStart w:colFirst="0" w:colLast="0" w:name="_lawb69d43s28" w:id="8"/>
      <w:bookmarkEnd w:id="8"/>
      <w:r w:rsidDel="00000000" w:rsidR="00000000" w:rsidRPr="00000000">
        <w:rPr>
          <w:rtl w:val="0"/>
        </w:rPr>
        <w:t xml:space="preserve">2.5 Implications for HR/IHRM—mitigation playbook.</w:t>
      </w:r>
    </w:p>
    <w:p w:rsidR="00000000" w:rsidDel="00000000" w:rsidP="00000000" w:rsidRDefault="00000000" w:rsidRPr="00000000" w14:paraId="00000052">
      <w:pPr>
        <w:spacing w:after="240" w:before="240" w:line="360" w:lineRule="auto"/>
        <w:jc w:val="center"/>
        <w:rPr>
          <w:i w:val="1"/>
          <w:iCs w:val="1"/>
        </w:rPr>
      </w:pPr>
      <w:r w:rsidDel="00000000" w:rsidR="00000000" w:rsidRPr="00000000">
        <w:rPr>
          <w:b w:val="1"/>
          <w:bCs w:val="1"/>
        </w:rPr>
        <w:drawing>
          <wp:inline distB="114300" distT="114300" distL="114300" distR="114300">
            <wp:extent cx="5943600" cy="3606800"/>
            <wp:effectExtent b="0" l="0" r="0" t="0"/>
            <wp:docPr id="1"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3606800"/>
                    </a:xfrm>
                    <a:prstGeom prst="rect"/>
                    <a:ln/>
                  </pic:spPr>
                </pic:pic>
              </a:graphicData>
            </a:graphic>
          </wp:inline>
        </w:drawing>
      </w:r>
      <w:r w:rsidDel="00000000" w:rsidR="00000000" w:rsidRPr="00000000">
        <w:rPr>
          <w:i w:val="1"/>
          <w:iCs w:val="1"/>
          <w:rtl w:val="0"/>
        </w:rPr>
        <w:t xml:space="preserve">Table 2: Mitigation playbook with IHRM actions</w:t>
      </w:r>
    </w:p>
    <w:p w:rsidR="00000000" w:rsidDel="00000000" w:rsidP="00000000" w:rsidRDefault="00000000" w:rsidRPr="00000000" w14:paraId="00000053">
      <w:pPr>
        <w:spacing w:after="240" w:before="240" w:line="360" w:lineRule="auto"/>
        <w:jc w:val="both"/>
        <w:rPr>
          <w:rFonts w:ascii="Times New Roman" w:cs="Times New Roman" w:eastAsia="Times New Roman" w:hAnsi="Times New Roman"/>
          <w:sz w:val="24"/>
          <w:szCs w:val="24"/>
        </w:rPr>
      </w:pPr>
      <w:r w:rsidDel="00000000" w:rsidR="00000000" w:rsidRPr="00000000">
        <w:rPr>
          <w:color w:val="111827"/>
          <w:highlight w:val="white"/>
          <w:rtl w:val="0"/>
        </w:rPr>
        <w:t xml:space="preserve">HR/IHRM is positioned within this mitigation playbook as a steward of responsible AI practices. Through building governance structures around model risk, developing formal policy frameworks and employee-level literacies, as well as through defined monitoring processes for third party HR technology vendors, HR/IHRM can mitigate both operational/legal/ethical risks associated with using AI in People Management, as well as realize many of the potential benefits of using AI in People Management.</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Indeed, these technological advancements do not exist in a vacuum; they intersect with and </w:t>
      </w:r>
      <w:r w:rsidDel="00000000" w:rsidR="00000000" w:rsidRPr="00000000">
        <w:rPr>
          <w:color w:val="111827"/>
          <w:highlight w:val="white"/>
          <w:rtl w:val="0"/>
        </w:rPr>
        <w:t xml:space="preserve">further underscores the importance of developing thoughtful and strategic approaches to managing those factors.</w:t>
      </w:r>
      <w:r w:rsidDel="00000000" w:rsidR="00000000" w:rsidRPr="00000000">
        <w:rPr>
          <w:rtl w:val="0"/>
        </w:rPr>
      </w:r>
    </w:p>
    <w:p w:rsidR="00000000" w:rsidDel="00000000" w:rsidP="00000000" w:rsidRDefault="00000000" w:rsidRPr="00000000" w14:paraId="00000055">
      <w:pPr>
        <w:pStyle w:val="Heading1"/>
        <w:keepNext w:val="0"/>
        <w:keepLines w:val="0"/>
        <w:spacing w:after="80" w:before="360" w:line="360" w:lineRule="auto"/>
        <w:jc w:val="both"/>
        <w:rPr>
          <w:rFonts w:ascii="Times New Roman" w:cs="Times New Roman" w:eastAsia="Times New Roman" w:hAnsi="Times New Roman"/>
          <w:b w:val="1"/>
          <w:bCs w:val="1"/>
        </w:rPr>
      </w:pPr>
      <w:bookmarkStart w:colFirst="0" w:colLast="0" w:name="_unpgw8onwod8" w:id="9"/>
      <w:bookmarkEnd w:id="9"/>
      <w:r w:rsidDel="00000000" w:rsidR="00000000" w:rsidRPr="00000000">
        <w:br w:type="page"/>
      </w:r>
      <w:r w:rsidDel="00000000" w:rsidR="00000000" w:rsidRPr="00000000">
        <w:rPr>
          <w:rtl w:val="0"/>
        </w:rPr>
      </w:r>
    </w:p>
    <w:p w:rsidR="00000000" w:rsidDel="00000000" w:rsidP="00000000" w:rsidRDefault="00000000" w:rsidRPr="00000000" w14:paraId="00000056">
      <w:pPr>
        <w:pStyle w:val="Heading1"/>
        <w:keepNext w:val="0"/>
        <w:keepLines w:val="0"/>
        <w:spacing w:after="80" w:before="360" w:line="360" w:lineRule="auto"/>
        <w:jc w:val="both"/>
        <w:rPr>
          <w:rFonts w:ascii="Times New Roman" w:cs="Times New Roman" w:eastAsia="Times New Roman" w:hAnsi="Times New Roman"/>
          <w:b w:val="1"/>
          <w:bCs w:val="1"/>
        </w:rPr>
      </w:pPr>
      <w:bookmarkStart w:colFirst="0" w:colLast="0" w:name="_73xrdopwdx0x" w:id="10"/>
      <w:bookmarkEnd w:id="10"/>
      <w:r w:rsidDel="00000000" w:rsidR="00000000" w:rsidRPr="00000000">
        <w:rPr>
          <w:rFonts w:ascii="Times New Roman" w:cs="Times New Roman" w:eastAsia="Times New Roman" w:hAnsi="Times New Roman"/>
          <w:b w:val="1"/>
          <w:bCs w:val="1"/>
          <w:rtl w:val="0"/>
        </w:rPr>
        <w:t xml:space="preserve">3. Demographic and Geopolitical Factors as Primary Threats </w:t>
      </w:r>
    </w:p>
    <w:p w:rsidR="00000000" w:rsidDel="00000000" w:rsidP="00000000" w:rsidRDefault="00000000" w:rsidRPr="00000000" w14:paraId="00000057">
      <w:pPr>
        <w:pStyle w:val="Heading2"/>
        <w:rPr/>
      </w:pPr>
      <w:bookmarkStart w:colFirst="0" w:colLast="0" w:name="_plk6y1yb37b6" w:id="11"/>
      <w:bookmarkEnd w:id="11"/>
      <w:r w:rsidDel="00000000" w:rsidR="00000000" w:rsidRPr="00000000">
        <w:rPr>
          <w:rtl w:val="0"/>
        </w:rPr>
        <w:t xml:space="preserve">3.1 Ageing and knowledge attrition.</w:t>
      </w:r>
    </w:p>
    <w:p w:rsidR="00000000" w:rsidDel="00000000" w:rsidP="00000000" w:rsidRDefault="00000000" w:rsidRPr="00000000" w14:paraId="00000058">
      <w:pPr>
        <w:rPr/>
      </w:pPr>
      <w:r w:rsidDel="00000000" w:rsidR="00000000" w:rsidRPr="00000000">
        <w:rPr>
          <w:rtl w:val="0"/>
        </w:rPr>
        <w:t xml:space="preserve">In advanced economies, ageing workforces raise the risk of tacit-knowledge loss and constrained pipelines, particularly in safety-critical sectors. WHO's data regarding the global nursing workforce demonstrates the persistent shortfall in the number of nurses and uneven distribution of nurses globally, even though there has been an increase in numbers (World Health Organization, 2025). Hospitals, which have experienced significant staffing shortages, continue to utilize contract labor to fill positions (AHA, 2025). Similar demographic trends in compliance, risk management, and technology functions at global banks and insurance companies could create these types of risks.</w:t>
      </w:r>
      <w:r w:rsidDel="00000000" w:rsidR="00000000" w:rsidRPr="00000000">
        <w:rPr>
          <w:rtl w:val="0"/>
        </w:rPr>
      </w:r>
    </w:p>
    <w:p w:rsidR="00000000" w:rsidDel="00000000" w:rsidP="00000000" w:rsidRDefault="00000000" w:rsidRPr="00000000" w14:paraId="00000059">
      <w:pPr>
        <w:pStyle w:val="Heading2"/>
        <w:rPr/>
      </w:pPr>
      <w:bookmarkStart w:colFirst="0" w:colLast="0" w:name="_cp01rvr01i23" w:id="12"/>
      <w:bookmarkEnd w:id="12"/>
      <w:r w:rsidDel="00000000" w:rsidR="00000000" w:rsidRPr="00000000">
        <w:rPr>
          <w:rtl w:val="0"/>
        </w:rPr>
        <w:t xml:space="preserve">3.2 Migration and hospitality dependence.</w:t>
      </w:r>
    </w:p>
    <w:p w:rsidR="00000000" w:rsidDel="00000000" w:rsidP="00000000" w:rsidRDefault="00000000" w:rsidRPr="00000000" w14:paraId="0000005A">
      <w:pPr>
        <w:spacing w:after="240" w:before="240" w:line="360" w:lineRule="auto"/>
        <w:jc w:val="both"/>
        <w:rPr>
          <w:rFonts w:ascii="Times New Roman" w:cs="Times New Roman" w:eastAsia="Times New Roman" w:hAnsi="Times New Roman"/>
          <w:sz w:val="24"/>
          <w:szCs w:val="24"/>
        </w:rPr>
      </w:pPr>
      <w:r w:rsidDel="00000000" w:rsidR="00000000" w:rsidRPr="00000000">
        <w:rPr>
          <w:color w:val="111827"/>
          <w:highlight w:val="white"/>
          <w:rtl w:val="0"/>
        </w:rPr>
        <w:t xml:space="preserve">UK hospitality is heavily dependent on migrant and seasonal workers; as a result of recent changes to immigration policy, the UK now has a reduced supply of migrant and seasonal workers, as shown in the post-pandemic data (UKHospitality, 2024). As such, the reliability of these workers' contributions to hotels and restaurants creates a continuity risk, including potential quality variability and damage to their reputation. An agile, risk-aware HR function would need to recognize migrant workers as key contributors to hotel and restaurant operations by providing them with good recruitment practices, predictable scheduling, adequate housing, and support services that would help to provide stability to both the operation and the brand.</w:t>
      </w:r>
      <w:r w:rsidDel="00000000" w:rsidR="00000000" w:rsidRPr="00000000">
        <w:rPr>
          <w:rtl w:val="0"/>
        </w:rPr>
      </w:r>
    </w:p>
    <w:p w:rsidR="00000000" w:rsidDel="00000000" w:rsidP="00000000" w:rsidRDefault="00000000" w:rsidRPr="00000000" w14:paraId="0000005B">
      <w:pPr>
        <w:pStyle w:val="Heading2"/>
        <w:rPr/>
      </w:pPr>
      <w:bookmarkStart w:colFirst="0" w:colLast="0" w:name="_uopnq4qm07p3" w:id="13"/>
      <w:bookmarkEnd w:id="13"/>
      <w:r w:rsidDel="00000000" w:rsidR="00000000" w:rsidRPr="00000000">
        <w:rPr>
          <w:rtl w:val="0"/>
        </w:rPr>
        <w:t xml:space="preserve">3.3 Geopolitical shocks—finance and tech.</w:t>
      </w:r>
    </w:p>
    <w:p w:rsidR="00000000" w:rsidDel="00000000" w:rsidP="00000000" w:rsidRDefault="00000000" w:rsidRPr="00000000" w14:paraId="0000005C">
      <w:pPr>
        <w:rPr/>
      </w:pPr>
      <w:r w:rsidDel="00000000" w:rsidR="00000000" w:rsidRPr="00000000">
        <w:rPr>
          <w:rtl w:val="0"/>
        </w:rPr>
        <w:t xml:space="preserve">In 2019–20, HSBC’s Hong Kong operations faced vandalism, were forced to make quick decisions on the closure of branches, implemented remote operations and quick staff protection (Reuters, 2020). This example provides a clear illustration of how an unstable political environment can become an HR-led risk, requiring the development of safe route plans, emergency communication systems, hazard pay and psychological support for employees in addition to sufficient capital buffers.</w:t>
      </w:r>
    </w:p>
    <w:p w:rsidR="00000000" w:rsidDel="00000000" w:rsidP="00000000" w:rsidRDefault="00000000" w:rsidRPr="00000000" w14:paraId="0000005D">
      <w:pPr>
        <w:rPr>
          <w:rFonts w:ascii="Times New Roman" w:cs="Times New Roman" w:eastAsia="Times New Roman" w:hAnsi="Times New Roman"/>
          <w:sz w:val="24"/>
          <w:szCs w:val="24"/>
        </w:rPr>
      </w:pPr>
      <w:r w:rsidDel="00000000" w:rsidR="00000000" w:rsidRPr="00000000">
        <w:rPr>
          <w:rtl w:val="0"/>
        </w:rPr>
        <w:t xml:space="preserve">Similarly, tech supply chains also face a variety of disruptions. Reports covering construction and labor markets indicate that the Taiwan Semiconductor Manufacturing Co.'s (TSMC) Arizona-based fabrication facilities experienced a shortage of skilled labor and cultural differences that contributed to delays (Construction Dive, 2023). At the same time, reports have indicated that Apple's decision to accelerate iPhone production in India represents an opportunity for the company to strategically reshore and diversify its manufacturing footprint (The Guardian, 2025). To address this, HR departments must develop maps of local skills, visa and relocation procedures, and culturally competent onboarding processes for new hubs.</w:t>
      </w:r>
      <w:r w:rsidDel="00000000" w:rsidR="00000000" w:rsidRPr="00000000">
        <w:rPr>
          <w:rtl w:val="0"/>
        </w:rPr>
      </w:r>
    </w:p>
    <w:p w:rsidR="00000000" w:rsidDel="00000000" w:rsidP="00000000" w:rsidRDefault="00000000" w:rsidRPr="00000000" w14:paraId="0000005E">
      <w:pPr>
        <w:pStyle w:val="Heading2"/>
        <w:rPr/>
      </w:pPr>
      <w:bookmarkStart w:colFirst="0" w:colLast="0" w:name="_ccnbh0ccduuc" w:id="14"/>
      <w:bookmarkEnd w:id="14"/>
      <w:r w:rsidDel="00000000" w:rsidR="00000000" w:rsidRPr="00000000">
        <w:rPr>
          <w:rtl w:val="0"/>
        </w:rPr>
        <w:t xml:space="preserve">3.4 Human impact, not just headcount.</w:t>
      </w:r>
    </w:p>
    <w:p w:rsidR="00000000" w:rsidDel="00000000" w:rsidP="00000000" w:rsidRDefault="00000000" w:rsidRPr="00000000" w14:paraId="0000005F">
      <w:pPr>
        <w:spacing w:after="240" w:before="240" w:line="360" w:lineRule="auto"/>
        <w:jc w:val="both"/>
        <w:rPr>
          <w:rFonts w:ascii="Times New Roman" w:cs="Times New Roman" w:eastAsia="Times New Roman" w:hAnsi="Times New Roman"/>
          <w:sz w:val="24"/>
          <w:szCs w:val="24"/>
        </w:rPr>
      </w:pPr>
      <w:r w:rsidDel="00000000" w:rsidR="00000000" w:rsidRPr="00000000">
        <w:rPr>
          <w:color w:val="111827"/>
          <w:highlight w:val="white"/>
          <w:rtl w:val="0"/>
        </w:rPr>
        <w:t xml:space="preserve">Both demographic and geopolitical shocks ultimately produce human consequences, specifically fear, distrust, and exhaustion. n healthcare, safe-staffing and perceived fairness are central to retention and wellbeing (AHA, 2025). Similarly, in hospitality, consistent schedules and access to housing link directly to employee stability. Finally, in finance and technology, employees require transparent communication about ethics and visible leadership to maintain trust. In that case, HR's task is to connect duty-of-care measures (EAPs, trauma support, safe housing) with honest communication about options and trade-offs.</w:t>
      </w:r>
      <w:r w:rsidDel="00000000" w:rsidR="00000000" w:rsidRPr="00000000">
        <w:rPr>
          <w:rtl w:val="0"/>
        </w:rPr>
      </w:r>
    </w:p>
    <w:p w:rsidR="00000000" w:rsidDel="00000000" w:rsidP="00000000" w:rsidRDefault="00000000" w:rsidRPr="00000000" w14:paraId="00000060">
      <w:pPr>
        <w:spacing w:after="240" w:before="240" w:line="360" w:lineRule="auto"/>
        <w:jc w:val="both"/>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61">
      <w:pPr>
        <w:pStyle w:val="Heading2"/>
        <w:rPr/>
      </w:pPr>
      <w:bookmarkStart w:colFirst="0" w:colLast="0" w:name="_9fzwxdy96ocg" w:id="15"/>
      <w:bookmarkEnd w:id="15"/>
      <w:r w:rsidDel="00000000" w:rsidR="00000000" w:rsidRPr="00000000">
        <w:rPr>
          <w:rtl w:val="0"/>
        </w:rPr>
        <w:t xml:space="preserve">3.5 Mitigations—making the implicit explicit.</w:t>
      </w:r>
    </w:p>
    <w:p w:rsidR="00000000" w:rsidDel="00000000" w:rsidP="00000000" w:rsidRDefault="00000000" w:rsidRPr="00000000" w14:paraId="00000062">
      <w:pPr>
        <w:spacing w:after="240" w:before="240" w:line="360" w:lineRule="auto"/>
        <w:jc w:val="center"/>
        <w:rPr>
          <w:i w:val="1"/>
          <w:iCs w:val="1"/>
        </w:rPr>
      </w:pPr>
      <w:r w:rsidDel="00000000" w:rsidR="00000000" w:rsidRPr="00000000">
        <w:rPr>
          <w:b w:val="1"/>
          <w:bCs w:val="1"/>
        </w:rPr>
        <w:drawing>
          <wp:inline distB="114300" distT="114300" distL="114300" distR="114300">
            <wp:extent cx="5943600" cy="4648200"/>
            <wp:effectExtent b="0" l="0" r="0" t="0"/>
            <wp:docPr id="4"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943600" cy="4648200"/>
                    </a:xfrm>
                    <a:prstGeom prst="rect"/>
                    <a:ln/>
                  </pic:spPr>
                </pic:pic>
              </a:graphicData>
            </a:graphic>
          </wp:inline>
        </w:drawing>
      </w:r>
      <w:r w:rsidDel="00000000" w:rsidR="00000000" w:rsidRPr="00000000">
        <w:rPr>
          <w:i w:val="1"/>
          <w:iCs w:val="1"/>
          <w:rtl w:val="0"/>
        </w:rPr>
        <w:t xml:space="preserve">Table 3: Mitigations regarding demographic and geological factors</w:t>
      </w:r>
    </w:p>
    <w:p w:rsidR="00000000" w:rsidDel="00000000" w:rsidP="00000000" w:rsidRDefault="00000000" w:rsidRPr="00000000" w14:paraId="00000063">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t xml:space="preserve">U</w:t>
      </w:r>
      <w:r w:rsidDel="00000000" w:rsidR="00000000" w:rsidRPr="00000000">
        <w:rPr>
          <w:rFonts w:ascii="Times New Roman" w:cs="Times New Roman" w:eastAsia="Times New Roman" w:hAnsi="Times New Roman"/>
          <w:sz w:val="24"/>
          <w:szCs w:val="24"/>
          <w:rtl w:val="0"/>
        </w:rPr>
        <w:t xml:space="preserve">ltimately, these demographic and geopolitical pressures converge on a single, critical business risk: a widening gap between the skills an organization needs and the talent it can access..</w:t>
      </w:r>
    </w:p>
    <w:p w:rsidR="00000000" w:rsidDel="00000000" w:rsidP="00000000" w:rsidRDefault="00000000" w:rsidRPr="00000000" w14:paraId="00000064">
      <w:pPr>
        <w:pStyle w:val="Heading1"/>
        <w:keepNext w:val="0"/>
        <w:keepLines w:val="0"/>
        <w:spacing w:after="80" w:before="360" w:line="360" w:lineRule="auto"/>
        <w:jc w:val="both"/>
        <w:rPr>
          <w:b w:val="1"/>
          <w:bCs w:val="1"/>
        </w:rPr>
      </w:pPr>
      <w:bookmarkStart w:colFirst="0" w:colLast="0" w:name="_44jnnqyykxz3" w:id="16"/>
      <w:bookmarkEnd w:id="16"/>
      <w:r w:rsidDel="00000000" w:rsidR="00000000" w:rsidRPr="00000000">
        <w:br w:type="page"/>
      </w:r>
      <w:r w:rsidDel="00000000" w:rsidR="00000000" w:rsidRPr="00000000">
        <w:rPr>
          <w:rtl w:val="0"/>
        </w:rPr>
      </w:r>
    </w:p>
    <w:p w:rsidR="00000000" w:rsidDel="00000000" w:rsidP="00000000" w:rsidRDefault="00000000" w:rsidRPr="00000000" w14:paraId="00000065">
      <w:pPr>
        <w:pStyle w:val="Heading1"/>
        <w:keepNext w:val="0"/>
        <w:keepLines w:val="0"/>
        <w:spacing w:after="80" w:before="360" w:line="360" w:lineRule="auto"/>
        <w:jc w:val="both"/>
        <w:rPr>
          <w:rFonts w:ascii="Times New Roman" w:cs="Times New Roman" w:eastAsia="Times New Roman" w:hAnsi="Times New Roman"/>
          <w:b w:val="1"/>
          <w:bCs w:val="1"/>
        </w:rPr>
      </w:pPr>
      <w:bookmarkStart w:colFirst="0" w:colLast="0" w:name="_q4uhc4rsmlkm" w:id="17"/>
      <w:bookmarkEnd w:id="17"/>
      <w:r w:rsidDel="00000000" w:rsidR="00000000" w:rsidRPr="00000000">
        <w:rPr>
          <w:rFonts w:ascii="Times New Roman" w:cs="Times New Roman" w:eastAsia="Times New Roman" w:hAnsi="Times New Roman"/>
          <w:b w:val="1"/>
          <w:bCs w:val="1"/>
          <w:rtl w:val="0"/>
        </w:rPr>
        <w:t xml:space="preserve">4. Closing Skills Gaps: The Build–Buy–Borrow–Bind (and Bot) Portfolio</w:t>
      </w:r>
    </w:p>
    <w:p w:rsidR="00000000" w:rsidDel="00000000" w:rsidP="00000000" w:rsidRDefault="00000000" w:rsidRPr="00000000" w14:paraId="00000066">
      <w:pPr>
        <w:pStyle w:val="Heading2"/>
        <w:rPr/>
      </w:pPr>
      <w:bookmarkStart w:colFirst="0" w:colLast="0" w:name="_f48txvbbd8q0" w:id="18"/>
      <w:bookmarkEnd w:id="18"/>
      <w:r w:rsidDel="00000000" w:rsidR="00000000" w:rsidRPr="00000000">
        <w:rPr>
          <w:rtl w:val="0"/>
        </w:rPr>
        <w:t xml:space="preserve">4.1 Skills Gaps as Enterprise Risk</w:t>
      </w:r>
    </w:p>
    <w:p w:rsidR="00000000" w:rsidDel="00000000" w:rsidP="00000000" w:rsidRDefault="00000000" w:rsidRPr="00000000" w14:paraId="00000067">
      <w:pPr>
        <w:spacing w:after="240" w:before="240" w:line="360" w:lineRule="auto"/>
        <w:jc w:val="both"/>
        <w:rPr>
          <w:color w:val="111827"/>
          <w:highlight w:val="white"/>
        </w:rPr>
      </w:pPr>
      <w:r w:rsidDel="00000000" w:rsidR="00000000" w:rsidRPr="00000000">
        <w:rPr>
          <w:color w:val="111827"/>
          <w:highlight w:val="white"/>
        </w:rPr>
        <w:drawing>
          <wp:inline distB="114300" distT="114300" distL="114300" distR="114300">
            <wp:extent cx="5943600" cy="1854200"/>
            <wp:effectExtent b="0" l="0" r="0" t="0"/>
            <wp:docPr id="3"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943600" cy="1854200"/>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spacing w:after="240" w:before="240" w:line="360" w:lineRule="auto"/>
        <w:jc w:val="center"/>
        <w:rPr>
          <w:i w:val="1"/>
          <w:iCs w:val="1"/>
          <w:color w:val="111827"/>
          <w:highlight w:val="white"/>
        </w:rPr>
      </w:pPr>
      <w:r w:rsidDel="00000000" w:rsidR="00000000" w:rsidRPr="00000000">
        <w:rPr>
          <w:i w:val="1"/>
          <w:iCs w:val="1"/>
          <w:color w:val="111827"/>
          <w:highlight w:val="white"/>
          <w:rtl w:val="0"/>
        </w:rPr>
        <w:t xml:space="preserve">Image  : Global Talent Shortage (Source: ManpowerGroup, 2024)</w:t>
      </w:r>
    </w:p>
    <w:p w:rsidR="00000000" w:rsidDel="00000000" w:rsidP="00000000" w:rsidRDefault="00000000" w:rsidRPr="00000000" w14:paraId="00000069">
      <w:pPr>
        <w:spacing w:after="240" w:before="240" w:line="360" w:lineRule="auto"/>
        <w:jc w:val="both"/>
        <w:rPr>
          <w:color w:val="111827"/>
          <w:highlight w:val="white"/>
        </w:rPr>
      </w:pPr>
      <w:r w:rsidDel="00000000" w:rsidR="00000000" w:rsidRPr="00000000">
        <w:rPr>
          <w:color w:val="111827"/>
          <w:highlight w:val="white"/>
          <w:rtl w:val="0"/>
        </w:rPr>
        <w:t xml:space="preserve">Over 75% of organizations have difficulty finding employees who possess the required skill set and a severe shortage in the domain of AI/ML, Cyber Security and Front Line workers (ManpowerGroup, 2024). For example, in the financial sector, Model Validation, Cyber and Compliance positions create a weakness in the organization's control functions; in the healthcare sector, the lack of available nurses creates a threat to patient safety; and in the hospitality industry, the lack of sufficient staff creates an opportunity for poor customer service. </w:t>
      </w:r>
      <w:r w:rsidDel="00000000" w:rsidR="00000000" w:rsidRPr="00000000">
        <w:rPr>
          <w:rtl w:val="0"/>
        </w:rPr>
        <w:t xml:space="preserve"> Viewing skills gaps as </w:t>
      </w:r>
      <w:r w:rsidDel="00000000" w:rsidR="00000000" w:rsidRPr="00000000">
        <w:rPr>
          <w:i w:val="1"/>
          <w:iCs w:val="1"/>
          <w:rtl w:val="0"/>
        </w:rPr>
        <w:t xml:space="preserve">enterprise risk</w:t>
      </w:r>
      <w:r w:rsidDel="00000000" w:rsidR="00000000" w:rsidRPr="00000000">
        <w:rPr>
          <w:rtl w:val="0"/>
        </w:rPr>
        <w:t xml:space="preserve"> reframes talent from an HR problem to a core control issue. </w:t>
      </w:r>
      <w:r w:rsidDel="00000000" w:rsidR="00000000" w:rsidRPr="00000000">
        <w:rPr>
          <w:color w:val="111827"/>
          <w:highlight w:val="white"/>
          <w:rtl w:val="0"/>
        </w:rPr>
        <w:t xml:space="preserve"> However, Cappelli (2015) states that some "skills gap" issues are actually related to a lack of investment in training programs and/or salary constraints, which supports the recommendation to "build and bind" prior to buy.</w:t>
      </w:r>
    </w:p>
    <w:p w:rsidR="00000000" w:rsidDel="00000000" w:rsidP="00000000" w:rsidRDefault="00000000" w:rsidRPr="00000000" w14:paraId="0000006A">
      <w:pPr>
        <w:pStyle w:val="Heading2"/>
        <w:rPr/>
      </w:pPr>
      <w:bookmarkStart w:colFirst="0" w:colLast="0" w:name="_o74s23c04ulm" w:id="19"/>
      <w:bookmarkEnd w:id="19"/>
      <w:r w:rsidDel="00000000" w:rsidR="00000000" w:rsidRPr="00000000">
        <w:rPr>
          <w:rtl w:val="0"/>
        </w:rPr>
        <w:t xml:space="preserve">4.2 Buy (Acquire): Speed with Volatility</w:t>
      </w:r>
    </w:p>
    <w:p w:rsidR="00000000" w:rsidDel="00000000" w:rsidP="00000000" w:rsidRDefault="00000000" w:rsidRPr="00000000" w14:paraId="0000006B">
      <w:pPr>
        <w:rPr/>
      </w:pPr>
      <w:r w:rsidDel="00000000" w:rsidR="00000000" w:rsidRPr="00000000">
        <w:rPr>
          <w:rtl w:val="0"/>
        </w:rPr>
        <w:t xml:space="preserve">External hiring brings rapid capability but high cost and churn. n Global Banking, recruiting and hiring Cyber or Quant Specialists may be done quickly, however, these recruits will be expensive and may leave for other opportunities when presented with alternative offers. Similarly, hospitality companies may attract top talent due to their reputation as great places to work; however, these employees are also likely to experience wage inflation and may ultimately leave the company as well. From a risk view, Buy should target only those roles where ramp-up time is critical and internal pipelines cannot meet demand.</w:t>
      </w:r>
    </w:p>
    <w:p w:rsidR="00000000" w:rsidDel="00000000" w:rsidP="00000000" w:rsidRDefault="00000000" w:rsidRPr="00000000" w14:paraId="0000006C">
      <w:pPr>
        <w:pStyle w:val="Heading2"/>
        <w:rPr/>
      </w:pPr>
      <w:bookmarkStart w:colFirst="0" w:colLast="0" w:name="_46i0axvje7wl" w:id="20"/>
      <w:bookmarkEnd w:id="20"/>
      <w:r w:rsidDel="00000000" w:rsidR="00000000" w:rsidRPr="00000000">
        <w:rPr>
          <w:rtl w:val="0"/>
        </w:rPr>
        <w:t xml:space="preserve">4.3 Build (Develop): Resilience at Source</w:t>
      </w:r>
    </w:p>
    <w:p w:rsidR="00000000" w:rsidDel="00000000" w:rsidP="00000000" w:rsidRDefault="00000000" w:rsidRPr="00000000" w14:paraId="0000006D">
      <w:pPr>
        <w:rPr/>
      </w:pPr>
      <w:r w:rsidDel="00000000" w:rsidR="00000000" w:rsidRPr="00000000">
        <w:rPr>
          <w:rtl w:val="0"/>
        </w:rPr>
        <w:t xml:space="preserve">Finance and tech increasingly use internal “academies” that remix certificate-style pathways (e.g., analytics, cyber, IT support) to upskill employees. By identifying employee potential, providing training and placing graduate employees into product or risk teams, organizations can significantly shorten the time-to-competence and can further enhance internal capability to perform critical functions such as Model Governance or Regulatory Reporting. By doing so, organizations can reduce the risk of control failure by having internal talent pipelines for critical functions.</w:t>
      </w:r>
    </w:p>
    <w:p w:rsidR="00000000" w:rsidDel="00000000" w:rsidP="00000000" w:rsidRDefault="00000000" w:rsidRPr="00000000" w14:paraId="0000006E">
      <w:pPr>
        <w:pStyle w:val="Heading2"/>
        <w:rPr/>
      </w:pPr>
      <w:bookmarkStart w:colFirst="0" w:colLast="0" w:name="_1kz35z32jh3n" w:id="21"/>
      <w:bookmarkEnd w:id="21"/>
      <w:r w:rsidDel="00000000" w:rsidR="00000000" w:rsidRPr="00000000">
        <w:rPr>
          <w:rtl w:val="0"/>
        </w:rPr>
        <w:t xml:space="preserve">4.4 Borrow (Contract/Agency): Flexibility with Control Risk</w:t>
      </w:r>
    </w:p>
    <w:p w:rsidR="00000000" w:rsidDel="00000000" w:rsidP="00000000" w:rsidRDefault="00000000" w:rsidRPr="00000000" w14:paraId="0000006F">
      <w:pPr>
        <w:spacing w:after="240" w:before="240" w:line="360" w:lineRule="auto"/>
        <w:jc w:val="both"/>
        <w:rPr>
          <w:rFonts w:ascii="Times New Roman" w:cs="Times New Roman" w:eastAsia="Times New Roman" w:hAnsi="Times New Roman"/>
          <w:sz w:val="24"/>
          <w:szCs w:val="24"/>
        </w:rPr>
      </w:pPr>
      <w:r w:rsidDel="00000000" w:rsidR="00000000" w:rsidRPr="00000000">
        <w:rPr>
          <w:color w:val="111827"/>
          <w:highlight w:val="white"/>
          <w:rtl w:val="0"/>
        </w:rPr>
        <w:t xml:space="preserve">Healthcare organizations rely heavily on agency nurses to address staffing shortages, however, the use of temporary/flexible staffing also introduces risks related to quality and cost. The American Hospital Association (2025), has warned that excessive use of temporary/flexible staff can negatively affect employee satisfaction and stability. To mitigate this, HR can establish professionalising flexible pools—credentialing, orientation, fair pay—and capping reliance through internal “bank” staffing models.</w:t>
      </w:r>
      <w:r w:rsidDel="00000000" w:rsidR="00000000" w:rsidRPr="00000000">
        <w:rPr>
          <w:rtl w:val="0"/>
        </w:rPr>
      </w:r>
    </w:p>
    <w:p w:rsidR="00000000" w:rsidDel="00000000" w:rsidP="00000000" w:rsidRDefault="00000000" w:rsidRPr="00000000" w14:paraId="00000070">
      <w:pPr>
        <w:pStyle w:val="Heading2"/>
        <w:rPr/>
      </w:pPr>
      <w:bookmarkStart w:colFirst="0" w:colLast="0" w:name="_lg30x4r3zwic" w:id="22"/>
      <w:bookmarkEnd w:id="22"/>
      <w:r w:rsidDel="00000000" w:rsidR="00000000" w:rsidRPr="00000000">
        <w:rPr>
          <w:rtl w:val="0"/>
        </w:rPr>
        <w:t xml:space="preserve">4.5 Bind (Retain): The Ultimate Mitigation</w:t>
      </w:r>
    </w:p>
    <w:p w:rsidR="00000000" w:rsidDel="00000000" w:rsidP="00000000" w:rsidRDefault="00000000" w:rsidRPr="00000000" w14:paraId="0000007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Retention protects scarce expertise and institutional memory. Goldman Sachs’ $80m retention stock awards for senior leaders show boards’ focus on leadership continuity amid fierce competition (Reuters, 2025). </w:t>
      </w:r>
      <w:r w:rsidDel="00000000" w:rsidR="00000000" w:rsidRPr="00000000">
        <w:rPr>
          <w:color w:val="111827"/>
          <w:highlight w:val="white"/>
          <w:rtl w:val="0"/>
        </w:rPr>
        <w:t xml:space="preserve">Regardless of whether the retention awards are viewed as a governance concern, targeted retention efforts for cyber, quant or nursing talent are typically the best form of risk mitigation at the lowest cost.</w:t>
      </w:r>
      <w:r w:rsidDel="00000000" w:rsidR="00000000" w:rsidRPr="00000000">
        <w:rPr>
          <w:rtl w:val="0"/>
        </w:rPr>
      </w:r>
    </w:p>
    <w:p w:rsidR="00000000" w:rsidDel="00000000" w:rsidP="00000000" w:rsidRDefault="00000000" w:rsidRPr="00000000" w14:paraId="00000072">
      <w:pPr>
        <w:pStyle w:val="Heading2"/>
        <w:rPr/>
      </w:pPr>
      <w:bookmarkStart w:colFirst="0" w:colLast="0" w:name="_fs8q872w5wej" w:id="23"/>
      <w:bookmarkEnd w:id="23"/>
      <w:r w:rsidDel="00000000" w:rsidR="00000000" w:rsidRPr="00000000">
        <w:rPr>
          <w:rtl w:val="0"/>
        </w:rPr>
        <w:t xml:space="preserve">4.6 Bot (Automate): Capacity with Ethics</w:t>
      </w:r>
    </w:p>
    <w:p w:rsidR="00000000" w:rsidDel="00000000" w:rsidP="00000000" w:rsidRDefault="00000000" w:rsidRPr="00000000" w14:paraId="00000073">
      <w:pPr>
        <w:rPr/>
      </w:pPr>
      <w:r w:rsidDel="00000000" w:rsidR="00000000" w:rsidRPr="00000000">
        <w:rPr>
          <w:color w:val="111827"/>
          <w:highlight w:val="white"/>
          <w:rtl w:val="0"/>
        </w:rPr>
        <w:t xml:space="preserve">Routine tasks such as reconciliation, scheduling, etc. can be automated; however, the organization must consider the ethics of automation and ensure that there is human oversight to eliminate bias (SHRM, 2024; CIPD, 2023). Automation should be paired with re-skilling rather than re-redundancy to preserve morale and minimize hidden error risk.</w:t>
      </w:r>
      <w:r w:rsidDel="00000000" w:rsidR="00000000" w:rsidRPr="00000000">
        <w:rPr>
          <w:rtl w:val="0"/>
        </w:rPr>
      </w:r>
    </w:p>
    <w:p w:rsidR="00000000" w:rsidDel="00000000" w:rsidP="00000000" w:rsidRDefault="00000000" w:rsidRPr="00000000" w14:paraId="00000074">
      <w:pPr>
        <w:pStyle w:val="Heading2"/>
        <w:rPr/>
      </w:pPr>
      <w:bookmarkStart w:colFirst="0" w:colLast="0" w:name="_woislatd568r" w:id="24"/>
      <w:bookmarkEnd w:id="24"/>
      <w:r w:rsidDel="00000000" w:rsidR="00000000" w:rsidRPr="00000000">
        <w:rPr>
          <w:rtl w:val="0"/>
        </w:rPr>
        <w:t xml:space="preserve">Putting it together—decision rules and the human experience.</w:t>
      </w:r>
    </w:p>
    <w:p w:rsidR="00000000" w:rsidDel="00000000" w:rsidP="00000000" w:rsidRDefault="00000000" w:rsidRPr="00000000" w14:paraId="00000075">
      <w:pPr>
        <w:numPr>
          <w:ilvl w:val="0"/>
          <w:numId w:val="2"/>
        </w:numPr>
        <w:spacing w:after="0" w:afterAutospacing="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 scenario-based workforce planning to choose the right “B” for each critical role under stress (e.g., cyber incident, hub closure, regulatory change).</w:t>
      </w:r>
    </w:p>
    <w:p w:rsidR="00000000" w:rsidDel="00000000" w:rsidP="00000000" w:rsidRDefault="00000000" w:rsidRPr="00000000" w14:paraId="00000076">
      <w:pPr>
        <w:numPr>
          <w:ilvl w:val="0"/>
          <w:numId w:val="2"/>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Price human impact alongside cost: attrition risk, psychological safety and fairness perceptions should factor into Build/Buy/Borrow/Bind/Bot choices.</w:t>
      </w:r>
    </w:p>
    <w:p w:rsidR="00000000" w:rsidDel="00000000" w:rsidP="00000000" w:rsidRDefault="00000000" w:rsidRPr="00000000" w14:paraId="00000077">
      <w:pPr>
        <w:numPr>
          <w:ilvl w:val="0"/>
          <w:numId w:val="2"/>
        </w:numPr>
        <w:spacing w:after="24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Track time-to-competence and adverse-impact metrics for AI-augmented roles, aligning with model-risk governance standards (NIST, 2023; CIPD, 2023).</w:t>
      </w:r>
    </w:p>
    <w:p w:rsidR="00000000" w:rsidDel="00000000" w:rsidP="00000000" w:rsidRDefault="00000000" w:rsidRPr="00000000" w14:paraId="0000007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Successfully deploying this complex portfolio of talent strategies is therefore not merely a technical exercise; it demands leaders who can balance rigorous risk analysis with a deeply human-centred perspective.</w:t>
      </w:r>
    </w:p>
    <w:p w:rsidR="00000000" w:rsidDel="00000000" w:rsidP="00000000" w:rsidRDefault="00000000" w:rsidRPr="00000000" w14:paraId="00000079">
      <w:pPr>
        <w:pStyle w:val="Heading1"/>
        <w:keepNext w:val="0"/>
        <w:keepLines w:val="0"/>
        <w:spacing w:after="80" w:before="360" w:line="360" w:lineRule="auto"/>
        <w:jc w:val="both"/>
        <w:rPr>
          <w:rFonts w:ascii="Times New Roman" w:cs="Times New Roman" w:eastAsia="Times New Roman" w:hAnsi="Times New Roman"/>
          <w:b w:val="1"/>
          <w:bCs w:val="1"/>
        </w:rPr>
      </w:pPr>
      <w:bookmarkStart w:colFirst="0" w:colLast="0" w:name="_arh0c4p0i3sn" w:id="25"/>
      <w:bookmarkEnd w:id="25"/>
      <w:r w:rsidDel="00000000" w:rsidR="00000000" w:rsidRPr="00000000">
        <w:br w:type="page"/>
      </w:r>
      <w:r w:rsidDel="00000000" w:rsidR="00000000" w:rsidRPr="00000000">
        <w:rPr>
          <w:rtl w:val="0"/>
        </w:rPr>
      </w:r>
    </w:p>
    <w:p w:rsidR="00000000" w:rsidDel="00000000" w:rsidP="00000000" w:rsidRDefault="00000000" w:rsidRPr="00000000" w14:paraId="0000007A">
      <w:pPr>
        <w:pStyle w:val="Heading1"/>
        <w:keepNext w:val="0"/>
        <w:keepLines w:val="0"/>
        <w:spacing w:after="80" w:before="360" w:line="360" w:lineRule="auto"/>
        <w:jc w:val="both"/>
        <w:rPr>
          <w:rFonts w:ascii="Times New Roman" w:cs="Times New Roman" w:eastAsia="Times New Roman" w:hAnsi="Times New Roman"/>
          <w:b w:val="1"/>
          <w:bCs w:val="1"/>
        </w:rPr>
      </w:pPr>
      <w:bookmarkStart w:colFirst="0" w:colLast="0" w:name="_um78m0t62858" w:id="26"/>
      <w:bookmarkEnd w:id="26"/>
      <w:r w:rsidDel="00000000" w:rsidR="00000000" w:rsidRPr="00000000">
        <w:rPr>
          <w:rFonts w:ascii="Times New Roman" w:cs="Times New Roman" w:eastAsia="Times New Roman" w:hAnsi="Times New Roman"/>
          <w:b w:val="1"/>
          <w:bCs w:val="1"/>
          <w:rtl w:val="0"/>
        </w:rPr>
        <w:t xml:space="preserve">5. Reflective Report: Developing a Risk-Oriented (and Human-Centred) HR Perspective</w:t>
      </w:r>
    </w:p>
    <w:p w:rsidR="00000000" w:rsidDel="00000000" w:rsidP="00000000" w:rsidRDefault="00000000" w:rsidRPr="00000000" w14:paraId="0000007B">
      <w:pPr>
        <w:pStyle w:val="Heading2"/>
        <w:rPr/>
      </w:pPr>
      <w:bookmarkStart w:colFirst="0" w:colLast="0" w:name="_r8h8g8vyo3e8" w:id="27"/>
      <w:bookmarkEnd w:id="27"/>
      <w:r w:rsidDel="00000000" w:rsidR="00000000" w:rsidRPr="00000000">
        <w:rPr>
          <w:rtl w:val="0"/>
        </w:rPr>
        <w:t xml:space="preserve">5.1 Strengths—analytics, governance mindset, digital collaboration.</w:t>
      </w:r>
    </w:p>
    <w:p w:rsidR="00000000" w:rsidDel="00000000" w:rsidP="00000000" w:rsidRDefault="00000000" w:rsidRPr="00000000" w14:paraId="0000007C">
      <w:pPr>
        <w:rPr/>
      </w:pPr>
      <w:r w:rsidDel="00000000" w:rsidR="00000000" w:rsidRPr="00000000">
        <w:rPr>
          <w:rtl w:val="0"/>
        </w:rPr>
        <w:t xml:space="preserve">Although my undergraduate finance course laid a foundational basis to quantify risks using probability and impact, as well as provided additional insight into how organizations are governed and the legal requirements to be compliant, it is the Human Capital Management module that I have developed interest in for my main project, to create a prototype HR AI risk register for a recruitment case study. The prototype will map controls (purpose, data provenance and adverse-impact testing) against both the New York City Artificial Intelligence Ethics Transparency Rules (NYC DCWP, 2023) and the European Union AI Act (Clifford Chance, 2024) and in accordance with the National Institute of Standards and Technology's (NIST) AI Risk Management Framework and HR guidelines (NIST, 2023; CIPD, 2023; SHRM, 2024).</w:t>
      </w:r>
    </w:p>
    <w:p w:rsidR="00000000" w:rsidDel="00000000" w:rsidP="00000000" w:rsidRDefault="00000000" w:rsidRPr="00000000" w14:paraId="0000007D">
      <w:pPr>
        <w:rPr/>
      </w:pPr>
      <w:r w:rsidDel="00000000" w:rsidR="00000000" w:rsidRPr="00000000">
        <w:rPr>
          <w:rtl w:val="0"/>
        </w:rPr>
        <w:t xml:space="preserve">The theoretical approach to analyzing risk is supported by my practical experiences of working digitally with others. While an extracurricular activity during my undergraduate studies I was involved in a student-led project group who had members from three different time zones (GMT, EST and HKT) and worked together exclusively via Teams and Miro. To help manage this remote work environment we were able to identify misunderstandings quickly by conducting weekly retrospectives. This greatly improved our psychological safety and speed of decision-making, a lesson that aligns with formal International Human Resource Management (IHRM) guidelines related to establishing communication protocols for remote or dispersed teams (Dowling, Festing and Engle, 2023).</w:t>
      </w:r>
    </w:p>
    <w:p w:rsidR="00000000" w:rsidDel="00000000" w:rsidP="00000000" w:rsidRDefault="00000000" w:rsidRPr="00000000" w14:paraId="0000007E">
      <w:pPr>
        <w:pStyle w:val="Heading2"/>
        <w:rPr/>
      </w:pPr>
      <w:bookmarkStart w:colFirst="0" w:colLast="0" w:name="_8tke0ihkwpz8" w:id="28"/>
      <w:bookmarkEnd w:id="28"/>
      <w:r w:rsidDel="00000000" w:rsidR="00000000" w:rsidRPr="00000000">
        <w:rPr>
          <w:rtl w:val="0"/>
        </w:rPr>
        <w:t xml:space="preserve">5.2 Weaknesses—crisis communication and change psychology.</w:t>
      </w:r>
    </w:p>
    <w:p w:rsidR="00000000" w:rsidDel="00000000" w:rsidP="00000000" w:rsidRDefault="00000000" w:rsidRPr="00000000" w14:paraId="0000007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my project work is strong, I have limited direct experience fronting tough messages—like communicating a site shutdown or a failed model audit—and facilitating dialogue when automation triggers status anxiety. The recent Google Gemini episode was a stark lesson in how quickly trust can erode when organizations underestimate the emotional impact of biased AI outputs (The Verge, 2024; Reuters, 2024). Furthermore, reporting on HSBC’s Hong Kong operations during the 2019-20 protests reinforces for me the critical importance of visible, empathetic leadership during a crisis, a skill I am actively seeking to develop (Reuters, 2020).</w:t>
      </w:r>
    </w:p>
    <w:p w:rsidR="00000000" w:rsidDel="00000000" w:rsidP="00000000" w:rsidRDefault="00000000" w:rsidRPr="00000000" w14:paraId="00000080">
      <w:pPr>
        <w:pStyle w:val="Heading2"/>
        <w:rPr/>
      </w:pPr>
      <w:bookmarkStart w:colFirst="0" w:colLast="0" w:name="_2bkclen50u13" w:id="29"/>
      <w:bookmarkEnd w:id="29"/>
      <w:r w:rsidDel="00000000" w:rsidR="00000000" w:rsidRPr="00000000">
        <w:rPr>
          <w:rtl w:val="0"/>
        </w:rPr>
        <w:t xml:space="preserve">5.3 Development plan—time-bound and evidence-based.</w:t>
      </w:r>
    </w:p>
    <w:tbl>
      <w:tblPr>
        <w:tblStyle w:val="Table2"/>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246.053042121685"/>
        <w:gridCol w:w="6488.237129485179"/>
        <w:gridCol w:w="1625.709828393136"/>
        <w:tblGridChange w:id="0">
          <w:tblGrid>
            <w:gridCol w:w="1246.053042121685"/>
            <w:gridCol w:w="6488.237129485179"/>
            <w:gridCol w:w="1625.709828393136"/>
          </w:tblGrid>
        </w:tblGridChange>
      </w:tblGrid>
      <w:tr>
        <w:trPr>
          <w:cantSplit w:val="0"/>
          <w:trHeight w:val="515"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81">
            <w:pPr>
              <w:spacing w:after="0" w:before="0" w:line="240" w:lineRule="auto"/>
              <w:jc w:val="center"/>
              <w:rPr>
                <w:b w:val="1"/>
                <w:bCs w:val="1"/>
              </w:rPr>
            </w:pPr>
            <w:r w:rsidDel="00000000" w:rsidR="00000000" w:rsidRPr="00000000">
              <w:rPr>
                <w:b w:val="1"/>
                <w:bCs w:val="1"/>
                <w:rtl w:val="0"/>
              </w:rPr>
              <w:t xml:space="preserve">Timeline</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82">
            <w:pPr>
              <w:spacing w:after="0" w:before="0" w:line="240" w:lineRule="auto"/>
              <w:jc w:val="center"/>
              <w:rPr>
                <w:b w:val="1"/>
                <w:bCs w:val="1"/>
              </w:rPr>
            </w:pPr>
            <w:r w:rsidDel="00000000" w:rsidR="00000000" w:rsidRPr="00000000">
              <w:rPr>
                <w:b w:val="1"/>
                <w:bCs w:val="1"/>
                <w:rtl w:val="0"/>
              </w:rPr>
              <w:t xml:space="preserve">Key Actions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83">
            <w:pPr>
              <w:spacing w:after="0" w:before="0" w:line="240" w:lineRule="auto"/>
              <w:jc w:val="center"/>
              <w:rPr>
                <w:b w:val="1"/>
                <w:bCs w:val="1"/>
              </w:rPr>
            </w:pPr>
            <w:r w:rsidDel="00000000" w:rsidR="00000000" w:rsidRPr="00000000">
              <w:rPr>
                <w:b w:val="1"/>
                <w:bCs w:val="1"/>
                <w:rtl w:val="0"/>
              </w:rPr>
              <w:t xml:space="preserve">References</w:t>
            </w:r>
          </w:p>
        </w:tc>
      </w:tr>
      <w:tr>
        <w:trPr>
          <w:cantSplit w:val="0"/>
          <w:trHeight w:val="134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84">
            <w:pPr>
              <w:spacing w:after="0" w:before="0" w:line="240" w:lineRule="auto"/>
              <w:rPr/>
            </w:pPr>
            <w:r w:rsidDel="00000000" w:rsidR="00000000" w:rsidRPr="00000000">
              <w:rPr>
                <w:rtl w:val="0"/>
              </w:rPr>
              <w:t xml:space="preserve">Next 90 Days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85">
            <w:pPr>
              <w:spacing w:after="0" w:before="0" w:line="240" w:lineRule="auto"/>
              <w:rPr/>
            </w:pPr>
            <w:r w:rsidDel="00000000" w:rsidR="00000000" w:rsidRPr="00000000">
              <w:rPr>
                <w:rtl w:val="0"/>
              </w:rPr>
              <w:t xml:space="preserve">• Complete CIPD’s AI in the Workplace micro-course.</w:t>
            </w:r>
          </w:p>
          <w:p w:rsidR="00000000" w:rsidDel="00000000" w:rsidP="00000000" w:rsidRDefault="00000000" w:rsidRPr="00000000" w14:paraId="00000086">
            <w:pPr>
              <w:spacing w:after="0" w:before="0" w:line="240" w:lineRule="auto"/>
              <w:rPr/>
            </w:pPr>
            <w:r w:rsidDel="00000000" w:rsidR="00000000" w:rsidRPr="00000000">
              <w:rPr>
                <w:rtl w:val="0"/>
              </w:rPr>
              <w:t xml:space="preserve">• Codify a one-page AI-use policy for a student team (purpose, provenance, bias test, DPIA link, escalation)</w:t>
            </w:r>
          </w:p>
          <w:p w:rsidR="00000000" w:rsidDel="00000000" w:rsidP="00000000" w:rsidRDefault="00000000" w:rsidRPr="00000000" w14:paraId="00000087">
            <w:pPr>
              <w:spacing w:after="0" w:before="0" w:line="240" w:lineRule="auto"/>
              <w:rPr/>
            </w:pPr>
            <w:r w:rsidDel="00000000" w:rsidR="00000000" w:rsidRPr="00000000">
              <w:rPr>
                <w:rtl w:val="0"/>
              </w:rPr>
              <w:t xml:space="preserve">.• Run a multicultural team retrospective to document effective cross-time-zone norms.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88">
            <w:pPr>
              <w:spacing w:after="0" w:before="0" w:line="240" w:lineRule="auto"/>
              <w:rPr/>
            </w:pPr>
            <w:r w:rsidDel="00000000" w:rsidR="00000000" w:rsidRPr="00000000">
              <w:rPr>
                <w:rtl w:val="0"/>
              </w:rPr>
              <w:t xml:space="preserve">CIPD (2023); SHRM (2024)</w:t>
            </w:r>
          </w:p>
        </w:tc>
      </w:tr>
      <w:tr>
        <w:trPr>
          <w:cantSplit w:val="0"/>
          <w:trHeight w:val="1625"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89">
            <w:pPr>
              <w:spacing w:after="0" w:before="0" w:line="240" w:lineRule="auto"/>
              <w:rPr/>
            </w:pPr>
            <w:r w:rsidDel="00000000" w:rsidR="00000000" w:rsidRPr="00000000">
              <w:rPr>
                <w:rtl w:val="0"/>
              </w:rPr>
              <w:t xml:space="preserve">Next 6 Months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8A">
            <w:pPr>
              <w:spacing w:after="0" w:before="0" w:line="240" w:lineRule="auto"/>
              <w:rPr/>
            </w:pPr>
            <w:r w:rsidDel="00000000" w:rsidR="00000000" w:rsidRPr="00000000">
              <w:rPr>
                <w:rtl w:val="0"/>
              </w:rPr>
              <w:t xml:space="preserve">• Take a short course in crisis communication.</w:t>
            </w:r>
          </w:p>
          <w:p w:rsidR="00000000" w:rsidDel="00000000" w:rsidP="00000000" w:rsidRDefault="00000000" w:rsidRPr="00000000" w14:paraId="0000008B">
            <w:pPr>
              <w:spacing w:after="0" w:before="0" w:line="240" w:lineRule="auto"/>
              <w:rPr/>
            </w:pPr>
            <w:r w:rsidDel="00000000" w:rsidR="00000000" w:rsidRPr="00000000">
              <w:rPr>
                <w:rtl w:val="0"/>
              </w:rPr>
              <w:t xml:space="preserve">• Co-lead a mobility tabletop simulating evacuation and relocation (HSBC Hong Kong case).</w:t>
            </w:r>
          </w:p>
          <w:p w:rsidR="00000000" w:rsidDel="00000000" w:rsidP="00000000" w:rsidRDefault="00000000" w:rsidRPr="00000000" w14:paraId="0000008C">
            <w:pPr>
              <w:spacing w:after="0" w:before="0" w:line="240" w:lineRule="auto"/>
              <w:rPr/>
            </w:pPr>
            <w:r w:rsidDel="00000000" w:rsidR="00000000" w:rsidRPr="00000000">
              <w:rPr>
                <w:rtl w:val="0"/>
              </w:rPr>
              <w:t xml:space="preserve">• Build a project team skills heat-map and prioritise Build/Bind mitigations before Bot, logging fairness and adverse-impact checks.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8D">
            <w:pPr>
              <w:spacing w:after="0" w:before="0" w:line="240" w:lineRule="auto"/>
              <w:rPr/>
            </w:pPr>
            <w:r w:rsidDel="00000000" w:rsidR="00000000" w:rsidRPr="00000000">
              <w:rPr>
                <w:rtl w:val="0"/>
              </w:rPr>
              <w:t xml:space="preserve">AHA (2025); Reuters (2020)</w:t>
            </w:r>
          </w:p>
        </w:tc>
      </w:tr>
      <w:tr>
        <w:trPr>
          <w:cantSplit w:val="0"/>
          <w:trHeight w:val="134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8E">
            <w:pPr>
              <w:spacing w:after="0" w:before="0" w:line="240" w:lineRule="auto"/>
              <w:rPr/>
            </w:pPr>
            <w:r w:rsidDel="00000000" w:rsidR="00000000" w:rsidRPr="00000000">
              <w:rPr>
                <w:rtl w:val="0"/>
              </w:rPr>
              <w:t xml:space="preserve">Next 12 Months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8F">
            <w:pPr>
              <w:spacing w:after="0" w:before="0" w:line="240" w:lineRule="auto"/>
              <w:rPr/>
            </w:pPr>
            <w:r w:rsidDel="00000000" w:rsidR="00000000" w:rsidRPr="00000000">
              <w:rPr>
                <w:rtl w:val="0"/>
              </w:rPr>
              <w:t xml:space="preserve">• Design a GenAI literacy pathway for people managers (bias, privacy, explainability, escalation).</w:t>
            </w:r>
          </w:p>
          <w:p w:rsidR="00000000" w:rsidDel="00000000" w:rsidP="00000000" w:rsidRDefault="00000000" w:rsidRPr="00000000" w14:paraId="00000090">
            <w:pPr>
              <w:spacing w:after="0" w:before="0" w:line="240" w:lineRule="auto"/>
              <w:rPr/>
            </w:pPr>
            <w:r w:rsidDel="00000000" w:rsidR="00000000" w:rsidRPr="00000000">
              <w:rPr>
                <w:rtl w:val="0"/>
              </w:rPr>
              <w:t xml:space="preserve">• Develop a board-style dashboard tracking AI incidents, mobility risk tiers, succession coverage, and wellbeing indicators.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91">
            <w:pPr>
              <w:spacing w:after="0" w:before="0" w:line="240" w:lineRule="auto"/>
              <w:rPr/>
            </w:pPr>
            <w:r w:rsidDel="00000000" w:rsidR="00000000" w:rsidRPr="00000000">
              <w:rPr>
                <w:rtl w:val="0"/>
              </w:rPr>
              <w:t xml:space="preserve">—</w:t>
            </w:r>
          </w:p>
        </w:tc>
      </w:tr>
    </w:tbl>
    <w:p w:rsidR="00000000" w:rsidDel="00000000" w:rsidP="00000000" w:rsidRDefault="00000000" w:rsidRPr="00000000" w14:paraId="00000092">
      <w:pPr>
        <w:spacing w:after="240" w:before="240" w:line="360" w:lineRule="auto"/>
        <w:jc w:val="center"/>
        <w:rPr/>
      </w:pPr>
      <w:r w:rsidDel="00000000" w:rsidR="00000000" w:rsidRPr="00000000">
        <w:rPr>
          <w:rtl w:val="0"/>
        </w:rPr>
        <w:t xml:space="preserve">Table 4: Development plan</w:t>
      </w:r>
    </w:p>
    <w:p w:rsidR="00000000" w:rsidDel="00000000" w:rsidP="00000000" w:rsidRDefault="00000000" w:rsidRPr="00000000" w14:paraId="0000009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benchmark my growth against </w:t>
      </w:r>
      <w:r w:rsidDel="00000000" w:rsidR="00000000" w:rsidRPr="00000000">
        <w:rPr>
          <w:color w:val="111827"/>
          <w:highlight w:val="white"/>
          <w:rtl w:val="0"/>
        </w:rPr>
        <w:t xml:space="preserve">Deardorff’s (2006) empirical model of intercultural competence — attitudes, knowledge, skills and both internal and external results — which will be used to develop observable metrics for a team environment, communication and leadership.</w:t>
      </w:r>
      <w:r w:rsidDel="00000000" w:rsidR="00000000" w:rsidRPr="00000000">
        <w:rPr>
          <w:rtl w:val="0"/>
        </w:rPr>
      </w:r>
    </w:p>
    <w:p w:rsidR="00000000" w:rsidDel="00000000" w:rsidP="00000000" w:rsidRDefault="00000000" w:rsidRPr="00000000" w14:paraId="00000094">
      <w:pPr>
        <w:pStyle w:val="Heading2"/>
        <w:rPr/>
      </w:pPr>
      <w:bookmarkStart w:colFirst="0" w:colLast="0" w:name="_cip79fjjm46j" w:id="30"/>
      <w:bookmarkEnd w:id="30"/>
      <w:r w:rsidDel="00000000" w:rsidR="00000000" w:rsidRPr="00000000">
        <w:rPr>
          <w:rtl w:val="0"/>
        </w:rPr>
        <w:t xml:space="preserve">5.4 Personal ethos—keep people central.</w:t>
      </w:r>
    </w:p>
    <w:p w:rsidR="00000000" w:rsidDel="00000000" w:rsidP="00000000" w:rsidRDefault="00000000" w:rsidRPr="00000000" w14:paraId="00000095">
      <w:pPr>
        <w:spacing w:after="240" w:before="240" w:line="360" w:lineRule="auto"/>
        <w:jc w:val="both"/>
        <w:rPr>
          <w:rFonts w:ascii="Times New Roman" w:cs="Times New Roman" w:eastAsia="Times New Roman" w:hAnsi="Times New Roman"/>
          <w:b w:val="1"/>
          <w:bCs w:val="1"/>
        </w:rPr>
      </w:pPr>
      <w:r w:rsidDel="00000000" w:rsidR="00000000" w:rsidRPr="00000000">
        <w:rPr>
          <w:color w:val="111827"/>
          <w:highlight w:val="white"/>
          <w:rtl w:val="0"/>
        </w:rPr>
        <w:t xml:space="preserve">In practice, “risk” is felt as uncertainty, fatigue and fairness concerns. My commitment is to audit human experience alongside controls: clarity of rationale, voice in decisions, and support after shocks (coaching, EAPs).Professional organisations emphasise that trusting and supporting employees is not simply a social responsibility, but rather that it can also result in fewer errors, reduced turnover and less potential for reputational damage (SHRM, 2024; CIPD, 2023). This alignment of moral and performance values is the type of HR leader I intend to become.</w:t>
      </w:r>
      <w:r w:rsidDel="00000000" w:rsidR="00000000" w:rsidRPr="00000000">
        <w:rPr>
          <w:rtl w:val="0"/>
        </w:rPr>
      </w:r>
    </w:p>
    <w:p w:rsidR="00000000" w:rsidDel="00000000" w:rsidP="00000000" w:rsidRDefault="00000000" w:rsidRPr="00000000" w14:paraId="00000096">
      <w:pPr>
        <w:pStyle w:val="Heading1"/>
        <w:keepNext w:val="0"/>
        <w:keepLines w:val="0"/>
        <w:spacing w:after="80" w:before="280" w:line="360" w:lineRule="auto"/>
        <w:jc w:val="both"/>
        <w:rPr>
          <w:rFonts w:ascii="Times New Roman" w:cs="Times New Roman" w:eastAsia="Times New Roman" w:hAnsi="Times New Roman"/>
          <w:b w:val="1"/>
          <w:bCs w:val="1"/>
        </w:rPr>
      </w:pPr>
      <w:bookmarkStart w:colFirst="0" w:colLast="0" w:name="_o9a2jr4z8gvj" w:id="31"/>
      <w:bookmarkEnd w:id="31"/>
      <w:r w:rsidDel="00000000" w:rsidR="00000000" w:rsidRPr="00000000">
        <w:rPr>
          <w:rFonts w:ascii="Times New Roman" w:cs="Times New Roman" w:eastAsia="Times New Roman" w:hAnsi="Times New Roman"/>
          <w:b w:val="1"/>
          <w:bCs w:val="1"/>
          <w:rtl w:val="0"/>
        </w:rPr>
        <w:t xml:space="preserve">6. Conclusion</w:t>
      </w:r>
    </w:p>
    <w:p w:rsidR="00000000" w:rsidDel="00000000" w:rsidP="00000000" w:rsidRDefault="00000000" w:rsidRPr="00000000" w14:paraId="00000097">
      <w:pPr>
        <w:spacing w:after="240" w:before="240" w:line="360" w:lineRule="auto"/>
        <w:jc w:val="both"/>
        <w:rPr>
          <w:rFonts w:ascii="Times New Roman" w:cs="Times New Roman" w:eastAsia="Times New Roman" w:hAnsi="Times New Roman"/>
          <w:sz w:val="24"/>
          <w:szCs w:val="24"/>
        </w:rPr>
      </w:pPr>
      <w:r w:rsidDel="00000000" w:rsidR="00000000" w:rsidRPr="00000000">
        <w:rPr>
          <w:color w:val="111827"/>
          <w:highlight w:val="white"/>
          <w:rtl w:val="0"/>
        </w:rPr>
        <w:t xml:space="preserve">Across finance, tech, hospitality and healthcare, external volatility turns quickly into people-risk: biased or leaky systems, fragile pipelines and stressed employees. Strategic and humane approaches will mitigate these risks. Section 2.1 demonstrated how AI and platforms create risk vectors when unregulated, section 2.2 established the connection between demographic trends and geopolitical events and HR's duty-of-care and continuity obligations, section 2.3 positioned skills shortages as portfolio risk that can be effectively managed through the use of Build-Buy-Borrow-Bind/Bot strategies, and section 2.4 established a commitment to HR practices that utilize behaviors related to leadership, such as transparent communication, inclusiveness and evidence-based controls to successfully manage the people component of the portfolio in practice. </w:t>
      </w:r>
      <w:r w:rsidDel="00000000" w:rsidR="00000000" w:rsidRPr="00000000">
        <w:rPr>
          <w:rtl w:val="0"/>
        </w:rPr>
      </w:r>
    </w:p>
    <w:p w:rsidR="00000000" w:rsidDel="00000000" w:rsidP="00000000" w:rsidRDefault="00000000" w:rsidRPr="00000000" w14:paraId="00000098">
      <w:pPr>
        <w:spacing w:after="240" w:before="240"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99">
      <w:pPr>
        <w:pStyle w:val="Heading1"/>
        <w:spacing w:after="80" w:line="360" w:lineRule="auto"/>
        <w:jc w:val="both"/>
        <w:rPr>
          <w:rFonts w:ascii="Times New Roman" w:cs="Times New Roman" w:eastAsia="Times New Roman" w:hAnsi="Times New Roman"/>
          <w:b w:val="1"/>
          <w:bCs w:val="1"/>
        </w:rPr>
      </w:pPr>
      <w:bookmarkStart w:colFirst="0" w:colLast="0" w:name="_2ukd66p7703r" w:id="32"/>
      <w:bookmarkEnd w:id="32"/>
      <w:r w:rsidDel="00000000" w:rsidR="00000000" w:rsidRPr="00000000">
        <w:rPr>
          <w:rFonts w:ascii="Times New Roman" w:cs="Times New Roman" w:eastAsia="Times New Roman" w:hAnsi="Times New Roman"/>
          <w:b w:val="1"/>
          <w:bCs w:val="1"/>
          <w:rtl w:val="0"/>
        </w:rPr>
        <w:t xml:space="preserve">7. References List</w:t>
      </w:r>
    </w:p>
    <w:p w:rsidR="00000000" w:rsidDel="00000000" w:rsidP="00000000" w:rsidRDefault="00000000" w:rsidRPr="00000000" w14:paraId="0000009A">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American Hospital Association (AHA) (2025) </w:t>
      </w:r>
      <w:r w:rsidDel="00000000" w:rsidR="00000000" w:rsidRPr="00000000">
        <w:rPr>
          <w:rFonts w:ascii="Times New Roman" w:cs="Times New Roman" w:eastAsia="Times New Roman" w:hAnsi="Times New Roman"/>
          <w:i w:val="1"/>
          <w:iCs w:val="1"/>
          <w:sz w:val="24"/>
          <w:szCs w:val="24"/>
          <w:rtl w:val="0"/>
        </w:rPr>
        <w:t xml:space="preserve">Health Care Workforce Scan 2025</w:t>
      </w:r>
      <w:r w:rsidDel="00000000" w:rsidR="00000000" w:rsidRPr="00000000">
        <w:rPr>
          <w:rFonts w:ascii="Times New Roman" w:cs="Times New Roman" w:eastAsia="Times New Roman" w:hAnsi="Times New Roman"/>
          <w:sz w:val="24"/>
          <w:szCs w:val="24"/>
          <w:rtl w:val="0"/>
        </w:rPr>
        <w:t xml:space="preserve">. Available at: https://www.aha.org/workforce (Accessed: 10 November 2025). </w:t>
      </w:r>
      <w:r w:rsidDel="00000000" w:rsidR="00000000" w:rsidRPr="00000000">
        <w:rPr>
          <w:rtl w:val="0"/>
        </w:rPr>
      </w:r>
    </w:p>
    <w:p w:rsidR="00000000" w:rsidDel="00000000" w:rsidP="00000000" w:rsidRDefault="00000000" w:rsidRPr="00000000" w14:paraId="0000009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Cappelli, P. (2015) ‘Skill gaps, skill shortages, and skill mismatches’, </w:t>
      </w:r>
      <w:r w:rsidDel="00000000" w:rsidR="00000000" w:rsidRPr="00000000">
        <w:rPr>
          <w:rFonts w:ascii="Times New Roman" w:cs="Times New Roman" w:eastAsia="Times New Roman" w:hAnsi="Times New Roman"/>
          <w:i w:val="1"/>
          <w:iCs w:val="1"/>
          <w:sz w:val="24"/>
          <w:szCs w:val="24"/>
          <w:rtl w:val="0"/>
        </w:rPr>
        <w:t xml:space="preserve">ILR Review</w:t>
      </w:r>
      <w:r w:rsidDel="00000000" w:rsidR="00000000" w:rsidRPr="00000000">
        <w:rPr>
          <w:rFonts w:ascii="Times New Roman" w:cs="Times New Roman" w:eastAsia="Times New Roman" w:hAnsi="Times New Roman"/>
          <w:sz w:val="24"/>
          <w:szCs w:val="24"/>
          <w:rtl w:val="0"/>
        </w:rPr>
        <w:t xml:space="preserve">, 68(2), pp. 251–290.</w:t>
      </w:r>
    </w:p>
    <w:p w:rsidR="00000000" w:rsidDel="00000000" w:rsidP="00000000" w:rsidRDefault="00000000" w:rsidRPr="00000000" w14:paraId="0000009C">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Chartered Institute of Personnel and Development (CIPD) (2023) </w:t>
      </w:r>
      <w:r w:rsidDel="00000000" w:rsidR="00000000" w:rsidRPr="00000000">
        <w:rPr>
          <w:rFonts w:ascii="Times New Roman" w:cs="Times New Roman" w:eastAsia="Times New Roman" w:hAnsi="Times New Roman"/>
          <w:i w:val="1"/>
          <w:iCs w:val="1"/>
          <w:sz w:val="24"/>
          <w:szCs w:val="24"/>
          <w:rtl w:val="0"/>
        </w:rPr>
        <w:t xml:space="preserve">Artificial intelligence (AI) in the workplace</w:t>
      </w:r>
      <w:r w:rsidDel="00000000" w:rsidR="00000000" w:rsidRPr="00000000">
        <w:rPr>
          <w:rFonts w:ascii="Times New Roman" w:cs="Times New Roman" w:eastAsia="Times New Roman" w:hAnsi="Times New Roman"/>
          <w:sz w:val="24"/>
          <w:szCs w:val="24"/>
          <w:rtl w:val="0"/>
        </w:rPr>
        <w:t xml:space="preserve">. Available at: https://www.cipd.org/en/knowledge/work/technology/artificial-intelligence-workplace/ (Accessed: 10 November 2025). </w:t>
      </w:r>
      <w:r w:rsidDel="00000000" w:rsidR="00000000" w:rsidRPr="00000000">
        <w:rPr>
          <w:rtl w:val="0"/>
        </w:rPr>
      </w:r>
    </w:p>
    <w:p w:rsidR="00000000" w:rsidDel="00000000" w:rsidP="00000000" w:rsidRDefault="00000000" w:rsidRPr="00000000" w14:paraId="0000009D">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Clifford Chance (2024) ‘What does the EU AI Act mean for employers?’ Available at: https://www.cliffordchance.com/insights/resources/blogs/employment-law-watch/2024/03/what-does-the-eu-ai-act-mean-for-employers.html (Accessed: 10 November 2025). </w:t>
      </w:r>
      <w:r w:rsidDel="00000000" w:rsidR="00000000" w:rsidRPr="00000000">
        <w:rPr>
          <w:rtl w:val="0"/>
        </w:rPr>
      </w:r>
    </w:p>
    <w:p w:rsidR="00000000" w:rsidDel="00000000" w:rsidP="00000000" w:rsidRDefault="00000000" w:rsidRPr="00000000" w14:paraId="0000009E">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Construction Dive (2023) ‘TSMC’s Arizona chip plant delayed amid skilled labor shortage’. Available at: https://www.constructiondive.com/news/tsmc-delays-arizona-chip-plant-labor-shortage/688314/ (Accessed: 10 November 2025). </w:t>
      </w:r>
      <w:r w:rsidDel="00000000" w:rsidR="00000000" w:rsidRPr="00000000">
        <w:rPr>
          <w:rtl w:val="0"/>
        </w:rPr>
      </w:r>
    </w:p>
    <w:p w:rsidR="00000000" w:rsidDel="00000000" w:rsidP="00000000" w:rsidRDefault="00000000" w:rsidRPr="00000000" w14:paraId="0000009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Deardorff, D.K. (2006) ‘Identification and assessment of intercultural competence as a student outcome of internationalization’, </w:t>
      </w:r>
      <w:r w:rsidDel="00000000" w:rsidR="00000000" w:rsidRPr="00000000">
        <w:rPr>
          <w:rFonts w:ascii="Times New Roman" w:cs="Times New Roman" w:eastAsia="Times New Roman" w:hAnsi="Times New Roman"/>
          <w:i w:val="1"/>
          <w:iCs w:val="1"/>
          <w:sz w:val="24"/>
          <w:szCs w:val="24"/>
          <w:rtl w:val="0"/>
        </w:rPr>
        <w:t xml:space="preserve">Journal of Studies in International Education</w:t>
      </w:r>
      <w:r w:rsidDel="00000000" w:rsidR="00000000" w:rsidRPr="00000000">
        <w:rPr>
          <w:rFonts w:ascii="Times New Roman" w:cs="Times New Roman" w:eastAsia="Times New Roman" w:hAnsi="Times New Roman"/>
          <w:sz w:val="24"/>
          <w:szCs w:val="24"/>
          <w:rtl w:val="0"/>
        </w:rPr>
        <w:t xml:space="preserve">, 10(3), pp. 241–266.</w:t>
      </w:r>
    </w:p>
    <w:p w:rsidR="00000000" w:rsidDel="00000000" w:rsidP="00000000" w:rsidRDefault="00000000" w:rsidRPr="00000000" w14:paraId="000000A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Dowling, P.J., Festing, M. and Engle, A.D. (2023) </w:t>
      </w:r>
      <w:r w:rsidDel="00000000" w:rsidR="00000000" w:rsidRPr="00000000">
        <w:rPr>
          <w:rFonts w:ascii="Times New Roman" w:cs="Times New Roman" w:eastAsia="Times New Roman" w:hAnsi="Times New Roman"/>
          <w:i w:val="1"/>
          <w:iCs w:val="1"/>
          <w:sz w:val="24"/>
          <w:szCs w:val="24"/>
          <w:rtl w:val="0"/>
        </w:rPr>
        <w:t xml:space="preserve">International Human Resource Management</w:t>
      </w:r>
      <w:r w:rsidDel="00000000" w:rsidR="00000000" w:rsidRPr="00000000">
        <w:rPr>
          <w:rFonts w:ascii="Times New Roman" w:cs="Times New Roman" w:eastAsia="Times New Roman" w:hAnsi="Times New Roman"/>
          <w:sz w:val="24"/>
          <w:szCs w:val="24"/>
          <w:rtl w:val="0"/>
        </w:rPr>
        <w:t xml:space="preserve">. 8th edn. Boston: Cengage.</w:t>
      </w:r>
    </w:p>
    <w:p w:rsidR="00000000" w:rsidDel="00000000" w:rsidP="00000000" w:rsidRDefault="00000000" w:rsidRPr="00000000" w14:paraId="000000A1">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Google Cloud and IHG Hotels &amp; Resorts (2024) ‘IHG Hotels &amp; Resorts builds a new travel planner powered by Google Cloud AI’. Available at: https://www.googlecloudpresscorner.com/2024-04-09-IHG-Hotels-Resorts-Builds-a-New-Travel-Planner-Powered-by-Google-Cloud-AI (Accessed: 10 November 2025). </w:t>
      </w:r>
      <w:r w:rsidDel="00000000" w:rsidR="00000000" w:rsidRPr="00000000">
        <w:rPr>
          <w:rtl w:val="0"/>
        </w:rPr>
      </w:r>
    </w:p>
    <w:p w:rsidR="00000000" w:rsidDel="00000000" w:rsidP="00000000" w:rsidRDefault="00000000" w:rsidRPr="00000000" w14:paraId="000000A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Kellogg, K.C., Valentine, M.A. and Christin, A. (2020) ‘Algorithms at work: The new contested terrain of control’, </w:t>
      </w:r>
      <w:r w:rsidDel="00000000" w:rsidR="00000000" w:rsidRPr="00000000">
        <w:rPr>
          <w:rFonts w:ascii="Times New Roman" w:cs="Times New Roman" w:eastAsia="Times New Roman" w:hAnsi="Times New Roman"/>
          <w:i w:val="1"/>
          <w:iCs w:val="1"/>
          <w:sz w:val="24"/>
          <w:szCs w:val="24"/>
          <w:rtl w:val="0"/>
        </w:rPr>
        <w:t xml:space="preserve">Academy of Management Annals</w:t>
      </w:r>
      <w:r w:rsidDel="00000000" w:rsidR="00000000" w:rsidRPr="00000000">
        <w:rPr>
          <w:rFonts w:ascii="Times New Roman" w:cs="Times New Roman" w:eastAsia="Times New Roman" w:hAnsi="Times New Roman"/>
          <w:sz w:val="24"/>
          <w:szCs w:val="24"/>
          <w:rtl w:val="0"/>
        </w:rPr>
        <w:t xml:space="preserve">, 14(1), pp. 366–410.</w:t>
      </w:r>
    </w:p>
    <w:p w:rsidR="00000000" w:rsidDel="00000000" w:rsidP="00000000" w:rsidRDefault="00000000" w:rsidRPr="00000000" w14:paraId="000000A3">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ManpowerGroup (2024) </w:t>
      </w:r>
      <w:r w:rsidDel="00000000" w:rsidR="00000000" w:rsidRPr="00000000">
        <w:rPr>
          <w:rFonts w:ascii="Times New Roman" w:cs="Times New Roman" w:eastAsia="Times New Roman" w:hAnsi="Times New Roman"/>
          <w:i w:val="1"/>
          <w:iCs w:val="1"/>
          <w:sz w:val="24"/>
          <w:szCs w:val="24"/>
          <w:rtl w:val="0"/>
        </w:rPr>
        <w:t xml:space="preserve">Global Talent Shortage 2024</w:t>
      </w:r>
      <w:r w:rsidDel="00000000" w:rsidR="00000000" w:rsidRPr="00000000">
        <w:rPr>
          <w:rFonts w:ascii="Times New Roman" w:cs="Times New Roman" w:eastAsia="Times New Roman" w:hAnsi="Times New Roman"/>
          <w:sz w:val="24"/>
          <w:szCs w:val="24"/>
          <w:rtl w:val="0"/>
        </w:rPr>
        <w:t xml:space="preserve">. Available at: https://workforce-resources.manpowergroup.com/talent-shortage/global-talent-shortage-2024 (Accessed: 10 November 2025). </w:t>
      </w:r>
      <w:r w:rsidDel="00000000" w:rsidR="00000000" w:rsidRPr="00000000">
        <w:rPr>
          <w:rtl w:val="0"/>
        </w:rPr>
      </w:r>
    </w:p>
    <w:p w:rsidR="00000000" w:rsidDel="00000000" w:rsidP="00000000" w:rsidRDefault="00000000" w:rsidRPr="00000000" w14:paraId="000000A4">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National Institute of Standards and Technology (NIST) (2023) </w:t>
      </w:r>
      <w:r w:rsidDel="00000000" w:rsidR="00000000" w:rsidRPr="00000000">
        <w:rPr>
          <w:rFonts w:ascii="Times New Roman" w:cs="Times New Roman" w:eastAsia="Times New Roman" w:hAnsi="Times New Roman"/>
          <w:i w:val="1"/>
          <w:iCs w:val="1"/>
          <w:sz w:val="24"/>
          <w:szCs w:val="24"/>
          <w:rtl w:val="0"/>
        </w:rPr>
        <w:t xml:space="preserve">Artificial Intelligence Risk Management Framework (AI RMF 1.0)</w:t>
      </w:r>
      <w:r w:rsidDel="00000000" w:rsidR="00000000" w:rsidRPr="00000000">
        <w:rPr>
          <w:rFonts w:ascii="Times New Roman" w:cs="Times New Roman" w:eastAsia="Times New Roman" w:hAnsi="Times New Roman"/>
          <w:sz w:val="24"/>
          <w:szCs w:val="24"/>
          <w:rtl w:val="0"/>
        </w:rPr>
        <w:t xml:space="preserve">. Available at: https://nvlpubs.nist.gov/nistpubs/ai/NIST.AI.100-1.pdf (Accessed: 10 November 2025). </w:t>
      </w:r>
      <w:r w:rsidDel="00000000" w:rsidR="00000000" w:rsidRPr="00000000">
        <w:rPr>
          <w:rtl w:val="0"/>
        </w:rPr>
      </w:r>
    </w:p>
    <w:p w:rsidR="00000000" w:rsidDel="00000000" w:rsidP="00000000" w:rsidRDefault="00000000" w:rsidRPr="00000000" w14:paraId="000000A5">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New York City Department of Consumer and Worker Protection (NYC DCWP) (2023) </w:t>
      </w:r>
      <w:r w:rsidDel="00000000" w:rsidR="00000000" w:rsidRPr="00000000">
        <w:rPr>
          <w:rFonts w:ascii="Times New Roman" w:cs="Times New Roman" w:eastAsia="Times New Roman" w:hAnsi="Times New Roman"/>
          <w:i w:val="1"/>
          <w:iCs w:val="1"/>
          <w:sz w:val="24"/>
          <w:szCs w:val="24"/>
          <w:rtl w:val="0"/>
        </w:rPr>
        <w:t xml:space="preserve">Automated Employment Decision Tools (AEDT): Local Law 144 FAQs</w:t>
      </w:r>
      <w:r w:rsidDel="00000000" w:rsidR="00000000" w:rsidRPr="00000000">
        <w:rPr>
          <w:rFonts w:ascii="Times New Roman" w:cs="Times New Roman" w:eastAsia="Times New Roman" w:hAnsi="Times New Roman"/>
          <w:sz w:val="24"/>
          <w:szCs w:val="24"/>
          <w:rtl w:val="0"/>
        </w:rPr>
        <w:t xml:space="preserve">. Available at: https://www.nyc.gov/site/dcwp/workers/automated-employment-decision-tools.page (Accessed: 10 November 2025). </w:t>
      </w:r>
      <w:r w:rsidDel="00000000" w:rsidR="00000000" w:rsidRPr="00000000">
        <w:rPr>
          <w:rtl w:val="0"/>
        </w:rPr>
      </w:r>
    </w:p>
    <w:p w:rsidR="00000000" w:rsidDel="00000000" w:rsidP="00000000" w:rsidRDefault="00000000" w:rsidRPr="00000000" w14:paraId="000000A6">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Reuters (2020) ‘HSBC shuts some branches as Hong Kong protests disrupt operations’. Available at: https://www.reuters.com/article/us-hongkong-protests-hsbc-idUSKBN1XB3Q9 (Accessed: 10 November 2025). </w:t>
      </w:r>
      <w:r w:rsidDel="00000000" w:rsidR="00000000" w:rsidRPr="00000000">
        <w:rPr>
          <w:rtl w:val="0"/>
        </w:rPr>
      </w:r>
    </w:p>
    <w:p w:rsidR="00000000" w:rsidDel="00000000" w:rsidP="00000000" w:rsidRDefault="00000000" w:rsidRPr="00000000" w14:paraId="000000A7">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Reuters (2024) ‘Google pauses Gemini’s image generation after historical inaccuracies’. Available at: https://www.reuters.com/technology/google-pauses-geminis-image-generation-after-backlash-2024-02-22/ (Accessed: 10 November 2025). </w:t>
      </w:r>
      <w:r w:rsidDel="00000000" w:rsidR="00000000" w:rsidRPr="00000000">
        <w:rPr>
          <w:rtl w:val="0"/>
        </w:rPr>
      </w:r>
    </w:p>
    <w:p w:rsidR="00000000" w:rsidDel="00000000" w:rsidP="00000000" w:rsidRDefault="00000000" w:rsidRPr="00000000" w14:paraId="000000A8">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Reuters (2025) ‘Goldman Sachs boosts CEO pay to $39 million, lines up five more years at helm’. Available at: https://www.reuters.com/business/finance/goldman-sachs-boosts-ceo-pay-39-million-lines-up-five-more-years-helm-2025-01-17/ (Accessed: 10 November 2025).</w:t>
      </w:r>
      <w:r w:rsidDel="00000000" w:rsidR="00000000" w:rsidRPr="00000000">
        <w:rPr>
          <w:rtl w:val="0"/>
        </w:rPr>
      </w:r>
    </w:p>
    <w:p w:rsidR="00000000" w:rsidDel="00000000" w:rsidP="00000000" w:rsidRDefault="00000000" w:rsidRPr="00000000" w14:paraId="000000A9">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Society for Human Resource Management (SHRM) (2024) </w:t>
      </w:r>
      <w:r w:rsidDel="00000000" w:rsidR="00000000" w:rsidRPr="00000000">
        <w:rPr>
          <w:rFonts w:ascii="Times New Roman" w:cs="Times New Roman" w:eastAsia="Times New Roman" w:hAnsi="Times New Roman"/>
          <w:i w:val="1"/>
          <w:iCs w:val="1"/>
          <w:sz w:val="24"/>
          <w:szCs w:val="24"/>
          <w:rtl w:val="0"/>
        </w:rPr>
        <w:t xml:space="preserve">Harnessing AI in HR: Balancing efficiency and ethics</w:t>
      </w:r>
      <w:r w:rsidDel="00000000" w:rsidR="00000000" w:rsidRPr="00000000">
        <w:rPr>
          <w:rFonts w:ascii="Times New Roman" w:cs="Times New Roman" w:eastAsia="Times New Roman" w:hAnsi="Times New Roman"/>
          <w:sz w:val="24"/>
          <w:szCs w:val="24"/>
          <w:rtl w:val="0"/>
        </w:rPr>
        <w:t xml:space="preserve">. Available at: https://www.shrm.org/topics-tools/news/hr-magazine/harnessing-ai-hr (Accessed: 10 November 2025).</w:t>
      </w:r>
      <w:r w:rsidDel="00000000" w:rsidR="00000000" w:rsidRPr="00000000">
        <w:rPr>
          <w:rtl w:val="0"/>
        </w:rPr>
      </w:r>
    </w:p>
    <w:p w:rsidR="00000000" w:rsidDel="00000000" w:rsidP="00000000" w:rsidRDefault="00000000" w:rsidRPr="00000000" w14:paraId="000000AA">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TechMonitor (2023) ‘Zellis cyberattack exposes payroll data for British Airways, BBC and Boots staff’. Available at: https://techmonitor.ai/technology/cybersecurity/zellis-moveit-cyber-attack-british-airways-bbc-boots (Accessed: 10 November 2025). </w:t>
      </w:r>
      <w:r w:rsidDel="00000000" w:rsidR="00000000" w:rsidRPr="00000000">
        <w:rPr>
          <w:rtl w:val="0"/>
        </w:rPr>
      </w:r>
    </w:p>
    <w:p w:rsidR="00000000" w:rsidDel="00000000" w:rsidP="00000000" w:rsidRDefault="00000000" w:rsidRPr="00000000" w14:paraId="000000AB">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The Guardian (2025) ‘Apple plans to make more iPhones in India as firms seek China alternatives’. Available at: https://www.theguardian.com/technology/2025/jan/21/apple-make-more-iphones-india (Accessed: 10 November 2025). </w:t>
      </w:r>
      <w:r w:rsidDel="00000000" w:rsidR="00000000" w:rsidRPr="00000000">
        <w:rPr>
          <w:rtl w:val="0"/>
        </w:rPr>
      </w:r>
    </w:p>
    <w:p w:rsidR="00000000" w:rsidDel="00000000" w:rsidP="00000000" w:rsidRDefault="00000000" w:rsidRPr="00000000" w14:paraId="000000AC">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The Verge (2024) ‘Google’s Gemini AI generates historically inaccurate images, sparking backlash’. Available at: https://www.theverge.com/2024/2/22/24079913/google-gemini-ai-image-generation-controversy (Accessed: 10 November 2025). </w:t>
      </w:r>
      <w:r w:rsidDel="00000000" w:rsidR="00000000" w:rsidRPr="00000000">
        <w:rPr>
          <w:rtl w:val="0"/>
        </w:rPr>
      </w:r>
    </w:p>
    <w:p w:rsidR="00000000" w:rsidDel="00000000" w:rsidP="00000000" w:rsidRDefault="00000000" w:rsidRPr="00000000" w14:paraId="000000AD">
      <w:pPr>
        <w:spacing w:after="240" w:before="240" w:line="360" w:lineRule="auto"/>
        <w:jc w:val="both"/>
        <w:rPr>
          <w:rFonts w:ascii="Times New Roman" w:cs="Times New Roman" w:eastAsia="Times New Roman" w:hAnsi="Times New Roman"/>
          <w:color w:val="1155cc"/>
          <w:sz w:val="24"/>
          <w:szCs w:val="24"/>
          <w:u w:val="single"/>
        </w:rPr>
      </w:pPr>
      <w:r w:rsidDel="00000000" w:rsidR="00000000" w:rsidRPr="00000000">
        <w:rPr>
          <w:rFonts w:ascii="Times New Roman" w:cs="Times New Roman" w:eastAsia="Times New Roman" w:hAnsi="Times New Roman"/>
          <w:sz w:val="24"/>
          <w:szCs w:val="24"/>
          <w:rtl w:val="0"/>
        </w:rPr>
        <w:t xml:space="preserve">UKHospitality (2024) </w:t>
      </w:r>
      <w:r w:rsidDel="00000000" w:rsidR="00000000" w:rsidRPr="00000000">
        <w:rPr>
          <w:rFonts w:ascii="Times New Roman" w:cs="Times New Roman" w:eastAsia="Times New Roman" w:hAnsi="Times New Roman"/>
          <w:i w:val="1"/>
          <w:iCs w:val="1"/>
          <w:sz w:val="24"/>
          <w:szCs w:val="24"/>
          <w:rtl w:val="0"/>
        </w:rPr>
        <w:t xml:space="preserve">Workforce shortages campaign briefing</w:t>
      </w:r>
      <w:r w:rsidDel="00000000" w:rsidR="00000000" w:rsidRPr="00000000">
        <w:rPr>
          <w:rFonts w:ascii="Times New Roman" w:cs="Times New Roman" w:eastAsia="Times New Roman" w:hAnsi="Times New Roman"/>
          <w:sz w:val="24"/>
          <w:szCs w:val="24"/>
          <w:rtl w:val="0"/>
        </w:rPr>
        <w:t xml:space="preserve">. Available at: https://www.ukhospitality.org.uk/page/workforce (Accessed: 10 November 2025).</w:t>
      </w:r>
      <w:r w:rsidDel="00000000" w:rsidR="00000000" w:rsidRPr="00000000">
        <w:rPr>
          <w:rtl w:val="0"/>
        </w:rPr>
      </w:r>
    </w:p>
    <w:p w:rsidR="00000000" w:rsidDel="00000000" w:rsidP="00000000" w:rsidRDefault="00000000" w:rsidRPr="00000000" w14:paraId="000000A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World Health Organization (WHO) (2025) </w:t>
      </w:r>
      <w:r w:rsidDel="00000000" w:rsidR="00000000" w:rsidRPr="00000000">
        <w:rPr>
          <w:rFonts w:ascii="Times New Roman" w:cs="Times New Roman" w:eastAsia="Times New Roman" w:hAnsi="Times New Roman"/>
          <w:i w:val="1"/>
          <w:iCs w:val="1"/>
          <w:sz w:val="24"/>
          <w:szCs w:val="24"/>
          <w:rtl w:val="0"/>
        </w:rPr>
        <w:t xml:space="preserve">State of the World’s Nursing 2025 – Summary</w:t>
      </w:r>
      <w:r w:rsidDel="00000000" w:rsidR="00000000" w:rsidRPr="00000000">
        <w:rPr>
          <w:rFonts w:ascii="Times New Roman" w:cs="Times New Roman" w:eastAsia="Times New Roman" w:hAnsi="Times New Roman"/>
          <w:sz w:val="24"/>
          <w:szCs w:val="24"/>
          <w:rtl w:val="0"/>
        </w:rPr>
        <w:t xml:space="preserve">. Available at: https://www.who.int/publications (Accessed: 10 November 2025).</w:t>
      </w:r>
    </w:p>
    <w:p w:rsidR="00000000" w:rsidDel="00000000" w:rsidP="00000000" w:rsidRDefault="00000000" w:rsidRPr="00000000" w14:paraId="000000AF">
      <w:pPr>
        <w:spacing w:after="240" w:before="240"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B0">
      <w:pPr>
        <w:pStyle w:val="Heading1"/>
        <w:keepNext w:val="0"/>
        <w:keepLines w:val="0"/>
        <w:shd w:fill="ffffff" w:val="clear"/>
        <w:spacing w:after="0" w:before="0" w:line="360" w:lineRule="auto"/>
        <w:jc w:val="both"/>
        <w:rPr>
          <w:rFonts w:ascii="Times New Roman" w:cs="Times New Roman" w:eastAsia="Times New Roman" w:hAnsi="Times New Roman"/>
          <w:b w:val="1"/>
          <w:bCs w:val="1"/>
        </w:rPr>
      </w:pPr>
      <w:bookmarkStart w:colFirst="0" w:colLast="0" w:name="_df83jpkf3fqi" w:id="33"/>
      <w:bookmarkEnd w:id="33"/>
      <w:r w:rsidDel="00000000" w:rsidR="00000000" w:rsidRPr="00000000">
        <w:rPr>
          <w:rFonts w:ascii="Times New Roman" w:cs="Times New Roman" w:eastAsia="Times New Roman" w:hAnsi="Times New Roman"/>
          <w:b w:val="1"/>
          <w:bCs w:val="1"/>
          <w:rtl w:val="0"/>
        </w:rPr>
        <w:t xml:space="preserve">8. </w:t>
      </w:r>
      <w:r w:rsidDel="00000000" w:rsidR="00000000" w:rsidRPr="00000000">
        <w:rPr>
          <w:rFonts w:ascii="Times New Roman" w:cs="Times New Roman" w:eastAsia="Times New Roman" w:hAnsi="Times New Roman"/>
          <w:b w:val="1"/>
          <w:bCs w:val="1"/>
          <w:rtl w:val="0"/>
        </w:rPr>
        <w:t xml:space="preserve">Appendix: SWOT Analysis </w:t>
      </w:r>
    </w:p>
    <w:tbl>
      <w:tblPr>
        <w:tblStyle w:val="Table3"/>
        <w:tblW w:w="901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110"/>
        <w:gridCol w:w="4545"/>
        <w:gridCol w:w="360"/>
        <w:tblGridChange w:id="0">
          <w:tblGrid>
            <w:gridCol w:w="4110"/>
            <w:gridCol w:w="4545"/>
            <w:gridCol w:w="360"/>
          </w:tblGrid>
        </w:tblGridChange>
      </w:tblGrid>
      <w:tr>
        <w:trPr>
          <w:cantSplit w:val="0"/>
          <w:trHeight w:val="48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80.0" w:type="dxa"/>
              <w:bottom w:w="100.0" w:type="dxa"/>
              <w:right w:w="180.0" w:type="dxa"/>
            </w:tcMar>
            <w:vAlign w:val="top"/>
          </w:tcPr>
          <w:p w:rsidR="00000000" w:rsidDel="00000000" w:rsidP="00000000" w:rsidRDefault="00000000" w:rsidRPr="00000000" w14:paraId="000000B1">
            <w:pPr>
              <w:spacing w:line="240" w:lineRule="auto"/>
              <w:jc w:val="both"/>
              <w:rPr>
                <w:rFonts w:ascii="Times New Roman" w:cs="Times New Roman" w:eastAsia="Times New Roman" w:hAnsi="Times New Roman"/>
                <w:b w:val="1"/>
                <w:bCs w:val="1"/>
                <w:sz w:val="24"/>
                <w:szCs w:val="24"/>
              </w:rPr>
            </w:pP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80.0" w:type="dxa"/>
              <w:bottom w:w="100.0" w:type="dxa"/>
              <w:right w:w="180.0" w:type="dxa"/>
            </w:tcMar>
            <w:vAlign w:val="top"/>
          </w:tcPr>
          <w:p w:rsidR="00000000" w:rsidDel="00000000" w:rsidP="00000000" w:rsidRDefault="00000000" w:rsidRPr="00000000" w14:paraId="000000B2">
            <w:pPr>
              <w:spacing w:line="24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Internal Factors</w:t>
            </w:r>
          </w:p>
        </w:tc>
        <w:tc>
          <w:tcPr>
            <w:tcBorders>
              <w:top w:color="000000" w:space="0" w:sz="0" w:val="nil"/>
              <w:left w:color="000000" w:space="0" w:sz="12" w:val="single"/>
              <w:bottom w:color="000000" w:space="0" w:sz="0" w:val="nil"/>
              <w:right w:color="000000" w:space="0" w:sz="0" w:val="nil"/>
            </w:tcBorders>
            <w:tcMar>
              <w:top w:w="100.0" w:type="dxa"/>
              <w:left w:w="180.0" w:type="dxa"/>
              <w:bottom w:w="100.0" w:type="dxa"/>
              <w:right w:w="180.0" w:type="dxa"/>
            </w:tcMar>
            <w:vAlign w:val="top"/>
          </w:tcPr>
          <w:p w:rsidR="00000000" w:rsidDel="00000000" w:rsidP="00000000" w:rsidRDefault="00000000" w:rsidRPr="00000000" w14:paraId="000000B3">
            <w:pPr>
              <w:spacing w:after="240" w:before="240" w:line="342.85714285714283" w:lineRule="auto"/>
              <w:jc w:val="both"/>
              <w:rPr>
                <w:color w:val="1a1c1e"/>
                <w:sz w:val="21"/>
                <w:szCs w:val="21"/>
              </w:rPr>
            </w:pPr>
            <w:r w:rsidDel="00000000" w:rsidR="00000000" w:rsidRPr="00000000">
              <w:rPr>
                <w:rtl w:val="0"/>
              </w:rPr>
            </w:r>
          </w:p>
        </w:tc>
      </w:tr>
      <w:tr>
        <w:trPr>
          <w:cantSplit w:val="0"/>
          <w:trHeight w:val="48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80.0" w:type="dxa"/>
              <w:bottom w:w="100.0" w:type="dxa"/>
              <w:right w:w="180.0" w:type="dxa"/>
            </w:tcMar>
            <w:vAlign w:val="top"/>
          </w:tcPr>
          <w:p w:rsidR="00000000" w:rsidDel="00000000" w:rsidP="00000000" w:rsidRDefault="00000000" w:rsidRPr="00000000" w14:paraId="000000B4">
            <w:pPr>
              <w:spacing w:line="24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Strengths</w:t>
            </w:r>
          </w:p>
        </w:tc>
        <w:tc>
          <w:tcPr>
            <w:tcBorders>
              <w:top w:color="000000" w:space="0" w:sz="12" w:val="single"/>
              <w:left w:color="000000" w:space="0" w:sz="12" w:val="single"/>
              <w:bottom w:color="000000" w:space="0" w:sz="12" w:val="single"/>
              <w:right w:color="000000" w:space="0" w:sz="12" w:val="single"/>
            </w:tcBorders>
            <w:tcMar>
              <w:top w:w="100.0" w:type="dxa"/>
              <w:left w:w="180.0" w:type="dxa"/>
              <w:bottom w:w="100.0" w:type="dxa"/>
              <w:right w:w="180.0" w:type="dxa"/>
            </w:tcMar>
            <w:vAlign w:val="top"/>
          </w:tcPr>
          <w:p w:rsidR="00000000" w:rsidDel="00000000" w:rsidP="00000000" w:rsidRDefault="00000000" w:rsidRPr="00000000" w14:paraId="000000B5">
            <w:pPr>
              <w:spacing w:line="24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Weaknesses</w:t>
            </w:r>
          </w:p>
        </w:tc>
        <w:tc>
          <w:tcPr>
            <w:tcBorders>
              <w:top w:color="000000" w:space="0" w:sz="0" w:val="nil"/>
              <w:left w:color="000000" w:space="0" w:sz="12" w:val="single"/>
              <w:bottom w:color="000000" w:space="0" w:sz="0" w:val="nil"/>
              <w:right w:color="000000" w:space="0" w:sz="0" w:val="nil"/>
            </w:tcBorders>
            <w:tcMar>
              <w:top w:w="100.0" w:type="dxa"/>
              <w:left w:w="180.0" w:type="dxa"/>
              <w:bottom w:w="100.0" w:type="dxa"/>
              <w:right w:w="180.0" w:type="dxa"/>
            </w:tcMar>
            <w:vAlign w:val="top"/>
          </w:tcPr>
          <w:p w:rsidR="00000000" w:rsidDel="00000000" w:rsidP="00000000" w:rsidRDefault="00000000" w:rsidRPr="00000000" w14:paraId="000000B6">
            <w:pPr>
              <w:spacing w:after="240" w:before="240" w:line="342.85714285714283" w:lineRule="auto"/>
              <w:jc w:val="both"/>
              <w:rPr>
                <w:color w:val="1a1c1e"/>
                <w:sz w:val="21"/>
                <w:szCs w:val="21"/>
              </w:rPr>
            </w:pPr>
            <w:r w:rsidDel="00000000" w:rsidR="00000000" w:rsidRPr="00000000">
              <w:rPr>
                <w:rtl w:val="0"/>
              </w:rPr>
            </w:r>
          </w:p>
        </w:tc>
      </w:tr>
      <w:tr>
        <w:trPr>
          <w:cantSplit w:val="0"/>
          <w:trHeight w:val="108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80.0" w:type="dxa"/>
              <w:bottom w:w="100.0" w:type="dxa"/>
              <w:right w:w="180.0" w:type="dxa"/>
            </w:tcMar>
            <w:vAlign w:val="top"/>
          </w:tcPr>
          <w:p w:rsidR="00000000" w:rsidDel="00000000" w:rsidP="00000000" w:rsidRDefault="00000000" w:rsidRPr="00000000" w14:paraId="000000B7">
            <w:pPr>
              <w:numPr>
                <w:ilvl w:val="0"/>
                <w:numId w:val="1"/>
              </w:numPr>
              <w:spacing w:after="0" w:afterAutospacing="0"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Analytical governance &amp; AI risk assessment</w:t>
            </w:r>
          </w:p>
          <w:p w:rsidR="00000000" w:rsidDel="00000000" w:rsidP="00000000" w:rsidRDefault="00000000" w:rsidRPr="00000000" w14:paraId="000000B8">
            <w:pPr>
              <w:numPr>
                <w:ilvl w:val="0"/>
                <w:numId w:val="1"/>
              </w:numPr>
              <w:spacing w:before="0" w:beforeAutospacing="0"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Effective digital collaboration</w:t>
            </w:r>
          </w:p>
        </w:tc>
        <w:tc>
          <w:tcPr>
            <w:tcBorders>
              <w:top w:color="000000" w:space="0" w:sz="12" w:val="single"/>
              <w:left w:color="000000" w:space="0" w:sz="12" w:val="single"/>
              <w:bottom w:color="000000" w:space="0" w:sz="12" w:val="single"/>
              <w:right w:color="000000" w:space="0" w:sz="12" w:val="single"/>
            </w:tcBorders>
            <w:tcMar>
              <w:top w:w="100.0" w:type="dxa"/>
              <w:left w:w="180.0" w:type="dxa"/>
              <w:bottom w:w="100.0" w:type="dxa"/>
              <w:right w:w="180.0" w:type="dxa"/>
            </w:tcMar>
            <w:vAlign w:val="top"/>
          </w:tcPr>
          <w:p w:rsidR="00000000" w:rsidDel="00000000" w:rsidP="00000000" w:rsidRDefault="00000000" w:rsidRPr="00000000" w14:paraId="000000B9">
            <w:pPr>
              <w:numPr>
                <w:ilvl w:val="0"/>
                <w:numId w:val="1"/>
              </w:numPr>
              <w:spacing w:after="0" w:afterAutospacing="0"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Crisis communication &amp; delivering tough messages</w:t>
            </w:r>
          </w:p>
          <w:p w:rsidR="00000000" w:rsidDel="00000000" w:rsidP="00000000" w:rsidRDefault="00000000" w:rsidRPr="00000000" w14:paraId="000000BA">
            <w:pPr>
              <w:numPr>
                <w:ilvl w:val="0"/>
                <w:numId w:val="1"/>
              </w:numPr>
              <w:spacing w:before="0" w:beforeAutospacing="0"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Managing change psychology (AI anxiety)</w:t>
            </w:r>
          </w:p>
        </w:tc>
        <w:tc>
          <w:tcPr>
            <w:tcBorders>
              <w:top w:color="000000" w:space="0" w:sz="0" w:val="nil"/>
              <w:left w:color="000000" w:space="0" w:sz="12" w:val="single"/>
              <w:bottom w:color="000000" w:space="0" w:sz="0" w:val="nil"/>
              <w:right w:color="000000" w:space="0" w:sz="0" w:val="nil"/>
            </w:tcBorders>
            <w:tcMar>
              <w:top w:w="100.0" w:type="dxa"/>
              <w:left w:w="180.0" w:type="dxa"/>
              <w:bottom w:w="100.0" w:type="dxa"/>
              <w:right w:w="180.0" w:type="dxa"/>
            </w:tcMar>
            <w:vAlign w:val="top"/>
          </w:tcPr>
          <w:p w:rsidR="00000000" w:rsidDel="00000000" w:rsidP="00000000" w:rsidRDefault="00000000" w:rsidRPr="00000000" w14:paraId="000000BB">
            <w:pPr>
              <w:spacing w:after="240" w:before="240" w:line="342.85714285714283" w:lineRule="auto"/>
              <w:jc w:val="both"/>
              <w:rPr>
                <w:color w:val="1a1c1e"/>
                <w:sz w:val="21"/>
                <w:szCs w:val="21"/>
              </w:rPr>
            </w:pPr>
            <w:r w:rsidDel="00000000" w:rsidR="00000000" w:rsidRPr="00000000">
              <w:rPr>
                <w:rtl w:val="0"/>
              </w:rPr>
            </w:r>
          </w:p>
        </w:tc>
      </w:tr>
      <w:tr>
        <w:trPr>
          <w:cantSplit w:val="0"/>
          <w:trHeight w:val="48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80.0" w:type="dxa"/>
              <w:bottom w:w="100.0" w:type="dxa"/>
              <w:right w:w="180.0" w:type="dxa"/>
            </w:tcMar>
            <w:vAlign w:val="top"/>
          </w:tcPr>
          <w:p w:rsidR="00000000" w:rsidDel="00000000" w:rsidP="00000000" w:rsidRDefault="00000000" w:rsidRPr="00000000" w14:paraId="000000BC">
            <w:pPr>
              <w:spacing w:line="240" w:lineRule="auto"/>
              <w:jc w:val="both"/>
              <w:rPr>
                <w:rFonts w:ascii="Times New Roman" w:cs="Times New Roman" w:eastAsia="Times New Roman" w:hAnsi="Times New Roman"/>
                <w:b w:val="1"/>
                <w:bCs w:val="1"/>
                <w:sz w:val="24"/>
                <w:szCs w:val="24"/>
              </w:rPr>
            </w:pPr>
            <w:r w:rsidDel="00000000" w:rsidR="00000000" w:rsidRPr="00000000">
              <w:rPr>
                <w:rtl w:val="0"/>
              </w:rPr>
            </w:r>
          </w:p>
        </w:tc>
        <w:tc>
          <w:tcPr>
            <w:tcBorders>
              <w:top w:color="000000" w:space="0" w:sz="12" w:val="single"/>
              <w:left w:color="000000" w:space="0" w:sz="12" w:val="single"/>
              <w:bottom w:color="000000" w:space="0" w:sz="12" w:val="single"/>
              <w:right w:color="000000" w:space="0" w:sz="12" w:val="single"/>
            </w:tcBorders>
            <w:tcMar>
              <w:top w:w="100.0" w:type="dxa"/>
              <w:left w:w="180.0" w:type="dxa"/>
              <w:bottom w:w="100.0" w:type="dxa"/>
              <w:right w:w="180.0" w:type="dxa"/>
            </w:tcMar>
            <w:vAlign w:val="top"/>
          </w:tcPr>
          <w:p w:rsidR="00000000" w:rsidDel="00000000" w:rsidP="00000000" w:rsidRDefault="00000000" w:rsidRPr="00000000" w14:paraId="000000BD">
            <w:pPr>
              <w:spacing w:line="24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External Factors</w:t>
            </w:r>
          </w:p>
        </w:tc>
        <w:tc>
          <w:tcPr>
            <w:tcBorders>
              <w:top w:color="000000" w:space="0" w:sz="0" w:val="nil"/>
              <w:left w:color="000000" w:space="0" w:sz="12" w:val="single"/>
              <w:bottom w:color="000000" w:space="0" w:sz="0" w:val="nil"/>
              <w:right w:color="000000" w:space="0" w:sz="0" w:val="nil"/>
            </w:tcBorders>
            <w:tcMar>
              <w:top w:w="100.0" w:type="dxa"/>
              <w:left w:w="180.0" w:type="dxa"/>
              <w:bottom w:w="100.0" w:type="dxa"/>
              <w:right w:w="180.0" w:type="dxa"/>
            </w:tcMar>
            <w:vAlign w:val="top"/>
          </w:tcPr>
          <w:p w:rsidR="00000000" w:rsidDel="00000000" w:rsidP="00000000" w:rsidRDefault="00000000" w:rsidRPr="00000000" w14:paraId="000000BE">
            <w:pPr>
              <w:spacing w:after="240" w:before="240" w:line="342.85714285714283" w:lineRule="auto"/>
              <w:jc w:val="both"/>
              <w:rPr>
                <w:color w:val="1a1c1e"/>
                <w:sz w:val="21"/>
                <w:szCs w:val="21"/>
              </w:rPr>
            </w:pPr>
            <w:r w:rsidDel="00000000" w:rsidR="00000000" w:rsidRPr="00000000">
              <w:rPr>
                <w:rtl w:val="0"/>
              </w:rPr>
            </w:r>
          </w:p>
        </w:tc>
      </w:tr>
      <w:tr>
        <w:trPr>
          <w:cantSplit w:val="0"/>
          <w:trHeight w:val="48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80.0" w:type="dxa"/>
              <w:bottom w:w="100.0" w:type="dxa"/>
              <w:right w:w="180.0" w:type="dxa"/>
            </w:tcMar>
            <w:vAlign w:val="top"/>
          </w:tcPr>
          <w:p w:rsidR="00000000" w:rsidDel="00000000" w:rsidP="00000000" w:rsidRDefault="00000000" w:rsidRPr="00000000" w14:paraId="000000BF">
            <w:pPr>
              <w:spacing w:line="24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Opportunities</w:t>
            </w:r>
          </w:p>
        </w:tc>
        <w:tc>
          <w:tcPr>
            <w:tcBorders>
              <w:top w:color="000000" w:space="0" w:sz="12" w:val="single"/>
              <w:left w:color="000000" w:space="0" w:sz="12" w:val="single"/>
              <w:bottom w:color="000000" w:space="0" w:sz="12" w:val="single"/>
              <w:right w:color="000000" w:space="0" w:sz="12" w:val="single"/>
            </w:tcBorders>
            <w:tcMar>
              <w:top w:w="100.0" w:type="dxa"/>
              <w:left w:w="180.0" w:type="dxa"/>
              <w:bottom w:w="100.0" w:type="dxa"/>
              <w:right w:w="180.0" w:type="dxa"/>
            </w:tcMar>
            <w:vAlign w:val="top"/>
          </w:tcPr>
          <w:p w:rsidR="00000000" w:rsidDel="00000000" w:rsidP="00000000" w:rsidRDefault="00000000" w:rsidRPr="00000000" w14:paraId="000000C0">
            <w:pPr>
              <w:spacing w:line="24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Threats</w:t>
            </w:r>
          </w:p>
          <w:p w:rsidR="00000000" w:rsidDel="00000000" w:rsidP="00000000" w:rsidRDefault="00000000" w:rsidRPr="00000000" w14:paraId="000000C1">
            <w:pPr>
              <w:spacing w:line="240" w:lineRule="auto"/>
              <w:jc w:val="both"/>
              <w:rPr>
                <w:rFonts w:ascii="Times New Roman" w:cs="Times New Roman" w:eastAsia="Times New Roman" w:hAnsi="Times New Roman"/>
                <w:b w:val="1"/>
                <w:bCs w:val="1"/>
                <w:sz w:val="24"/>
                <w:szCs w:val="24"/>
              </w:rPr>
            </w:pPr>
            <w:r w:rsidDel="00000000" w:rsidR="00000000" w:rsidRPr="00000000">
              <w:rPr>
                <w:rtl w:val="0"/>
              </w:rPr>
            </w:r>
          </w:p>
        </w:tc>
        <w:tc>
          <w:tcPr>
            <w:tcBorders>
              <w:top w:color="000000" w:space="0" w:sz="0" w:val="nil"/>
              <w:left w:color="000000" w:space="0" w:sz="12" w:val="single"/>
              <w:bottom w:color="000000" w:space="0" w:sz="0" w:val="nil"/>
              <w:right w:color="000000" w:space="0" w:sz="0" w:val="nil"/>
            </w:tcBorders>
            <w:tcMar>
              <w:top w:w="100.0" w:type="dxa"/>
              <w:left w:w="180.0" w:type="dxa"/>
              <w:bottom w:w="100.0" w:type="dxa"/>
              <w:right w:w="180.0" w:type="dxa"/>
            </w:tcMar>
            <w:vAlign w:val="top"/>
          </w:tcPr>
          <w:p w:rsidR="00000000" w:rsidDel="00000000" w:rsidP="00000000" w:rsidRDefault="00000000" w:rsidRPr="00000000" w14:paraId="000000C2">
            <w:pPr>
              <w:spacing w:after="240" w:before="240" w:line="342.85714285714283" w:lineRule="auto"/>
              <w:jc w:val="both"/>
              <w:rPr>
                <w:color w:val="1a1c1e"/>
                <w:sz w:val="21"/>
                <w:szCs w:val="21"/>
              </w:rPr>
            </w:pPr>
            <w:r w:rsidDel="00000000" w:rsidR="00000000" w:rsidRPr="00000000">
              <w:rPr>
                <w:rtl w:val="0"/>
              </w:rPr>
            </w:r>
          </w:p>
        </w:tc>
      </w:tr>
      <w:tr>
        <w:trPr>
          <w:cantSplit w:val="0"/>
          <w:trHeight w:val="138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80.0" w:type="dxa"/>
              <w:bottom w:w="100.0" w:type="dxa"/>
              <w:right w:w="180.0" w:type="dxa"/>
            </w:tcMar>
            <w:vAlign w:val="top"/>
          </w:tcPr>
          <w:p w:rsidR="00000000" w:rsidDel="00000000" w:rsidP="00000000" w:rsidRDefault="00000000" w:rsidRPr="00000000" w14:paraId="000000C3">
            <w:pPr>
              <w:numPr>
                <w:ilvl w:val="0"/>
                <w:numId w:val="3"/>
              </w:numPr>
              <w:spacing w:after="0" w:afterAutospacing="0"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 AI governance &amp; risk reporting</w:t>
            </w:r>
          </w:p>
          <w:p w:rsidR="00000000" w:rsidDel="00000000" w:rsidP="00000000" w:rsidRDefault="00000000" w:rsidRPr="00000000" w14:paraId="000000C4">
            <w:pPr>
              <w:numPr>
                <w:ilvl w:val="0"/>
                <w:numId w:val="3"/>
              </w:numPr>
              <w:spacing w:after="0" w:afterAutospacing="0" w:before="0" w:beforeAutospacing="0"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Build organisational resilience via simulations</w:t>
            </w:r>
          </w:p>
          <w:p w:rsidR="00000000" w:rsidDel="00000000" w:rsidP="00000000" w:rsidRDefault="00000000" w:rsidRPr="00000000" w14:paraId="000000C5">
            <w:pPr>
              <w:numPr>
                <w:ilvl w:val="0"/>
                <w:numId w:val="3"/>
              </w:numPr>
              <w:spacing w:before="0" w:beforeAutospacing="0"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Champion a human-centred risk culture</w:t>
            </w:r>
          </w:p>
        </w:tc>
        <w:tc>
          <w:tcPr>
            <w:tcBorders>
              <w:top w:color="000000" w:space="0" w:sz="12" w:val="single"/>
              <w:left w:color="000000" w:space="0" w:sz="12" w:val="single"/>
              <w:bottom w:color="000000" w:space="0" w:sz="12" w:val="single"/>
              <w:right w:color="000000" w:space="0" w:sz="12" w:val="single"/>
            </w:tcBorders>
            <w:tcMar>
              <w:top w:w="100.0" w:type="dxa"/>
              <w:left w:w="180.0" w:type="dxa"/>
              <w:bottom w:w="100.0" w:type="dxa"/>
              <w:right w:w="180.0" w:type="dxa"/>
            </w:tcMar>
            <w:vAlign w:val="top"/>
          </w:tcPr>
          <w:p w:rsidR="00000000" w:rsidDel="00000000" w:rsidP="00000000" w:rsidRDefault="00000000" w:rsidRPr="00000000" w14:paraId="000000C6">
            <w:pPr>
              <w:numPr>
                <w:ilvl w:val="0"/>
                <w:numId w:val="3"/>
              </w:numPr>
              <w:spacing w:after="0" w:afterAutospacing="0"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Trust erosion from poor crisis communication</w:t>
            </w:r>
          </w:p>
          <w:p w:rsidR="00000000" w:rsidDel="00000000" w:rsidP="00000000" w:rsidRDefault="00000000" w:rsidRPr="00000000" w14:paraId="000000C7">
            <w:pPr>
              <w:numPr>
                <w:ilvl w:val="0"/>
                <w:numId w:val="3"/>
              </w:numPr>
              <w:spacing w:after="0" w:afterAutospacing="0" w:before="0" w:beforeAutospacing="0"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Failed AI adoption due to resistance/bias</w:t>
            </w:r>
          </w:p>
          <w:p w:rsidR="00000000" w:rsidDel="00000000" w:rsidP="00000000" w:rsidRDefault="00000000" w:rsidRPr="00000000" w14:paraId="000000C8">
            <w:pPr>
              <w:numPr>
                <w:ilvl w:val="0"/>
                <w:numId w:val="3"/>
              </w:numPr>
              <w:spacing w:before="0" w:beforeAutospacing="0" w:line="24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Personal burnout from high-risk role demands</w:t>
            </w:r>
          </w:p>
        </w:tc>
        <w:tc>
          <w:tcPr>
            <w:tcBorders>
              <w:left w:color="000000" w:space="0" w:sz="12" w:val="single"/>
            </w:tcBorders>
            <w:shd w:fill="auto" w:val="clear"/>
            <w:tcMar>
              <w:top w:w="100.0" w:type="dxa"/>
              <w:left w:w="100.0" w:type="dxa"/>
              <w:bottom w:w="100.0" w:type="dxa"/>
              <w:right w:w="100.0" w:type="dxa"/>
            </w:tcMar>
            <w:vAlign w:val="top"/>
          </w:tcPr>
          <w:p w:rsidR="00000000" w:rsidDel="00000000" w:rsidP="00000000" w:rsidRDefault="00000000" w:rsidRPr="00000000" w14:paraId="000000C9">
            <w:pPr>
              <w:spacing w:after="240" w:before="240" w:line="360" w:lineRule="auto"/>
              <w:jc w:val="both"/>
              <w:rPr>
                <w:color w:val="1a1c1e"/>
                <w:sz w:val="21"/>
                <w:szCs w:val="21"/>
              </w:rPr>
            </w:pPr>
            <w:r w:rsidDel="00000000" w:rsidR="00000000" w:rsidRPr="00000000">
              <w:rPr>
                <w:rtl w:val="0"/>
              </w:rPr>
            </w:r>
          </w:p>
        </w:tc>
      </w:tr>
    </w:tbl>
    <w:p w:rsidR="00000000" w:rsidDel="00000000" w:rsidP="00000000" w:rsidRDefault="00000000" w:rsidRPr="00000000" w14:paraId="000000CA">
      <w:pPr>
        <w:spacing w:after="240" w:before="240" w:line="360" w:lineRule="auto"/>
        <w:jc w:val="both"/>
        <w:rPr/>
      </w:pPr>
      <w:r w:rsidDel="00000000" w:rsidR="00000000" w:rsidRPr="00000000">
        <w:br w:type="page"/>
      </w:r>
      <w:r w:rsidDel="00000000" w:rsidR="00000000" w:rsidRPr="00000000">
        <w:rPr>
          <w:rtl w:val="0"/>
        </w:rPr>
      </w:r>
    </w:p>
    <w:sectPr>
      <w:footerReference r:id="rId10" w:type="default"/>
      <w:footerReference r:id="rId11"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B">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C">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240" w:before="24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1"/>
      <w:bCs w:val="1"/>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