
<file path=[Content_Types].xml><?xml version="1.0" encoding="utf-8"?>
<Types xmlns="http://schemas.openxmlformats.org/package/2006/content-types">
  <Default ContentType="application/vnd.openxmlformats-officedocument.presentationml.presentation" Extension="pptx"/>
  <Default ContentType="application/xml" Extension="xml"/>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240" w:before="240" w:line="360" w:lineRule="auto"/>
        <w:jc w:val="center"/>
        <w:rPr/>
      </w:pPr>
      <w:r w:rsidDel="00000000" w:rsidR="00000000" w:rsidRPr="00000000">
        <w:rPr/>
        <w:drawing>
          <wp:inline distB="114300" distT="114300" distL="114300" distR="114300">
            <wp:extent cx="2681288" cy="1421895"/>
            <wp:effectExtent b="12700" l="12700" r="12700" t="1270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681288" cy="142189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360" w:lineRule="auto"/>
        <w:jc w:val="center"/>
        <w:rPr>
          <w:b w:val="1"/>
          <w:sz w:val="32"/>
          <w:szCs w:val="32"/>
        </w:rPr>
      </w:pPr>
      <w:r w:rsidDel="00000000" w:rsidR="00000000" w:rsidRPr="00000000">
        <w:rPr>
          <w:rtl w:val="0"/>
        </w:rPr>
      </w:r>
    </w:p>
    <w:p w:rsidR="00000000" w:rsidDel="00000000" w:rsidP="00000000" w:rsidRDefault="00000000" w:rsidRPr="00000000" w14:paraId="00000003">
      <w:pPr>
        <w:spacing w:after="240" w:before="240" w:line="360" w:lineRule="auto"/>
        <w:jc w:val="center"/>
        <w:rPr>
          <w:b w:val="1"/>
          <w:sz w:val="32"/>
          <w:szCs w:val="32"/>
        </w:rPr>
      </w:pPr>
      <w:r w:rsidDel="00000000" w:rsidR="00000000" w:rsidRPr="00000000">
        <w:rPr>
          <w:b w:val="1"/>
          <w:sz w:val="32"/>
          <w:szCs w:val="32"/>
          <w:rtl w:val="0"/>
        </w:rPr>
        <w:t xml:space="preserve">Master of Business Administration</w:t>
      </w:r>
    </w:p>
    <w:p w:rsidR="00000000" w:rsidDel="00000000" w:rsidP="00000000" w:rsidRDefault="00000000" w:rsidRPr="00000000" w14:paraId="00000004">
      <w:pPr>
        <w:spacing w:after="240" w:before="240" w:line="360" w:lineRule="auto"/>
        <w:jc w:val="center"/>
        <w:rPr>
          <w:b w:val="1"/>
          <w:sz w:val="32"/>
          <w:szCs w:val="32"/>
        </w:rPr>
      </w:pPr>
      <w:r w:rsidDel="00000000" w:rsidR="00000000" w:rsidRPr="00000000">
        <w:rPr>
          <w:b w:val="1"/>
          <w:sz w:val="32"/>
          <w:szCs w:val="32"/>
          <w:rtl w:val="0"/>
        </w:rPr>
        <w:t xml:space="preserve">Module Name: Marketing Management</w:t>
      </w:r>
    </w:p>
    <w:p w:rsidR="00000000" w:rsidDel="00000000" w:rsidP="00000000" w:rsidRDefault="00000000" w:rsidRPr="00000000" w14:paraId="00000005">
      <w:pPr>
        <w:spacing w:after="240" w:before="240" w:line="360" w:lineRule="auto"/>
        <w:jc w:val="center"/>
        <w:rPr>
          <w:b w:val="1"/>
          <w:sz w:val="32"/>
          <w:szCs w:val="32"/>
        </w:rPr>
      </w:pPr>
      <w:r w:rsidDel="00000000" w:rsidR="00000000" w:rsidRPr="00000000">
        <w:rPr>
          <w:b w:val="1"/>
          <w:sz w:val="32"/>
          <w:szCs w:val="32"/>
          <w:rtl w:val="0"/>
        </w:rPr>
        <w:t xml:space="preserve">Module Code: LCMB7024</w:t>
      </w:r>
    </w:p>
    <w:p w:rsidR="00000000" w:rsidDel="00000000" w:rsidP="00000000" w:rsidRDefault="00000000" w:rsidRPr="00000000" w14:paraId="00000006">
      <w:pPr>
        <w:spacing w:after="240" w:before="240" w:line="360" w:lineRule="auto"/>
        <w:jc w:val="center"/>
        <w:rPr>
          <w:b w:val="1"/>
          <w:sz w:val="32"/>
          <w:szCs w:val="32"/>
        </w:rPr>
      </w:pPr>
      <w:r w:rsidDel="00000000" w:rsidR="00000000" w:rsidRPr="00000000">
        <w:rPr>
          <w:b w:val="1"/>
          <w:sz w:val="32"/>
          <w:szCs w:val="32"/>
          <w:rtl w:val="0"/>
        </w:rPr>
        <w:t xml:space="preserve">Assessment Component 2: Marketing Strategies Portfolio</w:t>
      </w:r>
    </w:p>
    <w:p w:rsidR="00000000" w:rsidDel="00000000" w:rsidP="00000000" w:rsidRDefault="00000000" w:rsidRPr="00000000" w14:paraId="00000007">
      <w:pPr>
        <w:spacing w:after="240" w:before="240" w:line="360" w:lineRule="auto"/>
        <w:jc w:val="center"/>
        <w:rPr>
          <w:b w:val="1"/>
          <w:sz w:val="32"/>
          <w:szCs w:val="32"/>
        </w:rPr>
      </w:pPr>
      <w:r w:rsidDel="00000000" w:rsidR="00000000" w:rsidRPr="00000000">
        <w:rPr>
          <w:rtl w:val="0"/>
        </w:rPr>
      </w:r>
    </w:p>
    <w:p w:rsidR="00000000" w:rsidDel="00000000" w:rsidP="00000000" w:rsidRDefault="00000000" w:rsidRPr="00000000" w14:paraId="00000008">
      <w:pPr>
        <w:spacing w:after="240" w:before="240" w:line="360" w:lineRule="auto"/>
        <w:jc w:val="center"/>
        <w:rPr>
          <w:b w:val="1"/>
          <w:sz w:val="32"/>
          <w:szCs w:val="32"/>
        </w:rPr>
      </w:pPr>
      <w:r w:rsidDel="00000000" w:rsidR="00000000" w:rsidRPr="00000000">
        <w:rPr>
          <w:rtl w:val="0"/>
        </w:rPr>
      </w:r>
    </w:p>
    <w:p w:rsidR="00000000" w:rsidDel="00000000" w:rsidP="00000000" w:rsidRDefault="00000000" w:rsidRPr="00000000" w14:paraId="00000009">
      <w:pPr>
        <w:spacing w:after="240" w:before="240" w:line="360" w:lineRule="auto"/>
        <w:jc w:val="center"/>
        <w:rPr>
          <w:b w:val="1"/>
          <w:sz w:val="32"/>
          <w:szCs w:val="32"/>
        </w:rPr>
      </w:pPr>
      <w:r w:rsidDel="00000000" w:rsidR="00000000" w:rsidRPr="00000000">
        <w:rPr>
          <w:rtl w:val="0"/>
        </w:rPr>
      </w:r>
    </w:p>
    <w:p w:rsidR="00000000" w:rsidDel="00000000" w:rsidP="00000000" w:rsidRDefault="00000000" w:rsidRPr="00000000" w14:paraId="0000000A">
      <w:pPr>
        <w:spacing w:after="240" w:before="240" w:line="360" w:lineRule="auto"/>
        <w:jc w:val="center"/>
        <w:rPr>
          <w:sz w:val="24"/>
          <w:szCs w:val="24"/>
        </w:rPr>
      </w:pPr>
      <w:r w:rsidDel="00000000" w:rsidR="00000000" w:rsidRPr="00000000">
        <w:rPr>
          <w:sz w:val="24"/>
          <w:szCs w:val="24"/>
          <w:rtl w:val="0"/>
        </w:rPr>
        <w:t xml:space="preserve">Student’s ID: 2522475</w:t>
      </w:r>
    </w:p>
    <w:p w:rsidR="00000000" w:rsidDel="00000000" w:rsidP="00000000" w:rsidRDefault="00000000" w:rsidRPr="00000000" w14:paraId="0000000B">
      <w:pPr>
        <w:spacing w:after="240" w:before="240" w:line="360" w:lineRule="auto"/>
        <w:jc w:val="center"/>
        <w:rPr>
          <w:sz w:val="24"/>
          <w:szCs w:val="24"/>
        </w:rPr>
      </w:pPr>
      <w:r w:rsidDel="00000000" w:rsidR="00000000" w:rsidRPr="00000000">
        <w:rPr>
          <w:sz w:val="24"/>
          <w:szCs w:val="24"/>
          <w:rtl w:val="0"/>
        </w:rPr>
        <w:t xml:space="preserve">Sonal Arjan Khistariya</w:t>
      </w:r>
    </w:p>
    <w:p w:rsidR="00000000" w:rsidDel="00000000" w:rsidP="00000000" w:rsidRDefault="00000000" w:rsidRPr="00000000" w14:paraId="0000000C">
      <w:pPr>
        <w:spacing w:after="240" w:before="240" w:line="360" w:lineRule="auto"/>
        <w:jc w:val="left"/>
        <w:rPr>
          <w:sz w:val="24"/>
          <w:szCs w:val="24"/>
        </w:rPr>
      </w:pPr>
      <w:r w:rsidDel="00000000" w:rsidR="00000000" w:rsidRPr="00000000">
        <w:rPr>
          <w:sz w:val="24"/>
          <w:szCs w:val="24"/>
          <w:rtl w:val="0"/>
        </w:rPr>
        <w:t xml:space="preserve">               Lecturer name : Laila Maazous    </w:t>
      </w:r>
    </w:p>
    <w:p w:rsidR="00000000" w:rsidDel="00000000" w:rsidP="00000000" w:rsidRDefault="00000000" w:rsidRPr="00000000" w14:paraId="0000000D">
      <w:pPr>
        <w:spacing w:after="240" w:before="240" w:line="360" w:lineRule="auto"/>
        <w:jc w:val="left"/>
        <w:rPr>
          <w:sz w:val="24"/>
          <w:szCs w:val="24"/>
        </w:rPr>
      </w:pPr>
      <w:r w:rsidDel="00000000" w:rsidR="00000000" w:rsidRPr="00000000">
        <w:rPr>
          <w:sz w:val="24"/>
          <w:szCs w:val="24"/>
          <w:rtl w:val="0"/>
        </w:rPr>
        <w:t xml:space="preserve">                                         Dian Mayaeari</w:t>
      </w:r>
    </w:p>
    <w:p w:rsidR="00000000" w:rsidDel="00000000" w:rsidP="00000000" w:rsidRDefault="00000000" w:rsidRPr="00000000" w14:paraId="0000000E">
      <w:pPr>
        <w:spacing w:after="240" w:before="240" w:line="360" w:lineRule="auto"/>
        <w:jc w:val="left"/>
        <w:rPr>
          <w:sz w:val="24"/>
          <w:szCs w:val="24"/>
        </w:rPr>
      </w:pPr>
      <w:r w:rsidDel="00000000" w:rsidR="00000000" w:rsidRPr="00000000">
        <w:rPr>
          <w:sz w:val="24"/>
          <w:szCs w:val="24"/>
          <w:rtl w:val="0"/>
        </w:rPr>
        <w:t xml:space="preserve">                Submission :1 May 2026         </w:t>
      </w:r>
    </w:p>
    <w:p w:rsidR="00000000" w:rsidDel="00000000" w:rsidP="00000000" w:rsidRDefault="00000000" w:rsidRPr="00000000" w14:paraId="0000000F">
      <w:pPr>
        <w:spacing w:after="240" w:before="240" w:line="360" w:lineRule="auto"/>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0">
      <w:pPr>
        <w:spacing w:after="240" w:before="240" w:line="360" w:lineRule="auto"/>
        <w:jc w:val="left"/>
        <w:rPr>
          <w:sz w:val="24"/>
          <w:szCs w:val="24"/>
        </w:rPr>
      </w:pPr>
      <w:r w:rsidDel="00000000" w:rsidR="00000000" w:rsidRPr="00000000">
        <w:rPr>
          <w:rtl w:val="0"/>
        </w:rPr>
      </w:r>
    </w:p>
    <w:p w:rsidR="00000000" w:rsidDel="00000000" w:rsidP="00000000" w:rsidRDefault="00000000" w:rsidRPr="00000000" w14:paraId="00000011">
      <w:pPr>
        <w:spacing w:after="240" w:before="240" w:line="360" w:lineRule="auto"/>
        <w:jc w:val="left"/>
        <w:rPr>
          <w:sz w:val="24"/>
          <w:szCs w:val="24"/>
        </w:rPr>
      </w:pPr>
      <w:r w:rsidDel="00000000" w:rsidR="00000000" w:rsidRPr="00000000">
        <w:rPr>
          <w:rtl w:val="0"/>
        </w:rPr>
      </w:r>
    </w:p>
    <w:p w:rsidR="00000000" w:rsidDel="00000000" w:rsidP="00000000" w:rsidRDefault="00000000" w:rsidRPr="00000000" w14:paraId="00000012">
      <w:pPr>
        <w:spacing w:line="360" w:lineRule="auto"/>
        <w:rPr>
          <w:b w:val="1"/>
          <w:sz w:val="24"/>
          <w:szCs w:val="24"/>
        </w:rPr>
      </w:pPr>
      <w:r w:rsidDel="00000000" w:rsidR="00000000" w:rsidRPr="00000000">
        <w:rPr>
          <w:rtl w:val="0"/>
        </w:rPr>
      </w:r>
    </w:p>
    <w:p w:rsidR="00000000" w:rsidDel="00000000" w:rsidP="00000000" w:rsidRDefault="00000000" w:rsidRPr="00000000" w14:paraId="00000013">
      <w:pPr>
        <w:spacing w:line="360" w:lineRule="auto"/>
        <w:jc w:val="both"/>
        <w:rPr>
          <w:sz w:val="24"/>
          <w:szCs w:val="24"/>
        </w:rPr>
      </w:pPr>
      <w:r w:rsidDel="00000000" w:rsidR="00000000" w:rsidRPr="00000000">
        <w:rPr>
          <w:b w:val="1"/>
          <w:sz w:val="24"/>
          <w:szCs w:val="24"/>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4">
      <w:pPr>
        <w:keepNext w:val="1"/>
        <w:keepLines w:val="1"/>
        <w:pBdr>
          <w:top w:space="0" w:sz="0" w:val="nil"/>
          <w:left w:space="0" w:sz="0" w:val="nil"/>
          <w:bottom w:space="0" w:sz="0" w:val="nil"/>
          <w:right w:space="0" w:sz="0" w:val="nil"/>
          <w:between w:space="0" w:sz="0" w:val="nil"/>
        </w:pBdr>
        <w:spacing w:after="240" w:before="240" w:line="360" w:lineRule="auto"/>
        <w:jc w:val="center"/>
        <w:rPr>
          <w:b w:val="1"/>
          <w:color w:val="000000"/>
          <w:sz w:val="28"/>
          <w:szCs w:val="28"/>
        </w:rPr>
      </w:pPr>
      <w:r w:rsidDel="00000000" w:rsidR="00000000" w:rsidRPr="00000000">
        <w:rPr>
          <w:b w:val="1"/>
          <w:color w:val="000000"/>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 1: Brand Extension Poster Presentation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 2: Segmentation, Targeting, Differentiation, and Positioning (STDP) Analysis</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 3: Marketing Mix 7Ps</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Element 4: Reflection</w:t>
              <w:tab/>
              <w:t xml:space="preserve">12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Cambria" w:cs="Cambria" w:eastAsia="Cambria" w:hAnsi="Cambria"/>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w:t>
              <w:tab/>
              <w:t xml:space="preserve">18</w:t>
            </w:r>
          </w:hyperlink>
          <w:r w:rsidDel="00000000" w:rsidR="00000000" w:rsidRPr="00000000">
            <w:rPr>
              <w:rtl w:val="0"/>
            </w:rPr>
          </w:r>
        </w:p>
        <w:p w:rsidR="00000000" w:rsidDel="00000000" w:rsidP="00000000" w:rsidRDefault="00000000" w:rsidRPr="00000000" w14:paraId="0000001B">
          <w:pPr>
            <w:spacing w:after="240" w:before="240"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after="240" w:before="240" w:line="360" w:lineRule="auto"/>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spacing w:after="240" w:before="240" w:lineRule="auto"/>
        <w:rPr>
          <w:rFonts w:ascii="Arial" w:cs="Arial" w:eastAsia="Arial" w:hAnsi="Arial"/>
          <w:color w:val="0d0d0d"/>
        </w:rPr>
      </w:pPr>
      <w:bookmarkStart w:colFirst="0" w:colLast="0" w:name="_gjdgxs" w:id="0"/>
      <w:bookmarkEnd w:id="0"/>
      <w:r w:rsidDel="00000000" w:rsidR="00000000" w:rsidRPr="00000000">
        <w:rPr>
          <w:rFonts w:ascii="Arial" w:cs="Arial" w:eastAsia="Arial" w:hAnsi="Arial"/>
          <w:color w:val="0d0d0d"/>
          <w:rtl w:val="0"/>
        </w:rPr>
        <w:t xml:space="preserve">Element 1: Brand Extension Poster Presentation</w:t>
      </w:r>
    </w:p>
    <w:p w:rsidR="00000000" w:rsidDel="00000000" w:rsidP="00000000" w:rsidRDefault="00000000" w:rsidRPr="00000000" w14:paraId="0000001E">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Introduction</w:t>
      </w:r>
    </w:p>
    <w:p w:rsidR="00000000" w:rsidDel="00000000" w:rsidP="00000000" w:rsidRDefault="00000000" w:rsidRPr="00000000" w14:paraId="0000001F">
      <w:pPr>
        <w:spacing w:after="240" w:before="240" w:line="360" w:lineRule="auto"/>
        <w:jc w:val="both"/>
        <w:rPr>
          <w:color w:val="0d0d0d"/>
          <w:sz w:val="24"/>
          <w:szCs w:val="24"/>
        </w:rPr>
      </w:pPr>
      <w:r w:rsidDel="00000000" w:rsidR="00000000" w:rsidRPr="00000000">
        <w:rPr>
          <w:color w:val="0d0d0d"/>
          <w:sz w:val="24"/>
          <w:szCs w:val="24"/>
          <w:rtl w:val="0"/>
        </w:rPr>
        <w:t xml:space="preserve">A strategy concerning marketing has been proposed for Revolut Green. The development of the brand is particularly focused for the purpose of growth of the business. Brand extension means the development of a product on the basis of a new brand name and new brand category. </w:t>
      </w:r>
    </w:p>
    <w:p w:rsidR="00000000" w:rsidDel="00000000" w:rsidP="00000000" w:rsidRDefault="00000000" w:rsidRPr="00000000" w14:paraId="00000020">
      <w:pPr>
        <w:spacing w:after="240" w:before="240" w:line="360" w:lineRule="auto"/>
        <w:jc w:val="both"/>
        <w:rPr>
          <w:b w:val="1"/>
          <w:i w:val="1"/>
          <w:color w:val="0d0d0d"/>
          <w:sz w:val="24"/>
          <w:szCs w:val="24"/>
          <w:highlight w:val="white"/>
        </w:rPr>
      </w:pPr>
      <w:r w:rsidDel="00000000" w:rsidR="00000000" w:rsidRPr="00000000">
        <w:rPr>
          <w:b w:val="1"/>
          <w:i w:val="1"/>
          <w:color w:val="0d0d0d"/>
          <w:sz w:val="24"/>
          <w:szCs w:val="24"/>
          <w:rtl w:val="0"/>
        </w:rPr>
        <w:t xml:space="preserve">Introduction to </w:t>
      </w:r>
      <w:r w:rsidDel="00000000" w:rsidR="00000000" w:rsidRPr="00000000">
        <w:rPr>
          <w:b w:val="1"/>
          <w:i w:val="1"/>
          <w:color w:val="0d0d0d"/>
          <w:sz w:val="24"/>
          <w:szCs w:val="24"/>
          <w:highlight w:val="white"/>
          <w:rtl w:val="0"/>
        </w:rPr>
        <w:t xml:space="preserve">Revolut </w:t>
      </w:r>
    </w:p>
    <w:p w:rsidR="00000000" w:rsidDel="00000000" w:rsidP="00000000" w:rsidRDefault="00000000" w:rsidRPr="00000000" w14:paraId="00000021">
      <w:pPr>
        <w:spacing w:after="240" w:before="240" w:line="360" w:lineRule="auto"/>
        <w:jc w:val="both"/>
        <w:rPr>
          <w:color w:val="0d0d0d"/>
          <w:sz w:val="24"/>
          <w:szCs w:val="24"/>
          <w:highlight w:val="white"/>
        </w:rPr>
      </w:pPr>
      <w:r w:rsidDel="00000000" w:rsidR="00000000" w:rsidRPr="00000000">
        <w:rPr>
          <w:color w:val="0d0d0d"/>
          <w:sz w:val="24"/>
          <w:szCs w:val="24"/>
          <w:highlight w:val="white"/>
          <w:rtl w:val="0"/>
        </w:rPr>
        <w:t xml:space="preserve">Revolut is a large company that deals with financial technology to provide a digital-first super application of banking which helps users tackle financial activities, investments, and payments effortlessly (Revolut, 2026). Built on AI-powered insights, data analytics, and advanced APIs, Revolut has placed itself as a game-changer in the industry concerning international financial technology. </w:t>
      </w:r>
    </w:p>
    <w:p w:rsidR="00000000" w:rsidDel="00000000" w:rsidP="00000000" w:rsidRDefault="00000000" w:rsidRPr="00000000" w14:paraId="00000022">
      <w:pPr>
        <w:spacing w:after="240" w:before="240" w:line="360" w:lineRule="auto"/>
        <w:jc w:val="both"/>
        <w:rPr>
          <w:b w:val="1"/>
          <w:i w:val="1"/>
          <w:color w:val="0d0d0d"/>
          <w:sz w:val="24"/>
          <w:szCs w:val="24"/>
          <w:highlight w:val="white"/>
        </w:rPr>
      </w:pPr>
      <w:r w:rsidDel="00000000" w:rsidR="00000000" w:rsidRPr="00000000">
        <w:rPr>
          <w:b w:val="1"/>
          <w:i w:val="1"/>
          <w:color w:val="0d0d0d"/>
          <w:sz w:val="24"/>
          <w:szCs w:val="24"/>
          <w:highlight w:val="white"/>
          <w:rtl w:val="0"/>
        </w:rPr>
        <w:t xml:space="preserve">Emerging trend that makes the brand extension (Revolut Green) appealing to the current market</w:t>
      </w:r>
    </w:p>
    <w:p w:rsidR="00000000" w:rsidDel="00000000" w:rsidP="00000000" w:rsidRDefault="00000000" w:rsidRPr="00000000" w14:paraId="00000023">
      <w:pPr>
        <w:spacing w:after="240" w:before="240" w:line="360" w:lineRule="auto"/>
        <w:jc w:val="both"/>
        <w:rPr>
          <w:color w:val="0d0d0d"/>
          <w:sz w:val="24"/>
          <w:szCs w:val="24"/>
          <w:highlight w:val="white"/>
        </w:rPr>
      </w:pPr>
      <w:r w:rsidDel="00000000" w:rsidR="00000000" w:rsidRPr="00000000">
        <w:rPr>
          <w:color w:val="0d0d0d"/>
          <w:sz w:val="24"/>
          <w:szCs w:val="24"/>
          <w:highlight w:val="white"/>
          <w:rtl w:val="0"/>
        </w:rPr>
        <w:t xml:space="preserve">A main emerging trend shaping the market in the UK is the increase of climate consciousness and awareness in consumerism, specifically among Millennials and Gen Zs (Wood, 2022). Consumers progressively need financial services that align or adjust with their environmental values, along with the growth of options like digital banking and ESG investing. This presents a good opportunity for Revolut Green, which is an extension focused on sustainability that combines green investments, eco-rewards, and carbon tracking into the daily operations concerning financial decision-making. </w:t>
      </w:r>
    </w:p>
    <w:p w:rsidR="00000000" w:rsidDel="00000000" w:rsidP="00000000" w:rsidRDefault="00000000" w:rsidRPr="00000000" w14:paraId="00000024">
      <w:pPr>
        <w:spacing w:after="240" w:before="240" w:line="360" w:lineRule="auto"/>
        <w:jc w:val="both"/>
        <w:rPr>
          <w:b w:val="1"/>
          <w:i w:val="1"/>
          <w:color w:val="0d0d0d"/>
          <w:sz w:val="24"/>
          <w:szCs w:val="24"/>
          <w:highlight w:val="white"/>
        </w:rPr>
      </w:pPr>
      <w:r w:rsidDel="00000000" w:rsidR="00000000" w:rsidRPr="00000000">
        <w:rPr>
          <w:b w:val="1"/>
          <w:i w:val="1"/>
          <w:color w:val="0d0d0d"/>
          <w:sz w:val="24"/>
          <w:szCs w:val="24"/>
          <w:highlight w:val="white"/>
          <w:rtl w:val="0"/>
        </w:rPr>
        <w:t xml:space="preserve">Overview of the way Revolut Green aligns with sustainability goals</w:t>
      </w:r>
    </w:p>
    <w:p w:rsidR="00000000" w:rsidDel="00000000" w:rsidP="00000000" w:rsidRDefault="00000000" w:rsidRPr="00000000" w14:paraId="00000025">
      <w:pPr>
        <w:spacing w:after="240" w:before="240" w:line="360" w:lineRule="auto"/>
        <w:jc w:val="both"/>
        <w:rPr>
          <w:color w:val="0d0d0d"/>
          <w:sz w:val="24"/>
          <w:szCs w:val="24"/>
          <w:highlight w:val="white"/>
        </w:rPr>
      </w:pPr>
      <w:r w:rsidDel="00000000" w:rsidR="00000000" w:rsidRPr="00000000">
        <w:rPr>
          <w:color w:val="0d0d0d"/>
          <w:sz w:val="24"/>
          <w:szCs w:val="24"/>
          <w:highlight w:val="white"/>
          <w:rtl w:val="0"/>
        </w:rPr>
        <w:t xml:space="preserve">Revolut Green aligns with the international goals of sustainability (SDG 13: Climate Action) closely by promoting its users to lessen their carbon footprint, facilitating a business that is responsible towards the environment. Therefore, it will encourage impact-oriented, clear investing. Features like auto-offsetting and carbon tracking will nurture change in behaviour, while options of green investment will contribute towards impact on the environment in the long run.  </w:t>
      </w:r>
    </w:p>
    <w:p w:rsidR="00000000" w:rsidDel="00000000" w:rsidP="00000000" w:rsidRDefault="00000000" w:rsidRPr="00000000" w14:paraId="00000026">
      <w:pPr>
        <w:spacing w:after="240" w:before="240" w:line="360" w:lineRule="auto"/>
        <w:jc w:val="both"/>
        <w:rPr>
          <w:b w:val="1"/>
          <w:i w:val="1"/>
          <w:color w:val="0d0d0d"/>
          <w:sz w:val="24"/>
          <w:szCs w:val="24"/>
          <w:highlight w:val="white"/>
        </w:rPr>
      </w:pPr>
      <w:r w:rsidDel="00000000" w:rsidR="00000000" w:rsidRPr="00000000">
        <w:rPr>
          <w:b w:val="1"/>
          <w:i w:val="1"/>
          <w:color w:val="0d0d0d"/>
          <w:sz w:val="24"/>
          <w:szCs w:val="24"/>
          <w:highlight w:val="white"/>
          <w:rtl w:val="0"/>
        </w:rPr>
        <w:t xml:space="preserve">Conclusion</w:t>
      </w:r>
    </w:p>
    <w:p w:rsidR="00000000" w:rsidDel="00000000" w:rsidP="00000000" w:rsidRDefault="00000000" w:rsidRPr="00000000" w14:paraId="00000027">
      <w:pPr>
        <w:spacing w:after="240" w:before="240" w:line="360" w:lineRule="auto"/>
        <w:jc w:val="both"/>
        <w:rPr>
          <w:color w:val="0d0d0d"/>
          <w:sz w:val="24"/>
          <w:szCs w:val="24"/>
        </w:rPr>
      </w:pPr>
      <w:r w:rsidDel="00000000" w:rsidR="00000000" w:rsidRPr="00000000">
        <w:rPr>
          <w:color w:val="0d0d0d"/>
          <w:sz w:val="24"/>
          <w:szCs w:val="24"/>
          <w:rtl w:val="0"/>
        </w:rPr>
        <w:t xml:space="preserve">Revolut Green will leverage sustainability and technology to meet the rising expectations of consumers, placing the brand as a leader which thinks for the future regarding financial technology. </w:t>
      </w:r>
    </w:p>
    <w:p w:rsidR="00000000" w:rsidDel="00000000" w:rsidP="00000000" w:rsidRDefault="00000000" w:rsidRPr="00000000" w14:paraId="00000028">
      <w:pPr>
        <w:spacing w:after="240" w:before="240" w:line="360" w:lineRule="auto"/>
        <w:jc w:val="both"/>
        <w:rPr>
          <w:i w:val="1"/>
          <w:color w:val="0d0d0d"/>
          <w:sz w:val="24"/>
          <w:szCs w:val="24"/>
          <w:highlight w:val="white"/>
        </w:rPr>
      </w:pPr>
      <w:r w:rsidDel="00000000" w:rsidR="00000000" w:rsidRPr="00000000">
        <w:rPr>
          <w:i w:val="1"/>
          <w:color w:val="0d0d0d"/>
          <w:sz w:val="24"/>
          <w:szCs w:val="24"/>
          <w:rtl w:val="0"/>
        </w:rPr>
        <w:t xml:space="preserve">[Refer to Appendix for Poster]</w:t>
      </w:r>
      <w:r w:rsidDel="00000000" w:rsidR="00000000" w:rsidRPr="00000000">
        <w:rPr>
          <w:rtl w:val="0"/>
        </w:rPr>
      </w:r>
    </w:p>
    <w:p w:rsidR="00000000" w:rsidDel="00000000" w:rsidP="00000000" w:rsidRDefault="00000000" w:rsidRPr="00000000" w14:paraId="00000029">
      <w:pPr>
        <w:pStyle w:val="Heading1"/>
        <w:spacing w:after="240" w:before="240" w:lineRule="auto"/>
        <w:rPr>
          <w:rFonts w:ascii="Arial" w:cs="Arial" w:eastAsia="Arial" w:hAnsi="Arial"/>
          <w:color w:val="0d0d0d"/>
        </w:rPr>
      </w:pPr>
      <w:bookmarkStart w:colFirst="0" w:colLast="0" w:name="_30j0zll" w:id="1"/>
      <w:bookmarkEnd w:id="1"/>
      <w:r w:rsidDel="00000000" w:rsidR="00000000" w:rsidRPr="00000000">
        <w:rPr>
          <w:rFonts w:ascii="Arial" w:cs="Arial" w:eastAsia="Arial" w:hAnsi="Arial"/>
          <w:color w:val="0d0d0d"/>
          <w:rtl w:val="0"/>
        </w:rPr>
        <w:t xml:space="preserve">Element 2: Segmentation, Targeting, Differentiation, and Positioning (STDP) Analysis</w:t>
      </w:r>
    </w:p>
    <w:p w:rsidR="00000000" w:rsidDel="00000000" w:rsidP="00000000" w:rsidRDefault="00000000" w:rsidRPr="00000000" w14:paraId="0000002A">
      <w:pPr>
        <w:numPr>
          <w:ilvl w:val="0"/>
          <w:numId w:val="3"/>
        </w:numPr>
        <w:spacing w:after="240" w:before="240" w:line="360" w:lineRule="auto"/>
        <w:ind w:left="720" w:hanging="360"/>
        <w:rPr>
          <w:b w:val="1"/>
          <w:i w:val="1"/>
          <w:color w:val="0d0d0d"/>
          <w:sz w:val="24"/>
          <w:szCs w:val="24"/>
        </w:rPr>
      </w:pPr>
      <w:r w:rsidDel="00000000" w:rsidR="00000000" w:rsidRPr="00000000">
        <w:rPr>
          <w:b w:val="1"/>
          <w:i w:val="1"/>
          <w:color w:val="0d0d0d"/>
          <w:sz w:val="24"/>
          <w:szCs w:val="24"/>
          <w:rtl w:val="0"/>
        </w:rPr>
        <w:t xml:space="preserve">Segmentation</w:t>
      </w:r>
    </w:p>
    <w:tbl>
      <w:tblPr>
        <w:tblStyle w:val="Table1"/>
        <w:tblW w:w="95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75"/>
        <w:gridCol w:w="7785"/>
        <w:tblGridChange w:id="0">
          <w:tblGrid>
            <w:gridCol w:w="1775"/>
            <w:gridCol w:w="7785"/>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after="240" w:before="240" w:line="360" w:lineRule="auto"/>
              <w:jc w:val="center"/>
              <w:rPr>
                <w:color w:val="0d0d0d"/>
                <w:sz w:val="24"/>
                <w:szCs w:val="24"/>
              </w:rPr>
            </w:pPr>
            <w:r w:rsidDel="00000000" w:rsidR="00000000" w:rsidRPr="00000000">
              <w:rPr>
                <w:color w:val="0d0d0d"/>
                <w:sz w:val="24"/>
                <w:szCs w:val="24"/>
                <w:rtl w:val="0"/>
              </w:rPr>
              <w:t xml:space="preserve">Demographic</w:t>
            </w:r>
          </w:p>
        </w:tc>
        <w:tc>
          <w:tcPr>
            <w:tcMar>
              <w:top w:w="100.0" w:type="dxa"/>
              <w:left w:w="100.0" w:type="dxa"/>
              <w:bottom w:w="100.0" w:type="dxa"/>
              <w:right w:w="100.0" w:type="dxa"/>
            </w:tcMar>
          </w:tcPr>
          <w:p w:rsidR="00000000" w:rsidDel="00000000" w:rsidP="00000000" w:rsidRDefault="00000000" w:rsidRPr="00000000" w14:paraId="0000002C">
            <w:pPr>
              <w:widowControl w:val="0"/>
              <w:numPr>
                <w:ilvl w:val="0"/>
                <w:numId w:val="6"/>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Gen Z (aged between 21-30 years, both males and females, having a minimum bachelor’s degree)</w:t>
            </w:r>
          </w:p>
          <w:p w:rsidR="00000000" w:rsidDel="00000000" w:rsidP="00000000" w:rsidRDefault="00000000" w:rsidRPr="00000000" w14:paraId="0000002D">
            <w:pPr>
              <w:widowControl w:val="0"/>
              <w:numPr>
                <w:ilvl w:val="0"/>
                <w:numId w:val="6"/>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Millennials (aged between 25-50 years, both males and females, having a minimum bachelor’s degree)</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after="240" w:before="240" w:line="360" w:lineRule="auto"/>
              <w:jc w:val="center"/>
              <w:rPr>
                <w:color w:val="0d0d0d"/>
                <w:sz w:val="24"/>
                <w:szCs w:val="24"/>
              </w:rPr>
            </w:pPr>
            <w:r w:rsidDel="00000000" w:rsidR="00000000" w:rsidRPr="00000000">
              <w:rPr>
                <w:color w:val="0d0d0d"/>
                <w:sz w:val="24"/>
                <w:szCs w:val="24"/>
                <w:rtl w:val="0"/>
              </w:rPr>
              <w:t xml:space="preserve">Geographic</w:t>
            </w:r>
          </w:p>
        </w:tc>
        <w:tc>
          <w:tcPr>
            <w:tcMar>
              <w:top w:w="100.0" w:type="dxa"/>
              <w:left w:w="100.0" w:type="dxa"/>
              <w:bottom w:w="100.0" w:type="dxa"/>
              <w:right w:w="100.0" w:type="dxa"/>
            </w:tcMar>
          </w:tcPr>
          <w:p w:rsidR="00000000" w:rsidDel="00000000" w:rsidP="00000000" w:rsidRDefault="00000000" w:rsidRPr="00000000" w14:paraId="0000002F">
            <w:pPr>
              <w:widowControl w:val="0"/>
              <w:numPr>
                <w:ilvl w:val="0"/>
                <w:numId w:val="4"/>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In the UK awareness regarding sustainability is high (Bălăcescu</w:t>
            </w:r>
            <w:r w:rsidDel="00000000" w:rsidR="00000000" w:rsidRPr="00000000">
              <w:rPr>
                <w:i w:val="1"/>
                <w:color w:val="0d0d0d"/>
                <w:sz w:val="24"/>
                <w:szCs w:val="24"/>
                <w:rtl w:val="0"/>
              </w:rPr>
              <w:t xml:space="preserve">et al</w:t>
            </w:r>
            <w:r w:rsidDel="00000000" w:rsidR="00000000" w:rsidRPr="00000000">
              <w:rPr>
                <w:color w:val="0d0d0d"/>
                <w:sz w:val="24"/>
                <w:szCs w:val="24"/>
                <w:rtl w:val="0"/>
              </w:rPr>
              <w:t xml:space="preserve">., 2022). </w:t>
            </w:r>
          </w:p>
          <w:p w:rsidR="00000000" w:rsidDel="00000000" w:rsidP="00000000" w:rsidRDefault="00000000" w:rsidRPr="00000000" w14:paraId="00000030">
            <w:pPr>
              <w:widowControl w:val="0"/>
              <w:numPr>
                <w:ilvl w:val="0"/>
                <w:numId w:val="4"/>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Metropolitan areas in the cities where environmentally-aware consumption and implementation of digital banking are well-known.</w:t>
            </w:r>
          </w:p>
          <w:p w:rsidR="00000000" w:rsidDel="00000000" w:rsidP="00000000" w:rsidRDefault="00000000" w:rsidRPr="00000000" w14:paraId="00000031">
            <w:pPr>
              <w:widowControl w:val="0"/>
              <w:numPr>
                <w:ilvl w:val="0"/>
                <w:numId w:val="4"/>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Emerging markets such as India may also create opportunities among.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after="240" w:before="240" w:line="360" w:lineRule="auto"/>
              <w:jc w:val="center"/>
              <w:rPr>
                <w:color w:val="0d0d0d"/>
                <w:sz w:val="24"/>
                <w:szCs w:val="24"/>
              </w:rPr>
            </w:pPr>
            <w:r w:rsidDel="00000000" w:rsidR="00000000" w:rsidRPr="00000000">
              <w:rPr>
                <w:color w:val="0d0d0d"/>
                <w:sz w:val="24"/>
                <w:szCs w:val="24"/>
                <w:rtl w:val="0"/>
              </w:rPr>
              <w:t xml:space="preserve">Psychographic</w:t>
            </w:r>
          </w:p>
        </w:tc>
        <w:tc>
          <w:tcPr>
            <w:tcMar>
              <w:top w:w="100.0" w:type="dxa"/>
              <w:left w:w="100.0" w:type="dxa"/>
              <w:bottom w:w="100.0" w:type="dxa"/>
              <w:right w:w="100.0" w:type="dxa"/>
            </w:tcMar>
          </w:tcPr>
          <w:p w:rsidR="00000000" w:rsidDel="00000000" w:rsidP="00000000" w:rsidRDefault="00000000" w:rsidRPr="00000000" w14:paraId="00000033">
            <w:pPr>
              <w:widowControl w:val="0"/>
              <w:numPr>
                <w:ilvl w:val="0"/>
                <w:numId w:val="2"/>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Consumers who are conscious of the environment and who value ethical processes of consumption and sustainability. </w:t>
            </w:r>
          </w:p>
          <w:p w:rsidR="00000000" w:rsidDel="00000000" w:rsidP="00000000" w:rsidRDefault="00000000" w:rsidRPr="00000000" w14:paraId="00000034">
            <w:pPr>
              <w:widowControl w:val="0"/>
              <w:numPr>
                <w:ilvl w:val="0"/>
                <w:numId w:val="2"/>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Users who have good knowledge of technology and who like managing their financial position on the basis of an application. </w:t>
            </w:r>
          </w:p>
          <w:p w:rsidR="00000000" w:rsidDel="00000000" w:rsidP="00000000" w:rsidRDefault="00000000" w:rsidRPr="00000000" w14:paraId="00000035">
            <w:pPr>
              <w:widowControl w:val="0"/>
              <w:numPr>
                <w:ilvl w:val="0"/>
                <w:numId w:val="2"/>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Investors who are responsible to the society and who are interested in the investments concerning ESG.</w:t>
            </w:r>
          </w:p>
          <w:p w:rsidR="00000000" w:rsidDel="00000000" w:rsidP="00000000" w:rsidRDefault="00000000" w:rsidRPr="00000000" w14:paraId="00000036">
            <w:pPr>
              <w:widowControl w:val="0"/>
              <w:numPr>
                <w:ilvl w:val="0"/>
                <w:numId w:val="2"/>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Consumers who are driven towards their lifestyle and who search for brands which show their values and identity (Acar </w:t>
            </w:r>
            <w:r w:rsidDel="00000000" w:rsidR="00000000" w:rsidRPr="00000000">
              <w:rPr>
                <w:i w:val="1"/>
                <w:color w:val="0d0d0d"/>
                <w:sz w:val="24"/>
                <w:szCs w:val="24"/>
                <w:rtl w:val="0"/>
              </w:rPr>
              <w:t xml:space="preserve">et al</w:t>
            </w:r>
            <w:r w:rsidDel="00000000" w:rsidR="00000000" w:rsidRPr="00000000">
              <w:rPr>
                <w:color w:val="0d0d0d"/>
                <w:sz w:val="24"/>
                <w:szCs w:val="24"/>
                <w:rtl w:val="0"/>
              </w:rPr>
              <w:t xml:space="preserve">., 2024). These consumers do not only buy products; they also support causes and make decisions based on value.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after="240" w:before="240" w:line="360" w:lineRule="auto"/>
              <w:jc w:val="center"/>
              <w:rPr>
                <w:color w:val="0d0d0d"/>
                <w:sz w:val="24"/>
                <w:szCs w:val="24"/>
              </w:rPr>
            </w:pPr>
            <w:r w:rsidDel="00000000" w:rsidR="00000000" w:rsidRPr="00000000">
              <w:rPr>
                <w:color w:val="0d0d0d"/>
                <w:sz w:val="24"/>
                <w:szCs w:val="24"/>
                <w:rtl w:val="0"/>
              </w:rPr>
              <w:t xml:space="preserve">Behavioural</w:t>
            </w:r>
          </w:p>
        </w:tc>
        <w:tc>
          <w:tcPr>
            <w:tcMar>
              <w:top w:w="100.0" w:type="dxa"/>
              <w:left w:w="100.0" w:type="dxa"/>
              <w:bottom w:w="100.0" w:type="dxa"/>
              <w:right w:w="100.0" w:type="dxa"/>
            </w:tcMar>
          </w:tcPr>
          <w:p w:rsidR="00000000" w:rsidDel="00000000" w:rsidP="00000000" w:rsidRDefault="00000000" w:rsidRPr="00000000" w14:paraId="00000038">
            <w:pPr>
              <w:widowControl w:val="0"/>
              <w:numPr>
                <w:ilvl w:val="0"/>
                <w:numId w:val="1"/>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Users who frequently use digital banking already use apps of financial technology for the purposes of investing, budgeting, and payments (Uña</w:t>
            </w:r>
            <w:r w:rsidDel="00000000" w:rsidR="00000000" w:rsidRPr="00000000">
              <w:rPr>
                <w:i w:val="1"/>
                <w:color w:val="0d0d0d"/>
                <w:sz w:val="24"/>
                <w:szCs w:val="24"/>
                <w:rtl w:val="0"/>
              </w:rPr>
              <w:t xml:space="preserve">et al</w:t>
            </w:r>
            <w:r w:rsidDel="00000000" w:rsidR="00000000" w:rsidRPr="00000000">
              <w:rPr>
                <w:color w:val="0d0d0d"/>
                <w:sz w:val="24"/>
                <w:szCs w:val="24"/>
                <w:rtl w:val="0"/>
              </w:rPr>
              <w:t xml:space="preserve">., 2023).</w:t>
            </w:r>
          </w:p>
          <w:p w:rsidR="00000000" w:rsidDel="00000000" w:rsidP="00000000" w:rsidRDefault="00000000" w:rsidRPr="00000000" w14:paraId="00000039">
            <w:pPr>
              <w:widowControl w:val="0"/>
              <w:numPr>
                <w:ilvl w:val="0"/>
                <w:numId w:val="1"/>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Spenders who are conscious of their purchasing and who search for environmentally-friendly brands and products actively. </w:t>
            </w:r>
          </w:p>
          <w:p w:rsidR="00000000" w:rsidDel="00000000" w:rsidP="00000000" w:rsidRDefault="00000000" w:rsidRPr="00000000" w14:paraId="0000003A">
            <w:pPr>
              <w:widowControl w:val="0"/>
              <w:numPr>
                <w:ilvl w:val="0"/>
                <w:numId w:val="1"/>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Initial adopters of new innovations and financial tools </w:t>
            </w:r>
          </w:p>
          <w:p w:rsidR="00000000" w:rsidDel="00000000" w:rsidP="00000000" w:rsidRDefault="00000000" w:rsidRPr="00000000" w14:paraId="0000003B">
            <w:pPr>
              <w:widowControl w:val="0"/>
              <w:numPr>
                <w:ilvl w:val="0"/>
                <w:numId w:val="1"/>
              </w:numPr>
              <w:pBdr>
                <w:top w:space="0" w:sz="0" w:val="nil"/>
                <w:left w:space="0" w:sz="0" w:val="nil"/>
                <w:bottom w:space="0" w:sz="0" w:val="nil"/>
                <w:right w:space="0" w:sz="0" w:val="nil"/>
                <w:between w:space="0" w:sz="0" w:val="nil"/>
              </w:pBdr>
              <w:spacing w:after="240" w:before="240" w:line="360" w:lineRule="auto"/>
              <w:ind w:left="720" w:hanging="360"/>
              <w:jc w:val="both"/>
              <w:rPr>
                <w:color w:val="0d0d0d"/>
                <w:sz w:val="24"/>
                <w:szCs w:val="24"/>
              </w:rPr>
            </w:pPr>
            <w:r w:rsidDel="00000000" w:rsidR="00000000" w:rsidRPr="00000000">
              <w:rPr>
                <w:color w:val="0d0d0d"/>
                <w:sz w:val="24"/>
                <w:szCs w:val="24"/>
                <w:rtl w:val="0"/>
              </w:rPr>
              <w:t xml:space="preserve">Users who are driven towards involvement and who respond to data insights, gamification, and rewards.</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after="240" w:before="240" w:line="360" w:lineRule="auto"/>
              <w:ind w:left="720" w:firstLine="0"/>
              <w:jc w:val="both"/>
              <w:rPr>
                <w:color w:val="0d0d0d"/>
                <w:sz w:val="24"/>
                <w:szCs w:val="24"/>
              </w:rPr>
            </w:pPr>
            <w:r w:rsidDel="00000000" w:rsidR="00000000" w:rsidRPr="00000000">
              <w:rPr>
                <w:color w:val="0d0d0d"/>
                <w:sz w:val="24"/>
                <w:szCs w:val="24"/>
                <w:rtl w:val="0"/>
              </w:rPr>
              <w:t xml:space="preserve">This segment values measurable convenience, and transparency into their environmental and financial effect. </w:t>
            </w:r>
          </w:p>
        </w:tc>
      </w:tr>
    </w:tbl>
    <w:p w:rsidR="00000000" w:rsidDel="00000000" w:rsidP="00000000" w:rsidRDefault="00000000" w:rsidRPr="00000000" w14:paraId="0000003D">
      <w:pPr>
        <w:numPr>
          <w:ilvl w:val="0"/>
          <w:numId w:val="3"/>
        </w:numPr>
        <w:spacing w:after="240" w:before="240" w:line="360" w:lineRule="auto"/>
        <w:ind w:left="720" w:hanging="360"/>
        <w:rPr>
          <w:b w:val="1"/>
          <w:i w:val="1"/>
          <w:color w:val="0d0d0d"/>
          <w:sz w:val="24"/>
          <w:szCs w:val="24"/>
        </w:rPr>
      </w:pPr>
      <w:r w:rsidDel="00000000" w:rsidR="00000000" w:rsidRPr="00000000">
        <w:rPr>
          <w:b w:val="1"/>
          <w:i w:val="1"/>
          <w:color w:val="0d0d0d"/>
          <w:sz w:val="24"/>
          <w:szCs w:val="24"/>
          <w:rtl w:val="0"/>
        </w:rPr>
        <w:t xml:space="preserve">Targeting</w:t>
      </w:r>
    </w:p>
    <w:p w:rsidR="00000000" w:rsidDel="00000000" w:rsidP="00000000" w:rsidRDefault="00000000" w:rsidRPr="00000000" w14:paraId="0000003E">
      <w:pPr>
        <w:spacing w:after="240" w:before="240" w:line="360" w:lineRule="auto"/>
        <w:rPr>
          <w:b w:val="1"/>
          <w:i w:val="1"/>
          <w:color w:val="0d0d0d"/>
          <w:sz w:val="24"/>
          <w:szCs w:val="24"/>
        </w:rPr>
      </w:pPr>
      <w:r w:rsidDel="00000000" w:rsidR="00000000" w:rsidRPr="00000000">
        <w:rPr>
          <w:b w:val="1"/>
          <w:i w:val="1"/>
          <w:color w:val="0d0d0d"/>
          <w:sz w:val="24"/>
          <w:szCs w:val="24"/>
          <w:rtl w:val="0"/>
        </w:rPr>
        <w:t xml:space="preserve">Reason for Targeting Gen Z individuals (aged between 21-30 years)</w:t>
      </w:r>
    </w:p>
    <w:p w:rsidR="00000000" w:rsidDel="00000000" w:rsidP="00000000" w:rsidRDefault="00000000" w:rsidRPr="00000000" w14:paraId="0000003F">
      <w:pPr>
        <w:spacing w:after="240" w:before="240" w:line="360" w:lineRule="auto"/>
        <w:jc w:val="both"/>
        <w:rPr>
          <w:color w:val="0d0d0d"/>
          <w:sz w:val="24"/>
          <w:szCs w:val="24"/>
        </w:rPr>
      </w:pPr>
      <w:r w:rsidDel="00000000" w:rsidR="00000000" w:rsidRPr="00000000">
        <w:rPr>
          <w:color w:val="0d0d0d"/>
          <w:sz w:val="24"/>
          <w:szCs w:val="24"/>
          <w:rtl w:val="0"/>
        </w:rPr>
        <w:t xml:space="preserve">Gen Z individuals are digitally well-equipped and highly engaged with the platforms of financial technology (Acharya and Bhojak, 2024). Gen Z individuals from all over the UK aged between 21-30 years are also aware of the change in climate and problems concerning sustainability. Moreover, they always search for ways to lessen their footprint on the environment. These people are also interested in investing towards ESG but they lack access or knowledge required for it. These individuals are highly compatible with the existing ecosystem of Revolut and are more probable to implement extra features like green investments and carbon tracking. </w:t>
      </w:r>
    </w:p>
    <w:p w:rsidR="00000000" w:rsidDel="00000000" w:rsidP="00000000" w:rsidRDefault="00000000" w:rsidRPr="00000000" w14:paraId="00000040">
      <w:pPr>
        <w:spacing w:after="240" w:before="240" w:line="360" w:lineRule="auto"/>
        <w:rPr>
          <w:b w:val="1"/>
          <w:i w:val="1"/>
          <w:color w:val="0d0d0d"/>
          <w:sz w:val="24"/>
          <w:szCs w:val="24"/>
        </w:rPr>
      </w:pPr>
      <w:r w:rsidDel="00000000" w:rsidR="00000000" w:rsidRPr="00000000">
        <w:rPr>
          <w:b w:val="1"/>
          <w:i w:val="1"/>
          <w:color w:val="0d0d0d"/>
          <w:sz w:val="24"/>
          <w:szCs w:val="24"/>
          <w:rtl w:val="0"/>
        </w:rPr>
        <w:t xml:space="preserve">Reason for Targeting Millennials (aged between 25-50 years)</w:t>
      </w:r>
    </w:p>
    <w:p w:rsidR="00000000" w:rsidDel="00000000" w:rsidP="00000000" w:rsidRDefault="00000000" w:rsidRPr="00000000" w14:paraId="00000041">
      <w:pPr>
        <w:spacing w:after="240" w:before="240" w:line="360" w:lineRule="auto"/>
        <w:jc w:val="both"/>
        <w:rPr>
          <w:color w:val="0d0d0d"/>
          <w:sz w:val="24"/>
          <w:szCs w:val="24"/>
        </w:rPr>
      </w:pPr>
      <w:r w:rsidDel="00000000" w:rsidR="00000000" w:rsidRPr="00000000">
        <w:rPr>
          <w:color w:val="0d0d0d"/>
          <w:sz w:val="24"/>
          <w:szCs w:val="24"/>
          <w:rtl w:val="0"/>
        </w:rPr>
        <w:t xml:space="preserve">Millennials from the UK are the young professionals in the age group 25-50 years who have stability in their income and who have a growing preference towards the ethical process of finance. These persons are shifting towards a sustainable process of lifestyles (Wu </w:t>
      </w:r>
      <w:r w:rsidDel="00000000" w:rsidR="00000000" w:rsidRPr="00000000">
        <w:rPr>
          <w:i w:val="1"/>
          <w:color w:val="0d0d0d"/>
          <w:sz w:val="24"/>
          <w:szCs w:val="24"/>
          <w:rtl w:val="0"/>
        </w:rPr>
        <w:t xml:space="preserve">et al</w:t>
      </w:r>
      <w:r w:rsidDel="00000000" w:rsidR="00000000" w:rsidRPr="00000000">
        <w:rPr>
          <w:color w:val="0d0d0d"/>
          <w:sz w:val="24"/>
          <w:szCs w:val="24"/>
          <w:rtl w:val="0"/>
        </w:rPr>
        <w:t xml:space="preserve">., 2024). Existing users of Revolut can also be sold the high-end green features among the said customer base. By focusing on the said UK-based consumer segment will be the best as it is a growing, and environmentally-conscious consumer. Revolut will make sure that there are loyalty and high engagement of the targeted consumers. </w:t>
      </w:r>
    </w:p>
    <w:p w:rsidR="00000000" w:rsidDel="00000000" w:rsidP="00000000" w:rsidRDefault="00000000" w:rsidRPr="00000000" w14:paraId="00000042">
      <w:pPr>
        <w:numPr>
          <w:ilvl w:val="0"/>
          <w:numId w:val="3"/>
        </w:numPr>
        <w:spacing w:after="240" w:before="240" w:line="360" w:lineRule="auto"/>
        <w:ind w:left="720" w:hanging="360"/>
        <w:rPr>
          <w:b w:val="1"/>
          <w:i w:val="1"/>
          <w:color w:val="0d0d0d"/>
          <w:sz w:val="24"/>
          <w:szCs w:val="24"/>
        </w:rPr>
      </w:pPr>
      <w:r w:rsidDel="00000000" w:rsidR="00000000" w:rsidRPr="00000000">
        <w:rPr>
          <w:b w:val="1"/>
          <w:i w:val="1"/>
          <w:color w:val="0d0d0d"/>
          <w:sz w:val="24"/>
          <w:szCs w:val="24"/>
          <w:rtl w:val="0"/>
        </w:rPr>
        <w:t xml:space="preserve">Differentiation</w:t>
      </w:r>
    </w:p>
    <w:p w:rsidR="00000000" w:rsidDel="00000000" w:rsidP="00000000" w:rsidRDefault="00000000" w:rsidRPr="00000000" w14:paraId="00000043">
      <w:pPr>
        <w:spacing w:after="240" w:before="240" w:line="360" w:lineRule="auto"/>
        <w:jc w:val="both"/>
        <w:rPr>
          <w:color w:val="0d0d0d"/>
          <w:sz w:val="24"/>
          <w:szCs w:val="24"/>
        </w:rPr>
      </w:pPr>
      <w:r w:rsidDel="00000000" w:rsidR="00000000" w:rsidRPr="00000000">
        <w:rPr>
          <w:color w:val="0d0d0d"/>
          <w:sz w:val="24"/>
          <w:szCs w:val="24"/>
          <w:rtl w:val="0"/>
        </w:rPr>
        <w:t xml:space="preserve">The main competitors of Revolut Green include Monzoo, Starling, and Wise. As the competitors are strong in the market of financial technology, thus, Revolut Green should clearly differentiate itself from conventional banks and upcoming platforms which are focused on ESG. Thereby, the brand will differentiate itself using the following features-</w:t>
      </w:r>
    </w:p>
    <w:p w:rsidR="00000000" w:rsidDel="00000000" w:rsidP="00000000" w:rsidRDefault="00000000" w:rsidRPr="00000000" w14:paraId="00000044">
      <w:pPr>
        <w:numPr>
          <w:ilvl w:val="0"/>
          <w:numId w:val="5"/>
        </w:numPr>
        <w:spacing w:after="240" w:before="240" w:line="360" w:lineRule="auto"/>
        <w:ind w:left="720" w:hanging="360"/>
        <w:jc w:val="both"/>
        <w:rPr>
          <w:color w:val="0d0d0d"/>
          <w:sz w:val="24"/>
          <w:szCs w:val="24"/>
        </w:rPr>
      </w:pPr>
      <w:r w:rsidDel="00000000" w:rsidR="00000000" w:rsidRPr="00000000">
        <w:rPr>
          <w:b w:val="1"/>
          <w:color w:val="0d0d0d"/>
          <w:sz w:val="24"/>
          <w:szCs w:val="24"/>
          <w:rtl w:val="0"/>
        </w:rPr>
        <w:t xml:space="preserve">Combined Advantage of Ecosystem</w:t>
      </w:r>
      <w:r w:rsidDel="00000000" w:rsidR="00000000" w:rsidRPr="00000000">
        <w:rPr>
          <w:color w:val="0d0d0d"/>
          <w:sz w:val="24"/>
          <w:szCs w:val="24"/>
          <w:rtl w:val="0"/>
        </w:rPr>
        <w:t xml:space="preserve">: Unlike competitors which provide fragmented tools of sustainability, Revolut Green will offer investments in ESG, Green rewards, and carbon tracking along with auto-offset features all-inclusive in one application. This ecosystem will be a main differentiator. </w:t>
      </w:r>
    </w:p>
    <w:p w:rsidR="00000000" w:rsidDel="00000000" w:rsidP="00000000" w:rsidRDefault="00000000" w:rsidRPr="00000000" w14:paraId="00000045">
      <w:pPr>
        <w:numPr>
          <w:ilvl w:val="0"/>
          <w:numId w:val="5"/>
        </w:numPr>
        <w:spacing w:after="240" w:before="240" w:line="360" w:lineRule="auto"/>
        <w:ind w:left="720" w:hanging="360"/>
        <w:jc w:val="both"/>
        <w:rPr>
          <w:b w:val="1"/>
          <w:color w:val="0d0d0d"/>
          <w:sz w:val="24"/>
          <w:szCs w:val="24"/>
        </w:rPr>
      </w:pPr>
      <w:r w:rsidDel="00000000" w:rsidR="00000000" w:rsidRPr="00000000">
        <w:rPr>
          <w:b w:val="1"/>
          <w:color w:val="0d0d0d"/>
          <w:sz w:val="24"/>
          <w:szCs w:val="24"/>
          <w:rtl w:val="0"/>
        </w:rPr>
        <w:t xml:space="preserve">Insights and data in the real-time: </w:t>
      </w:r>
      <w:r w:rsidDel="00000000" w:rsidR="00000000" w:rsidRPr="00000000">
        <w:rPr>
          <w:color w:val="0d0d0d"/>
          <w:sz w:val="24"/>
          <w:szCs w:val="24"/>
          <w:rtl w:val="0"/>
        </w:rPr>
        <w:t xml:space="preserve">Revolut will use data from transactions to offer customised evaluation of carbon footprint along with monthly carbon scores. Moreover, actionable suggestions will be given to lessen emissions. This will shift abstract concepts of sustainability into actionable behaviour, which can also be traceable if required. </w:t>
      </w:r>
      <w:r w:rsidDel="00000000" w:rsidR="00000000" w:rsidRPr="00000000">
        <w:rPr>
          <w:rtl w:val="0"/>
        </w:rPr>
      </w:r>
    </w:p>
    <w:p w:rsidR="00000000" w:rsidDel="00000000" w:rsidP="00000000" w:rsidRDefault="00000000" w:rsidRPr="00000000" w14:paraId="00000046">
      <w:pPr>
        <w:numPr>
          <w:ilvl w:val="0"/>
          <w:numId w:val="5"/>
        </w:numPr>
        <w:spacing w:after="240" w:before="240" w:line="360" w:lineRule="auto"/>
        <w:ind w:left="720" w:hanging="360"/>
        <w:jc w:val="both"/>
        <w:rPr>
          <w:b w:val="1"/>
          <w:color w:val="0d0d0d"/>
          <w:sz w:val="24"/>
          <w:szCs w:val="24"/>
        </w:rPr>
      </w:pPr>
      <w:r w:rsidDel="00000000" w:rsidR="00000000" w:rsidRPr="00000000">
        <w:rPr>
          <w:b w:val="1"/>
          <w:color w:val="0d0d0d"/>
          <w:sz w:val="24"/>
          <w:szCs w:val="24"/>
          <w:rtl w:val="0"/>
        </w:rPr>
        <w:t xml:space="preserve">Rewards and Gamification: </w:t>
      </w:r>
      <w:r w:rsidDel="00000000" w:rsidR="00000000" w:rsidRPr="00000000">
        <w:rPr>
          <w:color w:val="0d0d0d"/>
          <w:sz w:val="24"/>
          <w:szCs w:val="24"/>
          <w:rtl w:val="0"/>
        </w:rPr>
        <w:t xml:space="preserve">A cash-back will be provided to the users for environmentally-friendly spending options. Moreover, there will also be discounts on brands which are sustainable. Incentives will be given for lessening carbon footprints. This method inspires change in behaviour, making the process of sustainability engaging as opposed to being limiting (Pathi and Sheik, 2026). </w:t>
      </w:r>
      <w:r w:rsidDel="00000000" w:rsidR="00000000" w:rsidRPr="00000000">
        <w:rPr>
          <w:rtl w:val="0"/>
        </w:rPr>
      </w:r>
    </w:p>
    <w:p w:rsidR="00000000" w:rsidDel="00000000" w:rsidP="00000000" w:rsidRDefault="00000000" w:rsidRPr="00000000" w14:paraId="00000047">
      <w:pPr>
        <w:numPr>
          <w:ilvl w:val="0"/>
          <w:numId w:val="5"/>
        </w:numPr>
        <w:spacing w:after="240" w:before="240" w:line="360" w:lineRule="auto"/>
        <w:ind w:left="720" w:hanging="360"/>
        <w:jc w:val="both"/>
        <w:rPr>
          <w:b w:val="1"/>
          <w:color w:val="0d0d0d"/>
          <w:sz w:val="24"/>
          <w:szCs w:val="24"/>
        </w:rPr>
      </w:pPr>
      <w:r w:rsidDel="00000000" w:rsidR="00000000" w:rsidRPr="00000000">
        <w:rPr>
          <w:b w:val="1"/>
          <w:color w:val="0d0d0d"/>
          <w:sz w:val="24"/>
          <w:szCs w:val="24"/>
          <w:rtl w:val="0"/>
        </w:rPr>
        <w:t xml:space="preserve">Usage of Green Investments: </w:t>
      </w:r>
      <w:r w:rsidDel="00000000" w:rsidR="00000000" w:rsidRPr="00000000">
        <w:rPr>
          <w:color w:val="0d0d0d"/>
          <w:sz w:val="24"/>
          <w:szCs w:val="24"/>
          <w:rtl w:val="0"/>
        </w:rPr>
        <w:t xml:space="preserve">Several platforms that invest in ESG are quite complicated and discouraging. Revolut Green will simplify the procedure by providing clear impact reporting, low barriers of entry, and beginner-friendly portfolios. This will help in accessing investment options that are durable. This will offer the brand a competitive advantage.</w:t>
      </w:r>
      <w:r w:rsidDel="00000000" w:rsidR="00000000" w:rsidRPr="00000000">
        <w:rPr>
          <w:rtl w:val="0"/>
        </w:rPr>
      </w:r>
    </w:p>
    <w:p w:rsidR="00000000" w:rsidDel="00000000" w:rsidP="00000000" w:rsidRDefault="00000000" w:rsidRPr="00000000" w14:paraId="00000048">
      <w:pPr>
        <w:numPr>
          <w:ilvl w:val="0"/>
          <w:numId w:val="5"/>
        </w:numPr>
        <w:spacing w:after="240" w:before="240" w:line="360" w:lineRule="auto"/>
        <w:ind w:left="720" w:hanging="360"/>
        <w:jc w:val="both"/>
        <w:rPr>
          <w:b w:val="1"/>
          <w:color w:val="0d0d0d"/>
          <w:sz w:val="24"/>
          <w:szCs w:val="24"/>
        </w:rPr>
      </w:pPr>
      <w:r w:rsidDel="00000000" w:rsidR="00000000" w:rsidRPr="00000000">
        <w:rPr>
          <w:b w:val="1"/>
          <w:color w:val="0d0d0d"/>
          <w:sz w:val="24"/>
          <w:szCs w:val="24"/>
          <w:rtl w:val="0"/>
        </w:rPr>
        <w:t xml:space="preserve">Strong Backbone of Technology: </w:t>
      </w:r>
      <w:r w:rsidDel="00000000" w:rsidR="00000000" w:rsidRPr="00000000">
        <w:rPr>
          <w:color w:val="0d0d0d"/>
          <w:sz w:val="24"/>
          <w:szCs w:val="24"/>
          <w:rtl w:val="0"/>
        </w:rPr>
        <w:t xml:space="preserve">Revolut will differentiate itself as a company concerning financial technology via consistent innovation of products, AI-driven analytics, and API-powered architecture (Ingrid </w:t>
      </w:r>
      <w:r w:rsidDel="00000000" w:rsidR="00000000" w:rsidRPr="00000000">
        <w:rPr>
          <w:i w:val="1"/>
          <w:color w:val="0d0d0d"/>
          <w:sz w:val="24"/>
          <w:szCs w:val="24"/>
          <w:rtl w:val="0"/>
        </w:rPr>
        <w:t xml:space="preserve">et al</w:t>
      </w:r>
      <w:r w:rsidDel="00000000" w:rsidR="00000000" w:rsidRPr="00000000">
        <w:rPr>
          <w:color w:val="0d0d0d"/>
          <w:sz w:val="24"/>
          <w:szCs w:val="24"/>
          <w:rtl w:val="0"/>
        </w:rPr>
        <w:t xml:space="preserve">., 2022). This permits quick integration of the feature and superior experience by users as opposed to conventional banks. </w:t>
      </w:r>
      <w:r w:rsidDel="00000000" w:rsidR="00000000" w:rsidRPr="00000000">
        <w:rPr>
          <w:rtl w:val="0"/>
        </w:rPr>
      </w:r>
    </w:p>
    <w:p w:rsidR="00000000" w:rsidDel="00000000" w:rsidP="00000000" w:rsidRDefault="00000000" w:rsidRPr="00000000" w14:paraId="00000049">
      <w:pPr>
        <w:numPr>
          <w:ilvl w:val="0"/>
          <w:numId w:val="3"/>
        </w:numPr>
        <w:spacing w:after="240" w:before="240" w:line="360" w:lineRule="auto"/>
        <w:ind w:left="720" w:hanging="360"/>
        <w:rPr>
          <w:b w:val="1"/>
          <w:i w:val="1"/>
          <w:color w:val="0d0d0d"/>
          <w:sz w:val="24"/>
          <w:szCs w:val="24"/>
        </w:rPr>
      </w:pPr>
      <w:r w:rsidDel="00000000" w:rsidR="00000000" w:rsidRPr="00000000">
        <w:rPr>
          <w:b w:val="1"/>
          <w:i w:val="1"/>
          <w:color w:val="0d0d0d"/>
          <w:sz w:val="24"/>
          <w:szCs w:val="24"/>
          <w:rtl w:val="0"/>
        </w:rPr>
        <w:t xml:space="preserve">Positioning </w:t>
      </w:r>
    </w:p>
    <w:p w:rsidR="00000000" w:rsidDel="00000000" w:rsidP="00000000" w:rsidRDefault="00000000" w:rsidRPr="00000000" w14:paraId="0000004A">
      <w:pPr>
        <w:spacing w:after="240" w:before="240" w:line="360" w:lineRule="auto"/>
        <w:jc w:val="both"/>
        <w:rPr>
          <w:color w:val="0d0d0d"/>
          <w:sz w:val="24"/>
          <w:szCs w:val="24"/>
        </w:rPr>
      </w:pPr>
      <w:r w:rsidDel="00000000" w:rsidR="00000000" w:rsidRPr="00000000">
        <w:rPr>
          <w:color w:val="0d0d0d"/>
          <w:sz w:val="24"/>
          <w:szCs w:val="24"/>
          <w:rtl w:val="0"/>
        </w:rPr>
        <w:t xml:space="preserve">Revolut Green will empower digitally well-equipped consumers to make financial decisions that are sustainable. This will be done through integrating green investments, eco-rewards, and carbon tracking into an intelligent and single platform of financial technology. </w:t>
      </w:r>
    </w:p>
    <w:p w:rsidR="00000000" w:rsidDel="00000000" w:rsidP="00000000" w:rsidRDefault="00000000" w:rsidRPr="00000000" w14:paraId="0000004B">
      <w:pPr>
        <w:spacing w:after="240" w:before="240" w:line="360" w:lineRule="auto"/>
        <w:rPr>
          <w:b w:val="1"/>
          <w:color w:val="0d0d0d"/>
          <w:sz w:val="24"/>
          <w:szCs w:val="24"/>
        </w:rPr>
      </w:pPr>
      <w:r w:rsidDel="00000000" w:rsidR="00000000" w:rsidRPr="00000000">
        <w:rPr>
          <w:b w:val="1"/>
          <w:color w:val="0d0d0d"/>
          <w:sz w:val="24"/>
          <w:szCs w:val="24"/>
          <w:rtl w:val="0"/>
        </w:rPr>
        <w:t xml:space="preserve">Comparison: </w:t>
      </w:r>
    </w:p>
    <w:p w:rsidR="00000000" w:rsidDel="00000000" w:rsidP="00000000" w:rsidRDefault="00000000" w:rsidRPr="00000000" w14:paraId="0000004C">
      <w:pPr>
        <w:spacing w:after="240" w:before="240" w:line="360" w:lineRule="auto"/>
        <w:rPr>
          <w:color w:val="0d0d0d"/>
          <w:sz w:val="24"/>
          <w:szCs w:val="24"/>
        </w:rPr>
      </w:pPr>
      <w:r w:rsidDel="00000000" w:rsidR="00000000" w:rsidRPr="00000000">
        <w:rPr>
          <w:color w:val="0d0d0d"/>
          <w:sz w:val="24"/>
          <w:szCs w:val="24"/>
          <w:rtl w:val="0"/>
        </w:rPr>
        <w:t xml:space="preserve">Conventional banks = Low integration of sustainability + Low innovation</w:t>
      </w:r>
    </w:p>
    <w:p w:rsidR="00000000" w:rsidDel="00000000" w:rsidP="00000000" w:rsidRDefault="00000000" w:rsidRPr="00000000" w14:paraId="0000004D">
      <w:pPr>
        <w:spacing w:after="240" w:before="240" w:line="360" w:lineRule="auto"/>
        <w:rPr>
          <w:color w:val="0d0d0d"/>
          <w:sz w:val="24"/>
          <w:szCs w:val="24"/>
        </w:rPr>
      </w:pPr>
      <w:r w:rsidDel="00000000" w:rsidR="00000000" w:rsidRPr="00000000">
        <w:rPr>
          <w:color w:val="0d0d0d"/>
          <w:sz w:val="24"/>
          <w:szCs w:val="24"/>
          <w:rtl w:val="0"/>
        </w:rPr>
        <w:t xml:space="preserve">Platforms of ESG = Low suitability + High Sustainability</w:t>
      </w:r>
    </w:p>
    <w:p w:rsidR="00000000" w:rsidDel="00000000" w:rsidP="00000000" w:rsidRDefault="00000000" w:rsidRPr="00000000" w14:paraId="0000004E">
      <w:pPr>
        <w:spacing w:after="240" w:before="240" w:line="360" w:lineRule="auto"/>
        <w:rPr>
          <w:color w:val="0d0d0d"/>
          <w:sz w:val="24"/>
          <w:szCs w:val="24"/>
        </w:rPr>
      </w:pPr>
      <w:r w:rsidDel="00000000" w:rsidR="00000000" w:rsidRPr="00000000">
        <w:rPr>
          <w:color w:val="0d0d0d"/>
          <w:sz w:val="24"/>
          <w:szCs w:val="24"/>
          <w:rtl w:val="0"/>
        </w:rPr>
        <w:t xml:space="preserve">Revolut Green = High innovation + High relevance + High sustainability. </w:t>
      </w:r>
    </w:p>
    <w:p w:rsidR="00000000" w:rsidDel="00000000" w:rsidP="00000000" w:rsidRDefault="00000000" w:rsidRPr="00000000" w14:paraId="0000004F">
      <w:pPr>
        <w:spacing w:after="240" w:before="240" w:line="360" w:lineRule="auto"/>
        <w:rPr>
          <w:color w:val="0d0d0d"/>
          <w:sz w:val="24"/>
          <w:szCs w:val="24"/>
        </w:rPr>
      </w:pPr>
      <w:r w:rsidDel="00000000" w:rsidR="00000000" w:rsidRPr="00000000">
        <w:rPr>
          <w:color w:val="0d0d0d"/>
          <w:sz w:val="24"/>
          <w:szCs w:val="24"/>
          <w:rtl w:val="0"/>
        </w:rPr>
        <w:t xml:space="preserve">This will help in creating a strong advantage in competition. </w:t>
      </w:r>
    </w:p>
    <w:p w:rsidR="00000000" w:rsidDel="00000000" w:rsidP="00000000" w:rsidRDefault="00000000" w:rsidRPr="00000000" w14:paraId="00000050">
      <w:pPr>
        <w:spacing w:after="240" w:before="240" w:line="360" w:lineRule="auto"/>
        <w:jc w:val="center"/>
        <w:rPr>
          <w:b w:val="1"/>
          <w:color w:val="0d0d0d"/>
          <w:sz w:val="24"/>
          <w:szCs w:val="24"/>
        </w:rPr>
      </w:pPr>
      <w:r w:rsidDel="00000000" w:rsidR="00000000" w:rsidRPr="00000000">
        <w:rPr>
          <w:color w:val="0d0d0d"/>
          <w:sz w:val="24"/>
          <w:szCs w:val="24"/>
          <w:rtl w:val="0"/>
        </w:rPr>
        <w:br w:type="textWrapping"/>
      </w:r>
      <w:r w:rsidDel="00000000" w:rsidR="00000000" w:rsidRPr="00000000">
        <w:rPr>
          <w:b w:val="1"/>
          <w:color w:val="0d0d0d"/>
          <w:sz w:val="24"/>
          <w:szCs w:val="24"/>
          <w:rtl w:val="0"/>
        </w:rPr>
        <w:t xml:space="preserve">Figure 1: Positioning Map</w:t>
      </w:r>
      <w:r w:rsidDel="00000000" w:rsidR="00000000" w:rsidRPr="00000000">
        <w:drawing>
          <wp:anchor allowOverlap="1" behindDoc="0" distB="0" distT="0" distL="114300" distR="114300" hidden="0" layoutInCell="1" locked="0" relativeHeight="0" simplePos="0">
            <wp:simplePos x="0" y="0"/>
            <wp:positionH relativeFrom="column">
              <wp:posOffset>28577</wp:posOffset>
            </wp:positionH>
            <wp:positionV relativeFrom="paragraph">
              <wp:posOffset>85725</wp:posOffset>
            </wp:positionV>
            <wp:extent cx="5796280" cy="4411980"/>
            <wp:effectExtent b="9525" l="9525" r="9525" t="9525"/>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9"/>
                    <a:srcRect b="1877" l="639" r="2395" t="1670"/>
                    <a:stretch>
                      <a:fillRect/>
                    </a:stretch>
                  </pic:blipFill>
                  <pic:spPr>
                    <a:xfrm>
                      <a:off x="0" y="0"/>
                      <a:ext cx="5796280" cy="4411980"/>
                    </a:xfrm>
                    <a:prstGeom prst="rect"/>
                    <a:ln w="9525">
                      <a:solidFill>
                        <a:srgbClr val="000000"/>
                      </a:solidFill>
                      <a:prstDash val="solid"/>
                    </a:ln>
                  </pic:spPr>
                </pic:pic>
              </a:graphicData>
            </a:graphic>
          </wp:anchor>
        </w:drawing>
      </w:r>
    </w:p>
    <w:p w:rsidR="00000000" w:rsidDel="00000000" w:rsidP="00000000" w:rsidRDefault="00000000" w:rsidRPr="00000000" w14:paraId="00000051">
      <w:pPr>
        <w:spacing w:after="240" w:before="240" w:line="360" w:lineRule="auto"/>
        <w:jc w:val="center"/>
        <w:rPr>
          <w:color w:val="0d0d0d"/>
          <w:sz w:val="24"/>
          <w:szCs w:val="24"/>
        </w:rPr>
      </w:pPr>
      <w:r w:rsidDel="00000000" w:rsidR="00000000" w:rsidRPr="00000000">
        <w:rPr>
          <w:color w:val="0d0d0d"/>
          <w:sz w:val="24"/>
          <w:szCs w:val="24"/>
          <w:rtl w:val="0"/>
        </w:rPr>
        <w:t xml:space="preserve">(Source: Self-developed)</w:t>
      </w:r>
    </w:p>
    <w:p w:rsidR="00000000" w:rsidDel="00000000" w:rsidP="00000000" w:rsidRDefault="00000000" w:rsidRPr="00000000" w14:paraId="00000052">
      <w:pPr>
        <w:spacing w:after="240" w:before="240" w:line="360" w:lineRule="auto"/>
        <w:rPr>
          <w:color w:val="0d0d0d"/>
          <w:sz w:val="24"/>
          <w:szCs w:val="24"/>
        </w:rPr>
      </w:pPr>
      <w:r w:rsidDel="00000000" w:rsidR="00000000" w:rsidRPr="00000000">
        <w:rPr>
          <w:color w:val="0d0d0d"/>
          <w:sz w:val="24"/>
          <w:szCs w:val="24"/>
          <w:rtl w:val="0"/>
        </w:rPr>
        <w:t xml:space="preserve">Following the positioning map, Revolut Green will position itself as a highly sustainable brand with high ecosystem breadth. </w:t>
      </w:r>
    </w:p>
    <w:p w:rsidR="00000000" w:rsidDel="00000000" w:rsidP="00000000" w:rsidRDefault="00000000" w:rsidRPr="00000000" w14:paraId="00000053">
      <w:pPr>
        <w:pStyle w:val="Heading1"/>
        <w:spacing w:after="240" w:before="240" w:lineRule="auto"/>
        <w:rPr>
          <w:rFonts w:ascii="Arial" w:cs="Arial" w:eastAsia="Arial" w:hAnsi="Arial"/>
          <w:color w:val="0d0d0d"/>
        </w:rPr>
      </w:pPr>
      <w:bookmarkStart w:colFirst="0" w:colLast="0" w:name="_1fob9te" w:id="2"/>
      <w:bookmarkEnd w:id="2"/>
      <w:r w:rsidDel="00000000" w:rsidR="00000000" w:rsidRPr="00000000">
        <w:rPr>
          <w:rFonts w:ascii="Arial" w:cs="Arial" w:eastAsia="Arial" w:hAnsi="Arial"/>
          <w:color w:val="0d0d0d"/>
          <w:rtl w:val="0"/>
        </w:rPr>
        <w:t xml:space="preserve">Element 3: Marketing Mix 7Ps</w:t>
      </w:r>
    </w:p>
    <w:p w:rsidR="00000000" w:rsidDel="00000000" w:rsidP="00000000" w:rsidRDefault="00000000" w:rsidRPr="00000000" w14:paraId="00000054">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Product</w:t>
      </w:r>
    </w:p>
    <w:p w:rsidR="00000000" w:rsidDel="00000000" w:rsidP="00000000" w:rsidRDefault="00000000" w:rsidRPr="00000000" w14:paraId="00000055">
      <w:pPr>
        <w:spacing w:after="240" w:before="240" w:line="360" w:lineRule="auto"/>
        <w:jc w:val="both"/>
        <w:rPr>
          <w:color w:val="0d0d0d"/>
          <w:sz w:val="24"/>
          <w:szCs w:val="24"/>
        </w:rPr>
      </w:pPr>
      <w:r w:rsidDel="00000000" w:rsidR="00000000" w:rsidRPr="00000000">
        <w:rPr>
          <w:color w:val="0d0d0d"/>
          <w:sz w:val="24"/>
          <w:szCs w:val="24"/>
          <w:rtl w:val="0"/>
        </w:rPr>
        <w:t xml:space="preserve">The intended product is the Revolut Green, an ecosystem, and not a single feature. It has carbon footprint reporting, environmentally friendly investment portfolios, environmentally friendly spending analysis, and collaboration with sustainable brands to provide rewards. Service-dominant logic is also compatible with the integration of the ESG-specific tools, in which value is co-created during the interaction with users and behavioural change (Barrios, Camacho, and Estrada-Mejia, 2023). Revolut Green has a core service, where users can manage their finances in a sustainable way using carbon tracking and ESG investments.</w:t>
      </w:r>
    </w:p>
    <w:p w:rsidR="00000000" w:rsidDel="00000000" w:rsidP="00000000" w:rsidRDefault="00000000" w:rsidRPr="00000000" w14:paraId="00000056">
      <w:pPr>
        <w:spacing w:after="240" w:before="240" w:line="360" w:lineRule="auto"/>
        <w:jc w:val="both"/>
        <w:rPr>
          <w:color w:val="0d0d0d"/>
          <w:sz w:val="24"/>
          <w:szCs w:val="24"/>
        </w:rPr>
      </w:pPr>
      <w:r w:rsidDel="00000000" w:rsidR="00000000" w:rsidRPr="00000000">
        <w:rPr>
          <w:color w:val="0d0d0d"/>
          <w:sz w:val="24"/>
          <w:szCs w:val="24"/>
          <w:rtl w:val="0"/>
        </w:rPr>
        <w:t xml:space="preserve">Moreover, the product should be complex enough and convenient enough to use. Although introducing a variety of sustainability features enhances the </w:t>
      </w:r>
      <w:r w:rsidDel="00000000" w:rsidR="00000000" w:rsidRPr="00000000">
        <w:rPr>
          <w:b w:val="1"/>
          <w:i w:val="1"/>
          <w:color w:val="0d0d0d"/>
          <w:sz w:val="24"/>
          <w:szCs w:val="24"/>
          <w:rtl w:val="0"/>
        </w:rPr>
        <w:t xml:space="preserve">differentiation</w:t>
      </w:r>
      <w:r w:rsidDel="00000000" w:rsidR="00000000" w:rsidRPr="00000000">
        <w:rPr>
          <w:color w:val="0d0d0d"/>
          <w:sz w:val="24"/>
          <w:szCs w:val="24"/>
          <w:rtl w:val="0"/>
        </w:rPr>
        <w:t xml:space="preserve">, being too complicated may decrease the user interaction. Hence, a modular design approach, in which users can choose to have green features, will be accessible. </w:t>
      </w:r>
    </w:p>
    <w:p w:rsidR="00000000" w:rsidDel="00000000" w:rsidP="00000000" w:rsidRDefault="00000000" w:rsidRPr="00000000" w14:paraId="00000057">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Price</w:t>
      </w:r>
    </w:p>
    <w:p w:rsidR="00000000" w:rsidDel="00000000" w:rsidP="00000000" w:rsidRDefault="00000000" w:rsidRPr="00000000" w14:paraId="00000058">
      <w:pPr>
        <w:spacing w:after="240" w:before="240" w:line="360" w:lineRule="auto"/>
        <w:jc w:val="both"/>
        <w:rPr>
          <w:color w:val="0d0d0d"/>
          <w:sz w:val="24"/>
          <w:szCs w:val="24"/>
        </w:rPr>
      </w:pPr>
      <w:r w:rsidDel="00000000" w:rsidR="00000000" w:rsidRPr="00000000">
        <w:rPr>
          <w:color w:val="0d0d0d"/>
          <w:sz w:val="24"/>
          <w:szCs w:val="24"/>
          <w:rtl w:val="0"/>
        </w:rPr>
        <w:t xml:space="preserve">Revolut Green has its own strategy of </w:t>
      </w:r>
      <w:r w:rsidDel="00000000" w:rsidR="00000000" w:rsidRPr="00000000">
        <w:rPr>
          <w:b w:val="1"/>
          <w:i w:val="1"/>
          <w:color w:val="0d0d0d"/>
          <w:sz w:val="24"/>
          <w:szCs w:val="24"/>
          <w:rtl w:val="0"/>
        </w:rPr>
        <w:t xml:space="preserve">hybrid</w:t>
      </w:r>
      <w:r w:rsidDel="00000000" w:rsidR="00000000" w:rsidRPr="00000000">
        <w:rPr>
          <w:color w:val="0d0d0d"/>
          <w:sz w:val="24"/>
          <w:szCs w:val="24"/>
          <w:rtl w:val="0"/>
        </w:rPr>
        <w:t xml:space="preserve"> pricing, which is a freemium access with premium levels. The simplicity of the tracking of carbon and other basic features is free, and therefore everyone can use the tool, and only enhanced features like customised ESG investment portfolios, or greater eco-rewards, are covered under the paid plans.</w:t>
      </w:r>
    </w:p>
    <w:p w:rsidR="00000000" w:rsidDel="00000000" w:rsidP="00000000" w:rsidRDefault="00000000" w:rsidRPr="00000000" w14:paraId="00000059">
      <w:pPr>
        <w:spacing w:after="240" w:before="240" w:line="360" w:lineRule="auto"/>
        <w:jc w:val="both"/>
        <w:rPr>
          <w:color w:val="0d0d0d"/>
          <w:sz w:val="24"/>
          <w:szCs w:val="24"/>
        </w:rPr>
      </w:pPr>
      <w:r w:rsidDel="00000000" w:rsidR="00000000" w:rsidRPr="00000000">
        <w:rPr>
          <w:color w:val="0d0d0d"/>
          <w:sz w:val="24"/>
          <w:szCs w:val="24"/>
          <w:rtl w:val="0"/>
        </w:rPr>
        <w:t xml:space="preserve">This is an indication of value-based pricing where the customers will be prepared to pay not only because it benefits them financially but morally as well. Also, the application of cashback to green spending will be like behaviour-based pricing, as the incentive to spend sustainably will be provided using financial incentives.</w:t>
      </w:r>
    </w:p>
    <w:p w:rsidR="00000000" w:rsidDel="00000000" w:rsidP="00000000" w:rsidRDefault="00000000" w:rsidRPr="00000000" w14:paraId="0000005A">
      <w:pPr>
        <w:spacing w:after="240" w:before="240" w:line="360" w:lineRule="auto"/>
        <w:jc w:val="both"/>
        <w:rPr>
          <w:color w:val="0d0d0d"/>
          <w:sz w:val="24"/>
          <w:szCs w:val="24"/>
        </w:rPr>
      </w:pPr>
      <w:r w:rsidDel="00000000" w:rsidR="00000000" w:rsidRPr="00000000">
        <w:rPr>
          <w:color w:val="0d0d0d"/>
          <w:sz w:val="24"/>
          <w:szCs w:val="24"/>
          <w:rtl w:val="0"/>
        </w:rPr>
        <w:t xml:space="preserve">In a critical way, there should be no perception that sustainability is a premium-only feature. When done poorly, it may go against the ethical stance of the brand. Thus, having a balanced pricing system with core sustainability tools being available will help promote not only brand credibility but also inclusivity.</w:t>
      </w:r>
    </w:p>
    <w:p w:rsidR="00000000" w:rsidDel="00000000" w:rsidP="00000000" w:rsidRDefault="00000000" w:rsidRPr="00000000" w14:paraId="0000005B">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Place </w:t>
      </w:r>
    </w:p>
    <w:p w:rsidR="00000000" w:rsidDel="00000000" w:rsidP="00000000" w:rsidRDefault="00000000" w:rsidRPr="00000000" w14:paraId="0000005C">
      <w:pPr>
        <w:spacing w:after="240" w:before="240" w:line="360" w:lineRule="auto"/>
        <w:jc w:val="both"/>
        <w:rPr>
          <w:color w:val="0d0d0d"/>
          <w:sz w:val="24"/>
          <w:szCs w:val="24"/>
        </w:rPr>
      </w:pPr>
      <w:r w:rsidDel="00000000" w:rsidR="00000000" w:rsidRPr="00000000">
        <w:rPr>
          <w:color w:val="0d0d0d"/>
          <w:sz w:val="24"/>
          <w:szCs w:val="24"/>
          <w:rtl w:val="0"/>
        </w:rPr>
        <w:t xml:space="preserve">Revolut Green is entirely distributed digitally within the existing mobile and web platform of Revolut. This is in line with a direct-to-consumer (D2C) platform approach, which ensures a scalable approach across the globe and ease of access for the user. One of the relevant strategies employed in the place is the Direct-to-Consumer (D2C) digital platform strategy, backed by a platform ecosystem strategy, that facilitates digital services and partnerships. This is indicative of the platform ecosystem theory, where value is generated by the relationship formed by the services and partnerships for an integrated value proposition (Stonig, Schmid, and Müller Stewens, 2022). </w:t>
      </w:r>
    </w:p>
    <w:p w:rsidR="00000000" w:rsidDel="00000000" w:rsidP="00000000" w:rsidRDefault="00000000" w:rsidRPr="00000000" w14:paraId="0000005D">
      <w:pPr>
        <w:spacing w:after="240" w:before="240" w:line="360" w:lineRule="auto"/>
        <w:jc w:val="both"/>
        <w:rPr>
          <w:color w:val="0d0d0d"/>
          <w:sz w:val="24"/>
          <w:szCs w:val="24"/>
        </w:rPr>
      </w:pPr>
      <w:r w:rsidDel="00000000" w:rsidR="00000000" w:rsidRPr="00000000">
        <w:rPr>
          <w:color w:val="0d0d0d"/>
          <w:sz w:val="24"/>
          <w:szCs w:val="24"/>
          <w:rtl w:val="0"/>
        </w:rPr>
        <w:t xml:space="preserve">Importantly, without physical presence, the level of trust could be low among some segments of customers, especially in the field of financial services. Nevertheless, Revolut neutralises it with the intense digital UX design and transparency (Sahu, 2025). The place strategy is a direct reinforcement of the brand extension, as the identity of Revolut as a technology-based, borderless financial platform is a tool which allows the company to provide efficient delivery on the Superapp model. </w:t>
      </w:r>
    </w:p>
    <w:p w:rsidR="00000000" w:rsidDel="00000000" w:rsidP="00000000" w:rsidRDefault="00000000" w:rsidRPr="00000000" w14:paraId="0000005E">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Promotion</w:t>
      </w:r>
    </w:p>
    <w:p w:rsidR="00000000" w:rsidDel="00000000" w:rsidP="00000000" w:rsidRDefault="00000000" w:rsidRPr="00000000" w14:paraId="0000005F">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Purpose Driven Communication </w:t>
      </w:r>
    </w:p>
    <w:p w:rsidR="00000000" w:rsidDel="00000000" w:rsidP="00000000" w:rsidRDefault="00000000" w:rsidRPr="00000000" w14:paraId="00000060">
      <w:pPr>
        <w:spacing w:after="240" w:before="240" w:line="360" w:lineRule="auto"/>
        <w:jc w:val="both"/>
        <w:rPr>
          <w:color w:val="0d0d0d"/>
          <w:sz w:val="24"/>
          <w:szCs w:val="24"/>
        </w:rPr>
      </w:pPr>
      <w:r w:rsidDel="00000000" w:rsidR="00000000" w:rsidRPr="00000000">
        <w:rPr>
          <w:color w:val="0d0d0d"/>
          <w:sz w:val="24"/>
          <w:szCs w:val="24"/>
          <w:rtl w:val="0"/>
        </w:rPr>
        <w:t xml:space="preserve">Revolut Green promotion is directed at purpose-driven communication that is digital-first, with a focus on sustainability, transparency, and empowering the user. The campaigns emphasise the effect of the daily financial choices that make an impact on the environment, associated with the content marketing strategy and storytelling. </w:t>
      </w:r>
    </w:p>
    <w:p w:rsidR="00000000" w:rsidDel="00000000" w:rsidP="00000000" w:rsidRDefault="00000000" w:rsidRPr="00000000" w14:paraId="00000061">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Relationship Marketing</w:t>
      </w:r>
    </w:p>
    <w:p w:rsidR="00000000" w:rsidDel="00000000" w:rsidP="00000000" w:rsidRDefault="00000000" w:rsidRPr="00000000" w14:paraId="00000062">
      <w:pPr>
        <w:spacing w:after="240" w:before="240" w:line="360" w:lineRule="auto"/>
        <w:jc w:val="both"/>
        <w:rPr>
          <w:color w:val="0d0d0d"/>
          <w:sz w:val="24"/>
          <w:szCs w:val="24"/>
        </w:rPr>
      </w:pPr>
      <w:r w:rsidDel="00000000" w:rsidR="00000000" w:rsidRPr="00000000">
        <w:rPr>
          <w:color w:val="0d0d0d"/>
          <w:sz w:val="24"/>
          <w:szCs w:val="24"/>
          <w:rtl w:val="0"/>
        </w:rPr>
        <w:t xml:space="preserve">Relationship marketing comes out in the form of the use of social media, influencer partnerships, and referral programmes, creating a sense of community and trust (Huy and Phuc, 2025). Also, Revolut will be able to use cause-related marketing, which involves associating financial services with green activism, like planting trees or carbon capture.</w:t>
      </w:r>
    </w:p>
    <w:p w:rsidR="00000000" w:rsidDel="00000000" w:rsidP="00000000" w:rsidRDefault="00000000" w:rsidRPr="00000000" w14:paraId="00000063">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Effectiveness of Data Transparency in Promotion </w:t>
      </w:r>
    </w:p>
    <w:p w:rsidR="00000000" w:rsidDel="00000000" w:rsidP="00000000" w:rsidRDefault="00000000" w:rsidRPr="00000000" w14:paraId="00000064">
      <w:pPr>
        <w:spacing w:after="240" w:before="240" w:line="360" w:lineRule="auto"/>
        <w:jc w:val="both"/>
        <w:rPr>
          <w:color w:val="0d0d0d"/>
          <w:sz w:val="24"/>
          <w:szCs w:val="24"/>
        </w:rPr>
      </w:pPr>
      <w:r w:rsidDel="00000000" w:rsidR="00000000" w:rsidRPr="00000000">
        <w:rPr>
          <w:color w:val="0d0d0d"/>
          <w:sz w:val="24"/>
          <w:szCs w:val="24"/>
          <w:rtl w:val="0"/>
        </w:rPr>
        <w:t xml:space="preserve">In the critical aspect, a greenwashing risk exists, and sustainability claims might be viewed as shallow ones. To overcome this, Revolut needs to provide data transparency and verify ESG claims by a third party. The successful promotion will enhance the brand extension, making Revolut Green a genuine and influential solution, but not a commercial one.</w:t>
      </w:r>
    </w:p>
    <w:p w:rsidR="00000000" w:rsidDel="00000000" w:rsidP="00000000" w:rsidRDefault="00000000" w:rsidRPr="00000000" w14:paraId="00000065">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People</w:t>
      </w:r>
    </w:p>
    <w:p w:rsidR="00000000" w:rsidDel="00000000" w:rsidP="00000000" w:rsidRDefault="00000000" w:rsidRPr="00000000" w14:paraId="00000066">
      <w:pPr>
        <w:spacing w:after="240" w:before="240" w:line="360" w:lineRule="auto"/>
        <w:jc w:val="both"/>
        <w:rPr>
          <w:color w:val="0d0d0d"/>
          <w:sz w:val="24"/>
          <w:szCs w:val="24"/>
        </w:rPr>
      </w:pPr>
      <w:r w:rsidDel="00000000" w:rsidR="00000000" w:rsidRPr="00000000">
        <w:rPr>
          <w:color w:val="0d0d0d"/>
          <w:sz w:val="24"/>
          <w:szCs w:val="24"/>
          <w:rtl w:val="0"/>
        </w:rPr>
        <w:t xml:space="preserve">The aspect of People in the context of Revolut Green is not just an employee, but a customer who will be an active participant in the sustainability. In-house, Revolut needs to invest in ESG-sensitive data analytics and sustainable-finance expertise talent to enable it to have credibility and innovativeness. The communication with customers is more online with the help of AI-based systems and customer care departments (Igwe-Nmaju, Gbaja, and Ikeh, 2023). This is a manifestation of service-dominant logic, in which the value is co-created by the user interacting with the platform.</w:t>
      </w:r>
    </w:p>
    <w:p w:rsidR="00000000" w:rsidDel="00000000" w:rsidP="00000000" w:rsidRDefault="00000000" w:rsidRPr="00000000" w14:paraId="00000067">
      <w:pPr>
        <w:spacing w:after="240" w:before="240" w:line="360" w:lineRule="auto"/>
        <w:jc w:val="both"/>
        <w:rPr>
          <w:color w:val="0d0d0d"/>
          <w:sz w:val="24"/>
          <w:szCs w:val="24"/>
        </w:rPr>
      </w:pPr>
      <w:r w:rsidDel="00000000" w:rsidR="00000000" w:rsidRPr="00000000">
        <w:rPr>
          <w:color w:val="0d0d0d"/>
          <w:sz w:val="24"/>
          <w:szCs w:val="24"/>
          <w:rtl w:val="0"/>
        </w:rPr>
        <w:t xml:space="preserve">Nevertheless, Revolut has been negatively criticised in the past because of customer responsiveness. To make this brand extension successful, the company should improve customer experience management, especially when dealing with complicated services such as green investments. People element helps in the brand extension of the company by establishing trust, engagement, and long-term loyalty by improving the quality of service and involvement of the user.</w:t>
      </w:r>
    </w:p>
    <w:p w:rsidR="00000000" w:rsidDel="00000000" w:rsidP="00000000" w:rsidRDefault="00000000" w:rsidRPr="00000000" w14:paraId="00000068">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Process</w:t>
      </w:r>
    </w:p>
    <w:p w:rsidR="00000000" w:rsidDel="00000000" w:rsidP="00000000" w:rsidRDefault="00000000" w:rsidRPr="00000000" w14:paraId="00000069">
      <w:pPr>
        <w:spacing w:after="240" w:before="240" w:line="360" w:lineRule="auto"/>
        <w:jc w:val="both"/>
        <w:rPr>
          <w:color w:val="0d0d0d"/>
          <w:sz w:val="24"/>
          <w:szCs w:val="24"/>
        </w:rPr>
      </w:pPr>
      <w:r w:rsidDel="00000000" w:rsidR="00000000" w:rsidRPr="00000000">
        <w:rPr>
          <w:color w:val="0d0d0d"/>
          <w:sz w:val="24"/>
          <w:szCs w:val="24"/>
          <w:rtl w:val="0"/>
        </w:rPr>
        <w:t xml:space="preserve">Revolut Green relies on the processes that are based on automation, efficiency, and personalisation. The app enables users to monitor their carbon footprint, invest in ESG funds, and get recommendations in an app. This is lean service design and customer journey optimisation, which makes sure that there is very little friction. Real-time insights and predictive recommendations introduced by the introduction of AI are consistent with strategies of digital transformation (Aldoseri, Al-Khalifa, and Hamouda, 2024). An illustration is that instant carbon-reduction alternatives will be suggested to users when making transactions. </w:t>
      </w:r>
    </w:p>
    <w:p w:rsidR="00000000" w:rsidDel="00000000" w:rsidP="00000000" w:rsidRDefault="00000000" w:rsidRPr="00000000" w14:paraId="0000006A">
      <w:pPr>
        <w:spacing w:after="240" w:before="240" w:line="360" w:lineRule="auto"/>
        <w:jc w:val="both"/>
        <w:rPr>
          <w:color w:val="0d0d0d"/>
          <w:sz w:val="24"/>
          <w:szCs w:val="24"/>
        </w:rPr>
      </w:pPr>
      <w:r w:rsidDel="00000000" w:rsidR="00000000" w:rsidRPr="00000000">
        <w:rPr>
          <w:color w:val="0d0d0d"/>
          <w:sz w:val="24"/>
          <w:szCs w:val="24"/>
          <w:rtl w:val="0"/>
        </w:rPr>
        <w:t xml:space="preserve">Moreover, the operational challenges of integrating financial and environmental data include the complexity of the integration process, especially in the accuracy and compliance process. It is thus important to have strong data governance and transparency policies. </w:t>
      </w:r>
    </w:p>
    <w:p w:rsidR="00000000" w:rsidDel="00000000" w:rsidP="00000000" w:rsidRDefault="00000000" w:rsidRPr="00000000" w14:paraId="0000006B">
      <w:pPr>
        <w:spacing w:after="240" w:before="240" w:line="360" w:lineRule="auto"/>
        <w:jc w:val="both"/>
        <w:rPr>
          <w:b w:val="1"/>
          <w:i w:val="1"/>
          <w:color w:val="0d0d0d"/>
          <w:sz w:val="24"/>
          <w:szCs w:val="24"/>
        </w:rPr>
      </w:pPr>
      <w:r w:rsidDel="00000000" w:rsidR="00000000" w:rsidRPr="00000000">
        <w:rPr>
          <w:b w:val="1"/>
          <w:i w:val="1"/>
          <w:color w:val="0d0d0d"/>
          <w:sz w:val="24"/>
          <w:szCs w:val="24"/>
          <w:rtl w:val="0"/>
        </w:rPr>
        <w:t xml:space="preserve">Physical Evidence</w:t>
      </w:r>
    </w:p>
    <w:p w:rsidR="00000000" w:rsidDel="00000000" w:rsidP="00000000" w:rsidRDefault="00000000" w:rsidRPr="00000000" w14:paraId="0000006C">
      <w:pPr>
        <w:spacing w:after="240" w:before="240" w:line="360" w:lineRule="auto"/>
        <w:jc w:val="both"/>
        <w:rPr>
          <w:color w:val="0d0d0d"/>
        </w:rPr>
      </w:pPr>
      <w:r w:rsidDel="00000000" w:rsidR="00000000" w:rsidRPr="00000000">
        <w:rPr>
          <w:color w:val="0d0d0d"/>
          <w:sz w:val="24"/>
          <w:szCs w:val="24"/>
          <w:rtl w:val="0"/>
        </w:rPr>
        <w:t xml:space="preserve">Revolut delivers physical evidence through the app design, interface, and branded financial products, including environmentally friendly debit cards. In the case of Revolut Green, it would consist of imagery. Recycled material metal cards are premium options that are used as concrete expressions of sustainability. According to brand signalling theory, it agrees with this concept that these physical indicators boost trust and cement the brand in regard to environmental responsibility (Khan </w:t>
      </w:r>
      <w:r w:rsidDel="00000000" w:rsidR="00000000" w:rsidRPr="00000000">
        <w:rPr>
          <w:i w:val="1"/>
          <w:color w:val="0d0d0d"/>
          <w:sz w:val="24"/>
          <w:szCs w:val="24"/>
          <w:rtl w:val="0"/>
        </w:rPr>
        <w:t xml:space="preserve">et al</w:t>
      </w:r>
      <w:r w:rsidDel="00000000" w:rsidR="00000000" w:rsidRPr="00000000">
        <w:rPr>
          <w:color w:val="0d0d0d"/>
          <w:sz w:val="24"/>
          <w:szCs w:val="24"/>
          <w:rtl w:val="0"/>
        </w:rPr>
        <w:t xml:space="preserve">., 2025). Nevertheless, the unavoidable characteristics of digital services are constant investment into UX design to avoid losing credibility. </w:t>
      </w:r>
      <w:r w:rsidDel="00000000" w:rsidR="00000000" w:rsidRPr="00000000">
        <w:rPr>
          <w:rtl w:val="0"/>
        </w:rPr>
      </w:r>
    </w:p>
    <w:p w:rsidR="00000000" w:rsidDel="00000000" w:rsidP="00000000" w:rsidRDefault="00000000" w:rsidRPr="00000000" w14:paraId="0000006D">
      <w:pPr>
        <w:pStyle w:val="Heading1"/>
        <w:spacing w:after="240" w:before="240" w:lineRule="auto"/>
        <w:rPr>
          <w:rFonts w:ascii="Arial" w:cs="Arial" w:eastAsia="Arial" w:hAnsi="Arial"/>
          <w:color w:val="0d0d0d"/>
        </w:rPr>
      </w:pPr>
      <w:bookmarkStart w:colFirst="0" w:colLast="0" w:name="_3znysh7" w:id="3"/>
      <w:bookmarkEnd w:id="3"/>
      <w:r w:rsidDel="00000000" w:rsidR="00000000" w:rsidRPr="00000000">
        <w:rPr>
          <w:rFonts w:ascii="Arial" w:cs="Arial" w:eastAsia="Arial" w:hAnsi="Arial"/>
          <w:color w:val="0d0d0d"/>
          <w:rtl w:val="0"/>
        </w:rPr>
        <w:t xml:space="preserve">Element 4: Reflection</w:t>
      </w:r>
    </w:p>
    <w:p w:rsidR="00000000" w:rsidDel="00000000" w:rsidP="00000000" w:rsidRDefault="00000000" w:rsidRPr="00000000" w14:paraId="0000006E">
      <w:pPr>
        <w:spacing w:after="240" w:before="240" w:line="360" w:lineRule="auto"/>
        <w:jc w:val="both"/>
        <w:rPr>
          <w:color w:val="0d0d0d"/>
          <w:sz w:val="24"/>
          <w:szCs w:val="24"/>
        </w:rPr>
      </w:pPr>
      <w:r w:rsidDel="00000000" w:rsidR="00000000" w:rsidRPr="00000000">
        <w:rPr>
          <w:color w:val="0d0d0d"/>
          <w:sz w:val="24"/>
          <w:szCs w:val="24"/>
          <w:rtl w:val="0"/>
        </w:rPr>
        <w:t xml:space="preserve">The experience of creating the brand extension known as Revolut Green of the Revolut Company has been an incredibly useful experience that contributed to enhancing both my theoretical knowledge and practical competencies in the field of marketing strategy. My approach to the task in question was initially focused on the theoretical frameworks. Nevertheless, as the project continued, I began to realise a better understanding of how the concept of the 7Ps marketing mix and ESG positioning may be implemented in a real-life business setting.</w:t>
      </w:r>
    </w:p>
    <w:p w:rsidR="00000000" w:rsidDel="00000000" w:rsidP="00000000" w:rsidRDefault="00000000" w:rsidRPr="00000000" w14:paraId="0000006F">
      <w:pPr>
        <w:spacing w:after="240" w:before="240" w:line="360" w:lineRule="auto"/>
        <w:jc w:val="both"/>
        <w:rPr>
          <w:sz w:val="24"/>
          <w:szCs w:val="24"/>
        </w:rPr>
      </w:pPr>
      <w:r w:rsidDel="00000000" w:rsidR="00000000" w:rsidRPr="00000000">
        <w:rPr>
          <w:color w:val="0d0d0d"/>
          <w:sz w:val="24"/>
          <w:szCs w:val="24"/>
          <w:rtl w:val="0"/>
        </w:rPr>
        <w:t xml:space="preserve">A major lesson realised was the need to match a brand extension with the main brand identity. When creating Revolut Green, I understood that extensions need to be consistent but creative at the same time. This involved critical thinking to make sure that the sustainability aspects of carbon tracking and green investments were not just applicable, but also possible as part of the Revolut digital ecosystem. This procedure helped to improve my skills of using theory not descriptively, but critically, which is imperative to attaining high academic standards</w:t>
      </w:r>
      <w:r w:rsidDel="00000000" w:rsidR="00000000" w:rsidRPr="00000000">
        <w:rPr>
          <w:sz w:val="24"/>
          <w:szCs w:val="24"/>
          <w:rtl w:val="0"/>
        </w:rPr>
        <w:t xml:space="preserve">.</w:t>
      </w:r>
    </w:p>
    <w:p w:rsidR="00000000" w:rsidDel="00000000" w:rsidP="00000000" w:rsidRDefault="00000000" w:rsidRPr="00000000" w14:paraId="00000070">
      <w:pPr>
        <w:spacing w:after="240" w:before="240" w:line="360" w:lineRule="auto"/>
        <w:jc w:val="both"/>
        <w:rPr>
          <w:sz w:val="24"/>
          <w:szCs w:val="24"/>
        </w:rPr>
      </w:pPr>
      <w:r w:rsidDel="00000000" w:rsidR="00000000" w:rsidRPr="00000000">
        <w:rPr>
          <w:sz w:val="24"/>
          <w:szCs w:val="24"/>
          <w:rtl w:val="0"/>
        </w:rPr>
        <w:t xml:space="preserve">Regarding skills development, the project was very beneficial in enhancing my analytical and strategic thinking skills. I was made aware of how to appraise various marketing plans, how to defend the decisions with reference to the theory, and what the drawbacks are. It might be the risks of greenwashing and the difficulties associated with customer adoption. However, my research competencies were enhanced because I researched the trends of sustainability, fintech innovations, and trends in consumer behaviour. This has helped in my career growth as it has equipped me with the skills of tackling business issues of a complex nature in a structured and evidence-based way.</w:t>
      </w:r>
    </w:p>
    <w:p w:rsidR="00000000" w:rsidDel="00000000" w:rsidP="00000000" w:rsidRDefault="00000000" w:rsidRPr="00000000" w14:paraId="00000071">
      <w:pPr>
        <w:spacing w:after="240" w:before="240" w:line="360" w:lineRule="auto"/>
        <w:jc w:val="both"/>
        <w:rPr>
          <w:sz w:val="24"/>
          <w:szCs w:val="24"/>
        </w:rPr>
      </w:pPr>
      <w:r w:rsidDel="00000000" w:rsidR="00000000" w:rsidRPr="00000000">
        <w:rPr>
          <w:sz w:val="24"/>
          <w:szCs w:val="24"/>
          <w:rtl w:val="0"/>
        </w:rPr>
        <w:t xml:space="preserve">The process of creating the poster on Canva was also helpful. Canva enabled to acquire skills of visual communication and digital design, which are becoming critical in contemporary marketing (Orisa, Faisol and Ashari, 2024). I was able to learn how to display complicated information in a brief and visually captivating manner using layouts, icons, colour schemes, and hierarchy. Nevertheless, I have also struggled to strike the right balance between aesthetics and academic value because I could run the risk of simplifying the main points. </w:t>
      </w:r>
    </w:p>
    <w:p w:rsidR="00000000" w:rsidDel="00000000" w:rsidP="00000000" w:rsidRDefault="00000000" w:rsidRPr="00000000" w14:paraId="00000072">
      <w:pPr>
        <w:spacing w:after="240" w:before="240" w:line="360" w:lineRule="auto"/>
        <w:jc w:val="both"/>
        <w:rPr>
          <w:sz w:val="24"/>
          <w:szCs w:val="24"/>
        </w:rPr>
      </w:pPr>
      <w:r w:rsidDel="00000000" w:rsidR="00000000" w:rsidRPr="00000000">
        <w:rPr>
          <w:sz w:val="24"/>
          <w:szCs w:val="24"/>
          <w:rtl w:val="0"/>
        </w:rPr>
        <w:t xml:space="preserve">I also developed communication and presentation skills during the preparation and delivery of the poster presentation. It was also more confident in explaining new ideas in a coherent way and connecting them to theoretical frameworks (Buzzao, Long, and Argade, 2025). I also learned to condense the analysis into important points that are necessary in a professional presentation. Evaluating my performance, I can identify that my content was good; however, I need to improve my time management and proper verbal delivery to make the conversation smoother and more interesting.</w:t>
      </w:r>
    </w:p>
    <w:p w:rsidR="00000000" w:rsidDel="00000000" w:rsidP="00000000" w:rsidRDefault="00000000" w:rsidRPr="00000000" w14:paraId="00000073">
      <w:pPr>
        <w:spacing w:after="240" w:before="240" w:line="360" w:lineRule="auto"/>
        <w:jc w:val="both"/>
        <w:rPr>
          <w:sz w:val="24"/>
          <w:szCs w:val="24"/>
        </w:rPr>
      </w:pPr>
      <w:r w:rsidDel="00000000" w:rsidR="00000000" w:rsidRPr="00000000">
        <w:rPr>
          <w:sz w:val="24"/>
          <w:szCs w:val="24"/>
          <w:rtl w:val="0"/>
        </w:rPr>
        <w:t xml:space="preserve">I would also train my presentation abilities more so that I could become more fluent and confident in them. Presentation abilities would strive to achieve more by applying a deeper level of critical analysis and more scholarly sources (Kallmuenzer </w:t>
      </w:r>
      <w:r w:rsidDel="00000000" w:rsidR="00000000" w:rsidRPr="00000000">
        <w:rPr>
          <w:i w:val="1"/>
          <w:sz w:val="24"/>
          <w:szCs w:val="24"/>
          <w:rtl w:val="0"/>
        </w:rPr>
        <w:t xml:space="preserve">et al</w:t>
      </w:r>
      <w:r w:rsidDel="00000000" w:rsidR="00000000" w:rsidRPr="00000000">
        <w:rPr>
          <w:sz w:val="24"/>
          <w:szCs w:val="24"/>
          <w:rtl w:val="0"/>
        </w:rPr>
        <w:t xml:space="preserve">., 2025). These areas will help me as a marketing professional to keep on growing into a well-rounded individual who can provide strategic work of good quality.</w:t>
      </w:r>
    </w:p>
    <w:p w:rsidR="00000000" w:rsidDel="00000000" w:rsidP="00000000" w:rsidRDefault="00000000" w:rsidRPr="00000000" w14:paraId="00000074">
      <w:pPr>
        <w:pStyle w:val="Heading1"/>
        <w:spacing w:after="240" w:before="240" w:lineRule="auto"/>
        <w:rPr>
          <w:rFonts w:ascii="Arial" w:cs="Arial" w:eastAsia="Arial" w:hAnsi="Arial"/>
        </w:rPr>
      </w:pPr>
      <w:bookmarkStart w:colFirst="0" w:colLast="0" w:name="_3dy6vkm" w:id="4"/>
      <w:bookmarkEnd w:id="4"/>
      <w:r w:rsidDel="00000000" w:rsidR="00000000" w:rsidRPr="00000000">
        <w:br w:type="page"/>
      </w:r>
      <w:r w:rsidDel="00000000" w:rsidR="00000000" w:rsidRPr="00000000">
        <w:rPr>
          <w:rtl w:val="0"/>
        </w:rPr>
      </w:r>
    </w:p>
    <w:p w:rsidR="00000000" w:rsidDel="00000000" w:rsidP="00000000" w:rsidRDefault="00000000" w:rsidRPr="00000000" w14:paraId="00000075">
      <w:pPr>
        <w:pStyle w:val="Heading1"/>
        <w:spacing w:after="240" w:before="240" w:lineRule="auto"/>
        <w:rPr>
          <w:rFonts w:ascii="Arial" w:cs="Arial" w:eastAsia="Arial" w:hAnsi="Arial"/>
        </w:rPr>
      </w:pPr>
      <w:bookmarkStart w:colFirst="0" w:colLast="0" w:name="_2et92p0" w:id="5"/>
      <w:bookmarkEnd w:id="5"/>
      <w:r w:rsidDel="00000000" w:rsidR="00000000" w:rsidRPr="00000000">
        <w:rPr>
          <w:rFonts w:ascii="Arial" w:cs="Arial" w:eastAsia="Arial" w:hAnsi="Arial"/>
          <w:rtl w:val="0"/>
        </w:rPr>
        <w:t xml:space="preserve">References</w:t>
      </w:r>
    </w:p>
    <w:p w:rsidR="00000000" w:rsidDel="00000000" w:rsidP="00000000" w:rsidRDefault="00000000" w:rsidRPr="00000000" w14:paraId="00000076">
      <w:pPr>
        <w:spacing w:after="240" w:before="240" w:line="360" w:lineRule="auto"/>
        <w:rPr>
          <w:b w:val="1"/>
          <w:i w:val="1"/>
          <w:sz w:val="24"/>
          <w:szCs w:val="24"/>
        </w:rPr>
      </w:pPr>
      <w:r w:rsidDel="00000000" w:rsidR="00000000" w:rsidRPr="00000000">
        <w:rPr>
          <w:b w:val="1"/>
          <w:i w:val="1"/>
          <w:sz w:val="24"/>
          <w:szCs w:val="24"/>
          <w:rtl w:val="0"/>
        </w:rPr>
        <w:t xml:space="preserve">Element 1</w:t>
      </w:r>
    </w:p>
    <w:p w:rsidR="00000000" w:rsidDel="00000000" w:rsidP="00000000" w:rsidRDefault="00000000" w:rsidRPr="00000000" w14:paraId="00000077">
      <w:pPr>
        <w:shd w:fill="ffffff" w:val="clear"/>
        <w:spacing w:after="240" w:before="240" w:line="360" w:lineRule="auto"/>
        <w:jc w:val="both"/>
        <w:rPr>
          <w:sz w:val="24"/>
          <w:szCs w:val="24"/>
        </w:rPr>
      </w:pPr>
      <w:r w:rsidDel="00000000" w:rsidR="00000000" w:rsidRPr="00000000">
        <w:rPr>
          <w:sz w:val="24"/>
          <w:szCs w:val="24"/>
          <w:rtl w:val="0"/>
        </w:rPr>
        <w:t xml:space="preserve">Revolut (2026). </w:t>
      </w:r>
      <w:r w:rsidDel="00000000" w:rsidR="00000000" w:rsidRPr="00000000">
        <w:rPr>
          <w:i w:val="1"/>
          <w:sz w:val="24"/>
          <w:szCs w:val="24"/>
          <w:rtl w:val="0"/>
        </w:rPr>
        <w:t xml:space="preserve">We change the way you do money</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https://www.revolut.com/about/</w:t>
        </w:r>
      </w:hyperlink>
      <w:r w:rsidDel="00000000" w:rsidR="00000000" w:rsidRPr="00000000">
        <w:rPr>
          <w:sz w:val="24"/>
          <w:szCs w:val="24"/>
          <w:rtl w:val="0"/>
        </w:rPr>
        <w:t xml:space="preserve"> (Accessed: 27 March 2026)</w:t>
      </w:r>
    </w:p>
    <w:p w:rsidR="00000000" w:rsidDel="00000000" w:rsidP="00000000" w:rsidRDefault="00000000" w:rsidRPr="00000000" w14:paraId="00000078">
      <w:pPr>
        <w:spacing w:after="240" w:before="240" w:line="360" w:lineRule="auto"/>
        <w:jc w:val="both"/>
        <w:rPr>
          <w:sz w:val="24"/>
          <w:szCs w:val="24"/>
        </w:rPr>
      </w:pPr>
      <w:r w:rsidDel="00000000" w:rsidR="00000000" w:rsidRPr="00000000">
        <w:rPr>
          <w:sz w:val="24"/>
          <w:szCs w:val="24"/>
          <w:rtl w:val="0"/>
        </w:rPr>
        <w:t xml:space="preserve">Wood, J. (2026). </w:t>
      </w:r>
      <w:r w:rsidDel="00000000" w:rsidR="00000000" w:rsidRPr="00000000">
        <w:rPr>
          <w:i w:val="1"/>
          <w:sz w:val="24"/>
          <w:szCs w:val="24"/>
          <w:rtl w:val="0"/>
        </w:rPr>
        <w:t xml:space="preserve">Gen Z cares about sustainability more than anyone else – and is starting to make others feel the same</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www.weforum.org/stories/2022/03/generation-z-sustainability-lifestyle-buying-decisions/#:~:text=Choosing%20a%20sustainable%20lifestyle,And%20change%20is%20happening.&amp;text=Saying%20no%20to%20single%2Duse,What%20is%20a%20circular%20economy?&amp;text=Just%20over%20a%20third%20of,poor%20ethical%20or%20sustainability%20values</w:t>
        </w:r>
      </w:hyperlink>
      <w:r w:rsidDel="00000000" w:rsidR="00000000" w:rsidRPr="00000000">
        <w:rPr>
          <w:sz w:val="24"/>
          <w:szCs w:val="24"/>
          <w:rtl w:val="0"/>
        </w:rPr>
        <w:t xml:space="preserve">. (Accessed: 27 March 2026)</w:t>
      </w:r>
    </w:p>
    <w:p w:rsidR="00000000" w:rsidDel="00000000" w:rsidP="00000000" w:rsidRDefault="00000000" w:rsidRPr="00000000" w14:paraId="00000079">
      <w:pPr>
        <w:spacing w:after="240" w:before="240" w:line="360" w:lineRule="auto"/>
        <w:jc w:val="both"/>
        <w:rPr>
          <w:b w:val="1"/>
          <w:i w:val="1"/>
          <w:sz w:val="24"/>
          <w:szCs w:val="24"/>
        </w:rPr>
      </w:pPr>
      <w:r w:rsidDel="00000000" w:rsidR="00000000" w:rsidRPr="00000000">
        <w:rPr>
          <w:b w:val="1"/>
          <w:i w:val="1"/>
          <w:sz w:val="24"/>
          <w:szCs w:val="24"/>
          <w:rtl w:val="0"/>
        </w:rPr>
        <w:t xml:space="preserve">Element 2-4</w:t>
      </w:r>
    </w:p>
    <w:p w:rsidR="00000000" w:rsidDel="00000000" w:rsidP="00000000" w:rsidRDefault="00000000" w:rsidRPr="00000000" w14:paraId="0000007A">
      <w:pPr>
        <w:spacing w:after="240" w:before="240" w:line="360" w:lineRule="auto"/>
        <w:jc w:val="both"/>
        <w:rPr>
          <w:sz w:val="24"/>
          <w:szCs w:val="24"/>
        </w:rPr>
      </w:pPr>
      <w:r w:rsidDel="00000000" w:rsidR="00000000" w:rsidRPr="00000000">
        <w:rPr>
          <w:sz w:val="24"/>
          <w:szCs w:val="24"/>
          <w:rtl w:val="0"/>
        </w:rPr>
        <w:t xml:space="preserve">Acar, A., Büyükdağ, N., Türten, B., Diker, E. and Çalışır, G., (2024). ‘The role of brand identity, brand lifestyle congruence, and brand satisfaction on repurchase intention: a multi-group structural equation model.’ </w:t>
      </w:r>
      <w:r w:rsidDel="00000000" w:rsidR="00000000" w:rsidRPr="00000000">
        <w:rPr>
          <w:i w:val="1"/>
          <w:sz w:val="24"/>
          <w:szCs w:val="24"/>
          <w:rtl w:val="0"/>
        </w:rPr>
        <w:t xml:space="preserve">Humanities and Social Sciences Communications</w:t>
      </w:r>
      <w:r w:rsidDel="00000000" w:rsidR="00000000" w:rsidRPr="00000000">
        <w:rPr>
          <w:sz w:val="24"/>
          <w:szCs w:val="24"/>
          <w:rtl w:val="0"/>
        </w:rPr>
        <w:t xml:space="preserve">, 11(1), pp.1-13. Available at: </w:t>
      </w:r>
      <w:hyperlink r:id="rId12">
        <w:r w:rsidDel="00000000" w:rsidR="00000000" w:rsidRPr="00000000">
          <w:rPr>
            <w:color w:val="1155cc"/>
            <w:sz w:val="24"/>
            <w:szCs w:val="24"/>
            <w:u w:val="single"/>
            <w:rtl w:val="0"/>
          </w:rPr>
          <w:t xml:space="preserve">https://doi.org/10.1057/s41599-024-03618-w</w:t>
        </w:r>
      </w:hyperlink>
      <w:r w:rsidDel="00000000" w:rsidR="00000000" w:rsidRPr="00000000">
        <w:rPr>
          <w:rtl w:val="0"/>
        </w:rPr>
      </w:r>
    </w:p>
    <w:p w:rsidR="00000000" w:rsidDel="00000000" w:rsidP="00000000" w:rsidRDefault="00000000" w:rsidRPr="00000000" w14:paraId="0000007B">
      <w:pPr>
        <w:spacing w:after="240" w:before="240" w:line="360" w:lineRule="auto"/>
        <w:jc w:val="both"/>
        <w:rPr>
          <w:sz w:val="24"/>
          <w:szCs w:val="24"/>
        </w:rPr>
      </w:pPr>
      <w:r w:rsidDel="00000000" w:rsidR="00000000" w:rsidRPr="00000000">
        <w:rPr>
          <w:sz w:val="24"/>
          <w:szCs w:val="24"/>
          <w:rtl w:val="0"/>
        </w:rPr>
        <w:t xml:space="preserve">Acharya, U. and Bhojak, N., (2024). ‘A study on digital natives' adoption of fintech: Perspectives from generations Y and Z.’ </w:t>
      </w:r>
      <w:r w:rsidDel="00000000" w:rsidR="00000000" w:rsidRPr="00000000">
        <w:rPr>
          <w:i w:val="1"/>
          <w:sz w:val="24"/>
          <w:szCs w:val="24"/>
          <w:rtl w:val="0"/>
        </w:rPr>
        <w:t xml:space="preserve">International Journal of Management and Humanities</w:t>
      </w:r>
      <w:r w:rsidDel="00000000" w:rsidR="00000000" w:rsidRPr="00000000">
        <w:rPr>
          <w:sz w:val="24"/>
          <w:szCs w:val="24"/>
          <w:rtl w:val="0"/>
        </w:rPr>
        <w:t xml:space="preserve">, 11(1), pp.29-39. Available at: </w:t>
      </w:r>
      <w:hyperlink r:id="rId13">
        <w:r w:rsidDel="00000000" w:rsidR="00000000" w:rsidRPr="00000000">
          <w:rPr>
            <w:color w:val="1155cc"/>
            <w:sz w:val="24"/>
            <w:szCs w:val="24"/>
            <w:u w:val="single"/>
            <w:rtl w:val="0"/>
          </w:rPr>
          <w:t xml:space="preserve">https://www.ijmh.org/wp-content/uploads/papers/v11i1/A175011010924.pdf</w:t>
        </w:r>
      </w:hyperlink>
      <w:r w:rsidDel="00000000" w:rsidR="00000000" w:rsidRPr="00000000">
        <w:rPr>
          <w:rtl w:val="0"/>
        </w:rPr>
      </w:r>
    </w:p>
    <w:p w:rsidR="00000000" w:rsidDel="00000000" w:rsidP="00000000" w:rsidRDefault="00000000" w:rsidRPr="00000000" w14:paraId="0000007C">
      <w:pPr>
        <w:shd w:fill="ffffff" w:val="clear"/>
        <w:spacing w:after="240" w:before="240" w:line="360" w:lineRule="auto"/>
        <w:jc w:val="both"/>
        <w:rPr>
          <w:sz w:val="24"/>
          <w:szCs w:val="24"/>
        </w:rPr>
      </w:pPr>
      <w:r w:rsidDel="00000000" w:rsidR="00000000" w:rsidRPr="00000000">
        <w:rPr>
          <w:sz w:val="24"/>
          <w:szCs w:val="24"/>
          <w:rtl w:val="0"/>
        </w:rPr>
        <w:t xml:space="preserve">Aldoseri, A., Al-Khalifa, K.N. and Hamouda, A.M., (2024). ‘AI-powered innovation in digital transformation: Key pillars and industry impact.’ </w:t>
      </w:r>
      <w:r w:rsidDel="00000000" w:rsidR="00000000" w:rsidRPr="00000000">
        <w:rPr>
          <w:i w:val="1"/>
          <w:sz w:val="24"/>
          <w:szCs w:val="24"/>
          <w:rtl w:val="0"/>
        </w:rPr>
        <w:t xml:space="preserve">Sustainability</w:t>
      </w:r>
      <w:r w:rsidDel="00000000" w:rsidR="00000000" w:rsidRPr="00000000">
        <w:rPr>
          <w:sz w:val="24"/>
          <w:szCs w:val="24"/>
          <w:rtl w:val="0"/>
        </w:rPr>
        <w:t xml:space="preserve">, </w:t>
      </w:r>
      <w:r w:rsidDel="00000000" w:rsidR="00000000" w:rsidRPr="00000000">
        <w:rPr>
          <w:i w:val="1"/>
          <w:sz w:val="24"/>
          <w:szCs w:val="24"/>
          <w:rtl w:val="0"/>
        </w:rPr>
        <w:t xml:space="preserve">16</w:t>
      </w:r>
      <w:r w:rsidDel="00000000" w:rsidR="00000000" w:rsidRPr="00000000">
        <w:rPr>
          <w:sz w:val="24"/>
          <w:szCs w:val="24"/>
          <w:rtl w:val="0"/>
        </w:rPr>
        <w:t xml:space="preserve">(5), p.1790. Available at: </w:t>
      </w:r>
      <w:hyperlink r:id="rId14">
        <w:r w:rsidDel="00000000" w:rsidR="00000000" w:rsidRPr="00000000">
          <w:rPr>
            <w:color w:val="1155cc"/>
            <w:sz w:val="24"/>
            <w:szCs w:val="24"/>
            <w:u w:val="single"/>
            <w:rtl w:val="0"/>
          </w:rPr>
          <w:t xml:space="preserve">https://doi.org/10.3390/su16051790</w:t>
        </w:r>
      </w:hyperlink>
      <w:r w:rsidDel="00000000" w:rsidR="00000000" w:rsidRPr="00000000">
        <w:rPr>
          <w:rtl w:val="0"/>
        </w:rPr>
      </w:r>
    </w:p>
    <w:p w:rsidR="00000000" w:rsidDel="00000000" w:rsidP="00000000" w:rsidRDefault="00000000" w:rsidRPr="00000000" w14:paraId="0000007D">
      <w:pPr>
        <w:shd w:fill="ffffff" w:val="clear"/>
        <w:spacing w:after="240" w:before="240" w:line="360" w:lineRule="auto"/>
        <w:jc w:val="both"/>
        <w:rPr>
          <w:sz w:val="24"/>
          <w:szCs w:val="24"/>
        </w:rPr>
      </w:pPr>
      <w:r w:rsidDel="00000000" w:rsidR="00000000" w:rsidRPr="00000000">
        <w:rPr>
          <w:sz w:val="24"/>
          <w:szCs w:val="24"/>
          <w:rtl w:val="0"/>
        </w:rPr>
        <w:t xml:space="preserve">Bălăcescu, A., Zaharia, M., Gogonea, R.M. and Căruntu, G.A., (2022). ‘The image of sustainability in European regions considering the Social Sustainability Index.’ </w:t>
      </w:r>
      <w:r w:rsidDel="00000000" w:rsidR="00000000" w:rsidRPr="00000000">
        <w:rPr>
          <w:i w:val="1"/>
          <w:sz w:val="24"/>
          <w:szCs w:val="24"/>
          <w:rtl w:val="0"/>
        </w:rPr>
        <w:t xml:space="preserve">Sustainability</w:t>
      </w:r>
      <w:r w:rsidDel="00000000" w:rsidR="00000000" w:rsidRPr="00000000">
        <w:rPr>
          <w:sz w:val="24"/>
          <w:szCs w:val="24"/>
          <w:rtl w:val="0"/>
        </w:rPr>
        <w:t xml:space="preserve">, 14(20), pp 1-32. Available at: </w:t>
      </w:r>
      <w:hyperlink r:id="rId15">
        <w:r w:rsidDel="00000000" w:rsidR="00000000" w:rsidRPr="00000000">
          <w:rPr>
            <w:sz w:val="24"/>
            <w:szCs w:val="24"/>
            <w:u w:val="single"/>
            <w:rtl w:val="0"/>
          </w:rPr>
          <w:t xml:space="preserve">https://doi.org/10.3390/su142013433</w:t>
        </w:r>
      </w:hyperlink>
      <w:r w:rsidDel="00000000" w:rsidR="00000000" w:rsidRPr="00000000">
        <w:rPr>
          <w:rtl w:val="0"/>
        </w:rPr>
      </w:r>
    </w:p>
    <w:p w:rsidR="00000000" w:rsidDel="00000000" w:rsidP="00000000" w:rsidRDefault="00000000" w:rsidRPr="00000000" w14:paraId="0000007E">
      <w:pPr>
        <w:shd w:fill="ffffff" w:val="clear"/>
        <w:spacing w:after="240" w:before="240" w:line="360" w:lineRule="auto"/>
        <w:jc w:val="both"/>
        <w:rPr>
          <w:color w:val="222222"/>
          <w:sz w:val="24"/>
          <w:szCs w:val="24"/>
        </w:rPr>
      </w:pPr>
      <w:r w:rsidDel="00000000" w:rsidR="00000000" w:rsidRPr="00000000">
        <w:rPr>
          <w:color w:val="222222"/>
          <w:sz w:val="24"/>
          <w:szCs w:val="24"/>
          <w:rtl w:val="0"/>
        </w:rPr>
        <w:t xml:space="preserve">Barrios, A., Camacho, S. and Estrada-Mejia, C., (2023). ‘From service to social innovation with a service-dominant logic approach.’ </w:t>
      </w:r>
      <w:r w:rsidDel="00000000" w:rsidR="00000000" w:rsidRPr="00000000">
        <w:rPr>
          <w:i w:val="1"/>
          <w:color w:val="222222"/>
          <w:sz w:val="24"/>
          <w:szCs w:val="24"/>
          <w:rtl w:val="0"/>
        </w:rPr>
        <w:t xml:space="preserve">Journal of Services Marketing</w:t>
      </w:r>
      <w:r w:rsidDel="00000000" w:rsidR="00000000" w:rsidRPr="00000000">
        <w:rPr>
          <w:color w:val="222222"/>
          <w:sz w:val="24"/>
          <w:szCs w:val="24"/>
          <w:rtl w:val="0"/>
        </w:rPr>
        <w:t xml:space="preserve">, </w:t>
      </w:r>
      <w:r w:rsidDel="00000000" w:rsidR="00000000" w:rsidRPr="00000000">
        <w:rPr>
          <w:i w:val="1"/>
          <w:color w:val="222222"/>
          <w:sz w:val="24"/>
          <w:szCs w:val="24"/>
          <w:rtl w:val="0"/>
        </w:rPr>
        <w:t xml:space="preserve">37</w:t>
      </w:r>
      <w:r w:rsidDel="00000000" w:rsidR="00000000" w:rsidRPr="00000000">
        <w:rPr>
          <w:color w:val="222222"/>
          <w:sz w:val="24"/>
          <w:szCs w:val="24"/>
          <w:rtl w:val="0"/>
        </w:rPr>
        <w:t xml:space="preserve">(2), pp.201-215. Available at: </w:t>
      </w:r>
      <w:hyperlink r:id="rId16">
        <w:r w:rsidDel="00000000" w:rsidR="00000000" w:rsidRPr="00000000">
          <w:rPr>
            <w:color w:val="1155cc"/>
            <w:sz w:val="24"/>
            <w:szCs w:val="24"/>
            <w:u w:val="single"/>
            <w:rtl w:val="0"/>
          </w:rPr>
          <w:t xml:space="preserve">https://doi.org/10.1108/JSM-08-2021-0295</w:t>
        </w:r>
      </w:hyperlink>
      <w:r w:rsidDel="00000000" w:rsidR="00000000" w:rsidRPr="00000000">
        <w:rPr>
          <w:rtl w:val="0"/>
        </w:rPr>
      </w:r>
    </w:p>
    <w:p w:rsidR="00000000" w:rsidDel="00000000" w:rsidP="00000000" w:rsidRDefault="00000000" w:rsidRPr="00000000" w14:paraId="0000007F">
      <w:pPr>
        <w:spacing w:after="240" w:before="240" w:line="360" w:lineRule="auto"/>
        <w:jc w:val="both"/>
        <w:rPr>
          <w:sz w:val="24"/>
          <w:szCs w:val="24"/>
        </w:rPr>
      </w:pPr>
      <w:r w:rsidDel="00000000" w:rsidR="00000000" w:rsidRPr="00000000">
        <w:rPr>
          <w:sz w:val="24"/>
          <w:szCs w:val="24"/>
          <w:rtl w:val="0"/>
        </w:rPr>
        <w:t xml:space="preserve">Buzzao, G., Long, T.B. and Argade, P., (2025). ‘Sustainable entrepreneurship support programs in nature‐protected areas: How universities third mission aids sustainability transitions.’ </w:t>
      </w:r>
      <w:r w:rsidDel="00000000" w:rsidR="00000000" w:rsidRPr="00000000">
        <w:rPr>
          <w:i w:val="1"/>
          <w:sz w:val="24"/>
          <w:szCs w:val="24"/>
          <w:rtl w:val="0"/>
        </w:rPr>
        <w:t xml:space="preserve">Business Strategy and the Environment</w:t>
      </w:r>
      <w:r w:rsidDel="00000000" w:rsidR="00000000" w:rsidRPr="00000000">
        <w:rPr>
          <w:sz w:val="24"/>
          <w:szCs w:val="24"/>
          <w:rtl w:val="0"/>
        </w:rPr>
        <w:t xml:space="preserve">, </w:t>
      </w:r>
      <w:r w:rsidDel="00000000" w:rsidR="00000000" w:rsidRPr="00000000">
        <w:rPr>
          <w:i w:val="1"/>
          <w:sz w:val="24"/>
          <w:szCs w:val="24"/>
          <w:rtl w:val="0"/>
        </w:rPr>
        <w:t xml:space="preserve">34</w:t>
      </w:r>
      <w:r w:rsidDel="00000000" w:rsidR="00000000" w:rsidRPr="00000000">
        <w:rPr>
          <w:sz w:val="24"/>
          <w:szCs w:val="24"/>
          <w:rtl w:val="0"/>
        </w:rPr>
        <w:t xml:space="preserve">(2), pp.1643-1668. Available at: </w:t>
      </w:r>
      <w:hyperlink r:id="rId17">
        <w:r w:rsidDel="00000000" w:rsidR="00000000" w:rsidRPr="00000000">
          <w:rPr>
            <w:color w:val="1155cc"/>
            <w:sz w:val="24"/>
            <w:szCs w:val="24"/>
            <w:u w:val="single"/>
            <w:rtl w:val="0"/>
          </w:rPr>
          <w:t xml:space="preserve">https://doi.org/10.1002/bse.4050</w:t>
        </w:r>
      </w:hyperlink>
      <w:r w:rsidDel="00000000" w:rsidR="00000000" w:rsidRPr="00000000">
        <w:rPr>
          <w:rtl w:val="0"/>
        </w:rPr>
      </w:r>
    </w:p>
    <w:p w:rsidR="00000000" w:rsidDel="00000000" w:rsidP="00000000" w:rsidRDefault="00000000" w:rsidRPr="00000000" w14:paraId="00000080">
      <w:pPr>
        <w:shd w:fill="ffffff" w:val="clear"/>
        <w:spacing w:after="240" w:before="240" w:line="360" w:lineRule="auto"/>
        <w:jc w:val="both"/>
        <w:rPr>
          <w:color w:val="222222"/>
          <w:sz w:val="24"/>
          <w:szCs w:val="24"/>
        </w:rPr>
      </w:pPr>
      <w:r w:rsidDel="00000000" w:rsidR="00000000" w:rsidRPr="00000000">
        <w:rPr>
          <w:sz w:val="24"/>
          <w:szCs w:val="24"/>
          <w:rtl w:val="0"/>
        </w:rPr>
        <w:t xml:space="preserve">Huy, P.Q. and Phuc, V.K., (2025). ‘Insight into how social media platforms in building relational social commerce capability for green entrepreneurial innovation.’ </w:t>
      </w:r>
      <w:r w:rsidDel="00000000" w:rsidR="00000000" w:rsidRPr="00000000">
        <w:rPr>
          <w:i w:val="1"/>
          <w:sz w:val="24"/>
          <w:szCs w:val="24"/>
          <w:rtl w:val="0"/>
        </w:rPr>
        <w:t xml:space="preserve">Future Business Journal</w:t>
      </w:r>
      <w:r w:rsidDel="00000000" w:rsidR="00000000" w:rsidRPr="00000000">
        <w:rPr>
          <w:sz w:val="24"/>
          <w:szCs w:val="24"/>
          <w:rtl w:val="0"/>
        </w:rPr>
        <w:t xml:space="preserve">, </w:t>
      </w:r>
      <w:r w:rsidDel="00000000" w:rsidR="00000000" w:rsidRPr="00000000">
        <w:rPr>
          <w:i w:val="1"/>
          <w:sz w:val="24"/>
          <w:szCs w:val="24"/>
          <w:rtl w:val="0"/>
        </w:rPr>
        <w:t xml:space="preserve">11</w:t>
      </w:r>
      <w:r w:rsidDel="00000000" w:rsidR="00000000" w:rsidRPr="00000000">
        <w:rPr>
          <w:sz w:val="24"/>
          <w:szCs w:val="24"/>
          <w:rtl w:val="0"/>
        </w:rPr>
        <w:t xml:space="preserve">(1), p.58. Available at: </w:t>
      </w:r>
      <w:hyperlink r:id="rId18">
        <w:r w:rsidDel="00000000" w:rsidR="00000000" w:rsidRPr="00000000">
          <w:rPr>
            <w:color w:val="1155cc"/>
            <w:sz w:val="24"/>
            <w:szCs w:val="24"/>
            <w:u w:val="single"/>
            <w:rtl w:val="0"/>
          </w:rPr>
          <w:t xml:space="preserve">https://doi.org/10.1186/s43093-025-00471-4</w:t>
        </w:r>
      </w:hyperlink>
      <w:r w:rsidDel="00000000" w:rsidR="00000000" w:rsidRPr="00000000">
        <w:rPr>
          <w:rtl w:val="0"/>
        </w:rPr>
      </w:r>
    </w:p>
    <w:p w:rsidR="00000000" w:rsidDel="00000000" w:rsidP="00000000" w:rsidRDefault="00000000" w:rsidRPr="00000000" w14:paraId="00000081">
      <w:pPr>
        <w:shd w:fill="ffffff" w:val="clear"/>
        <w:spacing w:after="240" w:before="240" w:line="360" w:lineRule="auto"/>
        <w:jc w:val="both"/>
        <w:rPr>
          <w:sz w:val="24"/>
          <w:szCs w:val="24"/>
        </w:rPr>
      </w:pPr>
      <w:r w:rsidDel="00000000" w:rsidR="00000000" w:rsidRPr="00000000">
        <w:rPr>
          <w:sz w:val="24"/>
          <w:szCs w:val="24"/>
          <w:rtl w:val="0"/>
        </w:rPr>
        <w:t xml:space="preserve">Igwe-Nmaju, C., Gbaja, C. and Ikeh, C.O., (2023). ‘Redesigning customer experience through AI: a communication-centered approach in telecoms and tech-driven industries.’ </w:t>
      </w:r>
      <w:r w:rsidDel="00000000" w:rsidR="00000000" w:rsidRPr="00000000">
        <w:rPr>
          <w:i w:val="1"/>
          <w:sz w:val="24"/>
          <w:szCs w:val="24"/>
          <w:rtl w:val="0"/>
        </w:rPr>
        <w:t xml:space="preserve">International Journal of Science and Research Archive</w:t>
      </w:r>
      <w:r w:rsidDel="00000000" w:rsidR="00000000" w:rsidRPr="00000000">
        <w:rPr>
          <w:sz w:val="24"/>
          <w:szCs w:val="24"/>
          <w:rtl w:val="0"/>
        </w:rPr>
        <w:t xml:space="preserve">, </w:t>
      </w:r>
      <w:r w:rsidDel="00000000" w:rsidR="00000000" w:rsidRPr="00000000">
        <w:rPr>
          <w:i w:val="1"/>
          <w:sz w:val="24"/>
          <w:szCs w:val="24"/>
          <w:rtl w:val="0"/>
        </w:rPr>
        <w:t xml:space="preserve">10</w:t>
      </w:r>
      <w:r w:rsidDel="00000000" w:rsidR="00000000" w:rsidRPr="00000000">
        <w:rPr>
          <w:sz w:val="24"/>
          <w:szCs w:val="24"/>
          <w:rtl w:val="0"/>
        </w:rPr>
        <w:t xml:space="preserve">(02), pp.1367-1388. Available at: </w:t>
      </w:r>
      <w:hyperlink r:id="rId19">
        <w:r w:rsidDel="00000000" w:rsidR="00000000" w:rsidRPr="00000000">
          <w:rPr>
            <w:color w:val="1155cc"/>
            <w:sz w:val="24"/>
            <w:szCs w:val="24"/>
            <w:u w:val="single"/>
            <w:rtl w:val="0"/>
          </w:rPr>
          <w:t xml:space="preserve">https://doi.org/10.30574/ijsra.2023.10.2.1042</w:t>
        </w:r>
      </w:hyperlink>
      <w:r w:rsidDel="00000000" w:rsidR="00000000" w:rsidRPr="00000000">
        <w:rPr>
          <w:rtl w:val="0"/>
        </w:rPr>
      </w:r>
    </w:p>
    <w:p w:rsidR="00000000" w:rsidDel="00000000" w:rsidP="00000000" w:rsidRDefault="00000000" w:rsidRPr="00000000" w14:paraId="00000082">
      <w:pPr>
        <w:spacing w:after="240" w:before="240" w:line="360" w:lineRule="auto"/>
        <w:jc w:val="both"/>
        <w:rPr>
          <w:sz w:val="24"/>
          <w:szCs w:val="24"/>
        </w:rPr>
      </w:pPr>
      <w:r w:rsidDel="00000000" w:rsidR="00000000" w:rsidRPr="00000000">
        <w:rPr>
          <w:sz w:val="24"/>
          <w:szCs w:val="24"/>
          <w:rtl w:val="0"/>
        </w:rPr>
        <w:t xml:space="preserve">Ingrid, L., Rajesh, N. and Lucas, F., (2022). ‘The Synergy Between AI-Powered Marketing Analytics and IT Innovations for Transforming Customer Experience Across Digital Platforms.’ </w:t>
      </w:r>
      <w:r w:rsidDel="00000000" w:rsidR="00000000" w:rsidRPr="00000000">
        <w:rPr>
          <w:i w:val="1"/>
          <w:sz w:val="24"/>
          <w:szCs w:val="24"/>
          <w:rtl w:val="0"/>
        </w:rPr>
        <w:t xml:space="preserve">International Journal of Trend in Scientific Research and Development</w:t>
      </w:r>
      <w:r w:rsidDel="00000000" w:rsidR="00000000" w:rsidRPr="00000000">
        <w:rPr>
          <w:sz w:val="24"/>
          <w:szCs w:val="24"/>
          <w:rtl w:val="0"/>
        </w:rPr>
        <w:t xml:space="preserve">, 6(5), pp.2216-2225. Available at: </w:t>
      </w:r>
      <w:hyperlink r:id="rId20">
        <w:r w:rsidDel="00000000" w:rsidR="00000000" w:rsidRPr="00000000">
          <w:rPr>
            <w:color w:val="1155cc"/>
            <w:sz w:val="24"/>
            <w:szCs w:val="24"/>
            <w:u w:val="single"/>
            <w:rtl w:val="0"/>
          </w:rPr>
          <w:t xml:space="preserve">https://ajmimc.com/journal/index.php/ajmimc/article/view/161/159</w:t>
        </w:r>
      </w:hyperlink>
      <w:r w:rsidDel="00000000" w:rsidR="00000000" w:rsidRPr="00000000">
        <w:rPr>
          <w:rtl w:val="0"/>
        </w:rPr>
      </w:r>
    </w:p>
    <w:p w:rsidR="00000000" w:rsidDel="00000000" w:rsidP="00000000" w:rsidRDefault="00000000" w:rsidRPr="00000000" w14:paraId="00000083">
      <w:pPr>
        <w:spacing w:after="240" w:before="240" w:line="360" w:lineRule="auto"/>
        <w:jc w:val="both"/>
        <w:rPr>
          <w:sz w:val="24"/>
          <w:szCs w:val="24"/>
        </w:rPr>
      </w:pPr>
      <w:r w:rsidDel="00000000" w:rsidR="00000000" w:rsidRPr="00000000">
        <w:rPr>
          <w:sz w:val="24"/>
          <w:szCs w:val="24"/>
          <w:rtl w:val="0"/>
        </w:rPr>
        <w:t xml:space="preserve">Kallmuenzer, A., Mikhaylov, A., Chelaru, M. and Czakon, W., (2025). ‘Adoption and performance outcome of digitalization in small and medium-sized enterprises.’ </w:t>
      </w:r>
      <w:r w:rsidDel="00000000" w:rsidR="00000000" w:rsidRPr="00000000">
        <w:rPr>
          <w:i w:val="1"/>
          <w:sz w:val="24"/>
          <w:szCs w:val="24"/>
          <w:rtl w:val="0"/>
        </w:rPr>
        <w:t xml:space="preserve">Review of Managerial Science</w:t>
      </w:r>
      <w:r w:rsidDel="00000000" w:rsidR="00000000" w:rsidRPr="00000000">
        <w:rPr>
          <w:sz w:val="24"/>
          <w:szCs w:val="24"/>
          <w:rtl w:val="0"/>
        </w:rPr>
        <w:t xml:space="preserve">, </w:t>
      </w:r>
      <w:r w:rsidDel="00000000" w:rsidR="00000000" w:rsidRPr="00000000">
        <w:rPr>
          <w:i w:val="1"/>
          <w:sz w:val="24"/>
          <w:szCs w:val="24"/>
          <w:rtl w:val="0"/>
        </w:rPr>
        <w:t xml:space="preserve">19</w:t>
      </w:r>
      <w:r w:rsidDel="00000000" w:rsidR="00000000" w:rsidRPr="00000000">
        <w:rPr>
          <w:sz w:val="24"/>
          <w:szCs w:val="24"/>
          <w:rtl w:val="0"/>
        </w:rPr>
        <w:t xml:space="preserve">(7), pp.2011-2038. Available at: </w:t>
      </w:r>
      <w:hyperlink r:id="rId21">
        <w:r w:rsidDel="00000000" w:rsidR="00000000" w:rsidRPr="00000000">
          <w:rPr>
            <w:color w:val="1155cc"/>
            <w:sz w:val="24"/>
            <w:szCs w:val="24"/>
            <w:highlight w:val="white"/>
            <w:u w:val="single"/>
            <w:rtl w:val="0"/>
          </w:rPr>
          <w:t xml:space="preserve">https://doi.org/10.1007/s11846-024-00744-2</w:t>
        </w:r>
      </w:hyperlink>
      <w:r w:rsidDel="00000000" w:rsidR="00000000" w:rsidRPr="00000000">
        <w:rPr>
          <w:rtl w:val="0"/>
        </w:rPr>
      </w:r>
    </w:p>
    <w:p w:rsidR="00000000" w:rsidDel="00000000" w:rsidP="00000000" w:rsidRDefault="00000000" w:rsidRPr="00000000" w14:paraId="00000084">
      <w:pPr>
        <w:shd w:fill="ffffff" w:val="clear"/>
        <w:spacing w:after="240" w:before="240" w:line="360" w:lineRule="auto"/>
        <w:jc w:val="both"/>
        <w:rPr>
          <w:sz w:val="24"/>
          <w:szCs w:val="24"/>
        </w:rPr>
      </w:pPr>
      <w:r w:rsidDel="00000000" w:rsidR="00000000" w:rsidRPr="00000000">
        <w:rPr>
          <w:sz w:val="24"/>
          <w:szCs w:val="24"/>
          <w:rtl w:val="0"/>
        </w:rPr>
        <w:t xml:space="preserve">Khan, A.J., Nasir, A., Khan, S., Munir, F. and Li, G., (2025). ‘Seeds of sustainability in organizations: Green HRM and employee engagement as a cultivators of green branding and consumer trust.’ </w:t>
      </w:r>
      <w:r w:rsidDel="00000000" w:rsidR="00000000" w:rsidRPr="00000000">
        <w:rPr>
          <w:i w:val="1"/>
          <w:sz w:val="24"/>
          <w:szCs w:val="24"/>
          <w:rtl w:val="0"/>
        </w:rPr>
        <w:t xml:space="preserve">Acta Psychologica</w:t>
      </w:r>
      <w:r w:rsidDel="00000000" w:rsidR="00000000" w:rsidRPr="00000000">
        <w:rPr>
          <w:sz w:val="24"/>
          <w:szCs w:val="24"/>
          <w:rtl w:val="0"/>
        </w:rPr>
        <w:t xml:space="preserve">, </w:t>
      </w:r>
      <w:r w:rsidDel="00000000" w:rsidR="00000000" w:rsidRPr="00000000">
        <w:rPr>
          <w:i w:val="1"/>
          <w:sz w:val="24"/>
          <w:szCs w:val="24"/>
          <w:rtl w:val="0"/>
        </w:rPr>
        <w:t xml:space="preserve">260</w:t>
      </w:r>
      <w:r w:rsidDel="00000000" w:rsidR="00000000" w:rsidRPr="00000000">
        <w:rPr>
          <w:sz w:val="24"/>
          <w:szCs w:val="24"/>
          <w:rtl w:val="0"/>
        </w:rPr>
        <w:t xml:space="preserve">, p.105648. Available at: </w:t>
      </w:r>
      <w:hyperlink r:id="rId22">
        <w:r w:rsidDel="00000000" w:rsidR="00000000" w:rsidRPr="00000000">
          <w:rPr>
            <w:color w:val="1155cc"/>
            <w:sz w:val="24"/>
            <w:szCs w:val="24"/>
            <w:u w:val="single"/>
            <w:rtl w:val="0"/>
          </w:rPr>
          <w:t xml:space="preserve">https://doi.org/10.1016/j.actpsy.2025.105648</w:t>
        </w:r>
      </w:hyperlink>
      <w:r w:rsidDel="00000000" w:rsidR="00000000" w:rsidRPr="00000000">
        <w:rPr>
          <w:rtl w:val="0"/>
        </w:rPr>
      </w:r>
    </w:p>
    <w:p w:rsidR="00000000" w:rsidDel="00000000" w:rsidP="00000000" w:rsidRDefault="00000000" w:rsidRPr="00000000" w14:paraId="00000085">
      <w:pPr>
        <w:spacing w:after="240" w:before="240" w:line="360" w:lineRule="auto"/>
        <w:jc w:val="both"/>
        <w:rPr>
          <w:sz w:val="24"/>
          <w:szCs w:val="24"/>
        </w:rPr>
      </w:pPr>
      <w:r w:rsidDel="00000000" w:rsidR="00000000" w:rsidRPr="00000000">
        <w:rPr>
          <w:sz w:val="24"/>
          <w:szCs w:val="24"/>
          <w:rtl w:val="0"/>
        </w:rPr>
        <w:t xml:space="preserve">Orisa, M., Faisol, A. and Ashari, M.I., (2024). ‘Teaching Product Design Through The CANVA Application To Enhance The Brand Image Of The Company.’ </w:t>
      </w:r>
      <w:r w:rsidDel="00000000" w:rsidR="00000000" w:rsidRPr="00000000">
        <w:rPr>
          <w:i w:val="1"/>
          <w:sz w:val="24"/>
          <w:szCs w:val="24"/>
          <w:rtl w:val="0"/>
        </w:rPr>
        <w:t xml:space="preserve">Brilliance: Research of Artificial Intelligence</w:t>
      </w:r>
      <w:r w:rsidDel="00000000" w:rsidR="00000000" w:rsidRPr="00000000">
        <w:rPr>
          <w:sz w:val="24"/>
          <w:szCs w:val="24"/>
          <w:rtl w:val="0"/>
        </w:rPr>
        <w:t xml:space="preserve">, </w:t>
      </w:r>
      <w:r w:rsidDel="00000000" w:rsidR="00000000" w:rsidRPr="00000000">
        <w:rPr>
          <w:i w:val="1"/>
          <w:sz w:val="24"/>
          <w:szCs w:val="24"/>
          <w:rtl w:val="0"/>
        </w:rPr>
        <w:t xml:space="preserve">4</w:t>
      </w:r>
      <w:r w:rsidDel="00000000" w:rsidR="00000000" w:rsidRPr="00000000">
        <w:rPr>
          <w:sz w:val="24"/>
          <w:szCs w:val="24"/>
          <w:rtl w:val="0"/>
        </w:rPr>
        <w:t xml:space="preserve">(1), pp.75-80. Available at: </w:t>
      </w:r>
      <w:hyperlink r:id="rId23">
        <w:r w:rsidDel="00000000" w:rsidR="00000000" w:rsidRPr="00000000">
          <w:rPr>
            <w:color w:val="1155cc"/>
            <w:sz w:val="24"/>
            <w:szCs w:val="24"/>
            <w:u w:val="single"/>
            <w:rtl w:val="0"/>
          </w:rPr>
          <w:t xml:space="preserve">https://doi.org/10.47709/brilliance.v4i1.3775</w:t>
        </w:r>
      </w:hyperlink>
      <w:r w:rsidDel="00000000" w:rsidR="00000000" w:rsidRPr="00000000">
        <w:rPr>
          <w:rtl w:val="0"/>
        </w:rPr>
      </w:r>
    </w:p>
    <w:p w:rsidR="00000000" w:rsidDel="00000000" w:rsidP="00000000" w:rsidRDefault="00000000" w:rsidRPr="00000000" w14:paraId="00000086">
      <w:pPr>
        <w:spacing w:after="240" w:before="240" w:line="360" w:lineRule="auto"/>
        <w:jc w:val="both"/>
        <w:rPr>
          <w:sz w:val="24"/>
          <w:szCs w:val="24"/>
        </w:rPr>
      </w:pPr>
      <w:r w:rsidDel="00000000" w:rsidR="00000000" w:rsidRPr="00000000">
        <w:rPr>
          <w:sz w:val="24"/>
          <w:szCs w:val="24"/>
          <w:rtl w:val="0"/>
        </w:rPr>
        <w:t xml:space="preserve">Pathi, S. and Sheik, K., (2026). ‘IMPACT OF OFFERS AND DISCOUNTS ON CONSUMER BEHAVIOUR: A CONCEPTUAL AND EMPIRICAL PERSPECTIVE.’ </w:t>
      </w:r>
      <w:r w:rsidDel="00000000" w:rsidR="00000000" w:rsidRPr="00000000">
        <w:rPr>
          <w:i w:val="1"/>
          <w:sz w:val="24"/>
          <w:szCs w:val="24"/>
          <w:rtl w:val="0"/>
        </w:rPr>
        <w:t xml:space="preserve">American Journal of Management and IOT Medical Computing</w:t>
      </w:r>
      <w:r w:rsidDel="00000000" w:rsidR="00000000" w:rsidRPr="00000000">
        <w:rPr>
          <w:sz w:val="24"/>
          <w:szCs w:val="24"/>
          <w:rtl w:val="0"/>
        </w:rPr>
        <w:t xml:space="preserve">, 5(1), pp.1-7. Available at: </w:t>
      </w:r>
      <w:hyperlink r:id="rId24">
        <w:r w:rsidDel="00000000" w:rsidR="00000000" w:rsidRPr="00000000">
          <w:rPr>
            <w:color w:val="1155cc"/>
            <w:sz w:val="24"/>
            <w:szCs w:val="24"/>
            <w:u w:val="single"/>
            <w:rtl w:val="0"/>
          </w:rPr>
          <w:t xml:space="preserve">https://ajmimc.com/journal/index.php/ajmimc/article/view/161/159</w:t>
        </w:r>
      </w:hyperlink>
      <w:r w:rsidDel="00000000" w:rsidR="00000000" w:rsidRPr="00000000">
        <w:rPr>
          <w:rtl w:val="0"/>
        </w:rPr>
      </w:r>
    </w:p>
    <w:p w:rsidR="00000000" w:rsidDel="00000000" w:rsidP="00000000" w:rsidRDefault="00000000" w:rsidRPr="00000000" w14:paraId="00000087">
      <w:pPr>
        <w:shd w:fill="ffffff" w:val="clear"/>
        <w:spacing w:after="240" w:before="240" w:line="360" w:lineRule="auto"/>
        <w:jc w:val="both"/>
        <w:rPr>
          <w:sz w:val="24"/>
          <w:szCs w:val="24"/>
        </w:rPr>
      </w:pPr>
      <w:r w:rsidDel="00000000" w:rsidR="00000000" w:rsidRPr="00000000">
        <w:rPr>
          <w:sz w:val="24"/>
          <w:szCs w:val="24"/>
          <w:rtl w:val="0"/>
        </w:rPr>
        <w:t xml:space="preserve">Revolut, (2026). </w:t>
      </w:r>
      <w:r w:rsidDel="00000000" w:rsidR="00000000" w:rsidRPr="00000000">
        <w:rPr>
          <w:i w:val="1"/>
          <w:sz w:val="24"/>
          <w:szCs w:val="24"/>
          <w:rtl w:val="0"/>
        </w:rPr>
        <w:t xml:space="preserve">We change the way you do money</w:t>
      </w:r>
      <w:r w:rsidDel="00000000" w:rsidR="00000000" w:rsidRPr="00000000">
        <w:rPr>
          <w:sz w:val="24"/>
          <w:szCs w:val="24"/>
          <w:rtl w:val="0"/>
        </w:rPr>
        <w:t xml:space="preserve">. Available at: </w:t>
      </w:r>
      <w:hyperlink r:id="rId25">
        <w:r w:rsidDel="00000000" w:rsidR="00000000" w:rsidRPr="00000000">
          <w:rPr>
            <w:color w:val="1155cc"/>
            <w:sz w:val="24"/>
            <w:szCs w:val="24"/>
            <w:u w:val="single"/>
            <w:rtl w:val="0"/>
          </w:rPr>
          <w:t xml:space="preserve">https://www.revolut.com/about/</w:t>
        </w:r>
      </w:hyperlink>
      <w:r w:rsidDel="00000000" w:rsidR="00000000" w:rsidRPr="00000000">
        <w:rPr>
          <w:sz w:val="24"/>
          <w:szCs w:val="24"/>
          <w:rtl w:val="0"/>
        </w:rPr>
        <w:t xml:space="preserve"> (Accessed: 27 March 2026)</w:t>
      </w:r>
    </w:p>
    <w:p w:rsidR="00000000" w:rsidDel="00000000" w:rsidP="00000000" w:rsidRDefault="00000000" w:rsidRPr="00000000" w14:paraId="00000088">
      <w:pPr>
        <w:shd w:fill="ffffff" w:val="clear"/>
        <w:spacing w:after="240" w:before="240" w:line="360" w:lineRule="auto"/>
        <w:jc w:val="both"/>
        <w:rPr>
          <w:color w:val="222222"/>
          <w:sz w:val="24"/>
          <w:szCs w:val="24"/>
        </w:rPr>
      </w:pPr>
      <w:r w:rsidDel="00000000" w:rsidR="00000000" w:rsidRPr="00000000">
        <w:rPr>
          <w:sz w:val="24"/>
          <w:szCs w:val="24"/>
          <w:rtl w:val="0"/>
        </w:rPr>
        <w:t xml:space="preserve">Sahu, M. (2025). </w:t>
      </w:r>
      <w:r w:rsidDel="00000000" w:rsidR="00000000" w:rsidRPr="00000000">
        <w:rPr>
          <w:i w:val="1"/>
          <w:sz w:val="24"/>
          <w:szCs w:val="24"/>
          <w:rtl w:val="0"/>
        </w:rPr>
        <w:t xml:space="preserve">Recreating Revolut.</w:t>
      </w:r>
      <w:r w:rsidDel="00000000" w:rsidR="00000000" w:rsidRPr="00000000">
        <w:rPr>
          <w:color w:val="222222"/>
          <w:sz w:val="24"/>
          <w:szCs w:val="24"/>
          <w:rtl w:val="0"/>
        </w:rPr>
        <w:t xml:space="preserve"> Available at: </w:t>
      </w:r>
      <w:hyperlink r:id="rId26">
        <w:r w:rsidDel="00000000" w:rsidR="00000000" w:rsidRPr="00000000">
          <w:rPr>
            <w:color w:val="1155cc"/>
            <w:sz w:val="24"/>
            <w:szCs w:val="24"/>
            <w:u w:val="single"/>
            <w:rtl w:val="0"/>
          </w:rPr>
          <w:t xml:space="preserve">https://medium.com/design-bootcamp/recreating-revolut-fbffc4dff746</w:t>
        </w:r>
      </w:hyperlink>
      <w:r w:rsidDel="00000000" w:rsidR="00000000" w:rsidRPr="00000000">
        <w:rPr>
          <w:color w:val="222222"/>
          <w:sz w:val="24"/>
          <w:szCs w:val="24"/>
          <w:rtl w:val="0"/>
        </w:rPr>
        <w:t xml:space="preserve"> (Accessed: 22 March 2026)</w:t>
      </w:r>
    </w:p>
    <w:p w:rsidR="00000000" w:rsidDel="00000000" w:rsidP="00000000" w:rsidRDefault="00000000" w:rsidRPr="00000000" w14:paraId="00000089">
      <w:pPr>
        <w:shd w:fill="ffffff" w:val="clear"/>
        <w:spacing w:after="240" w:before="240" w:line="360" w:lineRule="auto"/>
        <w:jc w:val="both"/>
        <w:rPr>
          <w:sz w:val="24"/>
          <w:szCs w:val="24"/>
        </w:rPr>
      </w:pPr>
      <w:r w:rsidDel="00000000" w:rsidR="00000000" w:rsidRPr="00000000">
        <w:rPr>
          <w:sz w:val="24"/>
          <w:szCs w:val="24"/>
          <w:rtl w:val="0"/>
        </w:rPr>
        <w:t xml:space="preserve">Stonig, J., Schmid, T. and Müller Stewens, G., (2022). ‘From product system to ecosystem: how firms adapt to provide an integrated value proposition.’ </w:t>
      </w:r>
      <w:r w:rsidDel="00000000" w:rsidR="00000000" w:rsidRPr="00000000">
        <w:rPr>
          <w:i w:val="1"/>
          <w:sz w:val="24"/>
          <w:szCs w:val="24"/>
          <w:rtl w:val="0"/>
        </w:rPr>
        <w:t xml:space="preserve">Strategic Management Journal</w:t>
      </w:r>
      <w:r w:rsidDel="00000000" w:rsidR="00000000" w:rsidRPr="00000000">
        <w:rPr>
          <w:sz w:val="24"/>
          <w:szCs w:val="24"/>
          <w:rtl w:val="0"/>
        </w:rPr>
        <w:t xml:space="preserve">, </w:t>
      </w:r>
      <w:r w:rsidDel="00000000" w:rsidR="00000000" w:rsidRPr="00000000">
        <w:rPr>
          <w:i w:val="1"/>
          <w:sz w:val="24"/>
          <w:szCs w:val="24"/>
          <w:rtl w:val="0"/>
        </w:rPr>
        <w:t xml:space="preserve">43</w:t>
      </w:r>
      <w:r w:rsidDel="00000000" w:rsidR="00000000" w:rsidRPr="00000000">
        <w:rPr>
          <w:sz w:val="24"/>
          <w:szCs w:val="24"/>
          <w:rtl w:val="0"/>
        </w:rPr>
        <w:t xml:space="preserve">(9), pp.1927-1957. Available at: </w:t>
      </w:r>
      <w:hyperlink r:id="rId27">
        <w:r w:rsidDel="00000000" w:rsidR="00000000" w:rsidRPr="00000000">
          <w:rPr>
            <w:color w:val="1155cc"/>
            <w:sz w:val="24"/>
            <w:szCs w:val="24"/>
            <w:u w:val="single"/>
            <w:rtl w:val="0"/>
          </w:rPr>
          <w:t xml:space="preserve">https://doi.org/10.1002/smj.3390</w:t>
        </w:r>
      </w:hyperlink>
      <w:r w:rsidDel="00000000" w:rsidR="00000000" w:rsidRPr="00000000">
        <w:rPr>
          <w:rtl w:val="0"/>
        </w:rPr>
      </w:r>
    </w:p>
    <w:p w:rsidR="00000000" w:rsidDel="00000000" w:rsidP="00000000" w:rsidRDefault="00000000" w:rsidRPr="00000000" w14:paraId="0000008A">
      <w:pPr>
        <w:spacing w:after="240" w:before="240" w:line="360" w:lineRule="auto"/>
        <w:jc w:val="both"/>
        <w:rPr>
          <w:sz w:val="24"/>
          <w:szCs w:val="24"/>
        </w:rPr>
      </w:pPr>
      <w:r w:rsidDel="00000000" w:rsidR="00000000" w:rsidRPr="00000000">
        <w:rPr>
          <w:sz w:val="24"/>
          <w:szCs w:val="24"/>
          <w:rtl w:val="0"/>
        </w:rPr>
        <w:t xml:space="preserve">Uña, G., Verma, A., Bazarbash, M. and Griffin, M.N.N. eds., (2023).</w:t>
      </w:r>
      <w:r w:rsidDel="00000000" w:rsidR="00000000" w:rsidRPr="00000000">
        <w:rPr>
          <w:i w:val="1"/>
          <w:sz w:val="24"/>
          <w:szCs w:val="24"/>
          <w:rtl w:val="0"/>
        </w:rPr>
        <w:t xml:space="preserve"> Fintech payments in public financial management: benefits and risks</w:t>
      </w:r>
      <w:r w:rsidDel="00000000" w:rsidR="00000000" w:rsidRPr="00000000">
        <w:rPr>
          <w:sz w:val="24"/>
          <w:szCs w:val="24"/>
          <w:rtl w:val="0"/>
        </w:rPr>
        <w:t xml:space="preserve">. International Monetary Fund. </w:t>
      </w:r>
    </w:p>
    <w:p w:rsidR="00000000" w:rsidDel="00000000" w:rsidP="00000000" w:rsidRDefault="00000000" w:rsidRPr="00000000" w14:paraId="0000008B">
      <w:pPr>
        <w:spacing w:after="240" w:before="240" w:line="360" w:lineRule="auto"/>
        <w:jc w:val="both"/>
        <w:rPr>
          <w:sz w:val="24"/>
          <w:szCs w:val="24"/>
        </w:rPr>
      </w:pPr>
      <w:r w:rsidDel="00000000" w:rsidR="00000000" w:rsidRPr="00000000">
        <w:rPr>
          <w:sz w:val="24"/>
          <w:szCs w:val="24"/>
          <w:rtl w:val="0"/>
        </w:rPr>
        <w:t xml:space="preserve">Wood, J. (2026). </w:t>
      </w:r>
      <w:r w:rsidDel="00000000" w:rsidR="00000000" w:rsidRPr="00000000">
        <w:rPr>
          <w:i w:val="1"/>
          <w:sz w:val="24"/>
          <w:szCs w:val="24"/>
          <w:rtl w:val="0"/>
        </w:rPr>
        <w:t xml:space="preserve">Gen Z cares about sustainability more than anyone else – and is starting to make others feel the same</w:t>
      </w:r>
      <w:r w:rsidDel="00000000" w:rsidR="00000000" w:rsidRPr="00000000">
        <w:rPr>
          <w:sz w:val="24"/>
          <w:szCs w:val="24"/>
          <w:rtl w:val="0"/>
        </w:rPr>
        <w:t xml:space="preserve">. Available at: </w:t>
      </w:r>
      <w:hyperlink r:id="rId28">
        <w:r w:rsidDel="00000000" w:rsidR="00000000" w:rsidRPr="00000000">
          <w:rPr>
            <w:color w:val="1155cc"/>
            <w:sz w:val="24"/>
            <w:szCs w:val="24"/>
            <w:u w:val="single"/>
            <w:rtl w:val="0"/>
          </w:rPr>
          <w:t xml:space="preserve">https://www.weforum.org/stories/2022/03/generation-z-sustainability-lifestyle-buying-decisions/#:~:text=Choosing%20a%20sustainable%20lifestyle,And%20change%20is%20happening.&amp;text=Saying%20no%20to%20single%2Duse,What%20is%20a%20circular%20economy?&amp;text=Just%20over%20a%20third%20of,poor%20ethical%20or%20sustainability%20values</w:t>
        </w:r>
      </w:hyperlink>
      <w:r w:rsidDel="00000000" w:rsidR="00000000" w:rsidRPr="00000000">
        <w:rPr>
          <w:sz w:val="24"/>
          <w:szCs w:val="24"/>
          <w:rtl w:val="0"/>
        </w:rPr>
        <w:t xml:space="preserve">. (Accessed: 27 March 2026)</w:t>
      </w:r>
    </w:p>
    <w:p w:rsidR="00000000" w:rsidDel="00000000" w:rsidP="00000000" w:rsidRDefault="00000000" w:rsidRPr="00000000" w14:paraId="0000008C">
      <w:pPr>
        <w:spacing w:after="240" w:before="240" w:line="360" w:lineRule="auto"/>
        <w:jc w:val="both"/>
        <w:rPr>
          <w:sz w:val="24"/>
          <w:szCs w:val="24"/>
        </w:rPr>
      </w:pPr>
      <w:r w:rsidDel="00000000" w:rsidR="00000000" w:rsidRPr="00000000">
        <w:rPr>
          <w:sz w:val="24"/>
          <w:szCs w:val="24"/>
          <w:rtl w:val="0"/>
        </w:rPr>
        <w:t xml:space="preserve">Wu, Y., Martens, P. and Krafft, T., (2024). ‘Transitioning to a low-carbon lifestyle? An exploration of millennials’ low-carbon behaviour—A case Study in China.’ </w:t>
      </w:r>
      <w:r w:rsidDel="00000000" w:rsidR="00000000" w:rsidRPr="00000000">
        <w:rPr>
          <w:i w:val="1"/>
          <w:sz w:val="24"/>
          <w:szCs w:val="24"/>
          <w:rtl w:val="0"/>
        </w:rPr>
        <w:t xml:space="preserve">Smart Cities</w:t>
      </w:r>
      <w:r w:rsidDel="00000000" w:rsidR="00000000" w:rsidRPr="00000000">
        <w:rPr>
          <w:sz w:val="24"/>
          <w:szCs w:val="24"/>
          <w:rtl w:val="0"/>
        </w:rPr>
        <w:t xml:space="preserve">, 7(4), pp.2015-2041. Available at: </w:t>
      </w:r>
      <w:hyperlink r:id="rId29">
        <w:r w:rsidDel="00000000" w:rsidR="00000000" w:rsidRPr="00000000">
          <w:rPr>
            <w:color w:val="1155cc"/>
            <w:sz w:val="24"/>
            <w:szCs w:val="24"/>
            <w:u w:val="single"/>
            <w:rtl w:val="0"/>
          </w:rPr>
          <w:t xml:space="preserve">https://doi.org/10.3390/smartcities7040080</w:t>
        </w:r>
      </w:hyperlink>
      <w:r w:rsidDel="00000000" w:rsidR="00000000" w:rsidRPr="00000000">
        <w:rPr>
          <w:rtl w:val="0"/>
        </w:rPr>
      </w:r>
    </w:p>
    <w:p w:rsidR="00000000" w:rsidDel="00000000" w:rsidP="00000000" w:rsidRDefault="00000000" w:rsidRPr="00000000" w14:paraId="0000008D">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spacing w:after="240" w:before="240" w:lineRule="auto"/>
        <w:rPr>
          <w:rFonts w:ascii="Arial" w:cs="Arial" w:eastAsia="Arial" w:hAnsi="Arial"/>
        </w:rPr>
      </w:pPr>
      <w:bookmarkStart w:colFirst="0" w:colLast="0" w:name="_tyjcwt" w:id="6"/>
      <w:bookmarkEnd w:id="6"/>
      <w:r w:rsidDel="00000000" w:rsidR="00000000" w:rsidRPr="00000000">
        <w:rPr>
          <w:rFonts w:ascii="Arial" w:cs="Arial" w:eastAsia="Arial" w:hAnsi="Arial"/>
          <w:rtl w:val="0"/>
        </w:rPr>
        <w:t xml:space="preserve">Appendix</w:t>
      </w:r>
    </w:p>
    <w:p w:rsidR="00000000" w:rsidDel="00000000" w:rsidP="00000000" w:rsidRDefault="00000000" w:rsidRPr="00000000" w14:paraId="0000008F">
      <w:pPr>
        <w:spacing w:after="240" w:before="240" w:line="360" w:lineRule="auto"/>
        <w:jc w:val="center"/>
        <w:rPr/>
      </w:pPr>
      <w:r w:rsidDel="00000000" w:rsidR="00000000" w:rsidRPr="00000000">
        <w:rPr/>
        <w:pict>
          <v:shape id="_x0000_i1025" style="width:297.6pt;height:421.2pt" o:ole="" type="#_x0000_t75">
            <v:imagedata r:id="rId1" o:title=""/>
          </v:shape>
          <o:OLEObject DrawAspect="Content" r:id="rId2" ObjectID="_1836908663" ProgID="PowerPoint.Show.12" ShapeID="_x0000_i1025" Type="Embed"/>
        </w:pict>
      </w:r>
      <w:r w:rsidDel="00000000" w:rsidR="00000000" w:rsidRPr="00000000">
        <w:rPr>
          <w:rtl w:val="0"/>
        </w:rPr>
      </w:r>
    </w:p>
    <w:p w:rsidR="00000000" w:rsidDel="00000000" w:rsidP="00000000" w:rsidRDefault="00000000" w:rsidRPr="00000000" w14:paraId="00000090">
      <w:pPr>
        <w:spacing w:after="240" w:before="240" w:line="360" w:lineRule="auto"/>
        <w:jc w:val="center"/>
        <w:rPr>
          <w:sz w:val="24"/>
          <w:szCs w:val="24"/>
        </w:rPr>
      </w:pPr>
      <w:r w:rsidDel="00000000" w:rsidR="00000000" w:rsidRPr="00000000">
        <w:rPr>
          <w:sz w:val="24"/>
          <w:szCs w:val="24"/>
          <w:rtl w:val="0"/>
        </w:rPr>
        <w:t xml:space="preserve">(Source: Self-developed)</w:t>
      </w:r>
    </w:p>
    <w:sectPr>
      <w:footerReference r:id="rId30"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ajmimc.com/journal/index.php/ajmimc/article/view/161/159" TargetMode="External"/><Relationship Id="rId22" Type="http://schemas.openxmlformats.org/officeDocument/2006/relationships/hyperlink" Target="https://doi.org/10.1016/j.actpsy.2025.105648" TargetMode="External"/><Relationship Id="rId21" Type="http://schemas.openxmlformats.org/officeDocument/2006/relationships/hyperlink" Target="https://doi.org/10.1007/s11846-024-00744-2" TargetMode="External"/><Relationship Id="rId24" Type="http://schemas.openxmlformats.org/officeDocument/2006/relationships/hyperlink" Target="https://ajmimc.com/journal/index.php/ajmimc/article/view/161/159" TargetMode="External"/><Relationship Id="rId23" Type="http://schemas.openxmlformats.org/officeDocument/2006/relationships/hyperlink" Target="https://doi.org/10.47709/brilliance.v4i1.3775" TargetMode="External"/><Relationship Id="rId1" Type="http://schemas.openxmlformats.org/officeDocument/2006/relationships/image" Target="media/image1.emf"/><Relationship Id="rId2" Type="http://schemas.openxmlformats.org/officeDocument/2006/relationships/package" Target="embeddings/Microsoft_Office_PowerPoint_Presentation1.pptx"/><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medium.com/design-bootcamp/recreating-revolut-fbffc4dff746" TargetMode="External"/><Relationship Id="rId25" Type="http://schemas.openxmlformats.org/officeDocument/2006/relationships/hyperlink" Target="https://www.revolut.com/about/" TargetMode="External"/><Relationship Id="rId28" Type="http://schemas.openxmlformats.org/officeDocument/2006/relationships/hyperlink" Target="https://www.weforum.org/stories/2022/03/generation-z-sustainability-lifestyle-buying-decisions/#:~:text=Choosing%20a%20sustainable%20lifestyle,And%20change%20is%20happening.&amp;text=Saying%20no%20to%20single%2Duse,What%20is%20a%20circular%20economy?&amp;text=Just%20over%20a%20third%20of,poor%20ethical%20or%20sustainability%20values" TargetMode="External"/><Relationship Id="rId27" Type="http://schemas.openxmlformats.org/officeDocument/2006/relationships/hyperlink" Target="https://doi.org/10.1002/smj.3390" TargetMode="External"/><Relationship Id="rId5" Type="http://schemas.openxmlformats.org/officeDocument/2006/relationships/fontTable" Target="fontTable.xml"/><Relationship Id="rId6" Type="http://schemas.openxmlformats.org/officeDocument/2006/relationships/numbering" Target="numbering.xml"/><Relationship Id="rId29" Type="http://schemas.openxmlformats.org/officeDocument/2006/relationships/hyperlink" Target="https://doi.org/10.3390/smartcities7040080" TargetMode="External"/><Relationship Id="rId7" Type="http://schemas.openxmlformats.org/officeDocument/2006/relationships/styles" Target="styles.xml"/><Relationship Id="rId8" Type="http://schemas.openxmlformats.org/officeDocument/2006/relationships/image" Target="media/image3.png"/><Relationship Id="rId30" Type="http://schemas.openxmlformats.org/officeDocument/2006/relationships/footer" Target="footer1.xml"/><Relationship Id="rId11" Type="http://schemas.openxmlformats.org/officeDocument/2006/relationships/hyperlink" Target="https://www.weforum.org/stories/2022/03/generation-z-sustainability-lifestyle-buying-decisions/#:~:text=Choosing%20a%20sustainable%20lifestyle,And%20change%20is%20happening.&amp;text=Saying%20no%20to%20single%2Duse,What%20is%20a%20circular%20economy?&amp;text=Just%20over%20a%20third%20of,poor%20ethical%20or%20sustainability%20values" TargetMode="External"/><Relationship Id="rId10" Type="http://schemas.openxmlformats.org/officeDocument/2006/relationships/hyperlink" Target="https://www.revolut.com/about/" TargetMode="External"/><Relationship Id="rId13" Type="http://schemas.openxmlformats.org/officeDocument/2006/relationships/hyperlink" Target="https://www.ijmh.org/wp-content/uploads/papers/v11i1/A175011010924.pdf" TargetMode="External"/><Relationship Id="rId12" Type="http://schemas.openxmlformats.org/officeDocument/2006/relationships/hyperlink" Target="https://doi.org/10.1057/s41599-024-03618-w" TargetMode="External"/><Relationship Id="rId15" Type="http://schemas.openxmlformats.org/officeDocument/2006/relationships/hyperlink" Target="https://doi.org/10.3390/su142013433" TargetMode="External"/><Relationship Id="rId14" Type="http://schemas.openxmlformats.org/officeDocument/2006/relationships/hyperlink" Target="https://doi.org/10.3390/su16051790" TargetMode="External"/><Relationship Id="rId17" Type="http://schemas.openxmlformats.org/officeDocument/2006/relationships/hyperlink" Target="https://doi.org/10.1002/bse.4050" TargetMode="External"/><Relationship Id="rId16" Type="http://schemas.openxmlformats.org/officeDocument/2006/relationships/hyperlink" Target="https://doi.org/10.1108/JSM-08-2021-0295" TargetMode="External"/><Relationship Id="rId19" Type="http://schemas.openxmlformats.org/officeDocument/2006/relationships/hyperlink" Target="https://doi.org/10.30574/ijsra.2023.10.2.1042" TargetMode="External"/><Relationship Id="rId18" Type="http://schemas.openxmlformats.org/officeDocument/2006/relationships/hyperlink" Target="https://doi.org/10.1186/s43093-025-0047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