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3512" w:rsidRDefault="00000000">
      <w:pPr>
        <w:pBdr>
          <w:top w:val="nil"/>
          <w:left w:val="nil"/>
          <w:bottom w:val="nil"/>
          <w:right w:val="nil"/>
          <w:between w:val="nil"/>
        </w:pBdr>
        <w:spacing w:before="1540" w:after="240"/>
        <w:ind w:firstLine="720"/>
        <w:jc w:val="both"/>
        <w:rPr>
          <w:color w:val="4472C4"/>
        </w:rPr>
      </w:pPr>
      <w:r>
        <w:rPr>
          <w:noProof/>
          <w:color w:val="4472C4"/>
        </w:rPr>
        <w:drawing>
          <wp:inline distT="0" distB="0" distL="0" distR="0">
            <wp:extent cx="1417320" cy="750898"/>
            <wp:effectExtent l="0" t="0" r="0" b="0"/>
            <wp:docPr id="1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417320" cy="750898"/>
                    </a:xfrm>
                    <a:prstGeom prst="rect">
                      <a:avLst/>
                    </a:prstGeom>
                    <a:ln/>
                  </pic:spPr>
                </pic:pic>
              </a:graphicData>
            </a:graphic>
          </wp:inline>
        </w:drawing>
      </w:r>
    </w:p>
    <w:p w:rsidR="00153512" w:rsidRDefault="00000000">
      <w:pPr>
        <w:pBdr>
          <w:top w:val="single" w:sz="6" w:space="6" w:color="4472C4"/>
          <w:left w:val="nil"/>
          <w:bottom w:val="single" w:sz="6" w:space="6" w:color="4472C4"/>
          <w:right w:val="nil"/>
          <w:between w:val="nil"/>
        </w:pBdr>
        <w:spacing w:after="240"/>
        <w:rPr>
          <w:color w:val="000000"/>
        </w:rPr>
      </w:pPr>
      <w:r>
        <w:rPr>
          <w:color w:val="000000"/>
        </w:rPr>
        <w:t xml:space="preserve">Intention to create legal relations </w:t>
      </w:r>
      <w:r>
        <w:rPr>
          <w:noProof/>
          <w:color w:val="000000"/>
        </w:rPr>
        <w:drawing>
          <wp:inline distT="0" distB="0" distL="0" distR="0">
            <wp:extent cx="3898900" cy="2590800"/>
            <wp:effectExtent l="0" t="0" r="0" b="0"/>
            <wp:docPr id="150" name="image2.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Text&#10;&#10;Description automatically generated"/>
                    <pic:cNvPicPr preferRelativeResize="0"/>
                  </pic:nvPicPr>
                  <pic:blipFill>
                    <a:blip r:embed="rId6"/>
                    <a:srcRect/>
                    <a:stretch>
                      <a:fillRect/>
                    </a:stretch>
                  </pic:blipFill>
                  <pic:spPr>
                    <a:xfrm>
                      <a:off x="0" y="0"/>
                      <a:ext cx="3898900" cy="2590800"/>
                    </a:xfrm>
                    <a:prstGeom prst="rect">
                      <a:avLst/>
                    </a:prstGeom>
                    <a:ln/>
                  </pic:spPr>
                </pic:pic>
              </a:graphicData>
            </a:graphic>
          </wp:inline>
        </w:drawing>
      </w:r>
    </w:p>
    <w:p w:rsidR="00153512" w:rsidRDefault="00000000">
      <w:pPr>
        <w:pBdr>
          <w:top w:val="nil"/>
          <w:left w:val="nil"/>
          <w:bottom w:val="nil"/>
          <w:right w:val="nil"/>
          <w:between w:val="nil"/>
        </w:pBdr>
        <w:jc w:val="both"/>
        <w:rPr>
          <w:color w:val="4472C4"/>
        </w:rPr>
      </w:pPr>
      <w:r>
        <w:rPr>
          <w:color w:val="000000"/>
        </w:rPr>
        <w:t xml:space="preserve">Contract </w:t>
      </w:r>
      <w:r>
        <w:t>Law</w:t>
      </w:r>
    </w:p>
    <w:p w:rsidR="00153512" w:rsidRDefault="00000000">
      <w:pPr>
        <w:pBdr>
          <w:top w:val="nil"/>
          <w:left w:val="nil"/>
          <w:bottom w:val="nil"/>
          <w:right w:val="nil"/>
          <w:between w:val="nil"/>
        </w:pBdr>
        <w:spacing w:before="480"/>
        <w:jc w:val="both"/>
        <w:rPr>
          <w:color w:val="4472C4"/>
        </w:rPr>
      </w:pPr>
      <w:r>
        <w:rPr>
          <w:noProof/>
          <w:color w:val="4472C4"/>
        </w:rPr>
        <w:drawing>
          <wp:inline distT="0" distB="0" distL="0" distR="0">
            <wp:extent cx="758952" cy="478932"/>
            <wp:effectExtent l="0" t="0" r="0" b="0"/>
            <wp:docPr id="1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758952" cy="478932"/>
                    </a:xfrm>
                    <a:prstGeom prst="rect">
                      <a:avLst/>
                    </a:prstGeom>
                    <a:ln/>
                  </pic:spPr>
                </pic:pic>
              </a:graphicData>
            </a:graphic>
          </wp:inline>
        </w:drawing>
      </w:r>
    </w:p>
    <w:p w:rsidR="00153512" w:rsidRDefault="00153512">
      <w:pPr>
        <w:jc w:val="both"/>
      </w:pPr>
    </w:p>
    <w:p w:rsidR="00153512" w:rsidRDefault="00153512">
      <w:pPr>
        <w:jc w:val="both"/>
      </w:pPr>
    </w:p>
    <w:p w:rsidR="00153512" w:rsidRDefault="00153512">
      <w:pPr>
        <w:jc w:val="both"/>
      </w:pPr>
    </w:p>
    <w:p w:rsidR="00153512" w:rsidRDefault="00153512">
      <w:pPr>
        <w:jc w:val="both"/>
      </w:pPr>
    </w:p>
    <w:p w:rsidR="00153512" w:rsidRDefault="00153512">
      <w:pPr>
        <w:jc w:val="both"/>
      </w:pPr>
    </w:p>
    <w:p w:rsidR="00153512" w:rsidRDefault="00153512">
      <w:pPr>
        <w:jc w:val="both"/>
      </w:pPr>
    </w:p>
    <w:p w:rsidR="00153512" w:rsidRDefault="00153512">
      <w:pPr>
        <w:jc w:val="both"/>
      </w:pPr>
    </w:p>
    <w:p w:rsidR="00153512" w:rsidRDefault="00153512">
      <w:pPr>
        <w:jc w:val="both"/>
      </w:pPr>
    </w:p>
    <w:p w:rsidR="00153512" w:rsidRDefault="00000000">
      <w:pPr>
        <w:jc w:val="both"/>
      </w:pPr>
      <w:r>
        <w:t xml:space="preserve">                                                                  </w:t>
      </w:r>
    </w:p>
    <w:p w:rsidR="00153512" w:rsidRDefault="00000000">
      <w:pPr>
        <w:jc w:val="both"/>
      </w:pPr>
      <w:r>
        <w:t xml:space="preserve">                                                                 Lina Abu Tair</w:t>
      </w:r>
    </w:p>
    <w:p w:rsidR="00153512" w:rsidRDefault="00000000">
      <w:pPr>
        <w:jc w:val="both"/>
      </w:pPr>
      <w:r>
        <w:t xml:space="preserve">                                                                 Assignment 1</w:t>
      </w:r>
    </w:p>
    <w:p w:rsidR="00153512" w:rsidRDefault="00153512">
      <w:pPr>
        <w:jc w:val="both"/>
      </w:pPr>
    </w:p>
    <w:p w:rsidR="00153512" w:rsidRDefault="00000000">
      <w:pPr>
        <w:jc w:val="both"/>
      </w:pPr>
      <w:r>
        <w:t xml:space="preserve">                                                                  21/07/2023 </w:t>
      </w:r>
    </w:p>
    <w:p w:rsidR="00153512" w:rsidRDefault="00153512">
      <w:pPr>
        <w:spacing w:line="360" w:lineRule="auto"/>
        <w:jc w:val="both"/>
      </w:pPr>
    </w:p>
    <w:p w:rsidR="00153512" w:rsidRDefault="00000000">
      <w:pPr>
        <w:spacing w:line="360" w:lineRule="auto"/>
        <w:jc w:val="both"/>
      </w:pPr>
      <w:r>
        <w:lastRenderedPageBreak/>
        <w:t xml:space="preserve">The intention to make legal commitments is also known as the intention to create legal relations. It is judged by assumptions, clear evidence and </w:t>
      </w:r>
      <w:r w:rsidR="009E166A">
        <w:t>certainty in</w:t>
      </w:r>
      <w:r>
        <w:t xml:space="preserve"> willingness to do so. From a social and public point of view, the intention is not presumptive and refutable by evidence, promise and certainty in terms and wilfulness. In commercial agreements however, you must intend to abide by any verbal or written agreement between the parties because an agreement that is not in writing is as valid as one that is (Saintier, 2021). This essay is going to critically discuss the courts approach in finding an intention to create legal relations in domestic, commercial and public body cases. </w:t>
      </w:r>
    </w:p>
    <w:p w:rsidR="00153512" w:rsidRDefault="00153512">
      <w:pPr>
        <w:spacing w:line="360" w:lineRule="auto"/>
        <w:jc w:val="both"/>
      </w:pPr>
    </w:p>
    <w:p w:rsidR="00153512" w:rsidRDefault="00000000">
      <w:pPr>
        <w:spacing w:line="360" w:lineRule="auto"/>
        <w:jc w:val="both"/>
      </w:pPr>
      <w:r>
        <w:t xml:space="preserve">In domestic cases such as </w:t>
      </w:r>
      <w:r>
        <w:rPr>
          <w:i/>
        </w:rPr>
        <w:t>Balfour v Balfour</w:t>
      </w:r>
      <w:r>
        <w:t xml:space="preserve"> [1919], A husband failed to fulfil a promise to pay maintenance costs of 30 pounds per month despite the agreement being verbal at home. The contract was not written and the promise had no legal consequences. Atkin LJ outlined that the law does not regulate day to day agreements between spouses and requires there to be an intention to establish legal relations between them, rather than a mere agreement.</w:t>
      </w:r>
    </w:p>
    <w:p w:rsidR="00153512" w:rsidRDefault="00153512">
      <w:pPr>
        <w:spacing w:line="360" w:lineRule="auto"/>
        <w:jc w:val="both"/>
      </w:pPr>
    </w:p>
    <w:p w:rsidR="00153512" w:rsidRDefault="00000000">
      <w:pPr>
        <w:spacing w:line="360" w:lineRule="auto"/>
        <w:jc w:val="both"/>
      </w:pPr>
      <w:r>
        <w:t xml:space="preserve">Another domestic case is </w:t>
      </w:r>
      <w:r>
        <w:rPr>
          <w:i/>
        </w:rPr>
        <w:t>Jones v Padavatton</w:t>
      </w:r>
      <w:r>
        <w:t xml:space="preserve"> [1969]. A mother gave her daughter a monthly allowance for the duration of her studies and bought a house for her daughter to live in. There was no contract or written agreement between them. The daughter failed to study and the mother quarrelled with her daughter and the mother took possession of the house. Danckwerts LJ found that there was not enough evidence for the case, the court considered the appeal that there was no agreement to suggest a binding legal relation, although the possibility of rebutting this proposition is possible. </w:t>
      </w:r>
    </w:p>
    <w:p w:rsidR="00153512" w:rsidRDefault="00153512">
      <w:pPr>
        <w:spacing w:line="360" w:lineRule="auto"/>
        <w:jc w:val="both"/>
      </w:pPr>
    </w:p>
    <w:p w:rsidR="00153512" w:rsidRDefault="00000000">
      <w:pPr>
        <w:spacing w:line="360" w:lineRule="auto"/>
        <w:jc w:val="both"/>
      </w:pPr>
      <w:r>
        <w:t xml:space="preserve">In </w:t>
      </w:r>
      <w:r>
        <w:rPr>
          <w:i/>
        </w:rPr>
        <w:t xml:space="preserve">Merritt v Merritt </w:t>
      </w:r>
      <w:r>
        <w:t>[1970</w:t>
      </w:r>
      <w:r w:rsidR="009E166A">
        <w:t>],</w:t>
      </w:r>
      <w:r>
        <w:t xml:space="preserve"> an intention to create legal relations was found between a couple to make the necessary arrangements for legal procedures, but it was considered they are separated and intended to establish legal relations. In this case, Lord Denning said that the wife has the right to file a claim against the agreement because she is the one who pays the mortgage, and she has the right to act. With regards to this case and other similar cases where the couple have separated, or are in the process of separating, the courts seem to be of the view that the spouses undoubtedly intend to create legally binding agreements, to organise their property and any financial or </w:t>
      </w:r>
      <w:r w:rsidR="009E166A">
        <w:t>non-financial</w:t>
      </w:r>
      <w:r>
        <w:t xml:space="preserve"> affairs between them. </w:t>
      </w:r>
    </w:p>
    <w:p w:rsidR="00153512" w:rsidRDefault="00000000">
      <w:pPr>
        <w:spacing w:line="360" w:lineRule="auto"/>
        <w:jc w:val="both"/>
      </w:pPr>
      <w:r>
        <w:lastRenderedPageBreak/>
        <w:t>Moreover, the presence of the wife’s obligation to pay the mortgage instalments and the signed written agreement between them, were two crucial reasons for the court of appeal’s decision to establish legal relations with the presence of intention (Merkin and Saintier, 2019).</w:t>
      </w:r>
    </w:p>
    <w:p w:rsidR="00153512" w:rsidRDefault="00153512">
      <w:pPr>
        <w:spacing w:line="360" w:lineRule="auto"/>
        <w:jc w:val="both"/>
      </w:pPr>
    </w:p>
    <w:p w:rsidR="00153512" w:rsidRDefault="00000000">
      <w:pPr>
        <w:spacing w:line="360" w:lineRule="auto"/>
        <w:jc w:val="both"/>
      </w:pPr>
      <w:r>
        <w:t xml:space="preserve">The Court of Appeal outlined that the key difference between the cases of Balfour and Merritt is that the parties in Merritt were separated at the time of the agreement, contrary to Balfour. It is generally considered that when spouses have separated that they intend to be legally bound by their agreements. </w:t>
      </w:r>
    </w:p>
    <w:p w:rsidR="00153512" w:rsidRDefault="00153512">
      <w:pPr>
        <w:spacing w:line="360" w:lineRule="auto"/>
        <w:jc w:val="both"/>
      </w:pPr>
    </w:p>
    <w:p w:rsidR="00153512" w:rsidRDefault="00000000">
      <w:pPr>
        <w:spacing w:line="360" w:lineRule="auto"/>
        <w:jc w:val="both"/>
      </w:pPr>
      <w:r>
        <w:t xml:space="preserve">The case of </w:t>
      </w:r>
      <w:r>
        <w:rPr>
          <w:i/>
        </w:rPr>
        <w:t xml:space="preserve">Simpkins v Pays </w:t>
      </w:r>
      <w:r>
        <w:t>[1955], is an example of a social relation between unrelated persons in which the compliance with the law in the agreement is not rebuttable. The plaintiff entered into an agreement with the defendant who is the landlord of the house that she was boarding at. The agreement was for them to share a cash prize in the event of them winning a newspaper competition. On winning one of the competitions, Ms.Pays refused to share the cash prize as per the agreement, which led Ms. Simpkins to demand a third of the amount that was won. Ms. Pays claimed that she did not intend to legally abide by the agreement. The court upheld the claim and considered that everyone participated in the competition with the expectation of sharing the prize among them. By applying the court's decision to social or domestic agreements, it can be assumed that the parties do not intend to establish legal relations sometimes because the agreement is verbal between them. It is thus for the courts to decide, based on events, that the assumption must be refuted with the establishment of legal relations with the presence of intention (Elliott and Quinn, 2019).</w:t>
      </w:r>
    </w:p>
    <w:p w:rsidR="00153512" w:rsidRDefault="00153512">
      <w:pPr>
        <w:spacing w:line="360" w:lineRule="auto"/>
        <w:jc w:val="both"/>
      </w:pPr>
    </w:p>
    <w:p w:rsidR="00153512" w:rsidRDefault="00000000">
      <w:pPr>
        <w:spacing w:line="360" w:lineRule="auto"/>
        <w:jc w:val="both"/>
      </w:pPr>
      <w:r>
        <w:t xml:space="preserve">Contrary to domestic cases, the courts tend to find that in most commercial cases there is an intention to create legal relations between the parties. </w:t>
      </w:r>
      <w:r>
        <w:rPr>
          <w:i/>
        </w:rPr>
        <w:t>Esso Petroleum Ltd v Commissioners of Customs and Excise</w:t>
      </w:r>
      <w:r>
        <w:t xml:space="preserve"> [1976] is an example of a commercial case. Esso planned to promote his sales in exchange for the garage owners giving away a free World Cup coin every four gallons of gasoline. Tax and customs were demanded on the cash because they were produced in large quantities, but the coins were not sold due to a dispute over establishing the case contract. However, the currency transfer was not money but a pledge. The customer entered into it as a guaranteed contract to buy gasoline, moreover, the court found there was an intention to establish legal relations, however some disagreed about that because the </w:t>
      </w:r>
      <w:r>
        <w:lastRenderedPageBreak/>
        <w:t>arrangement was put in the context of commercial relations and some argued about the frivolity of the deal and the desire for trial. There is a test of intent to prove legal relations and the reason for the contract was to buy gasoline to obtain coins (Merkin, 2019). So, in commercial agreements there is a strong presumption that the parties intend to abide by the law even if there is no clear evidence to this. This assumption is due to the fact that any party to a commercial agreement would want to protect itself and be able to sue the other party in the event of a breach.</w:t>
      </w:r>
    </w:p>
    <w:p w:rsidR="00153512" w:rsidRDefault="00153512">
      <w:pPr>
        <w:spacing w:line="360" w:lineRule="auto"/>
        <w:jc w:val="both"/>
      </w:pPr>
    </w:p>
    <w:p w:rsidR="00153512" w:rsidRDefault="00000000">
      <w:pPr>
        <w:spacing w:line="360" w:lineRule="auto"/>
        <w:jc w:val="both"/>
      </w:pPr>
      <w:r>
        <w:t xml:space="preserve"> In </w:t>
      </w:r>
      <w:r>
        <w:rPr>
          <w:i/>
        </w:rPr>
        <w:t>Edwards v Skyways</w:t>
      </w:r>
      <w:r>
        <w:t xml:space="preserve"> [1964], the plaintiff worked as an airline pilot, they gave him notice 3 months ago to leave the contract. The plaintiff chose to withdraw his contribution with a tip or take the fees at the age of fifty but he breached a contract and filed a claim. Moreover, the intention to establish legal relations between the company and its employees is not applied in the event of an enforceable work contract while the burden of proof in violating the assumption that there is an intention to establish legal relations in the business rests with the responsibility of the party who wants to cancel the contract. The judge refused, relying on notes related to the case that failure of the existence of an intention to establish legal relations that will be the responsibility of the bank, and the contract does not matter whether bilateral or unilateral when the contract is between two parties in case of assuming a contractual relationship, it will be a strong assumption of legal commitment in the commercial context (Richards, 2019).</w:t>
      </w:r>
    </w:p>
    <w:p w:rsidR="00153512" w:rsidRDefault="00153512">
      <w:pPr>
        <w:spacing w:line="360" w:lineRule="auto"/>
        <w:jc w:val="both"/>
      </w:pPr>
    </w:p>
    <w:p w:rsidR="00153512" w:rsidRDefault="009E166A">
      <w:pPr>
        <w:spacing w:line="360" w:lineRule="auto"/>
        <w:jc w:val="both"/>
      </w:pPr>
      <w:r>
        <w:t>Furthermore, in</w:t>
      </w:r>
      <w:r>
        <w:rPr>
          <w:i/>
        </w:rPr>
        <w:t xml:space="preserve"> Rose and Frank Co v JR Crompton Bros Ltd </w:t>
      </w:r>
      <w:r>
        <w:t>[1925] The case involved an exchange of goods between England and the United States, but no legal or formal agreement has been arranged between them. The application of the law to the courts in both countries will be nothing but a clear aim, a clear registration, and the intent of the parties, with each of them undertaking to honourable themselves with confidence, and mutual loyalty and friendly cooperation between them. But when the company breached the contract, the House of Lords dealt with the actual transactions under an agency agreement which provided for the ordinary legal rights of an obligation to deliver goods and accept orders and also pay for goods on delivery, it is possible to assume the existence of the intention and refute it from the clause in the agreement explicitly, but the opinion because the clause in the paradoxes has no legal force. If the agreement is found and included there is no contract.</w:t>
      </w:r>
    </w:p>
    <w:p w:rsidR="00153512" w:rsidRDefault="00153512">
      <w:pPr>
        <w:spacing w:line="360" w:lineRule="auto"/>
        <w:jc w:val="both"/>
      </w:pPr>
    </w:p>
    <w:p w:rsidR="00153512" w:rsidRDefault="00000000">
      <w:pPr>
        <w:spacing w:line="360" w:lineRule="auto"/>
        <w:jc w:val="both"/>
      </w:pPr>
      <w:r>
        <w:t xml:space="preserve">In </w:t>
      </w:r>
      <w:r>
        <w:rPr>
          <w:i/>
        </w:rPr>
        <w:t>Kleinwort Benson v Malaysian Mining Corp</w:t>
      </w:r>
      <w:r>
        <w:t xml:space="preserve"> [1989], a letter of comfort was presented by the bank merchant to a subsidiary company stating the fulfilment of the two obligations to the main company. It is clear that the agreement is a commercial agreement therefore the presumption of the existence of the intent to form legal relations can be refuted by the letter of comfort as the wording in it does not mean any promises due to the possibility of subtle differences. The court of appeal ruled that it is not legally enforceable; it does not stipulate a promise.</w:t>
      </w:r>
    </w:p>
    <w:p w:rsidR="00153512" w:rsidRDefault="00153512">
      <w:pPr>
        <w:spacing w:line="360" w:lineRule="auto"/>
        <w:jc w:val="both"/>
      </w:pPr>
    </w:p>
    <w:p w:rsidR="00153512" w:rsidRDefault="00000000">
      <w:pPr>
        <w:spacing w:line="360" w:lineRule="auto"/>
        <w:jc w:val="both"/>
      </w:pPr>
      <w:r>
        <w:t xml:space="preserve">In </w:t>
      </w:r>
      <w:r>
        <w:rPr>
          <w:i/>
        </w:rPr>
        <w:t>ERDC Group Ltd v Brunel University</w:t>
      </w:r>
      <w:r>
        <w:t xml:space="preserve"> [</w:t>
      </w:r>
      <w:r w:rsidR="009E166A">
        <w:t>2006] The</w:t>
      </w:r>
      <w:r>
        <w:t xml:space="preserve"> plaintiff filed a claim because the works were not according to the letters of an appointment and he wanted an entitlement to be paid on the basis of the works, however, in the letters a contract was not concluded because there was no agreement in which there were basic conditions. The problem is related to issues of quantitative payment being paid to the plaintiff.  The court decided to review prices, rates and work costs, taking into account the risks to avoid duplication. Furthermore, the possibilities of there being a contract were not dealt with because the contractual agreement was incomplete, thus the conclusion of the contract was not possible. </w:t>
      </w:r>
      <w:r w:rsidR="009E166A">
        <w:t>However, s.179</w:t>
      </w:r>
      <w:r>
        <w:t xml:space="preserve"> of the Trade Union &amp; Labour Relations (Consolidation) Act 1992 provides a statutory exception to this.</w:t>
      </w:r>
      <w:r>
        <w:rPr>
          <w:vertAlign w:val="superscript"/>
        </w:rPr>
        <w:t xml:space="preserve"> </w:t>
      </w:r>
      <w:r>
        <w:t xml:space="preserve">Under this section, the preventive damages </w:t>
      </w:r>
      <w:r w:rsidR="009E166A">
        <w:t>for non</w:t>
      </w:r>
      <w:r>
        <w:t xml:space="preserve"> – compliance in trade union and labour relations that occurred prior to the liquidation of the company and the company’s contingent liabilities in the rules. However, the company terminated the workers’ jobs without consulting them. From a legal point of view, this is not permissible; the court issued a preventive decision to work for the employees.  The aim of the arbitration decision is to provide a penalty to the employer, the ruling is appropriate because the defendant did not consult the claimant so he bears the responsibility of paying the protection compensation. This is an example of a collective bargaining agreement which may rebut the presumption, as it aims to settle conflict between employees and their employers. </w:t>
      </w:r>
    </w:p>
    <w:p w:rsidR="00153512" w:rsidRDefault="00153512">
      <w:pPr>
        <w:spacing w:line="360" w:lineRule="auto"/>
        <w:jc w:val="both"/>
      </w:pPr>
    </w:p>
    <w:p w:rsidR="00153512" w:rsidRDefault="00000000">
      <w:pPr>
        <w:spacing w:line="360" w:lineRule="auto"/>
        <w:jc w:val="both"/>
      </w:pPr>
      <w:r>
        <w:rPr>
          <w:i/>
        </w:rPr>
        <w:t>Willmore v South Eastern Electricity Board</w:t>
      </w:r>
      <w:r>
        <w:t xml:space="preserve"> [1957], in this case the plaintiff from farmers were facing violations in the current presented by the defendants, in order to solve the issue legally, a warranty agreement must be established on the basis of dialogues that arose between the two parties, but the employers did not abide by the law because the work did not form part </w:t>
      </w:r>
      <w:r>
        <w:lastRenderedPageBreak/>
        <w:t xml:space="preserve">of the contract. </w:t>
      </w:r>
      <w:r>
        <w:rPr>
          <w:i/>
        </w:rPr>
        <w:t>Triefus v Post office</w:t>
      </w:r>
      <w:r>
        <w:t xml:space="preserve"> [1957], the post office manager did not conclude a contract with any worker entrusting the post office with a mail package to send it abroad. A worker stole packages so the company demanded compensation claiming that the contract was breached. Hodson LJ confirmed that there was no contract between the company and the post office, and there are no links to the contract implicitly or explicitly according to the law. There is no evidence to suggest that there was a contract between the post office and claimant. The terms of the postal guide may not create a contract except that there is no contractual intention from the company to receive the package and the post office receives it. </w:t>
      </w:r>
      <w:r>
        <w:rPr>
          <w:i/>
        </w:rPr>
        <w:t xml:space="preserve">Robinson v HM Customs and Excise </w:t>
      </w:r>
      <w:r>
        <w:t xml:space="preserve">[2000], Mr. Robinson faced problems with the medical profession and needed expensive treatment that he could not secure. The claimant filed a claim but it got </w:t>
      </w:r>
      <w:r w:rsidR="009E166A">
        <w:t>rejected.</w:t>
      </w:r>
      <w:r>
        <w:t xml:space="preserve"> He had to file a claim with legal advice or the legal consultation centre to assist him submit his complaint in a real and clear manner with the civil procedures and determine the party he wants to file a case against whether it is the national health services.</w:t>
      </w:r>
    </w:p>
    <w:p w:rsidR="00153512" w:rsidRDefault="00153512">
      <w:pPr>
        <w:spacing w:line="360" w:lineRule="auto"/>
        <w:jc w:val="both"/>
      </w:pPr>
    </w:p>
    <w:p w:rsidR="00153512" w:rsidRDefault="00000000">
      <w:pPr>
        <w:spacing w:line="360" w:lineRule="auto"/>
        <w:jc w:val="both"/>
      </w:pPr>
      <w:r>
        <w:t xml:space="preserve">In conclusion, the existence of a contract and the intention to create legal relations can be concluded in most cases from any verbal or written agreements amongst the parties in order to clearly rule on cases. There are however social and family issues that are not easy to pass judgement on compared to commercial and public cases, because there are contracts in some way even with the existence of problems between them. </w:t>
      </w:r>
    </w:p>
    <w:p w:rsidR="00153512" w:rsidRDefault="00153512">
      <w:pPr>
        <w:spacing w:line="360" w:lineRule="auto"/>
        <w:jc w:val="both"/>
      </w:pPr>
    </w:p>
    <w:p w:rsidR="00153512" w:rsidRDefault="00153512">
      <w:pPr>
        <w:spacing w:line="360" w:lineRule="auto"/>
        <w:jc w:val="both"/>
      </w:pPr>
    </w:p>
    <w:p w:rsidR="00153512" w:rsidRDefault="00000000">
      <w:pPr>
        <w:spacing w:line="360" w:lineRule="auto"/>
        <w:jc w:val="both"/>
        <w:rPr>
          <w:sz w:val="40"/>
          <w:szCs w:val="40"/>
        </w:rPr>
      </w:pPr>
      <w:r>
        <w:rPr>
          <w:sz w:val="40"/>
          <w:szCs w:val="40"/>
        </w:rPr>
        <w:t>References</w:t>
      </w:r>
    </w:p>
    <w:p w:rsidR="00153512" w:rsidRDefault="00000000">
      <w:pPr>
        <w:spacing w:line="360" w:lineRule="auto"/>
        <w:jc w:val="both"/>
        <w:rPr>
          <w:sz w:val="40"/>
          <w:szCs w:val="40"/>
        </w:rPr>
      </w:pPr>
      <w:r>
        <w:rPr>
          <w:sz w:val="36"/>
          <w:szCs w:val="36"/>
        </w:rPr>
        <w:t>Cases</w:t>
      </w:r>
      <w:r>
        <w:rPr>
          <w:sz w:val="40"/>
          <w:szCs w:val="40"/>
        </w:rPr>
        <w:t xml:space="preserve"> </w:t>
      </w:r>
    </w:p>
    <w:p w:rsidR="00153512" w:rsidRDefault="00000000">
      <w:r>
        <w:t>Balfour v Balfour [1919] 2 KB 571</w:t>
      </w:r>
    </w:p>
    <w:p w:rsidR="00153512" w:rsidRDefault="00000000">
      <w:pPr>
        <w:spacing w:line="360" w:lineRule="auto"/>
      </w:pPr>
      <w:r>
        <w:t xml:space="preserve">Available at: </w:t>
      </w:r>
      <w:r>
        <w:rPr>
          <w:u w:val="single"/>
        </w:rPr>
        <w:t>https://plus-lexis-com.ezproxy.uwtsd.ac.uk/uk/document/documentlink/?pdmfid=1001073&amp;crid=a0f9b1bb-3ac7-407e-b9ca-75d6d181172b&amp;pddocfullpath=%2Fshared%2Fdocument%2Fcases-uk%2Furn%3AcontentItem%3A4FPP-FFM0-TWXJ-20GV-00000-00&amp;pdcontentcomponentid=279846&amp;pdpr</w:t>
      </w:r>
    </w:p>
    <w:p w:rsidR="00153512" w:rsidRDefault="00153512"/>
    <w:p w:rsidR="00153512" w:rsidRDefault="00000000">
      <w:r>
        <w:lastRenderedPageBreak/>
        <w:t>ERDC Group Ltd v Brunel University [2006] EWHC 687</w:t>
      </w:r>
    </w:p>
    <w:p w:rsidR="00153512" w:rsidRDefault="00000000">
      <w:pPr>
        <w:spacing w:line="360" w:lineRule="auto"/>
      </w:pPr>
      <w:r>
        <w:t xml:space="preserve">Division, Q. B., 2017. </w:t>
      </w:r>
      <w:r>
        <w:rPr>
          <w:i/>
        </w:rPr>
        <w:t xml:space="preserve">ERDC Group Ltd v Brunel University [2006] All ER (D) 468 (Mar). </w:t>
      </w:r>
      <w:r>
        <w:t xml:space="preserve">[Online] </w:t>
      </w:r>
      <w:r>
        <w:br/>
        <w:t xml:space="preserve">Available at: </w:t>
      </w:r>
      <w:r>
        <w:rPr>
          <w:u w:val="single"/>
        </w:rPr>
        <w:t>https://plus-lexis-com.ezproxy.uwtsd.ac.uk/api/permalink/57066a7a-4331-4911-8d4f-6eb452ba619c/?context=1001073</w:t>
      </w:r>
    </w:p>
    <w:p w:rsidR="00153512" w:rsidRDefault="00000000">
      <w:r>
        <w:t>Edwards v Skyways [1964] 1 WLR 349</w:t>
      </w:r>
    </w:p>
    <w:p w:rsidR="00153512" w:rsidRDefault="00153512"/>
    <w:p w:rsidR="00153512" w:rsidRDefault="00000000">
      <w:r>
        <w:t>Esso Petroleum Ltd v Commissioners of Customs and Excise [1976] 1 WLR</w:t>
      </w:r>
    </w:p>
    <w:p w:rsidR="00153512" w:rsidRDefault="00000000">
      <w:pPr>
        <w:spacing w:line="360" w:lineRule="auto"/>
      </w:pPr>
      <w:r>
        <w:t xml:space="preserve">Quinn, F., 2019. Commercial agreements Esso v Commissioners of Customs and Excise. In: </w:t>
      </w:r>
      <w:r>
        <w:rPr>
          <w:i/>
        </w:rPr>
        <w:t xml:space="preserve">Contract Law. </w:t>
      </w:r>
      <w:r>
        <w:t>s.l.:s.n.</w:t>
      </w:r>
    </w:p>
    <w:p w:rsidR="00153512" w:rsidRDefault="00153512"/>
    <w:p w:rsidR="00153512" w:rsidRDefault="00000000">
      <w:r>
        <w:t>Jones v Padavatton [1969</w:t>
      </w:r>
      <w:r w:rsidR="009E166A">
        <w:t>] 1</w:t>
      </w:r>
      <w:r>
        <w:t xml:space="preserve"> WLR 325</w:t>
      </w:r>
    </w:p>
    <w:p w:rsidR="00153512" w:rsidRDefault="00000000">
      <w:r>
        <w:t>Kleinwort Benson v Malaysian Mining Corp [1989] 1 WLR 379</w:t>
      </w:r>
    </w:p>
    <w:p w:rsidR="00153512" w:rsidRDefault="00153512"/>
    <w:p w:rsidR="00153512" w:rsidRDefault="00000000">
      <w:r>
        <w:t>Merritt v Merritt [1970] 2 AII ER 760</w:t>
      </w:r>
    </w:p>
    <w:p w:rsidR="00153512" w:rsidRDefault="00000000">
      <w:pPr>
        <w:spacing w:line="360" w:lineRule="auto"/>
      </w:pPr>
      <w:r>
        <w:t xml:space="preserve">LORD DENNING MR, W. A. K. L., 1970. </w:t>
      </w:r>
      <w:r>
        <w:rPr>
          <w:i/>
        </w:rPr>
        <w:t xml:space="preserve">Merritt v Merritt. </w:t>
      </w:r>
      <w:r>
        <w:t xml:space="preserve">[Online] </w:t>
      </w:r>
      <w:r>
        <w:br/>
        <w:t xml:space="preserve">Available at: </w:t>
      </w:r>
      <w:r>
        <w:rPr>
          <w:u w:val="single"/>
        </w:rPr>
        <w:t>https://plus-lexis-com.ezproxy.uwtsd.ac.uk/uk/document/documentlink/?pdmfid=1001073&amp;crid=5d42e133-a9ed-4324-a51b-f270b4d3d048&amp;pddocfullpath=%2Fshared%2Fdocument%2Fcases-uk%2Furn%3AcontentItem%3A4CSP-35T0-TWP1-605S-00000-00&amp;pdcontentcomponentid=274668&amp;pdpr</w:t>
      </w:r>
    </w:p>
    <w:p w:rsidR="00153512" w:rsidRDefault="00153512"/>
    <w:p w:rsidR="00153512" w:rsidRDefault="00000000">
      <w:r>
        <w:t>Robinson v HM Customs and Excise [2000] The Times 28 April</w:t>
      </w:r>
    </w:p>
    <w:p w:rsidR="00153512" w:rsidRDefault="00153512"/>
    <w:p w:rsidR="00153512" w:rsidRDefault="00000000">
      <w:r>
        <w:t>Rose and Frank Co v JR Crompton Bros Ltd [1925] AC 445</w:t>
      </w:r>
    </w:p>
    <w:p w:rsidR="00153512" w:rsidRDefault="00000000">
      <w:pPr>
        <w:spacing w:line="360" w:lineRule="auto"/>
      </w:pPr>
      <w:r>
        <w:t xml:space="preserve">EARL OF BIRKENHEAD, L. A. L. S., </w:t>
      </w:r>
      <w:r w:rsidR="009E166A">
        <w:t>2017.</w:t>
      </w:r>
      <w:r>
        <w:t xml:space="preserve"> </w:t>
      </w:r>
      <w:r>
        <w:rPr>
          <w:i/>
        </w:rPr>
        <w:t xml:space="preserve">Rose and Frank Co v JR Crompton &amp; Bros Ltd Rose and Frank Co v JR Crompton &amp; Bros Ltd [1925] AC 445, [1924]. </w:t>
      </w:r>
      <w:r>
        <w:t xml:space="preserve">[Online] </w:t>
      </w:r>
      <w:r>
        <w:br/>
        <w:t xml:space="preserve">Available at: </w:t>
      </w:r>
      <w:r>
        <w:rPr>
          <w:u w:val="single"/>
        </w:rPr>
        <w:t>https://plus-lexis-com.ezproxy.uwtsd.ac.uk/uk/document/documentlink/?pdmfid=1001073&amp;crid=1f6a099a-2f16-4e0d-a3bd-7233d94c36f3&amp;pddocfullpath=%2Fshared%2Fdocument%2Fcases-uk%2Furn%3AcontentItem%3A4K4W-PD50-TXD8-60K2-00000-00&amp;pdcontentcomponentid=296986&amp;pdpr</w:t>
      </w:r>
      <w:r>
        <w:br/>
      </w:r>
    </w:p>
    <w:p w:rsidR="00153512" w:rsidRDefault="00000000">
      <w:r>
        <w:t>Simpkins v Pays [1955] 1 WLR 975</w:t>
      </w:r>
    </w:p>
    <w:p w:rsidR="00153512" w:rsidRDefault="00000000">
      <w:r>
        <w:t>Triefus v Post office [1957] 2 QB 352 2 AII ER 387</w:t>
      </w:r>
    </w:p>
    <w:p w:rsidR="00153512" w:rsidRDefault="00000000">
      <w:r>
        <w:t>Willmore v South Eastern Electricity Board [1957] 2 Lloyd’s Rep 375</w:t>
      </w:r>
    </w:p>
    <w:p w:rsidR="00153512" w:rsidRDefault="00153512">
      <w:pPr>
        <w:rPr>
          <w:i/>
        </w:rPr>
      </w:pPr>
    </w:p>
    <w:p w:rsidR="00153512" w:rsidRDefault="00000000">
      <w:pPr>
        <w:spacing w:line="360" w:lineRule="auto"/>
        <w:jc w:val="both"/>
        <w:rPr>
          <w:sz w:val="36"/>
          <w:szCs w:val="36"/>
        </w:rPr>
      </w:pPr>
      <w:r>
        <w:rPr>
          <w:sz w:val="36"/>
          <w:szCs w:val="36"/>
        </w:rPr>
        <w:lastRenderedPageBreak/>
        <w:t>Books</w:t>
      </w:r>
    </w:p>
    <w:p w:rsidR="00153512" w:rsidRDefault="00000000">
      <w:r>
        <w:t xml:space="preserve">Elliot and Quinn (2019) </w:t>
      </w:r>
      <w:r>
        <w:rPr>
          <w:i/>
        </w:rPr>
        <w:t xml:space="preserve">Contract law. </w:t>
      </w:r>
      <w:r>
        <w:t xml:space="preserve">12th edn. Pearson Publishing </w:t>
      </w:r>
    </w:p>
    <w:p w:rsidR="00153512" w:rsidRDefault="00000000">
      <w:r>
        <w:rPr>
          <w:i/>
        </w:rPr>
        <w:t xml:space="preserve">Merkin and Saintier </w:t>
      </w:r>
      <w:r>
        <w:t>(2019) Poole’s Textbook on Contract law. 14th edn. Oxford. Oxford University Press</w:t>
      </w:r>
    </w:p>
    <w:p w:rsidR="00153512" w:rsidRDefault="00000000">
      <w:r>
        <w:t xml:space="preserve">Richards, P. (2019) </w:t>
      </w:r>
      <w:r>
        <w:rPr>
          <w:i/>
        </w:rPr>
        <w:t xml:space="preserve">Law of Contracts. </w:t>
      </w:r>
      <w:r>
        <w:t>14th edn. Pearson Publishing</w:t>
      </w:r>
    </w:p>
    <w:p w:rsidR="00153512" w:rsidRDefault="00153512">
      <w:pPr>
        <w:rPr>
          <w:sz w:val="20"/>
          <w:szCs w:val="20"/>
        </w:rPr>
      </w:pPr>
    </w:p>
    <w:p w:rsidR="00153512" w:rsidRDefault="00000000">
      <w:pPr>
        <w:rPr>
          <w:sz w:val="36"/>
          <w:szCs w:val="36"/>
        </w:rPr>
      </w:pPr>
      <w:r>
        <w:rPr>
          <w:sz w:val="36"/>
          <w:szCs w:val="36"/>
        </w:rPr>
        <w:t>Acts</w:t>
      </w:r>
    </w:p>
    <w:p w:rsidR="00153512" w:rsidRDefault="00153512">
      <w:pPr>
        <w:rPr>
          <w:sz w:val="40"/>
          <w:szCs w:val="40"/>
        </w:rPr>
      </w:pPr>
    </w:p>
    <w:p w:rsidR="00153512" w:rsidRDefault="00000000">
      <w:r>
        <w:t>Trade Union &amp; Labour Relations (Consolidation) Act 1992</w:t>
      </w:r>
    </w:p>
    <w:p w:rsidR="00153512" w:rsidRDefault="00153512">
      <w:pPr>
        <w:rPr>
          <w:sz w:val="40"/>
          <w:szCs w:val="40"/>
        </w:rPr>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spacing w:line="360" w:lineRule="auto"/>
        <w:jc w:val="both"/>
      </w:pPr>
    </w:p>
    <w:p w:rsidR="00153512" w:rsidRDefault="00153512">
      <w:pPr>
        <w:jc w:val="both"/>
      </w:pPr>
    </w:p>
    <w:p w:rsidR="00153512" w:rsidRDefault="00153512">
      <w:pPr>
        <w:jc w:val="both"/>
      </w:pPr>
    </w:p>
    <w:p w:rsidR="00153512" w:rsidRDefault="00153512">
      <w:pPr>
        <w:jc w:val="both"/>
      </w:pPr>
    </w:p>
    <w:sectPr w:rsidR="00153512">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512"/>
    <w:rsid w:val="00153512"/>
    <w:rsid w:val="004E08D4"/>
    <w:rsid w:val="008D43B7"/>
    <w:rsid w:val="009E16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docId w15:val="{A3272F36-7D25-004B-A75E-3127ACCA9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D9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4454C4"/>
    <w:rPr>
      <w:rFonts w:eastAsiaTheme="minorEastAsia"/>
      <w:sz w:val="22"/>
      <w:szCs w:val="22"/>
      <w:lang w:val="en-US" w:eastAsia="zh-CN"/>
    </w:rPr>
  </w:style>
  <w:style w:type="character" w:customStyle="1" w:styleId="NoSpacingChar">
    <w:name w:val="No Spacing Char"/>
    <w:basedOn w:val="DefaultParagraphFont"/>
    <w:link w:val="NoSpacing"/>
    <w:uiPriority w:val="1"/>
    <w:rsid w:val="004454C4"/>
    <w:rPr>
      <w:rFonts w:eastAsiaTheme="minorEastAsia"/>
      <w:sz w:val="22"/>
      <w:szCs w:val="22"/>
      <w:lang w:val="en-US" w:eastAsia="zh-CN"/>
    </w:rPr>
  </w:style>
  <w:style w:type="paragraph" w:styleId="ListParagraph">
    <w:name w:val="List Paragraph"/>
    <w:basedOn w:val="Normal"/>
    <w:uiPriority w:val="34"/>
    <w:qFormat/>
    <w:rsid w:val="00536520"/>
    <w:pPr>
      <w:ind w:left="720"/>
      <w:contextualSpacing/>
    </w:pPr>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001D9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01D99"/>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5B0780"/>
    <w:rPr>
      <w:sz w:val="16"/>
      <w:szCs w:val="16"/>
    </w:rPr>
  </w:style>
  <w:style w:type="paragraph" w:styleId="CommentText">
    <w:name w:val="annotation text"/>
    <w:basedOn w:val="Normal"/>
    <w:link w:val="CommentTextChar"/>
    <w:uiPriority w:val="99"/>
    <w:unhideWhenUsed/>
    <w:rsid w:val="005B0780"/>
    <w:rPr>
      <w:sz w:val="20"/>
      <w:szCs w:val="20"/>
    </w:rPr>
  </w:style>
  <w:style w:type="character" w:customStyle="1" w:styleId="CommentTextChar">
    <w:name w:val="Comment Text Char"/>
    <w:basedOn w:val="DefaultParagraphFont"/>
    <w:link w:val="CommentText"/>
    <w:uiPriority w:val="99"/>
    <w:rsid w:val="005B0780"/>
    <w:rPr>
      <w:sz w:val="20"/>
      <w:szCs w:val="20"/>
    </w:rPr>
  </w:style>
  <w:style w:type="paragraph" w:styleId="CommentSubject">
    <w:name w:val="annotation subject"/>
    <w:basedOn w:val="CommentText"/>
    <w:next w:val="CommentText"/>
    <w:link w:val="CommentSubjectChar"/>
    <w:uiPriority w:val="99"/>
    <w:semiHidden/>
    <w:unhideWhenUsed/>
    <w:rsid w:val="005B0780"/>
    <w:rPr>
      <w:b/>
      <w:bCs/>
    </w:rPr>
  </w:style>
  <w:style w:type="character" w:customStyle="1" w:styleId="CommentSubjectChar">
    <w:name w:val="Comment Subject Char"/>
    <w:basedOn w:val="CommentTextChar"/>
    <w:link w:val="CommentSubject"/>
    <w:uiPriority w:val="99"/>
    <w:semiHidden/>
    <w:rsid w:val="005B07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k+J7UaWSodwZlopREs4TdVfuwQ==">CgMxLjA4AHIhMUtYMUZCa1BQeExIWmFhdnFWTWtxMUpZODcxWTI0MVpL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2163</Words>
  <Characters>12331</Characters>
  <Application>Microsoft Office Word</Application>
  <DocSecurity>0</DocSecurity>
  <Lines>102</Lines>
  <Paragraphs>28</Paragraphs>
  <ScaleCrop>false</ScaleCrop>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2023-07-21T22:21:00Z</dcterms:created>
  <dcterms:modified xsi:type="dcterms:W3CDTF">2023-07-21T22:21:00Z</dcterms:modified>
</cp:coreProperties>
</file>