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F102F" w14:textId="23772B9D" w:rsidR="003217B9" w:rsidRPr="003217B9" w:rsidRDefault="003217B9" w:rsidP="003217B9">
      <w:pPr>
        <w:jc w:val="center"/>
      </w:pPr>
      <w:r w:rsidRPr="003217B9">
        <w:rPr>
          <w:noProof/>
        </w:rPr>
        <w:drawing>
          <wp:inline distT="0" distB="0" distL="0" distR="0" wp14:anchorId="56069D58" wp14:editId="5F0D7CBC">
            <wp:extent cx="3346450" cy="1346200"/>
            <wp:effectExtent l="0" t="0" r="6350" b="6350"/>
            <wp:docPr id="1500536185" name="Picture 2"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6450" cy="1346200"/>
                    </a:xfrm>
                    <a:prstGeom prst="rect">
                      <a:avLst/>
                    </a:prstGeom>
                    <a:noFill/>
                    <a:ln>
                      <a:noFill/>
                    </a:ln>
                  </pic:spPr>
                </pic:pic>
              </a:graphicData>
            </a:graphic>
          </wp:inline>
        </w:drawing>
      </w:r>
    </w:p>
    <w:p w14:paraId="60ACC565" w14:textId="77777777" w:rsidR="003217B9" w:rsidRPr="003217B9" w:rsidRDefault="003217B9" w:rsidP="003217B9">
      <w:pPr>
        <w:rPr>
          <w:b/>
          <w:bCs/>
        </w:rPr>
      </w:pPr>
    </w:p>
    <w:p w14:paraId="5F1DAA3A" w14:textId="77777777" w:rsidR="003217B9" w:rsidRPr="003217B9" w:rsidRDefault="003217B9" w:rsidP="003217B9">
      <w:pPr>
        <w:rPr>
          <w:b/>
          <w:bCs/>
        </w:rPr>
      </w:pPr>
    </w:p>
    <w:p w14:paraId="10185A8D" w14:textId="77777777" w:rsidR="003217B9" w:rsidRPr="003217B9" w:rsidRDefault="003217B9" w:rsidP="003217B9">
      <w:pPr>
        <w:rPr>
          <w:b/>
          <w:bCs/>
        </w:rPr>
      </w:pPr>
      <w:r w:rsidRPr="003217B9">
        <w:rPr>
          <w:b/>
          <w:bCs/>
        </w:rPr>
        <w:t>Changemakers: Creativity and Value Creation</w:t>
      </w:r>
    </w:p>
    <w:p w14:paraId="115680C8" w14:textId="77777777" w:rsidR="003217B9" w:rsidRPr="003217B9" w:rsidRDefault="003217B9" w:rsidP="003217B9">
      <w:pPr>
        <w:rPr>
          <w:b/>
          <w:bCs/>
        </w:rPr>
      </w:pPr>
      <w:r w:rsidRPr="003217B9">
        <w:rPr>
          <w:b/>
          <w:bCs/>
        </w:rPr>
        <w:t>Professions (BMHP5014)</w:t>
      </w:r>
    </w:p>
    <w:p w14:paraId="4B08C90E" w14:textId="77777777" w:rsidR="003217B9" w:rsidRPr="003217B9" w:rsidRDefault="003217B9" w:rsidP="003217B9">
      <w:pPr>
        <w:rPr>
          <w:b/>
          <w:bCs/>
        </w:rPr>
      </w:pPr>
    </w:p>
    <w:p w14:paraId="0467D5B0" w14:textId="6C217E16" w:rsidR="003217B9" w:rsidRDefault="003217B9" w:rsidP="003217B9">
      <w:r w:rsidRPr="003217B9">
        <w:rPr>
          <w:b/>
          <w:bCs/>
        </w:rPr>
        <w:t>Component 1:</w:t>
      </w:r>
      <w:r w:rsidRPr="003217B9">
        <w:t xml:space="preserve"> </w:t>
      </w:r>
      <w:r w:rsidRPr="003217B9">
        <w:rPr>
          <w:b/>
          <w:bCs/>
        </w:rPr>
        <w:t>Online portfolio of set exercises</w:t>
      </w:r>
    </w:p>
    <w:p w14:paraId="7969AA39" w14:textId="77777777" w:rsidR="003217B9" w:rsidRPr="003217B9" w:rsidRDefault="003217B9" w:rsidP="003217B9"/>
    <w:p w14:paraId="1E7D771D" w14:textId="2D784452" w:rsidR="003217B9" w:rsidRPr="003217B9" w:rsidRDefault="003217B9" w:rsidP="003217B9">
      <w:pPr>
        <w:jc w:val="center"/>
        <w:rPr>
          <w:b/>
          <w:bCs/>
          <w:sz w:val="28"/>
          <w:szCs w:val="28"/>
        </w:rPr>
      </w:pPr>
      <w:r w:rsidRPr="003217B9">
        <w:rPr>
          <w:b/>
          <w:bCs/>
          <w:sz w:val="28"/>
          <w:szCs w:val="28"/>
        </w:rPr>
        <w:t>Student name:</w:t>
      </w:r>
      <w:r w:rsidR="005126F6">
        <w:rPr>
          <w:b/>
          <w:bCs/>
          <w:sz w:val="28"/>
          <w:szCs w:val="28"/>
        </w:rPr>
        <w:t xml:space="preserve"> Teresita Badua Reyes</w:t>
      </w:r>
    </w:p>
    <w:p w14:paraId="4E4F5386" w14:textId="5A619B5F" w:rsidR="003217B9" w:rsidRPr="003217B9" w:rsidRDefault="003217B9" w:rsidP="003217B9">
      <w:pPr>
        <w:jc w:val="center"/>
        <w:rPr>
          <w:b/>
          <w:bCs/>
          <w:sz w:val="28"/>
          <w:szCs w:val="28"/>
        </w:rPr>
      </w:pPr>
      <w:r w:rsidRPr="003217B9">
        <w:rPr>
          <w:b/>
          <w:bCs/>
          <w:sz w:val="28"/>
          <w:szCs w:val="28"/>
        </w:rPr>
        <w:t>Student number:</w:t>
      </w:r>
      <w:r w:rsidR="005126F6">
        <w:rPr>
          <w:b/>
          <w:bCs/>
          <w:sz w:val="28"/>
          <w:szCs w:val="28"/>
        </w:rPr>
        <w:t xml:space="preserve"> 2414276</w:t>
      </w:r>
    </w:p>
    <w:p w14:paraId="54441A2A" w14:textId="47FAE3CB" w:rsidR="003217B9" w:rsidRDefault="003217B9" w:rsidP="003217B9">
      <w:pPr>
        <w:jc w:val="center"/>
        <w:rPr>
          <w:b/>
          <w:bCs/>
          <w:sz w:val="28"/>
          <w:szCs w:val="28"/>
        </w:rPr>
      </w:pPr>
      <w:r w:rsidRPr="003217B9">
        <w:rPr>
          <w:b/>
          <w:bCs/>
          <w:sz w:val="28"/>
          <w:szCs w:val="28"/>
        </w:rPr>
        <w:t>Lecturer’s name:</w:t>
      </w:r>
      <w:r w:rsidR="005126F6">
        <w:rPr>
          <w:b/>
          <w:bCs/>
          <w:sz w:val="28"/>
          <w:szCs w:val="28"/>
        </w:rPr>
        <w:t xml:space="preserve"> Soban Sadiq</w:t>
      </w:r>
    </w:p>
    <w:p w14:paraId="7A4540C6" w14:textId="02B1102D" w:rsidR="003217B9" w:rsidRDefault="003217B9">
      <w:r>
        <w:br w:type="page"/>
      </w:r>
    </w:p>
    <w:sdt>
      <w:sdtPr>
        <w:rPr>
          <w:rFonts w:ascii="Times New Roman" w:eastAsiaTheme="minorHAnsi" w:hAnsi="Times New Roman" w:cstheme="minorBidi"/>
          <w:color w:val="auto"/>
          <w:sz w:val="24"/>
          <w:szCs w:val="24"/>
          <w:lang w:eastAsia="en-US" w:bidi="ar-SA"/>
          <w14:ligatures w14:val="standardContextual"/>
        </w:rPr>
        <w:id w:val="890154351"/>
        <w:docPartObj>
          <w:docPartGallery w:val="Table of Contents"/>
          <w:docPartUnique/>
        </w:docPartObj>
      </w:sdtPr>
      <w:sdtEndPr>
        <w:rPr>
          <w:b/>
          <w:bCs/>
        </w:rPr>
      </w:sdtEndPr>
      <w:sdtContent>
        <w:p w14:paraId="18E3B852" w14:textId="5E9BCFFF" w:rsidR="003217B9" w:rsidRDefault="003217B9">
          <w:pPr>
            <w:pStyle w:val="TOCHeading"/>
          </w:pPr>
          <w:r>
            <w:t>Table of Contents</w:t>
          </w:r>
        </w:p>
        <w:p w14:paraId="3700B6B2" w14:textId="3798C6A2" w:rsidR="003217B9" w:rsidRDefault="003217B9">
          <w:pPr>
            <w:pStyle w:val="TOC1"/>
            <w:tabs>
              <w:tab w:val="right" w:leader="dot" w:pos="9350"/>
            </w:tabs>
            <w:rPr>
              <w:noProof/>
            </w:rPr>
          </w:pPr>
          <w:r>
            <w:fldChar w:fldCharType="begin"/>
          </w:r>
          <w:r>
            <w:instrText xml:space="preserve"> TOC \o "1-3" \h \z \u </w:instrText>
          </w:r>
          <w:r>
            <w:fldChar w:fldCharType="separate"/>
          </w:r>
          <w:hyperlink w:anchor="_Toc233905669" w:history="1">
            <w:r w:rsidRPr="0026285D">
              <w:rPr>
                <w:rStyle w:val="Hyperlink"/>
                <w:noProof/>
              </w:rPr>
              <w:t>Introduction</w:t>
            </w:r>
            <w:r>
              <w:rPr>
                <w:noProof/>
                <w:webHidden/>
              </w:rPr>
              <w:tab/>
            </w:r>
            <w:r>
              <w:rPr>
                <w:noProof/>
                <w:webHidden/>
              </w:rPr>
              <w:fldChar w:fldCharType="begin"/>
            </w:r>
            <w:r>
              <w:rPr>
                <w:noProof/>
                <w:webHidden/>
              </w:rPr>
              <w:instrText xml:space="preserve"> PAGEREF _Toc233905669 \h </w:instrText>
            </w:r>
            <w:r>
              <w:rPr>
                <w:noProof/>
                <w:webHidden/>
              </w:rPr>
            </w:r>
            <w:r>
              <w:rPr>
                <w:noProof/>
                <w:webHidden/>
              </w:rPr>
              <w:fldChar w:fldCharType="separate"/>
            </w:r>
            <w:r w:rsidR="00FC3EAC">
              <w:rPr>
                <w:noProof/>
                <w:webHidden/>
              </w:rPr>
              <w:t>3</w:t>
            </w:r>
            <w:r>
              <w:rPr>
                <w:noProof/>
                <w:webHidden/>
              </w:rPr>
              <w:fldChar w:fldCharType="end"/>
            </w:r>
          </w:hyperlink>
        </w:p>
        <w:p w14:paraId="316D8D0D" w14:textId="23D9213F" w:rsidR="003217B9" w:rsidRDefault="003217B9">
          <w:pPr>
            <w:pStyle w:val="TOC1"/>
            <w:tabs>
              <w:tab w:val="right" w:leader="dot" w:pos="9350"/>
            </w:tabs>
            <w:rPr>
              <w:noProof/>
            </w:rPr>
          </w:pPr>
          <w:hyperlink w:anchor="_Toc233905670" w:history="1">
            <w:r w:rsidRPr="0026285D">
              <w:rPr>
                <w:rStyle w:val="Hyperlink"/>
                <w:noProof/>
              </w:rPr>
              <w:t>Task 1: Defining Key Concepts in Practice</w:t>
            </w:r>
            <w:r>
              <w:rPr>
                <w:noProof/>
                <w:webHidden/>
              </w:rPr>
              <w:tab/>
            </w:r>
            <w:r>
              <w:rPr>
                <w:noProof/>
                <w:webHidden/>
              </w:rPr>
              <w:fldChar w:fldCharType="begin"/>
            </w:r>
            <w:r>
              <w:rPr>
                <w:noProof/>
                <w:webHidden/>
              </w:rPr>
              <w:instrText xml:space="preserve"> PAGEREF _Toc233905670 \h </w:instrText>
            </w:r>
            <w:r>
              <w:rPr>
                <w:noProof/>
                <w:webHidden/>
              </w:rPr>
            </w:r>
            <w:r>
              <w:rPr>
                <w:noProof/>
                <w:webHidden/>
              </w:rPr>
              <w:fldChar w:fldCharType="separate"/>
            </w:r>
            <w:r w:rsidR="00FC3EAC">
              <w:rPr>
                <w:noProof/>
                <w:webHidden/>
              </w:rPr>
              <w:t>4</w:t>
            </w:r>
            <w:r>
              <w:rPr>
                <w:noProof/>
                <w:webHidden/>
              </w:rPr>
              <w:fldChar w:fldCharType="end"/>
            </w:r>
          </w:hyperlink>
        </w:p>
        <w:p w14:paraId="52C90303" w14:textId="4D4FFEB7" w:rsidR="003217B9" w:rsidRDefault="003217B9">
          <w:pPr>
            <w:pStyle w:val="TOC1"/>
            <w:tabs>
              <w:tab w:val="right" w:leader="dot" w:pos="9350"/>
            </w:tabs>
            <w:rPr>
              <w:noProof/>
            </w:rPr>
          </w:pPr>
          <w:hyperlink w:anchor="_Toc233905671" w:history="1">
            <w:r w:rsidRPr="0026285D">
              <w:rPr>
                <w:rStyle w:val="Hyperlink"/>
                <w:noProof/>
              </w:rPr>
              <w:t>Task 2: Mind Map</w:t>
            </w:r>
            <w:r>
              <w:rPr>
                <w:noProof/>
                <w:webHidden/>
              </w:rPr>
              <w:tab/>
            </w:r>
            <w:r>
              <w:rPr>
                <w:noProof/>
                <w:webHidden/>
              </w:rPr>
              <w:fldChar w:fldCharType="begin"/>
            </w:r>
            <w:r>
              <w:rPr>
                <w:noProof/>
                <w:webHidden/>
              </w:rPr>
              <w:instrText xml:space="preserve"> PAGEREF _Toc233905671 \h </w:instrText>
            </w:r>
            <w:r>
              <w:rPr>
                <w:noProof/>
                <w:webHidden/>
              </w:rPr>
            </w:r>
            <w:r>
              <w:rPr>
                <w:noProof/>
                <w:webHidden/>
              </w:rPr>
              <w:fldChar w:fldCharType="separate"/>
            </w:r>
            <w:r w:rsidR="00FC3EAC">
              <w:rPr>
                <w:noProof/>
                <w:webHidden/>
              </w:rPr>
              <w:t>5</w:t>
            </w:r>
            <w:r>
              <w:rPr>
                <w:noProof/>
                <w:webHidden/>
              </w:rPr>
              <w:fldChar w:fldCharType="end"/>
            </w:r>
          </w:hyperlink>
        </w:p>
        <w:p w14:paraId="04857B63" w14:textId="389DEA03" w:rsidR="003217B9" w:rsidRDefault="003217B9">
          <w:pPr>
            <w:pStyle w:val="TOC1"/>
            <w:tabs>
              <w:tab w:val="right" w:leader="dot" w:pos="9350"/>
            </w:tabs>
            <w:rPr>
              <w:noProof/>
            </w:rPr>
          </w:pPr>
          <w:hyperlink w:anchor="_Toc233905672" w:history="1">
            <w:r w:rsidRPr="0026285D">
              <w:rPr>
                <w:rStyle w:val="Hyperlink"/>
                <w:noProof/>
              </w:rPr>
              <w:t>Task 3: Self-Reflection of Group Activity</w:t>
            </w:r>
            <w:r>
              <w:rPr>
                <w:noProof/>
                <w:webHidden/>
              </w:rPr>
              <w:tab/>
            </w:r>
            <w:r>
              <w:rPr>
                <w:noProof/>
                <w:webHidden/>
              </w:rPr>
              <w:fldChar w:fldCharType="begin"/>
            </w:r>
            <w:r>
              <w:rPr>
                <w:noProof/>
                <w:webHidden/>
              </w:rPr>
              <w:instrText xml:space="preserve"> PAGEREF _Toc233905672 \h </w:instrText>
            </w:r>
            <w:r>
              <w:rPr>
                <w:noProof/>
                <w:webHidden/>
              </w:rPr>
            </w:r>
            <w:r>
              <w:rPr>
                <w:noProof/>
                <w:webHidden/>
              </w:rPr>
              <w:fldChar w:fldCharType="separate"/>
            </w:r>
            <w:r w:rsidR="00FC3EAC">
              <w:rPr>
                <w:noProof/>
                <w:webHidden/>
              </w:rPr>
              <w:t>6</w:t>
            </w:r>
            <w:r>
              <w:rPr>
                <w:noProof/>
                <w:webHidden/>
              </w:rPr>
              <w:fldChar w:fldCharType="end"/>
            </w:r>
          </w:hyperlink>
        </w:p>
        <w:p w14:paraId="0FDB2AA8" w14:textId="06FD9E4B" w:rsidR="003217B9" w:rsidRDefault="003217B9">
          <w:pPr>
            <w:pStyle w:val="TOC1"/>
            <w:tabs>
              <w:tab w:val="right" w:leader="dot" w:pos="9350"/>
            </w:tabs>
            <w:rPr>
              <w:noProof/>
            </w:rPr>
          </w:pPr>
          <w:hyperlink w:anchor="_Toc233905673" w:history="1">
            <w:r w:rsidRPr="0026285D">
              <w:rPr>
                <w:rStyle w:val="Hyperlink"/>
                <w:noProof/>
              </w:rPr>
              <w:t>Task 4: Case Study Analysis of a UK Innovation</w:t>
            </w:r>
            <w:r>
              <w:rPr>
                <w:noProof/>
                <w:webHidden/>
              </w:rPr>
              <w:tab/>
            </w:r>
            <w:r>
              <w:rPr>
                <w:noProof/>
                <w:webHidden/>
              </w:rPr>
              <w:fldChar w:fldCharType="begin"/>
            </w:r>
            <w:r>
              <w:rPr>
                <w:noProof/>
                <w:webHidden/>
              </w:rPr>
              <w:instrText xml:space="preserve"> PAGEREF _Toc233905673 \h </w:instrText>
            </w:r>
            <w:r>
              <w:rPr>
                <w:noProof/>
                <w:webHidden/>
              </w:rPr>
            </w:r>
            <w:r>
              <w:rPr>
                <w:noProof/>
                <w:webHidden/>
              </w:rPr>
              <w:fldChar w:fldCharType="separate"/>
            </w:r>
            <w:r w:rsidR="00FC3EAC">
              <w:rPr>
                <w:noProof/>
                <w:webHidden/>
              </w:rPr>
              <w:t>7</w:t>
            </w:r>
            <w:r>
              <w:rPr>
                <w:noProof/>
                <w:webHidden/>
              </w:rPr>
              <w:fldChar w:fldCharType="end"/>
            </w:r>
          </w:hyperlink>
        </w:p>
        <w:p w14:paraId="66003084" w14:textId="1DC04331" w:rsidR="003217B9" w:rsidRDefault="003217B9">
          <w:pPr>
            <w:pStyle w:val="TOC1"/>
            <w:tabs>
              <w:tab w:val="right" w:leader="dot" w:pos="9350"/>
            </w:tabs>
            <w:rPr>
              <w:noProof/>
            </w:rPr>
          </w:pPr>
          <w:hyperlink w:anchor="_Toc233905674" w:history="1">
            <w:r w:rsidRPr="0026285D">
              <w:rPr>
                <w:rStyle w:val="Hyperlink"/>
                <w:noProof/>
              </w:rPr>
              <w:t>Task 5: Research Task</w:t>
            </w:r>
            <w:r>
              <w:rPr>
                <w:noProof/>
                <w:webHidden/>
              </w:rPr>
              <w:tab/>
            </w:r>
            <w:r>
              <w:rPr>
                <w:noProof/>
                <w:webHidden/>
              </w:rPr>
              <w:fldChar w:fldCharType="begin"/>
            </w:r>
            <w:r>
              <w:rPr>
                <w:noProof/>
                <w:webHidden/>
              </w:rPr>
              <w:instrText xml:space="preserve"> PAGEREF _Toc233905674 \h </w:instrText>
            </w:r>
            <w:r>
              <w:rPr>
                <w:noProof/>
                <w:webHidden/>
              </w:rPr>
            </w:r>
            <w:r>
              <w:rPr>
                <w:noProof/>
                <w:webHidden/>
              </w:rPr>
              <w:fldChar w:fldCharType="separate"/>
            </w:r>
            <w:r w:rsidR="00FC3EAC">
              <w:rPr>
                <w:noProof/>
                <w:webHidden/>
              </w:rPr>
              <w:t>8</w:t>
            </w:r>
            <w:r>
              <w:rPr>
                <w:noProof/>
                <w:webHidden/>
              </w:rPr>
              <w:fldChar w:fldCharType="end"/>
            </w:r>
          </w:hyperlink>
        </w:p>
        <w:p w14:paraId="30522EB7" w14:textId="36EE3E23" w:rsidR="003217B9" w:rsidRDefault="003217B9">
          <w:pPr>
            <w:pStyle w:val="TOC1"/>
            <w:tabs>
              <w:tab w:val="right" w:leader="dot" w:pos="9350"/>
            </w:tabs>
            <w:rPr>
              <w:noProof/>
            </w:rPr>
          </w:pPr>
          <w:hyperlink w:anchor="_Toc233905675" w:history="1">
            <w:r w:rsidRPr="0026285D">
              <w:rPr>
                <w:rStyle w:val="Hyperlink"/>
                <w:noProof/>
              </w:rPr>
              <w:t>Task 6: Exploring Digital Innovation in Health and Social Care</w:t>
            </w:r>
            <w:r>
              <w:rPr>
                <w:noProof/>
                <w:webHidden/>
              </w:rPr>
              <w:tab/>
            </w:r>
            <w:r>
              <w:rPr>
                <w:noProof/>
                <w:webHidden/>
              </w:rPr>
              <w:fldChar w:fldCharType="begin"/>
            </w:r>
            <w:r>
              <w:rPr>
                <w:noProof/>
                <w:webHidden/>
              </w:rPr>
              <w:instrText xml:space="preserve"> PAGEREF _Toc233905675 \h </w:instrText>
            </w:r>
            <w:r>
              <w:rPr>
                <w:noProof/>
                <w:webHidden/>
              </w:rPr>
            </w:r>
            <w:r>
              <w:rPr>
                <w:noProof/>
                <w:webHidden/>
              </w:rPr>
              <w:fldChar w:fldCharType="separate"/>
            </w:r>
            <w:r w:rsidR="00FC3EAC">
              <w:rPr>
                <w:noProof/>
                <w:webHidden/>
              </w:rPr>
              <w:t>9</w:t>
            </w:r>
            <w:r>
              <w:rPr>
                <w:noProof/>
                <w:webHidden/>
              </w:rPr>
              <w:fldChar w:fldCharType="end"/>
            </w:r>
          </w:hyperlink>
        </w:p>
        <w:p w14:paraId="5BD6F87F" w14:textId="64C39A28" w:rsidR="003217B9" w:rsidRDefault="003217B9">
          <w:pPr>
            <w:pStyle w:val="TOC1"/>
            <w:tabs>
              <w:tab w:val="right" w:leader="dot" w:pos="9350"/>
            </w:tabs>
            <w:rPr>
              <w:noProof/>
            </w:rPr>
          </w:pPr>
          <w:hyperlink w:anchor="_Toc233905676" w:history="1">
            <w:r w:rsidRPr="0026285D">
              <w:rPr>
                <w:rStyle w:val="Hyperlink"/>
                <w:noProof/>
              </w:rPr>
              <w:t>Task 7: Understanding the NHS Leadership Framework</w:t>
            </w:r>
            <w:r>
              <w:rPr>
                <w:noProof/>
                <w:webHidden/>
              </w:rPr>
              <w:tab/>
            </w:r>
            <w:r>
              <w:rPr>
                <w:noProof/>
                <w:webHidden/>
              </w:rPr>
              <w:fldChar w:fldCharType="begin"/>
            </w:r>
            <w:r>
              <w:rPr>
                <w:noProof/>
                <w:webHidden/>
              </w:rPr>
              <w:instrText xml:space="preserve"> PAGEREF _Toc233905676 \h </w:instrText>
            </w:r>
            <w:r>
              <w:rPr>
                <w:noProof/>
                <w:webHidden/>
              </w:rPr>
            </w:r>
            <w:r>
              <w:rPr>
                <w:noProof/>
                <w:webHidden/>
              </w:rPr>
              <w:fldChar w:fldCharType="separate"/>
            </w:r>
            <w:r w:rsidR="00FC3EAC">
              <w:rPr>
                <w:noProof/>
                <w:webHidden/>
              </w:rPr>
              <w:t>11</w:t>
            </w:r>
            <w:r>
              <w:rPr>
                <w:noProof/>
                <w:webHidden/>
              </w:rPr>
              <w:fldChar w:fldCharType="end"/>
            </w:r>
          </w:hyperlink>
        </w:p>
        <w:p w14:paraId="61080E0E" w14:textId="2B37D9F1" w:rsidR="003217B9" w:rsidRDefault="003217B9">
          <w:pPr>
            <w:pStyle w:val="TOC1"/>
            <w:tabs>
              <w:tab w:val="right" w:leader="dot" w:pos="9350"/>
            </w:tabs>
            <w:rPr>
              <w:noProof/>
            </w:rPr>
          </w:pPr>
          <w:hyperlink w:anchor="_Toc233905677" w:history="1">
            <w:r w:rsidRPr="0026285D">
              <w:rPr>
                <w:rStyle w:val="Hyperlink"/>
                <w:noProof/>
              </w:rPr>
              <w:t>Task 8: Self-Reflection Journal Entry</w:t>
            </w:r>
            <w:r>
              <w:rPr>
                <w:noProof/>
                <w:webHidden/>
              </w:rPr>
              <w:tab/>
            </w:r>
            <w:r>
              <w:rPr>
                <w:noProof/>
                <w:webHidden/>
              </w:rPr>
              <w:fldChar w:fldCharType="begin"/>
            </w:r>
            <w:r>
              <w:rPr>
                <w:noProof/>
                <w:webHidden/>
              </w:rPr>
              <w:instrText xml:space="preserve"> PAGEREF _Toc233905677 \h </w:instrText>
            </w:r>
            <w:r>
              <w:rPr>
                <w:noProof/>
                <w:webHidden/>
              </w:rPr>
            </w:r>
            <w:r>
              <w:rPr>
                <w:noProof/>
                <w:webHidden/>
              </w:rPr>
              <w:fldChar w:fldCharType="separate"/>
            </w:r>
            <w:r w:rsidR="00FC3EAC">
              <w:rPr>
                <w:noProof/>
                <w:webHidden/>
              </w:rPr>
              <w:t>13</w:t>
            </w:r>
            <w:r>
              <w:rPr>
                <w:noProof/>
                <w:webHidden/>
              </w:rPr>
              <w:fldChar w:fldCharType="end"/>
            </w:r>
          </w:hyperlink>
        </w:p>
        <w:p w14:paraId="0D101AD6" w14:textId="4ECF4A55" w:rsidR="003217B9" w:rsidRDefault="003217B9">
          <w:pPr>
            <w:pStyle w:val="TOC1"/>
            <w:tabs>
              <w:tab w:val="right" w:leader="dot" w:pos="9350"/>
            </w:tabs>
            <w:rPr>
              <w:noProof/>
            </w:rPr>
          </w:pPr>
          <w:hyperlink w:anchor="_Toc233905678" w:history="1">
            <w:r w:rsidRPr="0026285D">
              <w:rPr>
                <w:rStyle w:val="Hyperlink"/>
                <w:noProof/>
              </w:rPr>
              <w:t>Reference list</w:t>
            </w:r>
            <w:r>
              <w:rPr>
                <w:noProof/>
                <w:webHidden/>
              </w:rPr>
              <w:tab/>
            </w:r>
            <w:r>
              <w:rPr>
                <w:noProof/>
                <w:webHidden/>
              </w:rPr>
              <w:fldChar w:fldCharType="begin"/>
            </w:r>
            <w:r>
              <w:rPr>
                <w:noProof/>
                <w:webHidden/>
              </w:rPr>
              <w:instrText xml:space="preserve"> PAGEREF _Toc233905678 \h </w:instrText>
            </w:r>
            <w:r>
              <w:rPr>
                <w:noProof/>
                <w:webHidden/>
              </w:rPr>
            </w:r>
            <w:r>
              <w:rPr>
                <w:noProof/>
                <w:webHidden/>
              </w:rPr>
              <w:fldChar w:fldCharType="separate"/>
            </w:r>
            <w:r w:rsidR="00FC3EAC">
              <w:rPr>
                <w:noProof/>
                <w:webHidden/>
              </w:rPr>
              <w:t>14</w:t>
            </w:r>
            <w:r>
              <w:rPr>
                <w:noProof/>
                <w:webHidden/>
              </w:rPr>
              <w:fldChar w:fldCharType="end"/>
            </w:r>
          </w:hyperlink>
        </w:p>
        <w:p w14:paraId="7322F0D6" w14:textId="7108185E" w:rsidR="003217B9" w:rsidRDefault="003217B9">
          <w:r>
            <w:rPr>
              <w:b/>
              <w:bCs/>
            </w:rPr>
            <w:fldChar w:fldCharType="end"/>
          </w:r>
        </w:p>
      </w:sdtContent>
    </w:sdt>
    <w:p w14:paraId="5DC63B74" w14:textId="77777777" w:rsidR="003217B9" w:rsidRPr="003217B9" w:rsidRDefault="003217B9" w:rsidP="003217B9"/>
    <w:p w14:paraId="679AD261" w14:textId="77777777" w:rsidR="00E31FEB" w:rsidRDefault="00E31FEB" w:rsidP="003217B9"/>
    <w:p w14:paraId="3D181F23" w14:textId="77777777" w:rsidR="00E31FEB" w:rsidRDefault="00E31FEB">
      <w:pPr>
        <w:rPr>
          <w:rFonts w:eastAsia="Arial" w:cs="Times New Roman"/>
          <w:b/>
          <w:color w:val="4472C4" w:themeColor="accent1"/>
          <w:sz w:val="32"/>
          <w:szCs w:val="20"/>
        </w:rPr>
      </w:pPr>
      <w:r>
        <w:br w:type="page"/>
      </w:r>
    </w:p>
    <w:p w14:paraId="209BFF9E" w14:textId="48F6BF5D" w:rsidR="000F50AC" w:rsidRDefault="000F50AC" w:rsidP="003924EE">
      <w:pPr>
        <w:pStyle w:val="Heading1"/>
      </w:pPr>
      <w:bookmarkStart w:id="0" w:name="_Toc233905669"/>
      <w:r>
        <w:t>Introduction</w:t>
      </w:r>
      <w:bookmarkEnd w:id="0"/>
    </w:p>
    <w:p w14:paraId="1BAA1EDA" w14:textId="77777777" w:rsidR="000F50AC" w:rsidRDefault="000F50AC" w:rsidP="000F50AC">
      <w:r>
        <w:t>This portfolio discusses the importance of creativity and innovation to health and social care. These are the capabilities needed for the services to adapt to complex needs, increasing demand put upon scarce resources. The concepts of value creation, managed change, digital technology and leadership are taken into account. It integrates academic learning, examples and reflection. The portfolio demonstrates the power of creative thinking for safer, more inclusive and effective services and for the common good.</w:t>
      </w:r>
    </w:p>
    <w:p w14:paraId="5B40DBC2" w14:textId="77777777" w:rsidR="003924EE" w:rsidRDefault="003924EE">
      <w:r>
        <w:br w:type="page"/>
      </w:r>
    </w:p>
    <w:p w14:paraId="686E4B7D" w14:textId="5ED63875" w:rsidR="000F50AC" w:rsidRDefault="000F50AC" w:rsidP="003924EE">
      <w:pPr>
        <w:pStyle w:val="Heading1"/>
      </w:pPr>
      <w:bookmarkStart w:id="1" w:name="_Toc233905670"/>
      <w:r>
        <w:t>Task 1: Defining Key Concepts in Practice</w:t>
      </w:r>
      <w:bookmarkEnd w:id="1"/>
      <w:r>
        <w:t xml:space="preserve"> </w:t>
      </w:r>
    </w:p>
    <w:p w14:paraId="6A52E063" w14:textId="77777777" w:rsidR="000F50AC" w:rsidRPr="00C213DF" w:rsidRDefault="000F50AC" w:rsidP="000F50AC">
      <w:pPr>
        <w:rPr>
          <w:b/>
          <w:bCs/>
        </w:rPr>
      </w:pPr>
      <w:r w:rsidRPr="00C213DF">
        <w:rPr>
          <w:b/>
          <w:bCs/>
        </w:rPr>
        <w:t>Innovation</w:t>
      </w:r>
    </w:p>
    <w:p w14:paraId="087717FA" w14:textId="7BC38F23" w:rsidR="000F50AC" w:rsidRDefault="000F50AC" w:rsidP="000F50AC">
      <w:r>
        <w:t xml:space="preserve">Innovation is the use of a new idea, service, process or technology that </w:t>
      </w:r>
      <w:r w:rsidR="00C213DF">
        <w:t>improves</w:t>
      </w:r>
      <w:r>
        <w:t xml:space="preserve"> practice</w:t>
      </w:r>
      <w:r w:rsidR="00C213DF">
        <w:t xml:space="preserve"> </w:t>
      </w:r>
      <w:r w:rsidR="00C213DF" w:rsidRPr="00C213DF">
        <w:t>(Kelly and Young, 2019)</w:t>
      </w:r>
      <w:r>
        <w:t xml:space="preserve">. It can </w:t>
      </w:r>
      <w:r w:rsidR="00C213DF">
        <w:t>increase</w:t>
      </w:r>
      <w:r>
        <w:t xml:space="preserve"> access, safety and efficiency in health and social care. </w:t>
      </w:r>
      <w:r w:rsidR="00C213DF">
        <w:t>Particularly</w:t>
      </w:r>
      <w:r>
        <w:t xml:space="preserve">, virtual wards </w:t>
      </w:r>
      <w:r w:rsidR="00C213DF">
        <w:t>allow</w:t>
      </w:r>
      <w:r>
        <w:t xml:space="preserve"> appropriate patients to be clinically monitored at home. </w:t>
      </w:r>
      <w:r w:rsidR="00C213DF">
        <w:t>Rogers'</w:t>
      </w:r>
      <w:r>
        <w:t xml:space="preserve"> Diffusion of Innovation Theory is a model that describes the process of communication and social system in terms of communication</w:t>
      </w:r>
      <w:r w:rsidR="00C213DF">
        <w:t xml:space="preserve"> </w:t>
      </w:r>
      <w:r w:rsidR="00C213DF" w:rsidRPr="00C213DF">
        <w:t>(Rogers, 2012)</w:t>
      </w:r>
      <w:r>
        <w:t>. Value can be confined</w:t>
      </w:r>
      <w:r w:rsidR="003924EE">
        <w:t>,</w:t>
      </w:r>
      <w:r>
        <w:t xml:space="preserve"> however</w:t>
      </w:r>
      <w:r w:rsidR="003924EE">
        <w:t>,</w:t>
      </w:r>
      <w:r>
        <w:t xml:space="preserve"> where the cost, resistance, or lack of skills or digital exclusion limits adoption.</w:t>
      </w:r>
    </w:p>
    <w:p w14:paraId="5BDF7569" w14:textId="77777777" w:rsidR="000F50AC" w:rsidRPr="00C213DF" w:rsidRDefault="000F50AC" w:rsidP="000F50AC">
      <w:pPr>
        <w:rPr>
          <w:b/>
          <w:bCs/>
        </w:rPr>
      </w:pPr>
      <w:r w:rsidRPr="00C213DF">
        <w:rPr>
          <w:b/>
          <w:bCs/>
        </w:rPr>
        <w:t>Creativity</w:t>
      </w:r>
    </w:p>
    <w:p w14:paraId="26A821B3" w14:textId="630834DF" w:rsidR="000F50AC" w:rsidRDefault="000F50AC" w:rsidP="000F50AC">
      <w:r>
        <w:t xml:space="preserve">Creativity is developing original and useful ideas. It supports care workers to respond when complex care needs are not met by established routines. Prompts, objects and simple options can help </w:t>
      </w:r>
      <w:r w:rsidR="00C213DF">
        <w:t>simplify</w:t>
      </w:r>
      <w:r>
        <w:t xml:space="preserve"> communication in a dementia service. Amabile's Componential theory relates creativity to knowledge, creative skills and motivation. Originality is not enough</w:t>
      </w:r>
      <w:r w:rsidR="003924EE">
        <w:t>,</w:t>
      </w:r>
      <w:r>
        <w:t xml:space="preserve"> though. New ideas may not be appropriate if evidence, resources, safety or professional standards are not explored.</w:t>
      </w:r>
    </w:p>
    <w:p w14:paraId="1B21A0BA" w14:textId="77777777" w:rsidR="000F50AC" w:rsidRPr="00C213DF" w:rsidRDefault="000F50AC" w:rsidP="000F50AC">
      <w:pPr>
        <w:rPr>
          <w:b/>
          <w:bCs/>
        </w:rPr>
      </w:pPr>
      <w:r w:rsidRPr="00C213DF">
        <w:rPr>
          <w:b/>
          <w:bCs/>
        </w:rPr>
        <w:t>Value Creation</w:t>
      </w:r>
    </w:p>
    <w:p w14:paraId="741FCB18" w14:textId="1C5411D1" w:rsidR="000F50AC" w:rsidRDefault="000F50AC" w:rsidP="000F50AC">
      <w:r>
        <w:t xml:space="preserve">Value </w:t>
      </w:r>
      <w:r w:rsidR="003924EE">
        <w:t>is created</w:t>
      </w:r>
      <w:r>
        <w:t xml:space="preserve"> when services </w:t>
      </w:r>
      <w:r w:rsidR="003924EE">
        <w:t>deliver</w:t>
      </w:r>
      <w:r>
        <w:t xml:space="preserve"> services that have value for the user</w:t>
      </w:r>
      <w:r w:rsidR="00C213DF">
        <w:t>,</w:t>
      </w:r>
      <w:r>
        <w:t xml:space="preserve"> staff or care system. Value in Health and Social Care refers to all of the following characteristics: better outcomes, dignity, independence, safety and experience. According to Porter</w:t>
      </w:r>
      <w:r w:rsidR="006B4AD0">
        <w:t xml:space="preserve"> (2010)</w:t>
      </w:r>
      <w:r>
        <w:t xml:space="preserve">, the value of healthcare is synonymous with the outcomes or results that are obtained, based on resources consumed. Early detection of deterioration </w:t>
      </w:r>
      <w:r w:rsidR="00C213DF">
        <w:t>because of</w:t>
      </w:r>
      <w:r>
        <w:t xml:space="preserve"> remote monitoring may be invaluable. </w:t>
      </w:r>
    </w:p>
    <w:p w14:paraId="02BF5B86" w14:textId="77777777" w:rsidR="000F50AC" w:rsidRPr="00C213DF" w:rsidRDefault="000F50AC" w:rsidP="000F50AC">
      <w:pPr>
        <w:rPr>
          <w:b/>
          <w:bCs/>
        </w:rPr>
      </w:pPr>
      <w:r w:rsidRPr="00C213DF">
        <w:rPr>
          <w:b/>
          <w:bCs/>
        </w:rPr>
        <w:t>Change</w:t>
      </w:r>
    </w:p>
    <w:p w14:paraId="0226C447" w14:textId="0E9FDC34" w:rsidR="000F50AC" w:rsidRDefault="000F50AC" w:rsidP="000F50AC">
      <w:r>
        <w:t xml:space="preserve">Change is the intention to move from an already established practice towards a better way </w:t>
      </w:r>
      <w:r w:rsidR="00C213DF">
        <w:t xml:space="preserve">of </w:t>
      </w:r>
      <w:r>
        <w:t>working. Training, consultation and technical support are needed for such implementation as that of electronic medication records. The process of change</w:t>
      </w:r>
      <w:r w:rsidR="006B4AD0">
        <w:t>,</w:t>
      </w:r>
      <w:r>
        <w:t xml:space="preserve"> as explained by Lewin</w:t>
      </w:r>
      <w:r w:rsidR="006B4AD0">
        <w:t>,</w:t>
      </w:r>
      <w:r>
        <w:t xml:space="preserve"> is unfreezing, unfreeze-implement, freeze and stabilise. Although health care transitions are not typically linear, its simplicity is helpful. Leadership, involvement of staff, communication, good resources and ongoing evaluation are therefore critical for sustainable improvement</w:t>
      </w:r>
      <w:r w:rsidR="006B4AD0">
        <w:t xml:space="preserve"> </w:t>
      </w:r>
      <w:r w:rsidR="006B4AD0" w:rsidRPr="006B4AD0">
        <w:t>(Harrison et al., 2021)</w:t>
      </w:r>
      <w:r>
        <w:t>.</w:t>
      </w:r>
    </w:p>
    <w:p w14:paraId="24448BCC" w14:textId="2BAC3380" w:rsidR="000F50AC" w:rsidRDefault="00C213DF" w:rsidP="00FC3EAC">
      <w:pPr>
        <w:pStyle w:val="Heading1"/>
      </w:pPr>
      <w:r>
        <w:br w:type="page"/>
      </w:r>
      <w:bookmarkStart w:id="2" w:name="_Toc233905671"/>
      <w:r w:rsidR="000F50AC">
        <w:t>Task 2: Mind Map</w:t>
      </w:r>
      <w:bookmarkEnd w:id="2"/>
      <w:r w:rsidR="000F50AC">
        <w:t xml:space="preserve"> </w:t>
      </w:r>
    </w:p>
    <w:p w14:paraId="5F4FB566" w14:textId="77777777" w:rsidR="006B4AD0" w:rsidRDefault="006B4AD0" w:rsidP="006B4AD0">
      <w:pPr>
        <w:keepNext/>
        <w:jc w:val="center"/>
      </w:pPr>
      <w:r>
        <w:rPr>
          <w:noProof/>
        </w:rPr>
        <w:drawing>
          <wp:inline distT="0" distB="0" distL="0" distR="0" wp14:anchorId="67F9683D" wp14:editId="751385C3">
            <wp:extent cx="4648200" cy="4648200"/>
            <wp:effectExtent l="0" t="0" r="0" b="0"/>
            <wp:docPr id="1866172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48200" cy="4648200"/>
                    </a:xfrm>
                    <a:prstGeom prst="rect">
                      <a:avLst/>
                    </a:prstGeom>
                    <a:noFill/>
                  </pic:spPr>
                </pic:pic>
              </a:graphicData>
            </a:graphic>
          </wp:inline>
        </w:drawing>
      </w:r>
    </w:p>
    <w:p w14:paraId="774B7BF2" w14:textId="3038DEFF" w:rsidR="006B4AD0" w:rsidRPr="006B4AD0" w:rsidRDefault="006B4AD0" w:rsidP="006B4AD0">
      <w:pPr>
        <w:pStyle w:val="Caption"/>
        <w:jc w:val="center"/>
      </w:pPr>
      <w:r>
        <w:t xml:space="preserve">Figure </w:t>
      </w:r>
      <w:r>
        <w:fldChar w:fldCharType="begin"/>
      </w:r>
      <w:r>
        <w:instrText xml:space="preserve"> SEQ Figure \* ARABIC </w:instrText>
      </w:r>
      <w:r>
        <w:fldChar w:fldCharType="separate"/>
      </w:r>
      <w:r w:rsidR="00C819AC">
        <w:rPr>
          <w:noProof/>
        </w:rPr>
        <w:t>1</w:t>
      </w:r>
      <w:r>
        <w:fldChar w:fldCharType="end"/>
      </w:r>
      <w:r>
        <w:rPr>
          <w:lang w:val="en-US"/>
        </w:rPr>
        <w:t xml:space="preserve">: </w:t>
      </w:r>
      <w:r w:rsidRPr="00CE18DF">
        <w:rPr>
          <w:lang w:val="en-US"/>
        </w:rPr>
        <w:t>Systems Mind Map of Staff Burnout in Health and Social Care</w:t>
      </w:r>
      <w:r>
        <w:rPr>
          <w:lang w:val="en-US"/>
        </w:rPr>
        <w:t xml:space="preserve"> (Source: Author)</w:t>
      </w:r>
    </w:p>
    <w:p w14:paraId="1F5C7B51" w14:textId="339D5578" w:rsidR="00A7474E" w:rsidRDefault="000F50AC" w:rsidP="000F50AC">
      <w:r>
        <w:t>Industrial stress is a negative impact on staff wellbeing, the quality of care and patient safety. It's something built over a series of stresses and connects rather than anything weak. Workload is high with too few staff</w:t>
      </w:r>
      <w:r w:rsidR="006B4AD0">
        <w:t>,</w:t>
      </w:r>
      <w:r>
        <w:t xml:space="preserve"> and emotional needs are high</w:t>
      </w:r>
      <w:r w:rsidR="006B4AD0">
        <w:t>,</w:t>
      </w:r>
      <w:r>
        <w:t xml:space="preserve"> resulting in fewer staff to cover, less recovery and control. Burnout leads to higher absence and turnover rates, which results in more lack. </w:t>
      </w:r>
      <w:r w:rsidR="006B4AD0">
        <w:t>Low-margin</w:t>
      </w:r>
      <w:r>
        <w:t xml:space="preserve"> staff are likely to be </w:t>
      </w:r>
      <w:r w:rsidR="006B4AD0">
        <w:t xml:space="preserve">the </w:t>
      </w:r>
      <w:r>
        <w:t>first port of call</w:t>
      </w:r>
      <w:r w:rsidR="006B4AD0">
        <w:t>;</w:t>
      </w:r>
      <w:r>
        <w:t xml:space="preserve"> people with complex needs may only be engaged with </w:t>
      </w:r>
      <w:r w:rsidR="006B4AD0">
        <w:t>inadequately</w:t>
      </w:r>
      <w:r>
        <w:t xml:space="preserve">. Systems thinking points to these feedback loops, and demonstrates that </w:t>
      </w:r>
      <w:r w:rsidR="006B4AD0">
        <w:t>resilience training</w:t>
      </w:r>
      <w:r>
        <w:t xml:space="preserve"> is not enough. Evidence also </w:t>
      </w:r>
      <w:r w:rsidR="006B4AD0">
        <w:t>connects</w:t>
      </w:r>
      <w:r>
        <w:t xml:space="preserve"> nurse dissatisfaction and burnout with decreased satisfaction and safety</w:t>
      </w:r>
      <w:r w:rsidR="006B4AD0">
        <w:t xml:space="preserve"> </w:t>
      </w:r>
      <w:r w:rsidR="006B4AD0" w:rsidRPr="006B4AD0">
        <w:t>(Li et al., 2024)</w:t>
      </w:r>
      <w:r>
        <w:t>. Safe staffing, redesigning of job tasks, supervision and better team communication are needed to have effective responses.</w:t>
      </w:r>
    </w:p>
    <w:p w14:paraId="67E9B7E6" w14:textId="0C40F30F" w:rsidR="000F50AC" w:rsidRDefault="000F50AC">
      <w:r>
        <w:br w:type="page"/>
      </w:r>
    </w:p>
    <w:p w14:paraId="2D3A9417" w14:textId="273FC686" w:rsidR="000F50AC" w:rsidRPr="000F50AC" w:rsidRDefault="000F50AC" w:rsidP="006B4AD0">
      <w:pPr>
        <w:pStyle w:val="Heading1"/>
      </w:pPr>
      <w:bookmarkStart w:id="3" w:name="_Toc233905672"/>
      <w:r w:rsidRPr="000F50AC">
        <w:t>Task 3: Self-Reflection of Group Activity</w:t>
      </w:r>
      <w:bookmarkEnd w:id="3"/>
      <w:r w:rsidRPr="000F50AC">
        <w:t xml:space="preserve"> </w:t>
      </w:r>
    </w:p>
    <w:p w14:paraId="60039267" w14:textId="43334A04" w:rsidR="006B4AD0" w:rsidRDefault="006B4AD0" w:rsidP="006B4AD0">
      <w:r>
        <w:t>This reflection followed Gibbs Reflective Cycle (1998), and was based on a session where both divergent and convergent thinking were used to tackle a health and social care problem. The objective was to create a few ideas and find the most feasible solution.</w:t>
      </w:r>
    </w:p>
    <w:p w14:paraId="04145702" w14:textId="42FA06AE" w:rsidR="006B4AD0" w:rsidRDefault="006B4AD0" w:rsidP="006B4AD0">
      <w:r>
        <w:t>Initially, I was more confident in coming up with ideas than assessing them. The group had a supportive atmosphere, although some members talked less and the comments were sometimes not as focused. The group had learned how to arrive at multiple solutions without criticising them at the time of the activity by using divergent thinking. Convergent thinking then simplified comparison based on feasibility, benefit and risk.</w:t>
      </w:r>
    </w:p>
    <w:p w14:paraId="7B737E70" w14:textId="77777777" w:rsidR="006B4AD0" w:rsidRDefault="006B4AD0" w:rsidP="006B4AD0">
      <w:r>
        <w:t>The idea generation was more natural because it was flexible. There were multiple ideas that seemed like they would be useful, making selection more challenging. If two candidates got about the same votes, I said it would be up to them to have a brief discussion of the pros and cons. It eased the way for the group to come up with consensus and decide on the more feasible choice. Effective creativity required listening, having clear criteria and consensus decision-making.</w:t>
      </w:r>
    </w:p>
    <w:p w14:paraId="61D36E25" w14:textId="2D60F3BE" w:rsidR="000F50AC" w:rsidRPr="000F50AC" w:rsidRDefault="006B4AD0" w:rsidP="006B4AD0">
      <w:r>
        <w:t>The selection process next time should occur earlier than now. There should also be a separation between idea generation and idea evaluation to allow for quieter members to participate and tuning-in to be used more carefully.</w:t>
      </w:r>
    </w:p>
    <w:p w14:paraId="12215C9A" w14:textId="77777777" w:rsidR="006B4AD0" w:rsidRDefault="006B4AD0">
      <w:pPr>
        <w:rPr>
          <w:b/>
          <w:bCs/>
        </w:rPr>
      </w:pPr>
      <w:r>
        <w:rPr>
          <w:b/>
          <w:bCs/>
        </w:rPr>
        <w:br w:type="page"/>
      </w:r>
    </w:p>
    <w:p w14:paraId="0735616E" w14:textId="18C67FCB" w:rsidR="000F50AC" w:rsidRPr="000F50AC" w:rsidRDefault="000F50AC" w:rsidP="006B4AD0">
      <w:pPr>
        <w:pStyle w:val="Heading1"/>
      </w:pPr>
      <w:bookmarkStart w:id="4" w:name="_Toc233905673"/>
      <w:r w:rsidRPr="000F50AC">
        <w:t>Task 4: Case Study Analysis of a UK Innovation</w:t>
      </w:r>
      <w:bookmarkEnd w:id="4"/>
      <w:r w:rsidRPr="000F50AC">
        <w:t xml:space="preserve"> </w:t>
      </w:r>
    </w:p>
    <w:p w14:paraId="4E8B18EC" w14:textId="19A3D6AE" w:rsidR="003924EE" w:rsidRDefault="003924EE" w:rsidP="003924EE">
      <w:r>
        <w:t xml:space="preserve">NHS virtual wards help to solve capacity problems in hospitals, avoid admissions and delayed discharge by providing care in the patient's home where they live. Patients are selected for those who would benefit from </w:t>
      </w:r>
      <w:r w:rsidR="006B4AD0">
        <w:t>hospital-level</w:t>
      </w:r>
      <w:r>
        <w:t xml:space="preserve"> support outside of hospital (NHS, 2025).</w:t>
      </w:r>
    </w:p>
    <w:p w14:paraId="494804B4" w14:textId="3A862D38" w:rsidR="003924EE" w:rsidRDefault="003924EE" w:rsidP="003924EE">
      <w:r>
        <w:t xml:space="preserve">The model was developed to involve remote monitoring, digital communication, clinical review, medicines management and face-to-face support. </w:t>
      </w:r>
      <w:r w:rsidR="006B4AD0">
        <w:t>Its</w:t>
      </w:r>
      <w:r>
        <w:t xml:space="preserve"> creativity is in identifying the use of tried and tested technologies, the multi-disciplinary integration and the hospital processes in a community environment. Value can be created by increased comfort, earlier discharge, less harm associated with stay in hospital, </w:t>
      </w:r>
      <w:r w:rsidR="006B4AD0">
        <w:t xml:space="preserve">and </w:t>
      </w:r>
      <w:r>
        <w:t>more efficient use of beds. There is an opportunity for carers to be more involved and for staff to have improved patient flow.</w:t>
      </w:r>
    </w:p>
    <w:p w14:paraId="6AE9479A" w14:textId="045D1D71" w:rsidR="003924EE" w:rsidRDefault="003924EE" w:rsidP="003924EE">
      <w:r>
        <w:t xml:space="preserve">Effective virtual wards can avoid admission, </w:t>
      </w:r>
      <w:proofErr w:type="gramStart"/>
      <w:r>
        <w:t>kept</w:t>
      </w:r>
      <w:proofErr w:type="gramEnd"/>
      <w:r>
        <w:t xml:space="preserve"> shorter stays and </w:t>
      </w:r>
      <w:r w:rsidR="006B4AD0">
        <w:t>improve</w:t>
      </w:r>
      <w:r>
        <w:t xml:space="preserve"> patient satisfaction, according to NHS England. Shi et al. (2024) analysed 69 studies and concluded most models predicted the same or lower re-admission rate than hospital-based treatment. </w:t>
      </w:r>
    </w:p>
    <w:p w14:paraId="126CD376" w14:textId="030E74E6" w:rsidR="003924EE" w:rsidRDefault="003924EE" w:rsidP="003924EE">
      <w:r>
        <w:t xml:space="preserve">According to Rogers' theory, improved adoption occurs when staff </w:t>
      </w:r>
      <w:r w:rsidR="00A12C5D">
        <w:t>members</w:t>
      </w:r>
      <w:r>
        <w:t xml:space="preserve"> see benefits. Effectiveness and transferability may be constrained by digital exclusion or by staffing and capability gaps at </w:t>
      </w:r>
      <w:r w:rsidR="006B4AD0">
        <w:t xml:space="preserve">the </w:t>
      </w:r>
      <w:r>
        <w:t>local level.</w:t>
      </w:r>
    </w:p>
    <w:p w14:paraId="55A29433" w14:textId="77777777" w:rsidR="00A12C5D" w:rsidRDefault="00A12C5D" w:rsidP="003924EE"/>
    <w:p w14:paraId="49D2BD00" w14:textId="77777777" w:rsidR="00A12C5D" w:rsidRDefault="00A12C5D" w:rsidP="00A12C5D">
      <w:pPr>
        <w:keepNext/>
        <w:jc w:val="center"/>
      </w:pPr>
      <w:r>
        <w:rPr>
          <w:noProof/>
        </w:rPr>
        <w:drawing>
          <wp:inline distT="0" distB="0" distL="0" distR="0" wp14:anchorId="7950B078" wp14:editId="4CE637A9">
            <wp:extent cx="6045200" cy="2261399"/>
            <wp:effectExtent l="0" t="0" r="0" b="5715"/>
            <wp:docPr id="1580971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t="22563" b="27560"/>
                    <a:stretch>
                      <a:fillRect/>
                    </a:stretch>
                  </pic:blipFill>
                  <pic:spPr bwMode="auto">
                    <a:xfrm>
                      <a:off x="0" y="0"/>
                      <a:ext cx="6124231" cy="2290963"/>
                    </a:xfrm>
                    <a:prstGeom prst="rect">
                      <a:avLst/>
                    </a:prstGeom>
                    <a:noFill/>
                    <a:ln>
                      <a:noFill/>
                    </a:ln>
                    <a:extLst>
                      <a:ext uri="{53640926-AAD7-44D8-BBD7-CCE9431645EC}">
                        <a14:shadowObscured xmlns:a14="http://schemas.microsoft.com/office/drawing/2010/main"/>
                      </a:ext>
                    </a:extLst>
                  </pic:spPr>
                </pic:pic>
              </a:graphicData>
            </a:graphic>
          </wp:inline>
        </w:drawing>
      </w:r>
    </w:p>
    <w:p w14:paraId="7C687E66" w14:textId="14DC853D" w:rsidR="00A12C5D" w:rsidRDefault="00A12C5D" w:rsidP="00A12C5D">
      <w:pPr>
        <w:pStyle w:val="Caption"/>
        <w:jc w:val="center"/>
      </w:pPr>
      <w:r>
        <w:t xml:space="preserve">Figure </w:t>
      </w:r>
      <w:r>
        <w:fldChar w:fldCharType="begin"/>
      </w:r>
      <w:r>
        <w:instrText xml:space="preserve"> SEQ Figure \* ARABIC </w:instrText>
      </w:r>
      <w:r>
        <w:fldChar w:fldCharType="separate"/>
      </w:r>
      <w:r w:rsidR="00C819AC">
        <w:rPr>
          <w:noProof/>
        </w:rPr>
        <w:t>2</w:t>
      </w:r>
      <w:r>
        <w:fldChar w:fldCharType="end"/>
      </w:r>
      <w:r>
        <w:rPr>
          <w:lang w:val="en-US"/>
        </w:rPr>
        <w:t xml:space="preserve">: </w:t>
      </w:r>
      <w:r w:rsidRPr="00E546D0">
        <w:rPr>
          <w:lang w:val="en-US"/>
        </w:rPr>
        <w:t>Virtual Ward Care Pathway</w:t>
      </w:r>
    </w:p>
    <w:p w14:paraId="4B88912A" w14:textId="77777777" w:rsidR="00A12C5D" w:rsidRDefault="00A12C5D">
      <w:r>
        <w:br w:type="page"/>
      </w:r>
    </w:p>
    <w:p w14:paraId="73F91AB9" w14:textId="02928F1A" w:rsidR="003924EE" w:rsidRDefault="003924EE" w:rsidP="00A12C5D">
      <w:pPr>
        <w:pStyle w:val="Heading1"/>
      </w:pPr>
      <w:bookmarkStart w:id="5" w:name="_Toc233905674"/>
      <w:r>
        <w:t>Task 5: Research Task</w:t>
      </w:r>
      <w:bookmarkEnd w:id="5"/>
    </w:p>
    <w:p w14:paraId="368328A3" w14:textId="5D45B777" w:rsidR="003924EE" w:rsidRDefault="003924EE" w:rsidP="003924EE">
      <w:r>
        <w:t xml:space="preserve">Staff burnout is a risk to staff wellbeing, retention and care quality. It is not </w:t>
      </w:r>
      <w:r w:rsidR="00A12C5D">
        <w:t>because of</w:t>
      </w:r>
      <w:r>
        <w:t xml:space="preserve"> personal or </w:t>
      </w:r>
      <w:r w:rsidR="006B4AD0">
        <w:t>organisational</w:t>
      </w:r>
      <w:r>
        <w:t xml:space="preserve"> carelessness</w:t>
      </w:r>
      <w:r w:rsidR="00A12C5D">
        <w:t>.</w:t>
      </w:r>
      <w:r>
        <w:t xml:space="preserve"> </w:t>
      </w:r>
      <w:r w:rsidR="00A12C5D">
        <w:t>It</w:t>
      </w:r>
      <w:r>
        <w:t xml:space="preserve"> is </w:t>
      </w:r>
      <w:r w:rsidR="006B4AD0">
        <w:t xml:space="preserve">an </w:t>
      </w:r>
      <w:r>
        <w:t>individual weakness.</w:t>
      </w:r>
    </w:p>
    <w:p w14:paraId="60BAD1C0" w14:textId="74763D3E" w:rsidR="003924EE" w:rsidRDefault="003924EE" w:rsidP="003924EE">
      <w:r>
        <w:t xml:space="preserve">Nagle et al. (2024) conducted a literature review of 38 studies related to healthcare-worker burnout. Most evidence focused on excessive demands, lack of control, lack of resources, </w:t>
      </w:r>
      <w:r w:rsidR="006B4AD0">
        <w:t xml:space="preserve">and </w:t>
      </w:r>
      <w:r>
        <w:t xml:space="preserve">poor organisational conditions. Other factors, </w:t>
      </w:r>
      <w:r w:rsidR="00A12C5D">
        <w:t>for example</w:t>
      </w:r>
      <w:r>
        <w:t xml:space="preserve"> personal and demographic factors, were also important</w:t>
      </w:r>
      <w:r w:rsidR="00A12C5D">
        <w:t>,</w:t>
      </w:r>
      <w:r>
        <w:t xml:space="preserve"> and the review confirmed a multidimensional approach. This may indicate that fragmented approaches to wellbeing don't work if there are still structural disadvantages.</w:t>
      </w:r>
    </w:p>
    <w:p w14:paraId="7A0D9919" w14:textId="65314CEF" w:rsidR="003924EE" w:rsidRDefault="003924EE" w:rsidP="003924EE">
      <w:r>
        <w:t xml:space="preserve">Jin et al. (2023) examined 709 nurses from 8 public hospitals. Stressors at the job contributed to </w:t>
      </w:r>
      <w:r w:rsidR="006B4AD0">
        <w:t>burnout</w:t>
      </w:r>
      <w:r>
        <w:t xml:space="preserve"> in part because of the need to recover physically and mentally from these stressors. This effect was mitigated by career calling</w:t>
      </w:r>
      <w:r w:rsidR="006B4AD0">
        <w:t>,</w:t>
      </w:r>
      <w:r>
        <w:t xml:space="preserve"> suggesting some protection from meaning and personal resources. The cross-sectional nature of the Chinese sample, however, restricts the degree of causal interpretation and applicability to services happening in the UK.</w:t>
      </w:r>
    </w:p>
    <w:p w14:paraId="32B94DA2" w14:textId="76B758ED" w:rsidR="000F50AC" w:rsidRDefault="003924EE" w:rsidP="003924EE">
      <w:r>
        <w:t>Job demands are highlighted in both studies. Nagle et al. offer a more general answer over professions, whereas Jin et al. offer an explanation of a specific pathway amongst nurses. The key objectives of workforce policy should be to ease workload, improve staffing, provide improved recovery time, and bolster supportive leadership.</w:t>
      </w:r>
    </w:p>
    <w:p w14:paraId="4ADC20D9" w14:textId="3B0F963E" w:rsidR="00C213DF" w:rsidRDefault="00C213DF" w:rsidP="00C213DF"/>
    <w:p w14:paraId="6A17B9B6" w14:textId="707894D0" w:rsidR="00C213DF" w:rsidRDefault="00C213DF" w:rsidP="00C213DF"/>
    <w:p w14:paraId="2B3C7E05" w14:textId="77777777" w:rsidR="00C213DF" w:rsidRDefault="00C213DF" w:rsidP="00C213DF"/>
    <w:p w14:paraId="7C9BA0AA" w14:textId="77777777" w:rsidR="00A12C5D" w:rsidRDefault="00A12C5D">
      <w:r>
        <w:br w:type="page"/>
      </w:r>
    </w:p>
    <w:p w14:paraId="4ABB45CE" w14:textId="77185C58" w:rsidR="00C213DF" w:rsidRDefault="00C213DF" w:rsidP="00A12C5D">
      <w:pPr>
        <w:pStyle w:val="Heading1"/>
      </w:pPr>
      <w:bookmarkStart w:id="6" w:name="_Toc233905675"/>
      <w:r>
        <w:t>Task 6: Exploring Digital Innovation in Health and Social Care</w:t>
      </w:r>
      <w:bookmarkEnd w:id="6"/>
      <w:r>
        <w:t xml:space="preserve"> </w:t>
      </w:r>
    </w:p>
    <w:p w14:paraId="0D71CE53" w14:textId="796F8DF8" w:rsidR="00C213DF" w:rsidRPr="00A12C5D" w:rsidRDefault="00C213DF" w:rsidP="00C213DF">
      <w:pPr>
        <w:rPr>
          <w:b/>
          <w:bCs/>
        </w:rPr>
      </w:pPr>
      <w:r w:rsidRPr="00A12C5D">
        <w:rPr>
          <w:b/>
          <w:bCs/>
        </w:rPr>
        <w:t xml:space="preserve">Wearable Health Technologies </w:t>
      </w:r>
    </w:p>
    <w:p w14:paraId="6204FB80" w14:textId="29DA4731" w:rsidR="00C213DF" w:rsidRDefault="00C213DF" w:rsidP="00C213DF">
      <w:r>
        <w:t xml:space="preserve">Smartwatches can </w:t>
      </w:r>
      <w:r w:rsidR="00A12C5D">
        <w:t>help</w:t>
      </w:r>
      <w:r>
        <w:t xml:space="preserve"> users with heart problems and those who suffer from atrial fibrillation, </w:t>
      </w:r>
      <w:r w:rsidR="00A12C5D">
        <w:t>because</w:t>
      </w:r>
      <w:r>
        <w:t xml:space="preserve"> they capture this data and take it out of the doctor's office. The primary advantage of these is that they are able to detect irregular patterns early. For </w:t>
      </w:r>
      <w:r w:rsidR="00A12C5D">
        <w:t>example</w:t>
      </w:r>
      <w:r>
        <w:t>, repeated alerts leave the ECG print for a patient to save after consultation with a clinician for timely assessment and self-management. It will also be able to detect intermittent symptoms that were not picked up in brief clinical tests. Smartwatches are tools to help screen</w:t>
      </w:r>
      <w:r w:rsidR="00A12C5D">
        <w:t>, not diagnose</w:t>
      </w:r>
      <w:r>
        <w:t>. Warning signals that may be false, inaccurate or variable can be alarming or result in consultations that are not necessary</w:t>
      </w:r>
      <w:r w:rsidR="00C819AC">
        <w:t xml:space="preserve"> </w:t>
      </w:r>
      <w:r w:rsidR="00C819AC" w:rsidRPr="00C819AC">
        <w:t>(Vyas et al., 2024)</w:t>
      </w:r>
      <w:r>
        <w:t xml:space="preserve">. The cost of access, privacy concerns, and limited digital literacy could also limit access. </w:t>
      </w:r>
    </w:p>
    <w:p w14:paraId="743143ED" w14:textId="3A5D80A8" w:rsidR="00C213DF" w:rsidRPr="00A12C5D" w:rsidRDefault="00C213DF" w:rsidP="00C213DF">
      <w:pPr>
        <w:rPr>
          <w:b/>
          <w:bCs/>
        </w:rPr>
      </w:pPr>
      <w:r w:rsidRPr="00A12C5D">
        <w:rPr>
          <w:b/>
          <w:bCs/>
        </w:rPr>
        <w:t xml:space="preserve">Electronic Health Records </w:t>
      </w:r>
    </w:p>
    <w:p w14:paraId="2107C08E" w14:textId="7DFECE64" w:rsidR="00C213DF" w:rsidRDefault="00C213DF" w:rsidP="00C213DF">
      <w:r>
        <w:t xml:space="preserve">Authorised staff will have access to </w:t>
      </w:r>
      <w:r w:rsidR="00A12C5D">
        <w:t>up-to-date</w:t>
      </w:r>
      <w:r>
        <w:t xml:space="preserve"> information </w:t>
      </w:r>
      <w:r w:rsidR="00A12C5D">
        <w:t>in</w:t>
      </w:r>
      <w:r>
        <w:t xml:space="preserve"> all healthcare settings through the use of electronic health records, which will </w:t>
      </w:r>
      <w:r w:rsidR="00A12C5D">
        <w:t>help</w:t>
      </w:r>
      <w:r>
        <w:t xml:space="preserve"> in the improvement of communication. A GP can document diagnoses</w:t>
      </w:r>
      <w:r w:rsidR="00A12C5D">
        <w:t xml:space="preserve">, </w:t>
      </w:r>
      <w:r>
        <w:t>medication</w:t>
      </w:r>
      <w:r w:rsidR="00A12C5D">
        <w:t>,</w:t>
      </w:r>
      <w:r>
        <w:t xml:space="preserve"> and doctors who attend the hospital can add in test results and treatment choices. The Pharmacists can review prescriptions</w:t>
      </w:r>
      <w:r w:rsidR="00A12C5D">
        <w:t>.</w:t>
      </w:r>
      <w:r>
        <w:t xml:space="preserve"> </w:t>
      </w:r>
      <w:r w:rsidR="00A12C5D">
        <w:t>The</w:t>
      </w:r>
      <w:r>
        <w:t xml:space="preserve"> Community Nurses can update home observations</w:t>
      </w:r>
      <w:r w:rsidR="00A12C5D">
        <w:t>,</w:t>
      </w:r>
      <w:r>
        <w:t xml:space="preserve"> and social care professionals can view related support needs. This can </w:t>
      </w:r>
      <w:r w:rsidR="00A12C5D">
        <w:t>minimise</w:t>
      </w:r>
      <w:r>
        <w:t xml:space="preserve"> repetition, provide more continuity and </w:t>
      </w:r>
      <w:r w:rsidR="00A12C5D">
        <w:t>allow</w:t>
      </w:r>
      <w:r>
        <w:t xml:space="preserve"> more secure multi-disciplinary decision making</w:t>
      </w:r>
      <w:r w:rsidR="00C819AC">
        <w:t xml:space="preserve"> </w:t>
      </w:r>
      <w:r w:rsidR="00C819AC" w:rsidRPr="00C819AC">
        <w:t>(Ravi et al., 2022)</w:t>
      </w:r>
      <w:r>
        <w:t>. However, for benefits to be provided, the entries must be accurate and on time. There may be incompatibility between the systems used to store information, or poor training may result in incomplete records. Access security is also vital as increased access raises the level of confidentiality issues and cyber-security risks. Good infrastructure, interoperability and professional accountability therefore are needed</w:t>
      </w:r>
      <w:r w:rsidR="00A12C5D">
        <w:t>.</w:t>
      </w:r>
      <w:r>
        <w:t xml:space="preserve"> </w:t>
      </w:r>
      <w:r w:rsidR="00A12C5D">
        <w:t>Technology</w:t>
      </w:r>
      <w:r>
        <w:t xml:space="preserve"> by itself will not </w:t>
      </w:r>
      <w:r w:rsidR="00A12C5D">
        <w:t>fix</w:t>
      </w:r>
      <w:r>
        <w:t xml:space="preserve"> bad communication.</w:t>
      </w:r>
    </w:p>
    <w:p w14:paraId="4172B8F7" w14:textId="5B7DB0A2" w:rsidR="00C213DF" w:rsidRPr="00A12C5D" w:rsidRDefault="00C213DF" w:rsidP="00C213DF">
      <w:pPr>
        <w:rPr>
          <w:b/>
          <w:bCs/>
        </w:rPr>
      </w:pPr>
      <w:r w:rsidRPr="00A12C5D">
        <w:rPr>
          <w:b/>
          <w:bCs/>
        </w:rPr>
        <w:t xml:space="preserve">Preventative Care and Health Promotion </w:t>
      </w:r>
    </w:p>
    <w:p w14:paraId="6D8A124E" w14:textId="3A18D98F" w:rsidR="003924EE" w:rsidRDefault="00C213DF" w:rsidP="00C213DF">
      <w:r>
        <w:t xml:space="preserve">An intervention </w:t>
      </w:r>
      <w:r w:rsidR="00A12C5D">
        <w:t>may</w:t>
      </w:r>
      <w:r>
        <w:t xml:space="preserve"> take the form of an application to </w:t>
      </w:r>
      <w:r w:rsidR="00A12C5D">
        <w:t>help</w:t>
      </w:r>
      <w:r>
        <w:t xml:space="preserve"> adults at higher risk for type 2 diabetes to make preventive measures into an </w:t>
      </w:r>
      <w:r w:rsidR="00A12C5D">
        <w:t>everyday behaviour</w:t>
      </w:r>
      <w:r>
        <w:t>. The application can offer personalised objectives, reminders, monitoring of activities, suggestions on diet and feedback on performance after a digital risk assessment</w:t>
      </w:r>
      <w:r w:rsidR="00C819AC">
        <w:t xml:space="preserve"> </w:t>
      </w:r>
      <w:r w:rsidR="00C819AC" w:rsidRPr="00C819AC">
        <w:t>(Jahan et al., 2024)</w:t>
      </w:r>
      <w:r>
        <w:t xml:space="preserve">. These functions would be useful in raising awareness and very insidious for the gradual changes in behaviour before health breaks down. This could also be helpful in offering an interim measure between appointments and </w:t>
      </w:r>
      <w:r w:rsidR="00C819AC">
        <w:t>decreasing</w:t>
      </w:r>
      <w:r>
        <w:t xml:space="preserve"> the need for regular human-to-human contact. There is some evidence that using prevention applications leads to better weight-related and behavioural outcomes, but the long-term effects of prevention applications are unclear. This engagement is also necessary for benefits; otherwise, no benefit will be given. Reminders might not be followed by some users</w:t>
      </w:r>
      <w:r w:rsidR="00C819AC">
        <w:t>;</w:t>
      </w:r>
      <w:r>
        <w:t xml:space="preserve"> they might not have appropriate devices or limited digital skills. Inequalities in internet access and in perceptions of privacy might exacerbate inequalities. So digital prevention should be a complement to professional support and should offer an accessible alternative.</w:t>
      </w:r>
    </w:p>
    <w:p w14:paraId="0EFADDA2" w14:textId="77777777" w:rsidR="00C819AC" w:rsidRDefault="00C819AC" w:rsidP="00C819AC">
      <w:pPr>
        <w:keepNext/>
        <w:jc w:val="center"/>
      </w:pPr>
      <w:r>
        <w:rPr>
          <w:noProof/>
        </w:rPr>
        <w:drawing>
          <wp:inline distT="0" distB="0" distL="0" distR="0" wp14:anchorId="5F02CB75" wp14:editId="1B07510C">
            <wp:extent cx="5898515" cy="3060700"/>
            <wp:effectExtent l="0" t="0" r="6985" b="6350"/>
            <wp:docPr id="3193178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5358" b="15456"/>
                    <a:stretch>
                      <a:fillRect/>
                    </a:stretch>
                  </pic:blipFill>
                  <pic:spPr bwMode="auto">
                    <a:xfrm>
                      <a:off x="0" y="0"/>
                      <a:ext cx="5935881" cy="3080089"/>
                    </a:xfrm>
                    <a:prstGeom prst="rect">
                      <a:avLst/>
                    </a:prstGeom>
                    <a:noFill/>
                    <a:ln>
                      <a:noFill/>
                    </a:ln>
                    <a:extLst>
                      <a:ext uri="{53640926-AAD7-44D8-BBD7-CCE9431645EC}">
                        <a14:shadowObscured xmlns:a14="http://schemas.microsoft.com/office/drawing/2010/main"/>
                      </a:ext>
                    </a:extLst>
                  </pic:spPr>
                </pic:pic>
              </a:graphicData>
            </a:graphic>
          </wp:inline>
        </w:drawing>
      </w:r>
    </w:p>
    <w:p w14:paraId="3C58572E" w14:textId="70C16A2C" w:rsidR="00C819AC" w:rsidRPr="003924EE" w:rsidRDefault="00C819AC" w:rsidP="00C819AC">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rPr>
          <w:lang w:val="en-US"/>
        </w:rPr>
        <w:t xml:space="preserve">: </w:t>
      </w:r>
      <w:r w:rsidRPr="004B25B2">
        <w:rPr>
          <w:lang w:val="en-US"/>
        </w:rPr>
        <w:t>Digital Prevention Pathway</w:t>
      </w:r>
      <w:r>
        <w:rPr>
          <w:lang w:val="en-US"/>
        </w:rPr>
        <w:t xml:space="preserve"> (Source: Author)</w:t>
      </w:r>
    </w:p>
    <w:p w14:paraId="560EC736" w14:textId="77777777" w:rsidR="00C819AC" w:rsidRDefault="00C819AC">
      <w:pPr>
        <w:rPr>
          <w:b/>
          <w:bCs/>
        </w:rPr>
      </w:pPr>
      <w:r>
        <w:rPr>
          <w:b/>
          <w:bCs/>
        </w:rPr>
        <w:br w:type="page"/>
      </w:r>
    </w:p>
    <w:p w14:paraId="448D1E56" w14:textId="2255F117" w:rsidR="003924EE" w:rsidRPr="00C819AC" w:rsidRDefault="003924EE" w:rsidP="00C819AC">
      <w:pPr>
        <w:pStyle w:val="Heading1"/>
        <w:rPr>
          <w:bCs/>
        </w:rPr>
      </w:pPr>
      <w:bookmarkStart w:id="7" w:name="_Toc233905676"/>
      <w:r w:rsidRPr="003924EE">
        <w:t>Task 7: Understanding the NHS Leadership Framework</w:t>
      </w:r>
      <w:bookmarkEnd w:id="7"/>
      <w:r w:rsidRPr="003924EE">
        <w:t xml:space="preserve"> </w:t>
      </w:r>
    </w:p>
    <w:p w14:paraId="74D1AA45" w14:textId="0FFD43E1" w:rsidR="003924EE" w:rsidRPr="00C819AC" w:rsidRDefault="003924EE" w:rsidP="003924EE">
      <w:pPr>
        <w:rPr>
          <w:b/>
          <w:bCs/>
        </w:rPr>
      </w:pPr>
      <w:r w:rsidRPr="00C819AC">
        <w:rPr>
          <w:b/>
          <w:bCs/>
        </w:rPr>
        <w:t xml:space="preserve">NHS Healthcare Leadership Model Summary </w:t>
      </w:r>
    </w:p>
    <w:p w14:paraId="1966E053" w14:textId="63ADBBB7" w:rsidR="00C213DF" w:rsidRDefault="00C213DF" w:rsidP="00C213DF">
      <w:r>
        <w:t>The NHS Healthcare Leadership Model provides an opportunity for both clinical and non-clinical teams to reflect on, and work on, leadership behaviours. It has 9 dimensions: inspiring shared purpose, leading with care, evaluating information, connecting services, sharing the vision, engaging the team, holding to account, developing capability and influencing for results. These behaviours link compassion, evidence, collaboration and accountability to an improved service</w:t>
      </w:r>
      <w:r w:rsidR="00C819AC">
        <w:t xml:space="preserve"> </w:t>
      </w:r>
      <w:r w:rsidR="00C819AC" w:rsidRPr="00C819AC">
        <w:t>(NHS, 2025)</w:t>
      </w:r>
      <w:r>
        <w:t xml:space="preserve">. The Model is important </w:t>
      </w:r>
      <w:r w:rsidR="00C819AC">
        <w:t>because</w:t>
      </w:r>
      <w:r>
        <w:t xml:space="preserve"> Health and Social Care leaders need to collaborate across professions</w:t>
      </w:r>
      <w:r w:rsidR="00C819AC">
        <w:t>,</w:t>
      </w:r>
      <w:r>
        <w:t xml:space="preserve"> ensuring quality and patient safety. A blueprint, however, is no guarantee of good leadership. Availability may be restricted if staffing or resources are not available to encourage participation, or if culture is off-limits. A focus on consistent behaviour, clear accountability and connections between leadership practice and evidence of care outcomes, then, are needed for improvement. The involvement of staff is still critical.</w:t>
      </w:r>
    </w:p>
    <w:p w14:paraId="1AB88953" w14:textId="0221B960" w:rsidR="00C213DF" w:rsidRPr="00C819AC" w:rsidRDefault="00C213DF" w:rsidP="00C213DF">
      <w:pPr>
        <w:rPr>
          <w:b/>
          <w:bCs/>
        </w:rPr>
      </w:pPr>
      <w:r w:rsidRPr="00C819AC">
        <w:rPr>
          <w:b/>
          <w:bCs/>
        </w:rPr>
        <w:t xml:space="preserve">Selected Leadership Behaviour: Leading with Care </w:t>
      </w:r>
    </w:p>
    <w:p w14:paraId="3478FF55" w14:textId="076F29DB" w:rsidR="00C213DF" w:rsidRDefault="00C213DF" w:rsidP="00C213DF">
      <w:r>
        <w:t xml:space="preserve">The promotion of care is for a leader to be aware of staff concerns, appreciate and support staff when under pressure or uncertain. This can </w:t>
      </w:r>
      <w:r w:rsidR="00C819AC">
        <w:t>inspire</w:t>
      </w:r>
      <w:r>
        <w:t xml:space="preserve"> a sense of security with employees and encourage them to question routines, to report on mistakes or make suggestions. Transformational leadership also helps build team collaboration and care results through sharing a vision and providing individual support. But constructive leadership should not allow for unsafe thoughts. Creativity should be built on evidence, be accountable and should not put patient safety and resources at risk</w:t>
      </w:r>
      <w:r w:rsidR="00A152FD">
        <w:t xml:space="preserve"> </w:t>
      </w:r>
      <w:r w:rsidR="00A152FD" w:rsidRPr="00A152FD">
        <w:t>(</w:t>
      </w:r>
      <w:proofErr w:type="spellStart"/>
      <w:r w:rsidR="00A152FD" w:rsidRPr="00A152FD">
        <w:t>Ystaas</w:t>
      </w:r>
      <w:proofErr w:type="spellEnd"/>
      <w:r w:rsidR="00A152FD" w:rsidRPr="00A152FD">
        <w:t xml:space="preserve"> et al., 2023)</w:t>
      </w:r>
      <w:r>
        <w:t>. Leaders should seek suggestions, review risks and give appropriate and balanced feedback.</w:t>
      </w:r>
    </w:p>
    <w:p w14:paraId="20E832FA" w14:textId="52C2F83B" w:rsidR="00C213DF" w:rsidRPr="00C819AC" w:rsidRDefault="00C213DF" w:rsidP="00C213DF">
      <w:pPr>
        <w:rPr>
          <w:b/>
          <w:bCs/>
        </w:rPr>
      </w:pPr>
      <w:r w:rsidRPr="00C819AC">
        <w:rPr>
          <w:b/>
          <w:bCs/>
        </w:rPr>
        <w:t xml:space="preserve">Leadership, Creativity and Care Improvement Reflection </w:t>
      </w:r>
    </w:p>
    <w:p w14:paraId="5507BDA4" w14:textId="77777777" w:rsidR="00C819AC" w:rsidRDefault="00C213DF" w:rsidP="00C213DF">
      <w:r>
        <w:t>In this task, creativity was shown to be released or restricted by leadership. When the hierarchy and the criticism or workload deter staff from participating, they are less likely to suggest improvements. Previously</w:t>
      </w:r>
      <w:r w:rsidR="00C819AC">
        <w:t>,</w:t>
      </w:r>
      <w:r>
        <w:t xml:space="preserve"> I identified leading with directing work</w:t>
      </w:r>
      <w:r w:rsidR="00C819AC">
        <w:t>,</w:t>
      </w:r>
      <w:r>
        <w:t xml:space="preserve"> and this model demonstrates that </w:t>
      </w:r>
      <w:r w:rsidR="00C819AC">
        <w:t>listening</w:t>
      </w:r>
      <w:r>
        <w:t xml:space="preserve">, </w:t>
      </w:r>
      <w:r w:rsidR="00C819AC">
        <w:t>care,</w:t>
      </w:r>
      <w:r>
        <w:t xml:space="preserve"> and evidence are also critical aspects of leadership. I would like my colleagues to talk through problems and provide alternatives before choosing a response in the future. The service user should also be included where changes impact their care. Openness has to be kept within acceptable limits with standards, risk and evaluation.</w:t>
      </w:r>
    </w:p>
    <w:p w14:paraId="01F5DEC1" w14:textId="77777777" w:rsidR="00C819AC" w:rsidRDefault="00C819AC">
      <w:r>
        <w:br w:type="page"/>
      </w:r>
    </w:p>
    <w:p w14:paraId="024D7C30" w14:textId="250312D3" w:rsidR="00C213DF" w:rsidRDefault="00C213DF" w:rsidP="00C819AC">
      <w:pPr>
        <w:pStyle w:val="Heading1"/>
      </w:pPr>
      <w:bookmarkStart w:id="8" w:name="_Toc233905677"/>
      <w:r>
        <w:t>Task 8: Self-Reflection Journal Entry</w:t>
      </w:r>
      <w:bookmarkEnd w:id="8"/>
      <w:r>
        <w:t xml:space="preserve"> </w:t>
      </w:r>
    </w:p>
    <w:p w14:paraId="47F4FF0E" w14:textId="60E81D44" w:rsidR="003924EE" w:rsidRDefault="00C213DF" w:rsidP="00C213DF">
      <w:r>
        <w:t>In the previous module, I had the impression that innovation is strictly related to new technology. The activities demonstrated a second aspect of creativity</w:t>
      </w:r>
      <w:r w:rsidR="00C819AC">
        <w:t>:</w:t>
      </w:r>
      <w:r>
        <w:t xml:space="preserve"> the redesigning of the communication, teamwork, and service processes to produce the practical value of the activity. The strategies of divergent and convergent thinking proved to be particularly helpful as they allowed ideas to be generated without having to critically select them. The virtual ward case also demonstrated that an innovation can re-configure existing resources, rather than creating a </w:t>
      </w:r>
      <w:proofErr w:type="gramStart"/>
      <w:r>
        <w:t>brand new</w:t>
      </w:r>
      <w:proofErr w:type="gramEnd"/>
      <w:r>
        <w:t xml:space="preserve"> service. This learning was to be used in Gibbs' reflective approach to guide future action. In professional practice, I would consider </w:t>
      </w:r>
      <w:r w:rsidR="00C819AC">
        <w:t>reaching</w:t>
      </w:r>
      <w:r>
        <w:t xml:space="preserve"> different solutions </w:t>
      </w:r>
      <w:r w:rsidR="00C819AC">
        <w:t xml:space="preserve">by </w:t>
      </w:r>
      <w:r>
        <w:t>considering problems from multiple angles</w:t>
      </w:r>
      <w:r w:rsidR="00C819AC">
        <w:t>,</w:t>
      </w:r>
      <w:r>
        <w:t xml:space="preserve"> engaging service users</w:t>
      </w:r>
      <w:r w:rsidR="00C819AC">
        <w:t xml:space="preserve"> and </w:t>
      </w:r>
      <w:r>
        <w:t>colleagues</w:t>
      </w:r>
      <w:r w:rsidR="00C819AC">
        <w:t>,</w:t>
      </w:r>
      <w:r>
        <w:t xml:space="preserve"> </w:t>
      </w:r>
      <w:r w:rsidR="00C819AC">
        <w:t xml:space="preserve">and </w:t>
      </w:r>
      <w:r>
        <w:t xml:space="preserve">weighing different options based on evidence, feasibility and risk. The main lesson is that value creation </w:t>
      </w:r>
      <w:r w:rsidR="00C819AC">
        <w:t>should</w:t>
      </w:r>
      <w:r>
        <w:t xml:space="preserve"> </w:t>
      </w:r>
      <w:r w:rsidR="00C819AC">
        <w:t>improve</w:t>
      </w:r>
      <w:r>
        <w:t xml:space="preserve"> outcomes, while steering clear of passing undue expenses, responsibilities or hardship to others.</w:t>
      </w:r>
    </w:p>
    <w:p w14:paraId="6475C51E" w14:textId="77777777" w:rsidR="00A152FD" w:rsidRDefault="00A152FD" w:rsidP="00C213DF"/>
    <w:p w14:paraId="550C5FB0" w14:textId="56BFCC10" w:rsidR="00A152FD" w:rsidRDefault="00A152FD">
      <w:r>
        <w:br w:type="page"/>
      </w:r>
    </w:p>
    <w:p w14:paraId="659E1541" w14:textId="77777777" w:rsidR="00A152FD" w:rsidRPr="00A152FD" w:rsidRDefault="00A152FD" w:rsidP="00A152FD">
      <w:pPr>
        <w:pStyle w:val="Heading1"/>
      </w:pPr>
      <w:bookmarkStart w:id="9" w:name="_Toc233905678"/>
      <w:r w:rsidRPr="00A152FD">
        <w:t>Reference list</w:t>
      </w:r>
      <w:bookmarkEnd w:id="9"/>
    </w:p>
    <w:p w14:paraId="7CA24496" w14:textId="77777777" w:rsidR="00A152FD" w:rsidRPr="00A152FD" w:rsidRDefault="00A152FD" w:rsidP="00A152FD">
      <w:r w:rsidRPr="00A152FD">
        <w:t xml:space="preserve">Gibbs, G. (1988). </w:t>
      </w:r>
      <w:r w:rsidRPr="00A152FD">
        <w:rPr>
          <w:i/>
          <w:iCs/>
        </w:rPr>
        <w:t>Learning by Doing: A Guide to Teaching and Learning Methods</w:t>
      </w:r>
      <w:r w:rsidRPr="00A152FD">
        <w:t>. Oxford: Further Education Unit.</w:t>
      </w:r>
    </w:p>
    <w:p w14:paraId="782E36DC" w14:textId="77777777" w:rsidR="00A152FD" w:rsidRPr="00A152FD" w:rsidRDefault="00A152FD" w:rsidP="00A152FD">
      <w:r w:rsidRPr="00A152FD">
        <w:t xml:space="preserve">Harrison, R., Fischer, S., </w:t>
      </w:r>
      <w:proofErr w:type="spellStart"/>
      <w:r w:rsidRPr="00A152FD">
        <w:t>Walpola</w:t>
      </w:r>
      <w:proofErr w:type="spellEnd"/>
      <w:r w:rsidRPr="00A152FD">
        <w:t xml:space="preserve">, R.L., Chauhan, A., Babalola, T., Mears, S. and Le-Dao, H. (2021). Where Do Models for Change management, Improvement and Implementation meet? a Systematic Review of the Applications of Change Management Models in Healthcare. </w:t>
      </w:r>
      <w:r w:rsidRPr="00A152FD">
        <w:rPr>
          <w:i/>
          <w:iCs/>
        </w:rPr>
        <w:t>Journal of Healthcare Leadership</w:t>
      </w:r>
      <w:r w:rsidRPr="00A152FD">
        <w:t xml:space="preserve">, [online] 13(2), pp.85–108. </w:t>
      </w:r>
      <w:proofErr w:type="spellStart"/>
      <w:proofErr w:type="gramStart"/>
      <w:r w:rsidRPr="00A152FD">
        <w:t>doi:https</w:t>
      </w:r>
      <w:proofErr w:type="spellEnd"/>
      <w:r w:rsidRPr="00A152FD">
        <w:t>://doi.org/10.2147/JHL.S289176</w:t>
      </w:r>
      <w:proofErr w:type="gramEnd"/>
      <w:r w:rsidRPr="00A152FD">
        <w:t>.</w:t>
      </w:r>
    </w:p>
    <w:p w14:paraId="1FFB863E" w14:textId="77777777" w:rsidR="00A152FD" w:rsidRPr="00A152FD" w:rsidRDefault="00A152FD" w:rsidP="00A152FD">
      <w:r w:rsidRPr="00A152FD">
        <w:t xml:space="preserve">Jahan, E., Almansour, R., Ijaz, K., Baptista, S., Giordan, L.B., Ronto, R., Zaman, S., O’Hagan, E. and Laranjo, L. (2024). Smartphone Applications to Prevent type 2 Diabetes: a systematic review and meta-analysis. </w:t>
      </w:r>
      <w:r w:rsidRPr="00A152FD">
        <w:rPr>
          <w:i/>
          <w:iCs/>
        </w:rPr>
        <w:t>American Journal of Preventive Medicine</w:t>
      </w:r>
      <w:r w:rsidRPr="00A152FD">
        <w:t xml:space="preserve">, [online] 66(6). </w:t>
      </w:r>
      <w:proofErr w:type="spellStart"/>
      <w:proofErr w:type="gramStart"/>
      <w:r w:rsidRPr="00A152FD">
        <w:t>doi:https</w:t>
      </w:r>
      <w:proofErr w:type="spellEnd"/>
      <w:r w:rsidRPr="00A152FD">
        <w:t>://doi.org/10.1016/j.amepre.2024.01.008</w:t>
      </w:r>
      <w:proofErr w:type="gramEnd"/>
      <w:r w:rsidRPr="00A152FD">
        <w:t>.</w:t>
      </w:r>
    </w:p>
    <w:p w14:paraId="0F59B6CB" w14:textId="77777777" w:rsidR="00A152FD" w:rsidRPr="00A152FD" w:rsidRDefault="00A152FD" w:rsidP="00A152FD">
      <w:r w:rsidRPr="00A152FD">
        <w:t xml:space="preserve">Jin, T., Zhou, Y. and Zhang, L. (2023). Job stressors and burnout among clinical nurses: a moderated mediation model of need for recovery and career calling. </w:t>
      </w:r>
      <w:r w:rsidRPr="00A152FD">
        <w:rPr>
          <w:i/>
          <w:iCs/>
        </w:rPr>
        <w:t>BMC Nursing</w:t>
      </w:r>
      <w:r w:rsidRPr="00A152FD">
        <w:t xml:space="preserve">, [online] 22(1). </w:t>
      </w:r>
      <w:proofErr w:type="spellStart"/>
      <w:proofErr w:type="gramStart"/>
      <w:r w:rsidRPr="00A152FD">
        <w:t>doi:https</w:t>
      </w:r>
      <w:proofErr w:type="spellEnd"/>
      <w:r w:rsidRPr="00A152FD">
        <w:t>://doi.org/10.1186/s12912-023-01524-1</w:t>
      </w:r>
      <w:proofErr w:type="gramEnd"/>
      <w:r w:rsidRPr="00A152FD">
        <w:t>.</w:t>
      </w:r>
    </w:p>
    <w:p w14:paraId="7FC63B0C" w14:textId="77777777" w:rsidR="00A152FD" w:rsidRPr="00A152FD" w:rsidRDefault="00A152FD" w:rsidP="00A152FD">
      <w:r w:rsidRPr="00A152FD">
        <w:t xml:space="preserve">Kelly, C.J. and Young, A.J. (2019). Promoting innovation in healthcare. </w:t>
      </w:r>
      <w:r w:rsidRPr="00A152FD">
        <w:rPr>
          <w:i/>
          <w:iCs/>
        </w:rPr>
        <w:t>Future Hospital Journal</w:t>
      </w:r>
      <w:r w:rsidRPr="00A152FD">
        <w:t xml:space="preserve">, 4(2), pp.121–125. </w:t>
      </w:r>
      <w:proofErr w:type="spellStart"/>
      <w:proofErr w:type="gramStart"/>
      <w:r w:rsidRPr="00A152FD">
        <w:t>doi:https</w:t>
      </w:r>
      <w:proofErr w:type="spellEnd"/>
      <w:r w:rsidRPr="00A152FD">
        <w:t>://doi.org/10.7861/futurehosp.4-2-121</w:t>
      </w:r>
      <w:proofErr w:type="gramEnd"/>
      <w:r w:rsidRPr="00A152FD">
        <w:t>.</w:t>
      </w:r>
    </w:p>
    <w:p w14:paraId="72D42920" w14:textId="77777777" w:rsidR="00A152FD" w:rsidRPr="00A152FD" w:rsidRDefault="00A152FD" w:rsidP="00A152FD">
      <w:r w:rsidRPr="00A152FD">
        <w:t xml:space="preserve">Li, L.Z., Yang, P., Singer, S.J., Pfeffer, J., Mathur, M.B. and Shanafelt, T. (2024). Nurse burnout and patient safety, satisfaction, and quality of care: A systematic review and meta-analysis. </w:t>
      </w:r>
      <w:r w:rsidRPr="00A152FD">
        <w:rPr>
          <w:i/>
          <w:iCs/>
        </w:rPr>
        <w:t>JAMA Network Open</w:t>
      </w:r>
      <w:r w:rsidRPr="00A152FD">
        <w:t xml:space="preserve">, [online] 7(11). </w:t>
      </w:r>
      <w:proofErr w:type="spellStart"/>
      <w:proofErr w:type="gramStart"/>
      <w:r w:rsidRPr="00A152FD">
        <w:t>doi:https</w:t>
      </w:r>
      <w:proofErr w:type="spellEnd"/>
      <w:r w:rsidRPr="00A152FD">
        <w:t>://doi.org/10.1001/jamanetworkopen.2024.43059</w:t>
      </w:r>
      <w:proofErr w:type="gramEnd"/>
      <w:r w:rsidRPr="00A152FD">
        <w:t>.</w:t>
      </w:r>
    </w:p>
    <w:p w14:paraId="503AB4DF" w14:textId="77777777" w:rsidR="00A152FD" w:rsidRPr="00A152FD" w:rsidRDefault="00A152FD" w:rsidP="00A152FD">
      <w:r w:rsidRPr="00A152FD">
        <w:t xml:space="preserve">Nagle, E., </w:t>
      </w:r>
      <w:proofErr w:type="spellStart"/>
      <w:r w:rsidRPr="00A152FD">
        <w:t>Griskevica</w:t>
      </w:r>
      <w:proofErr w:type="spellEnd"/>
      <w:r w:rsidRPr="00A152FD">
        <w:t xml:space="preserve">, I., </w:t>
      </w:r>
      <w:proofErr w:type="spellStart"/>
      <w:r w:rsidRPr="00A152FD">
        <w:t>Rajevska</w:t>
      </w:r>
      <w:proofErr w:type="spellEnd"/>
      <w:r w:rsidRPr="00A152FD">
        <w:t xml:space="preserve">, O., Ivanovs, A., Mihailova, S. and </w:t>
      </w:r>
      <w:proofErr w:type="spellStart"/>
      <w:r w:rsidRPr="00A152FD">
        <w:t>Skruzkalne</w:t>
      </w:r>
      <w:proofErr w:type="spellEnd"/>
      <w:r w:rsidRPr="00A152FD">
        <w:t xml:space="preserve">, I. (2024). Factors affecting healthcare workers burnout and their conceptual models: scoping review. </w:t>
      </w:r>
      <w:r w:rsidRPr="00A152FD">
        <w:rPr>
          <w:i/>
          <w:iCs/>
        </w:rPr>
        <w:t>BMC Psychology</w:t>
      </w:r>
      <w:r w:rsidRPr="00A152FD">
        <w:t xml:space="preserve">, 12(1). </w:t>
      </w:r>
      <w:proofErr w:type="spellStart"/>
      <w:proofErr w:type="gramStart"/>
      <w:r w:rsidRPr="00A152FD">
        <w:t>doi:https</w:t>
      </w:r>
      <w:proofErr w:type="spellEnd"/>
      <w:r w:rsidRPr="00A152FD">
        <w:t>://doi.org/10.1186/s40359-024-02130-9</w:t>
      </w:r>
      <w:proofErr w:type="gramEnd"/>
      <w:r w:rsidRPr="00A152FD">
        <w:t>.</w:t>
      </w:r>
    </w:p>
    <w:p w14:paraId="7739BFC7" w14:textId="77777777" w:rsidR="00A152FD" w:rsidRPr="00A152FD" w:rsidRDefault="00A152FD" w:rsidP="00A152FD">
      <w:r w:rsidRPr="00A152FD">
        <w:t xml:space="preserve">NHS (2025). </w:t>
      </w:r>
      <w:r w:rsidRPr="00A152FD">
        <w:rPr>
          <w:i/>
          <w:iCs/>
        </w:rPr>
        <w:t>Virtual Wards Operational Framework</w:t>
      </w:r>
      <w:r w:rsidRPr="00A152FD">
        <w:t>. [online] England.nhs.uk. Available at: https://www.england.nhs.uk/long-read/virtual-wards-operational-framework/ [Accessed 2 Jul. 2026].</w:t>
      </w:r>
    </w:p>
    <w:p w14:paraId="7D7F1D4A" w14:textId="77777777" w:rsidR="00A152FD" w:rsidRPr="00A152FD" w:rsidRDefault="00A152FD" w:rsidP="00A152FD">
      <w:r w:rsidRPr="00A152FD">
        <w:t xml:space="preserve">Porter, M.E. (2010). What Is Value in Health Care? </w:t>
      </w:r>
      <w:r w:rsidRPr="00A152FD">
        <w:rPr>
          <w:i/>
          <w:iCs/>
        </w:rPr>
        <w:t>New England Journal of Medicine</w:t>
      </w:r>
      <w:r w:rsidRPr="00A152FD">
        <w:t xml:space="preserve">, [online] 363(26), pp.2477–2481. </w:t>
      </w:r>
      <w:proofErr w:type="spellStart"/>
      <w:proofErr w:type="gramStart"/>
      <w:r w:rsidRPr="00A152FD">
        <w:t>doi:https</w:t>
      </w:r>
      <w:proofErr w:type="spellEnd"/>
      <w:r w:rsidRPr="00A152FD">
        <w:t>://doi.org/10.1056/nejmp1011024</w:t>
      </w:r>
      <w:proofErr w:type="gramEnd"/>
      <w:r w:rsidRPr="00A152FD">
        <w:t>.</w:t>
      </w:r>
    </w:p>
    <w:p w14:paraId="1093A496" w14:textId="77777777" w:rsidR="00A152FD" w:rsidRPr="00A152FD" w:rsidRDefault="00A152FD" w:rsidP="00A152FD">
      <w:r w:rsidRPr="00A152FD">
        <w:t xml:space="preserve">Ravi, P., Pfaff, K., Ralph, J., Cruz, E., Bellaire, M. and </w:t>
      </w:r>
      <w:proofErr w:type="spellStart"/>
      <w:r w:rsidRPr="00A152FD">
        <w:t>Fontanin</w:t>
      </w:r>
      <w:proofErr w:type="spellEnd"/>
      <w:r w:rsidRPr="00A152FD">
        <w:t xml:space="preserve">, G. (2022). Nurse-pharmacist collaborations for promoting medication safety among community-dwelling adults: A scoping review. </w:t>
      </w:r>
      <w:r w:rsidRPr="00A152FD">
        <w:rPr>
          <w:i/>
          <w:iCs/>
        </w:rPr>
        <w:t>International Journal of Nursing Studies Advances</w:t>
      </w:r>
      <w:r w:rsidRPr="00A152FD">
        <w:t xml:space="preserve">, [online] 4(4), p.100079. </w:t>
      </w:r>
      <w:proofErr w:type="spellStart"/>
      <w:proofErr w:type="gramStart"/>
      <w:r w:rsidRPr="00A152FD">
        <w:t>doi:https</w:t>
      </w:r>
      <w:proofErr w:type="spellEnd"/>
      <w:r w:rsidRPr="00A152FD">
        <w:t>://doi.org/10.1016/j.ijnsa.2022.100079</w:t>
      </w:r>
      <w:proofErr w:type="gramEnd"/>
      <w:r w:rsidRPr="00A152FD">
        <w:t>.</w:t>
      </w:r>
    </w:p>
    <w:p w14:paraId="0B1DB5FC" w14:textId="77777777" w:rsidR="00A152FD" w:rsidRPr="00A152FD" w:rsidRDefault="00A152FD" w:rsidP="00A152FD">
      <w:r w:rsidRPr="00A152FD">
        <w:t xml:space="preserve">Rogers, E.M. (2012). </w:t>
      </w:r>
      <w:r w:rsidRPr="00A152FD">
        <w:rPr>
          <w:i/>
          <w:iCs/>
        </w:rPr>
        <w:t>Diffusion of innovations</w:t>
      </w:r>
      <w:r w:rsidRPr="00A152FD">
        <w:t>. 6th ed. New York: Simon and Schuster.</w:t>
      </w:r>
    </w:p>
    <w:p w14:paraId="0DDB2D76" w14:textId="77777777" w:rsidR="00A152FD" w:rsidRPr="00A152FD" w:rsidRDefault="00A152FD" w:rsidP="00A152FD">
      <w:r w:rsidRPr="00A152FD">
        <w:t xml:space="preserve">Shi, C., </w:t>
      </w:r>
      <w:proofErr w:type="spellStart"/>
      <w:r w:rsidRPr="00A152FD">
        <w:t>Dumville</w:t>
      </w:r>
      <w:proofErr w:type="spellEnd"/>
      <w:r w:rsidRPr="00A152FD">
        <w:t xml:space="preserve">, J., Rubinstein, F., Norman, G., Ullah, A., Bashir, S., Bower, P. and Emma (2024). Inpatient-level care at home delivered by virtual wards and hospital at home: a systematic review and meta-analysis of complex interventions and their components. </w:t>
      </w:r>
      <w:r w:rsidRPr="00A152FD">
        <w:rPr>
          <w:i/>
          <w:iCs/>
        </w:rPr>
        <w:t>PubMed</w:t>
      </w:r>
      <w:r w:rsidRPr="00A152FD">
        <w:t xml:space="preserve">, 22(1), pp.145–145. </w:t>
      </w:r>
      <w:proofErr w:type="spellStart"/>
      <w:proofErr w:type="gramStart"/>
      <w:r w:rsidRPr="00A152FD">
        <w:t>doi:https</w:t>
      </w:r>
      <w:proofErr w:type="spellEnd"/>
      <w:r w:rsidRPr="00A152FD">
        <w:t>://doi.org/10.1186/s12916-024-03312-3</w:t>
      </w:r>
      <w:proofErr w:type="gramEnd"/>
      <w:r w:rsidRPr="00A152FD">
        <w:t>.</w:t>
      </w:r>
    </w:p>
    <w:p w14:paraId="2C6BC217" w14:textId="77777777" w:rsidR="00A152FD" w:rsidRPr="00A152FD" w:rsidRDefault="00A152FD" w:rsidP="00A152FD">
      <w:r w:rsidRPr="00A152FD">
        <w:t xml:space="preserve">Vyas, R., Jain, S., Anuj Thakre, Sahith Reddy Thotamgari, Raina, S., Brar, V., Sengupta, P. and Agrawal, P. (2024). Smart watch applications in atrial fibrillation detection: Current state and future directions. </w:t>
      </w:r>
      <w:r w:rsidRPr="00A152FD">
        <w:rPr>
          <w:i/>
          <w:iCs/>
        </w:rPr>
        <w:t>Journal of Cardiovascular Electrophysiology</w:t>
      </w:r>
      <w:r w:rsidRPr="00A152FD">
        <w:t xml:space="preserve">, 35(12). </w:t>
      </w:r>
      <w:proofErr w:type="spellStart"/>
      <w:proofErr w:type="gramStart"/>
      <w:r w:rsidRPr="00A152FD">
        <w:t>doi:https</w:t>
      </w:r>
      <w:proofErr w:type="spellEnd"/>
      <w:r w:rsidRPr="00A152FD">
        <w:t>://doi.org/10.1111/jce.16451</w:t>
      </w:r>
      <w:proofErr w:type="gramEnd"/>
      <w:r w:rsidRPr="00A152FD">
        <w:t>.</w:t>
      </w:r>
    </w:p>
    <w:p w14:paraId="3D01A500" w14:textId="77777777" w:rsidR="00A152FD" w:rsidRPr="00A152FD" w:rsidRDefault="00A152FD" w:rsidP="00A152FD">
      <w:proofErr w:type="spellStart"/>
      <w:r w:rsidRPr="00A152FD">
        <w:t>Ystaas</w:t>
      </w:r>
      <w:proofErr w:type="spellEnd"/>
      <w:r w:rsidRPr="00A152FD">
        <w:t xml:space="preserve">, L.M.K., </w:t>
      </w:r>
      <w:proofErr w:type="spellStart"/>
      <w:r w:rsidRPr="00A152FD">
        <w:t>Nikitara</w:t>
      </w:r>
      <w:proofErr w:type="spellEnd"/>
      <w:r w:rsidRPr="00A152FD">
        <w:t xml:space="preserve">, M., Ghobrial, S., </w:t>
      </w:r>
      <w:proofErr w:type="spellStart"/>
      <w:r w:rsidRPr="00A152FD">
        <w:t>Latzourakis</w:t>
      </w:r>
      <w:proofErr w:type="spellEnd"/>
      <w:r w:rsidRPr="00A152FD">
        <w:t xml:space="preserve">, E., Polychronis, G. and Constantinou, C.S. (2023). The impact of transformational leadership in the nursing work environment and patients’ outcomes: A systematic review. </w:t>
      </w:r>
      <w:r w:rsidRPr="00A152FD">
        <w:rPr>
          <w:i/>
          <w:iCs/>
        </w:rPr>
        <w:t>Nursing Reports</w:t>
      </w:r>
      <w:r w:rsidRPr="00A152FD">
        <w:t xml:space="preserve">, [online] 13(3), pp.1271–1290. </w:t>
      </w:r>
      <w:proofErr w:type="spellStart"/>
      <w:proofErr w:type="gramStart"/>
      <w:r w:rsidRPr="00A152FD">
        <w:t>doi:https</w:t>
      </w:r>
      <w:proofErr w:type="spellEnd"/>
      <w:r w:rsidRPr="00A152FD">
        <w:t>://doi.org/10.3390/nursrep13030108</w:t>
      </w:r>
      <w:proofErr w:type="gramEnd"/>
      <w:r w:rsidRPr="00A152FD">
        <w:t>.</w:t>
      </w:r>
    </w:p>
    <w:p w14:paraId="17045596" w14:textId="77777777" w:rsidR="00A152FD" w:rsidRPr="000F50AC" w:rsidRDefault="00A152FD" w:rsidP="00C213DF"/>
    <w:sectPr w:rsidR="00A152FD" w:rsidRPr="000F50AC" w:rsidSect="00C05472">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7C022" w14:textId="77777777" w:rsidR="00AA3A6F" w:rsidRDefault="00AA3A6F" w:rsidP="006849F9">
      <w:pPr>
        <w:spacing w:before="0" w:after="0" w:line="240" w:lineRule="auto"/>
      </w:pPr>
      <w:r>
        <w:separator/>
      </w:r>
    </w:p>
  </w:endnote>
  <w:endnote w:type="continuationSeparator" w:id="0">
    <w:p w14:paraId="1DDFC1B8" w14:textId="77777777" w:rsidR="00AA3A6F" w:rsidRDefault="00AA3A6F" w:rsidP="006849F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0918721"/>
      <w:docPartObj>
        <w:docPartGallery w:val="Page Numbers (Bottom of Page)"/>
        <w:docPartUnique/>
      </w:docPartObj>
    </w:sdtPr>
    <w:sdtEndPr/>
    <w:sdtContent>
      <w:p w14:paraId="7E4B8D60" w14:textId="24A4651B" w:rsidR="006849F9" w:rsidRDefault="006849F9">
        <w:pPr>
          <w:pStyle w:val="Footer"/>
          <w:jc w:val="center"/>
        </w:pPr>
        <w:r>
          <w:fldChar w:fldCharType="begin"/>
        </w:r>
        <w:r>
          <w:instrText>PAGE   \* MERGEFORMAT</w:instrText>
        </w:r>
        <w:r>
          <w:fldChar w:fldCharType="separate"/>
        </w:r>
        <w:r>
          <w:t>2</w:t>
        </w:r>
        <w:r>
          <w:fldChar w:fldCharType="end"/>
        </w:r>
      </w:p>
    </w:sdtContent>
  </w:sdt>
  <w:p w14:paraId="6FA3AC2D" w14:textId="77777777" w:rsidR="006849F9" w:rsidRDefault="00684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51CA4" w14:textId="77777777" w:rsidR="00AA3A6F" w:rsidRDefault="00AA3A6F" w:rsidP="006849F9">
      <w:pPr>
        <w:spacing w:before="0" w:after="0" w:line="240" w:lineRule="auto"/>
      </w:pPr>
      <w:r>
        <w:separator/>
      </w:r>
    </w:p>
  </w:footnote>
  <w:footnote w:type="continuationSeparator" w:id="0">
    <w:p w14:paraId="4379685B" w14:textId="77777777" w:rsidR="00AA3A6F" w:rsidRDefault="00AA3A6F" w:rsidP="006849F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0AC"/>
    <w:rsid w:val="0001375C"/>
    <w:rsid w:val="00067CB4"/>
    <w:rsid w:val="000C733C"/>
    <w:rsid w:val="000D1271"/>
    <w:rsid w:val="000E5D16"/>
    <w:rsid w:val="000F50AC"/>
    <w:rsid w:val="0013452E"/>
    <w:rsid w:val="001D1C6B"/>
    <w:rsid w:val="00203676"/>
    <w:rsid w:val="00210141"/>
    <w:rsid w:val="00251773"/>
    <w:rsid w:val="002E55B2"/>
    <w:rsid w:val="003217B9"/>
    <w:rsid w:val="00336554"/>
    <w:rsid w:val="00345D5F"/>
    <w:rsid w:val="00384BDC"/>
    <w:rsid w:val="003924EE"/>
    <w:rsid w:val="004329CE"/>
    <w:rsid w:val="0045018A"/>
    <w:rsid w:val="00455837"/>
    <w:rsid w:val="00456359"/>
    <w:rsid w:val="00463AB5"/>
    <w:rsid w:val="005126F6"/>
    <w:rsid w:val="005346BC"/>
    <w:rsid w:val="005851B8"/>
    <w:rsid w:val="005C3915"/>
    <w:rsid w:val="005F550E"/>
    <w:rsid w:val="0062201C"/>
    <w:rsid w:val="006849F9"/>
    <w:rsid w:val="006B4AD0"/>
    <w:rsid w:val="006D58AF"/>
    <w:rsid w:val="00705A83"/>
    <w:rsid w:val="0072332E"/>
    <w:rsid w:val="008277FE"/>
    <w:rsid w:val="00911CB7"/>
    <w:rsid w:val="00916960"/>
    <w:rsid w:val="009327D3"/>
    <w:rsid w:val="00962ACD"/>
    <w:rsid w:val="009B5ADD"/>
    <w:rsid w:val="009D1232"/>
    <w:rsid w:val="00A12C5D"/>
    <w:rsid w:val="00A152FD"/>
    <w:rsid w:val="00A37DE4"/>
    <w:rsid w:val="00A559EC"/>
    <w:rsid w:val="00A7474E"/>
    <w:rsid w:val="00AA3A6F"/>
    <w:rsid w:val="00B11584"/>
    <w:rsid w:val="00B24414"/>
    <w:rsid w:val="00B52402"/>
    <w:rsid w:val="00B544F6"/>
    <w:rsid w:val="00C05472"/>
    <w:rsid w:val="00C213DF"/>
    <w:rsid w:val="00C531C1"/>
    <w:rsid w:val="00C819AC"/>
    <w:rsid w:val="00C83B9D"/>
    <w:rsid w:val="00CC0649"/>
    <w:rsid w:val="00CF4485"/>
    <w:rsid w:val="00D3512B"/>
    <w:rsid w:val="00D43E98"/>
    <w:rsid w:val="00D678EE"/>
    <w:rsid w:val="00DA6A90"/>
    <w:rsid w:val="00DB4387"/>
    <w:rsid w:val="00E31FEB"/>
    <w:rsid w:val="00F5385A"/>
    <w:rsid w:val="00F6215D"/>
    <w:rsid w:val="00F97DB9"/>
    <w:rsid w:val="00FB057F"/>
    <w:rsid w:val="00FC3E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C6BB6"/>
  <w15:chartTrackingRefBased/>
  <w15:docId w15:val="{0D125DF6-2907-419F-9547-0716826FC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9EC"/>
    <w:rPr>
      <w:rFonts w:ascii="Times New Roman" w:hAnsi="Times New Roman"/>
    </w:rPr>
  </w:style>
  <w:style w:type="paragraph" w:styleId="Heading1">
    <w:name w:val="heading 1"/>
    <w:basedOn w:val="Normal"/>
    <w:next w:val="Normal"/>
    <w:link w:val="Heading1Char"/>
    <w:autoRedefine/>
    <w:qFormat/>
    <w:rsid w:val="00B52402"/>
    <w:pPr>
      <w:keepNext/>
      <w:tabs>
        <w:tab w:val="left" w:pos="3719"/>
        <w:tab w:val="left" w:pos="6237"/>
      </w:tabs>
      <w:spacing w:before="40" w:after="0"/>
      <w:outlineLvl w:val="0"/>
    </w:pPr>
    <w:rPr>
      <w:rFonts w:eastAsia="Arial" w:cs="Times New Roman"/>
      <w:b/>
      <w:color w:val="4472C4" w:themeColor="accent1"/>
      <w:sz w:val="32"/>
      <w:szCs w:val="20"/>
    </w:rPr>
  </w:style>
  <w:style w:type="paragraph" w:styleId="Heading2">
    <w:name w:val="heading 2"/>
    <w:basedOn w:val="Normal"/>
    <w:next w:val="Normal"/>
    <w:link w:val="Heading2Char"/>
    <w:autoRedefine/>
    <w:uiPriority w:val="9"/>
    <w:semiHidden/>
    <w:unhideWhenUsed/>
    <w:qFormat/>
    <w:rsid w:val="00455837"/>
    <w:pPr>
      <w:keepNext/>
      <w:keepLines/>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autoRedefine/>
    <w:uiPriority w:val="9"/>
    <w:unhideWhenUsed/>
    <w:qFormat/>
    <w:rsid w:val="00705A83"/>
    <w:pPr>
      <w:keepNext/>
      <w:keepLines/>
      <w:spacing w:before="160" w:after="80"/>
      <w:outlineLvl w:val="2"/>
    </w:pPr>
    <w:rPr>
      <w:rFonts w:asciiTheme="minorBidi" w:eastAsiaTheme="majorEastAsia" w:hAnsiTheme="minorBidi"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4501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01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01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1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1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1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52402"/>
    <w:rPr>
      <w:rFonts w:ascii="Times New Roman" w:eastAsia="Arial" w:hAnsi="Times New Roman" w:cs="Times New Roman"/>
      <w:b/>
      <w:color w:val="4472C4" w:themeColor="accent1"/>
      <w:sz w:val="32"/>
      <w:szCs w:val="20"/>
    </w:rPr>
  </w:style>
  <w:style w:type="character" w:customStyle="1" w:styleId="Heading2Char">
    <w:name w:val="Heading 2 Char"/>
    <w:basedOn w:val="DefaultParagraphFont"/>
    <w:link w:val="Heading2"/>
    <w:uiPriority w:val="9"/>
    <w:semiHidden/>
    <w:rsid w:val="00455837"/>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rsid w:val="00705A83"/>
    <w:rPr>
      <w:rFonts w:asciiTheme="minorBidi" w:eastAsiaTheme="majorEastAsia" w:hAnsiTheme="minorBidi" w:cstheme="majorBidi"/>
      <w:b/>
      <w:color w:val="2F5496" w:themeColor="accent1" w:themeShade="BF"/>
      <w:szCs w:val="28"/>
    </w:rPr>
  </w:style>
  <w:style w:type="character" w:customStyle="1" w:styleId="Heading4Char">
    <w:name w:val="Heading 4 Char"/>
    <w:basedOn w:val="DefaultParagraphFont"/>
    <w:link w:val="Heading4"/>
    <w:uiPriority w:val="9"/>
    <w:semiHidden/>
    <w:rsid w:val="0045018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018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01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1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1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18A"/>
    <w:rPr>
      <w:rFonts w:eastAsiaTheme="majorEastAsia" w:cstheme="majorBidi"/>
      <w:color w:val="272727" w:themeColor="text1" w:themeTint="D8"/>
    </w:rPr>
  </w:style>
  <w:style w:type="paragraph" w:styleId="Title">
    <w:name w:val="Title"/>
    <w:basedOn w:val="Normal"/>
    <w:next w:val="Normal"/>
    <w:link w:val="TitleChar"/>
    <w:uiPriority w:val="10"/>
    <w:qFormat/>
    <w:rsid w:val="0045018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1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1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18A"/>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45018A"/>
    <w:pPr>
      <w:ind w:left="720"/>
      <w:contextualSpacing/>
    </w:pPr>
  </w:style>
  <w:style w:type="paragraph" w:styleId="Quote">
    <w:name w:val="Quote"/>
    <w:basedOn w:val="Normal"/>
    <w:next w:val="Normal"/>
    <w:link w:val="QuoteChar"/>
    <w:uiPriority w:val="29"/>
    <w:qFormat/>
    <w:rsid w:val="0045018A"/>
    <w:pPr>
      <w:spacing w:before="160"/>
      <w:jc w:val="center"/>
    </w:pPr>
    <w:rPr>
      <w:i/>
      <w:iCs/>
      <w:color w:val="404040" w:themeColor="text1" w:themeTint="BF"/>
    </w:rPr>
  </w:style>
  <w:style w:type="character" w:customStyle="1" w:styleId="QuoteChar">
    <w:name w:val="Quote Char"/>
    <w:basedOn w:val="DefaultParagraphFont"/>
    <w:link w:val="Quote"/>
    <w:uiPriority w:val="29"/>
    <w:rsid w:val="0045018A"/>
    <w:rPr>
      <w:i/>
      <w:iCs/>
      <w:color w:val="404040" w:themeColor="text1" w:themeTint="BF"/>
    </w:rPr>
  </w:style>
  <w:style w:type="paragraph" w:styleId="IntenseQuote">
    <w:name w:val="Intense Quote"/>
    <w:basedOn w:val="Normal"/>
    <w:next w:val="Normal"/>
    <w:link w:val="IntenseQuoteChar"/>
    <w:uiPriority w:val="30"/>
    <w:qFormat/>
    <w:rsid w:val="004501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018A"/>
    <w:rPr>
      <w:i/>
      <w:iCs/>
      <w:color w:val="2F5496" w:themeColor="accent1" w:themeShade="BF"/>
    </w:rPr>
  </w:style>
  <w:style w:type="character" w:styleId="IntenseEmphasis">
    <w:name w:val="Intense Emphasis"/>
    <w:basedOn w:val="DefaultParagraphFont"/>
    <w:uiPriority w:val="21"/>
    <w:qFormat/>
    <w:rsid w:val="0045018A"/>
    <w:rPr>
      <w:i/>
      <w:iCs/>
      <w:color w:val="2F5496" w:themeColor="accent1" w:themeShade="BF"/>
    </w:rPr>
  </w:style>
  <w:style w:type="character" w:styleId="IntenseReference">
    <w:name w:val="Intense Reference"/>
    <w:basedOn w:val="DefaultParagraphFont"/>
    <w:uiPriority w:val="32"/>
    <w:qFormat/>
    <w:rsid w:val="0045018A"/>
    <w:rPr>
      <w:b/>
      <w:bCs/>
      <w:smallCaps/>
      <w:color w:val="2F5496" w:themeColor="accent1" w:themeShade="BF"/>
      <w:spacing w:val="5"/>
    </w:rPr>
  </w:style>
  <w:style w:type="paragraph" w:styleId="Caption">
    <w:name w:val="caption"/>
    <w:basedOn w:val="Normal"/>
    <w:next w:val="Normal"/>
    <w:uiPriority w:val="35"/>
    <w:unhideWhenUsed/>
    <w:qFormat/>
    <w:rsid w:val="006B4AD0"/>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217B9"/>
    <w:pPr>
      <w:keepLines/>
      <w:tabs>
        <w:tab w:val="clear" w:pos="3719"/>
        <w:tab w:val="clear" w:pos="6237"/>
      </w:tabs>
      <w:spacing w:before="240" w:line="259" w:lineRule="auto"/>
      <w:jc w:val="left"/>
      <w:outlineLvl w:val="9"/>
    </w:pPr>
    <w:rPr>
      <w:rFonts w:asciiTheme="majorHAnsi" w:eastAsiaTheme="majorEastAsia" w:hAnsiTheme="majorHAnsi" w:cstheme="majorBidi"/>
      <w:b w:val="0"/>
      <w:color w:val="2F5496" w:themeColor="accent1" w:themeShade="BF"/>
      <w:szCs w:val="32"/>
      <w:lang w:eastAsia="en-GB" w:bidi="hi-IN"/>
      <w14:ligatures w14:val="none"/>
    </w:rPr>
  </w:style>
  <w:style w:type="paragraph" w:styleId="TOC1">
    <w:name w:val="toc 1"/>
    <w:basedOn w:val="Normal"/>
    <w:next w:val="Normal"/>
    <w:autoRedefine/>
    <w:uiPriority w:val="39"/>
    <w:unhideWhenUsed/>
    <w:rsid w:val="003217B9"/>
    <w:pPr>
      <w:spacing w:after="100"/>
    </w:pPr>
  </w:style>
  <w:style w:type="character" w:styleId="Hyperlink">
    <w:name w:val="Hyperlink"/>
    <w:basedOn w:val="DefaultParagraphFont"/>
    <w:uiPriority w:val="99"/>
    <w:unhideWhenUsed/>
    <w:rsid w:val="003217B9"/>
    <w:rPr>
      <w:color w:val="0563C1" w:themeColor="hyperlink"/>
      <w:u w:val="single"/>
    </w:rPr>
  </w:style>
  <w:style w:type="paragraph" w:styleId="Header">
    <w:name w:val="header"/>
    <w:basedOn w:val="Normal"/>
    <w:link w:val="HeaderChar"/>
    <w:uiPriority w:val="99"/>
    <w:unhideWhenUsed/>
    <w:rsid w:val="006849F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849F9"/>
    <w:rPr>
      <w:rFonts w:ascii="Times New Roman" w:hAnsi="Times New Roman"/>
    </w:rPr>
  </w:style>
  <w:style w:type="paragraph" w:styleId="Footer">
    <w:name w:val="footer"/>
    <w:basedOn w:val="Normal"/>
    <w:link w:val="FooterChar"/>
    <w:uiPriority w:val="99"/>
    <w:unhideWhenUsed/>
    <w:rsid w:val="006849F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849F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C9366D-6298-4DF7-9E70-7C316C9F6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Pages>
  <Words>2934</Words>
  <Characters>16728</Characters>
  <Application>Microsoft Office Word</Application>
  <DocSecurity>4</DocSecurity>
  <Lines>139</Lines>
  <Paragraphs>39</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Task 1: Defining Key Concepts in Practice </vt:lpstr>
      <vt:lpstr>Task 2: Mind Map </vt:lpstr>
      <vt:lpstr>Task 3: Self-Reflection of Group Activity </vt:lpstr>
      <vt:lpstr>Task 4: Case Study Analysis of a UK Innovation </vt:lpstr>
      <vt:lpstr>Task 5: Research Task</vt:lpstr>
      <vt:lpstr>Task 6: Exploring Digital Innovation in Health and Social Care </vt:lpstr>
      <vt:lpstr>Task 7: Understanding the NHS Leadership Framework </vt:lpstr>
      <vt:lpstr>Task 8: Self-Reflection Journal Entry </vt:lpstr>
    </vt:vector>
  </TitlesOfParts>
  <Company/>
  <LinksUpToDate>false</LinksUpToDate>
  <CharactersWithSpaces>19623</CharactersWithSpaces>
  <SharedDoc>false</SharedDoc>
  <HLinks>
    <vt:vector size="60" baseType="variant">
      <vt:variant>
        <vt:i4>2031671</vt:i4>
      </vt:variant>
      <vt:variant>
        <vt:i4>56</vt:i4>
      </vt:variant>
      <vt:variant>
        <vt:i4>0</vt:i4>
      </vt:variant>
      <vt:variant>
        <vt:i4>5</vt:i4>
      </vt:variant>
      <vt:variant>
        <vt:lpwstr/>
      </vt:variant>
      <vt:variant>
        <vt:lpwstr>_Toc233905678</vt:lpwstr>
      </vt:variant>
      <vt:variant>
        <vt:i4>2031671</vt:i4>
      </vt:variant>
      <vt:variant>
        <vt:i4>50</vt:i4>
      </vt:variant>
      <vt:variant>
        <vt:i4>0</vt:i4>
      </vt:variant>
      <vt:variant>
        <vt:i4>5</vt:i4>
      </vt:variant>
      <vt:variant>
        <vt:lpwstr/>
      </vt:variant>
      <vt:variant>
        <vt:lpwstr>_Toc233905677</vt:lpwstr>
      </vt:variant>
      <vt:variant>
        <vt:i4>2031671</vt:i4>
      </vt:variant>
      <vt:variant>
        <vt:i4>44</vt:i4>
      </vt:variant>
      <vt:variant>
        <vt:i4>0</vt:i4>
      </vt:variant>
      <vt:variant>
        <vt:i4>5</vt:i4>
      </vt:variant>
      <vt:variant>
        <vt:lpwstr/>
      </vt:variant>
      <vt:variant>
        <vt:lpwstr>_Toc233905676</vt:lpwstr>
      </vt:variant>
      <vt:variant>
        <vt:i4>2031671</vt:i4>
      </vt:variant>
      <vt:variant>
        <vt:i4>38</vt:i4>
      </vt:variant>
      <vt:variant>
        <vt:i4>0</vt:i4>
      </vt:variant>
      <vt:variant>
        <vt:i4>5</vt:i4>
      </vt:variant>
      <vt:variant>
        <vt:lpwstr/>
      </vt:variant>
      <vt:variant>
        <vt:lpwstr>_Toc233905675</vt:lpwstr>
      </vt:variant>
      <vt:variant>
        <vt:i4>2031671</vt:i4>
      </vt:variant>
      <vt:variant>
        <vt:i4>32</vt:i4>
      </vt:variant>
      <vt:variant>
        <vt:i4>0</vt:i4>
      </vt:variant>
      <vt:variant>
        <vt:i4>5</vt:i4>
      </vt:variant>
      <vt:variant>
        <vt:lpwstr/>
      </vt:variant>
      <vt:variant>
        <vt:lpwstr>_Toc233905674</vt:lpwstr>
      </vt:variant>
      <vt:variant>
        <vt:i4>2031671</vt:i4>
      </vt:variant>
      <vt:variant>
        <vt:i4>26</vt:i4>
      </vt:variant>
      <vt:variant>
        <vt:i4>0</vt:i4>
      </vt:variant>
      <vt:variant>
        <vt:i4>5</vt:i4>
      </vt:variant>
      <vt:variant>
        <vt:lpwstr/>
      </vt:variant>
      <vt:variant>
        <vt:lpwstr>_Toc233905673</vt:lpwstr>
      </vt:variant>
      <vt:variant>
        <vt:i4>2031671</vt:i4>
      </vt:variant>
      <vt:variant>
        <vt:i4>20</vt:i4>
      </vt:variant>
      <vt:variant>
        <vt:i4>0</vt:i4>
      </vt:variant>
      <vt:variant>
        <vt:i4>5</vt:i4>
      </vt:variant>
      <vt:variant>
        <vt:lpwstr/>
      </vt:variant>
      <vt:variant>
        <vt:lpwstr>_Toc233905672</vt:lpwstr>
      </vt:variant>
      <vt:variant>
        <vt:i4>2031671</vt:i4>
      </vt:variant>
      <vt:variant>
        <vt:i4>14</vt:i4>
      </vt:variant>
      <vt:variant>
        <vt:i4>0</vt:i4>
      </vt:variant>
      <vt:variant>
        <vt:i4>5</vt:i4>
      </vt:variant>
      <vt:variant>
        <vt:lpwstr/>
      </vt:variant>
      <vt:variant>
        <vt:lpwstr>_Toc233905671</vt:lpwstr>
      </vt:variant>
      <vt:variant>
        <vt:i4>2031671</vt:i4>
      </vt:variant>
      <vt:variant>
        <vt:i4>8</vt:i4>
      </vt:variant>
      <vt:variant>
        <vt:i4>0</vt:i4>
      </vt:variant>
      <vt:variant>
        <vt:i4>5</vt:i4>
      </vt:variant>
      <vt:variant>
        <vt:lpwstr/>
      </vt:variant>
      <vt:variant>
        <vt:lpwstr>_Toc233905670</vt:lpwstr>
      </vt:variant>
      <vt:variant>
        <vt:i4>1966135</vt:i4>
      </vt:variant>
      <vt:variant>
        <vt:i4>2</vt:i4>
      </vt:variant>
      <vt:variant>
        <vt:i4>0</vt:i4>
      </vt:variant>
      <vt:variant>
        <vt:i4>5</vt:i4>
      </vt:variant>
      <vt:variant>
        <vt:lpwstr/>
      </vt:variant>
      <vt:variant>
        <vt:lpwstr>_Toc233905669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Teresita Badua Reyes (2414276)</dc:creator>
  <cp:keywords/>
  <dc:description/>
  <cp:lastModifiedBy/>
  <cp:revision>6</cp:revision>
  <dcterms:created xsi:type="dcterms:W3CDTF">2026-07-04T18:47:00Z</dcterms:created>
  <dcterms:modified xsi:type="dcterms:W3CDTF">2026-07-04T10:55:00Z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312d9584-981b-4009-80b3-46486b4419dd</vt:lpwstr>
  </property>
</Properties>
</file>