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bookmarkStart w:id="1" w:name="_MON_1603564698"/>
    <w:bookmarkEnd w:id="1"/>
    <w:p w:rsidR="009C0A9E" w:rsidRPr="00545475" w:rsidRDefault="009C0A9E" w:rsidP="00F714BD">
      <w:pPr>
        <w:jc w:val="center"/>
        <w:rPr>
          <w:sz w:val="32"/>
          <w:szCs w:val="32"/>
          <w:u w:val="single"/>
        </w:rPr>
      </w:pPr>
      <w:r>
        <w:rPr>
          <w:sz w:val="32"/>
          <w:szCs w:val="32"/>
          <w:u w:val="single"/>
        </w:rPr>
        <w:object w:dxaOrig="11941" w:dyaOrig="595" w14:anchorId="57AF6A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7pt;height:30pt" o:ole="">
            <v:imagedata r:id="rId5" o:title=""/>
          </v:shape>
          <o:OLEObject Type="Embed" ProgID="Word.Document.12" ShapeID="_x0000_i1025" DrawAspect="Content" ObjectID="_1603621435" r:id="rId6">
            <o:FieldCodes>\s</o:FieldCodes>
          </o:OLEObject>
        </w:object>
      </w:r>
      <w:r w:rsidRPr="00545475">
        <w:rPr>
          <w:sz w:val="32"/>
          <w:szCs w:val="32"/>
          <w:u w:val="single"/>
        </w:rPr>
        <w:t xml:space="preserve">Assessment Tasks </w:t>
      </w:r>
    </w:p>
    <w:p w:rsidR="009C0A9E" w:rsidRDefault="009C0A9E" w:rsidP="00545475">
      <w:pPr>
        <w:rPr>
          <w:sz w:val="32"/>
          <w:szCs w:val="32"/>
          <w:u w:val="single"/>
        </w:rPr>
      </w:pPr>
      <w:r w:rsidRPr="00545475">
        <w:rPr>
          <w:sz w:val="32"/>
          <w:szCs w:val="32"/>
          <w:u w:val="single"/>
        </w:rPr>
        <w:t>Part 1</w:t>
      </w:r>
    </w:p>
    <w:p w:rsidR="009C0A9E" w:rsidRDefault="009C0A9E" w:rsidP="00545475">
      <w:pPr>
        <w:rPr>
          <w:sz w:val="28"/>
          <w:szCs w:val="28"/>
        </w:rPr>
      </w:pPr>
    </w:p>
    <w:p w:rsidR="009C0A9E" w:rsidRPr="003F5CB9" w:rsidRDefault="009C0A9E" w:rsidP="003F5CB9">
      <w:pPr>
        <w:rPr>
          <w:sz w:val="28"/>
          <w:szCs w:val="28"/>
        </w:rPr>
      </w:pPr>
      <w:r w:rsidRPr="003F5CB9">
        <w:rPr>
          <w:sz w:val="28"/>
          <w:szCs w:val="28"/>
        </w:rPr>
        <w:t>In Iceland and other Scandinavian countries there is great importance placed on children participating in outdoors activities. In the curriculum guidelines it is believed that children participating outdoors will benefit from exercise, wellbeing, courage, healthy living and the positive learning environment it will create, according to (</w:t>
      </w:r>
      <w:proofErr w:type="spellStart"/>
      <w:r w:rsidRPr="003F5CB9">
        <w:rPr>
          <w:sz w:val="28"/>
          <w:szCs w:val="28"/>
        </w:rPr>
        <w:t>Norðdahl</w:t>
      </w:r>
      <w:proofErr w:type="spellEnd"/>
      <w:r w:rsidRPr="003F5CB9">
        <w:rPr>
          <w:sz w:val="28"/>
          <w:szCs w:val="28"/>
        </w:rPr>
        <w:t xml:space="preserve"> and </w:t>
      </w:r>
      <w:proofErr w:type="spellStart"/>
      <w:r w:rsidRPr="003F5CB9">
        <w:rPr>
          <w:sz w:val="28"/>
          <w:szCs w:val="28"/>
        </w:rPr>
        <w:t>Jóhannesson</w:t>
      </w:r>
      <w:proofErr w:type="spellEnd"/>
      <w:r w:rsidRPr="003F5CB9">
        <w:rPr>
          <w:sz w:val="28"/>
          <w:szCs w:val="28"/>
        </w:rPr>
        <w:t xml:space="preserve"> 2013).</w:t>
      </w:r>
    </w:p>
    <w:p w:rsidR="009C0A9E" w:rsidRPr="00545475" w:rsidRDefault="009C0A9E" w:rsidP="003F5CB9">
      <w:pPr>
        <w:rPr>
          <w:sz w:val="28"/>
          <w:szCs w:val="28"/>
        </w:rPr>
      </w:pPr>
      <w:r w:rsidRPr="003F5CB9">
        <w:rPr>
          <w:sz w:val="28"/>
          <w:szCs w:val="28"/>
        </w:rPr>
        <w:t xml:space="preserve">This emphasis on children taking part in outdoor actives within Iceland has been ongoing for an extensive period of time. Children aged between one and six spend more time outdoors in preschools compared to children aged six to sixteen in compulsory schools, who traditionally have been limited to breaks between classes for outdoor play. We have insufficient evidence about how different teachers and schools use the outdoor environment to develop the children’s learning as some diversity between schools and individual teachers should be expected. In Iceland there are signs that teachers are using the outdoors more than before. For example, in </w:t>
      </w:r>
      <w:proofErr w:type="spellStart"/>
      <w:r w:rsidRPr="003F5CB9">
        <w:rPr>
          <w:sz w:val="28"/>
          <w:szCs w:val="28"/>
        </w:rPr>
        <w:t>Reyjkavik</w:t>
      </w:r>
      <w:proofErr w:type="spellEnd"/>
      <w:r w:rsidRPr="003F5CB9">
        <w:rPr>
          <w:sz w:val="28"/>
          <w:szCs w:val="28"/>
        </w:rPr>
        <w:t xml:space="preserve"> the capital, 70% of schools say they engage in regular outdoor education (</w:t>
      </w:r>
      <w:proofErr w:type="spellStart"/>
      <w:r w:rsidRPr="003F5CB9">
        <w:rPr>
          <w:sz w:val="28"/>
          <w:szCs w:val="28"/>
        </w:rPr>
        <w:t>Oladottir</w:t>
      </w:r>
      <w:proofErr w:type="spellEnd"/>
      <w:r w:rsidRPr="003F5CB9">
        <w:rPr>
          <w:sz w:val="28"/>
          <w:szCs w:val="28"/>
        </w:rPr>
        <w:t xml:space="preserve"> 2008)</w:t>
      </w:r>
    </w:p>
    <w:p w:rsidR="009C0A9E" w:rsidRDefault="009C0A9E">
      <w:pPr>
        <w:rPr>
          <w:sz w:val="32"/>
          <w:szCs w:val="32"/>
          <w:u w:val="single"/>
        </w:rPr>
      </w:pPr>
      <w:r>
        <w:rPr>
          <w:sz w:val="32"/>
          <w:szCs w:val="32"/>
          <w:u w:val="single"/>
        </w:rPr>
        <w:t>Part 2</w:t>
      </w:r>
    </w:p>
    <w:p w:rsidR="009C0A9E" w:rsidRDefault="009C0A9E" w:rsidP="00E11861">
      <w:pPr>
        <w:rPr>
          <w:sz w:val="28"/>
          <w:szCs w:val="28"/>
        </w:rPr>
      </w:pPr>
      <w:r>
        <w:rPr>
          <w:sz w:val="28"/>
          <w:szCs w:val="28"/>
        </w:rPr>
        <w:t>Murray and O’Brien 2005 explain what Forest Schools provides.</w:t>
      </w:r>
    </w:p>
    <w:p w:rsidR="009C0A9E" w:rsidRDefault="009C0A9E" w:rsidP="00E11861">
      <w:pPr>
        <w:rPr>
          <w:sz w:val="28"/>
          <w:szCs w:val="28"/>
        </w:rPr>
      </w:pPr>
    </w:p>
    <w:p w:rsidR="009C0A9E" w:rsidRPr="00E11861" w:rsidRDefault="009C0A9E" w:rsidP="00375F75">
      <w:pPr>
        <w:spacing w:line="240" w:lineRule="auto"/>
        <w:rPr>
          <w:i/>
          <w:sz w:val="28"/>
          <w:szCs w:val="28"/>
        </w:rPr>
      </w:pPr>
      <w:r w:rsidRPr="00E11861">
        <w:rPr>
          <w:i/>
          <w:sz w:val="28"/>
          <w:szCs w:val="28"/>
        </w:rPr>
        <w:t>‘Forest Schools is an inspiration process that offers all ages regular opportunities to achieve and develop confidence through hands-on learning in a woodland environment’ (p.1</w:t>
      </w:r>
      <w:r>
        <w:rPr>
          <w:i/>
          <w:sz w:val="28"/>
          <w:szCs w:val="28"/>
        </w:rPr>
        <w:t>1</w:t>
      </w:r>
      <w:r w:rsidRPr="00E11861">
        <w:rPr>
          <w:i/>
          <w:sz w:val="28"/>
          <w:szCs w:val="28"/>
        </w:rPr>
        <w:t xml:space="preserve">). </w:t>
      </w:r>
    </w:p>
    <w:p w:rsidR="009C0A9E" w:rsidRDefault="009C0A9E" w:rsidP="00D93809">
      <w:pPr>
        <w:spacing w:line="240" w:lineRule="auto"/>
        <w:rPr>
          <w:sz w:val="28"/>
          <w:szCs w:val="28"/>
        </w:rPr>
      </w:pPr>
    </w:p>
    <w:p w:rsidR="009C0A9E" w:rsidRDefault="009C0A9E" w:rsidP="00A302EE">
      <w:pPr>
        <w:spacing w:before="240" w:line="240" w:lineRule="auto"/>
        <w:rPr>
          <w:sz w:val="28"/>
          <w:szCs w:val="28"/>
        </w:rPr>
      </w:pPr>
      <w:r>
        <w:rPr>
          <w:sz w:val="28"/>
          <w:szCs w:val="28"/>
        </w:rPr>
        <w:t xml:space="preserve">One key area of concern for children being able to engage in outdoor activity is the issue of safety and the apprehension teachers have if something goes wrong. Children who do not engage in outdoor environment will not benefit from the physical and emotional it provides. Research has shown that children who use woodlands when young are more likely to use them as adults </w:t>
      </w:r>
      <w:proofErr w:type="gramStart"/>
      <w:r>
        <w:rPr>
          <w:sz w:val="28"/>
          <w:szCs w:val="28"/>
        </w:rPr>
        <w:t>( Ward</w:t>
      </w:r>
      <w:proofErr w:type="gramEnd"/>
      <w:r>
        <w:rPr>
          <w:sz w:val="28"/>
          <w:szCs w:val="28"/>
        </w:rPr>
        <w:t xml:space="preserve"> Thompson et al., 2002 ). Currently the Welsh government are encouraging </w:t>
      </w:r>
      <w:r>
        <w:rPr>
          <w:sz w:val="28"/>
          <w:szCs w:val="28"/>
        </w:rPr>
        <w:lastRenderedPageBreak/>
        <w:t>schools within Wales to be a participant in Forest Schools with particular attention towards foundation aged children. In view of the fact that the outdoor learning environment offers a different way of educational learning that of a school classroom offers.</w:t>
      </w:r>
    </w:p>
    <w:p w:rsidR="009C0A9E" w:rsidRDefault="009C0A9E" w:rsidP="00A302EE">
      <w:pPr>
        <w:spacing w:before="240" w:line="240" w:lineRule="auto"/>
        <w:rPr>
          <w:sz w:val="28"/>
          <w:szCs w:val="28"/>
        </w:rPr>
      </w:pPr>
    </w:p>
    <w:p w:rsidR="009C0A9E" w:rsidRDefault="009C0A9E" w:rsidP="00A302EE">
      <w:pPr>
        <w:spacing w:before="240" w:line="240" w:lineRule="auto"/>
        <w:rPr>
          <w:sz w:val="28"/>
          <w:szCs w:val="28"/>
        </w:rPr>
      </w:pPr>
    </w:p>
    <w:p w:rsidR="009C0A9E" w:rsidRDefault="009C0A9E" w:rsidP="00A302EE">
      <w:pPr>
        <w:spacing w:before="240" w:line="240" w:lineRule="auto"/>
        <w:rPr>
          <w:b/>
          <w:sz w:val="28"/>
          <w:szCs w:val="28"/>
        </w:rPr>
      </w:pPr>
      <w:r>
        <w:rPr>
          <w:b/>
          <w:sz w:val="28"/>
          <w:szCs w:val="28"/>
        </w:rPr>
        <w:t>References</w:t>
      </w:r>
    </w:p>
    <w:p w:rsidR="009C0A9E" w:rsidRDefault="009C0A9E" w:rsidP="00A302EE">
      <w:pPr>
        <w:spacing w:before="240" w:line="240" w:lineRule="auto"/>
        <w:rPr>
          <w:b/>
          <w:sz w:val="28"/>
          <w:szCs w:val="28"/>
        </w:rPr>
      </w:pPr>
    </w:p>
    <w:p w:rsidR="009C0A9E" w:rsidRDefault="009C0A9E" w:rsidP="00A302EE">
      <w:pPr>
        <w:spacing w:before="240" w:line="240" w:lineRule="auto"/>
        <w:rPr>
          <w:sz w:val="28"/>
          <w:szCs w:val="28"/>
        </w:rPr>
      </w:pPr>
      <w:r>
        <w:rPr>
          <w:sz w:val="28"/>
          <w:szCs w:val="28"/>
        </w:rPr>
        <w:t xml:space="preserve">O’BRIEN, E. AND </w:t>
      </w:r>
      <w:r>
        <w:rPr>
          <w:sz w:val="28"/>
          <w:szCs w:val="28"/>
        </w:rPr>
        <w:softHyphen/>
      </w:r>
      <w:r>
        <w:rPr>
          <w:sz w:val="28"/>
          <w:szCs w:val="28"/>
        </w:rPr>
        <w:softHyphen/>
      </w:r>
      <w:r>
        <w:rPr>
          <w:sz w:val="28"/>
          <w:szCs w:val="28"/>
        </w:rPr>
        <w:softHyphen/>
        <w:t xml:space="preserve">MURRAY, R (2006) </w:t>
      </w:r>
      <w:r>
        <w:rPr>
          <w:i/>
          <w:sz w:val="28"/>
          <w:szCs w:val="28"/>
        </w:rPr>
        <w:t xml:space="preserve">A marvellous opportunity for children to learn: A participatory evaluation of Forest Schools in England and Wales, </w:t>
      </w:r>
      <w:r>
        <w:rPr>
          <w:sz w:val="28"/>
          <w:szCs w:val="28"/>
        </w:rPr>
        <w:t>Farnham: Forest research.</w:t>
      </w:r>
    </w:p>
    <w:p w:rsidR="009C0A9E" w:rsidRDefault="009C0A9E" w:rsidP="00A302EE">
      <w:pPr>
        <w:spacing w:before="240" w:line="240" w:lineRule="auto"/>
        <w:rPr>
          <w:sz w:val="28"/>
          <w:szCs w:val="28"/>
        </w:rPr>
      </w:pPr>
      <w:r>
        <w:rPr>
          <w:sz w:val="28"/>
          <w:szCs w:val="28"/>
        </w:rPr>
        <w:t xml:space="preserve">WARD THOMPSON, C., ASPINALL, P., BELL, S., FINDLEY, C., WHERRET, J AND TRAVLOU, P. (2004) </w:t>
      </w:r>
      <w:r>
        <w:rPr>
          <w:i/>
          <w:sz w:val="28"/>
          <w:szCs w:val="28"/>
        </w:rPr>
        <w:t xml:space="preserve">Open space and social inclusion: Local woodland use in central Scotland. </w:t>
      </w:r>
      <w:r>
        <w:rPr>
          <w:sz w:val="28"/>
          <w:szCs w:val="28"/>
        </w:rPr>
        <w:t xml:space="preserve">Report to the Forest Commission, Edinburgh </w:t>
      </w:r>
    </w:p>
    <w:p w:rsidR="009C0A9E" w:rsidRPr="005A573E" w:rsidRDefault="009C0A9E" w:rsidP="00A302EE">
      <w:pPr>
        <w:spacing w:before="240" w:line="240" w:lineRule="auto"/>
        <w:rPr>
          <w:sz w:val="28"/>
          <w:szCs w:val="28"/>
        </w:rPr>
      </w:pPr>
      <w:r>
        <w:rPr>
          <w:sz w:val="28"/>
          <w:szCs w:val="28"/>
        </w:rPr>
        <w:t xml:space="preserve">Welsh Assembly Government (2009) </w:t>
      </w:r>
      <w:r>
        <w:rPr>
          <w:i/>
          <w:sz w:val="28"/>
          <w:szCs w:val="28"/>
        </w:rPr>
        <w:t xml:space="preserve">Outdoor learning handbook. </w:t>
      </w:r>
      <w:r>
        <w:rPr>
          <w:sz w:val="28"/>
          <w:szCs w:val="28"/>
        </w:rPr>
        <w:t>Welsh Assembly Government, Cardiff.</w:t>
      </w:r>
    </w:p>
    <w:p w:rsidR="009C0A9E" w:rsidRDefault="009C0A9E">
      <w:pPr>
        <w:rPr>
          <w:b/>
          <w:sz w:val="28"/>
          <w:szCs w:val="28"/>
          <w:u w:val="single"/>
        </w:rPr>
      </w:pPr>
    </w:p>
    <w:p w:rsidR="009C0A9E" w:rsidRPr="009C0A9E" w:rsidRDefault="009C0A9E">
      <w:pPr>
        <w:rPr>
          <w:b/>
          <w:sz w:val="28"/>
          <w:szCs w:val="28"/>
          <w:u w:val="single"/>
        </w:rPr>
      </w:pPr>
      <w:r w:rsidRPr="009C0A9E">
        <w:rPr>
          <w:b/>
          <w:sz w:val="28"/>
          <w:szCs w:val="28"/>
          <w:u w:val="single"/>
        </w:rPr>
        <w:t>Part 2b</w:t>
      </w:r>
    </w:p>
    <w:p w:rsidR="009C0A9E" w:rsidRPr="009C0A9E" w:rsidRDefault="009C0A9E">
      <w:pPr>
        <w:rPr>
          <w:b/>
          <w:sz w:val="28"/>
          <w:szCs w:val="28"/>
          <w:u w:val="single"/>
        </w:rPr>
      </w:pPr>
    </w:p>
    <w:p w:rsidR="009C0A9E" w:rsidRPr="009C0A9E" w:rsidRDefault="009C0A9E" w:rsidP="009C0A9E">
      <w:pPr>
        <w:pStyle w:val="ListParagraph"/>
        <w:numPr>
          <w:ilvl w:val="0"/>
          <w:numId w:val="1"/>
        </w:numPr>
        <w:rPr>
          <w:sz w:val="28"/>
          <w:szCs w:val="28"/>
        </w:rPr>
      </w:pPr>
      <w:r w:rsidRPr="009C0A9E">
        <w:rPr>
          <w:sz w:val="28"/>
          <w:szCs w:val="28"/>
        </w:rPr>
        <w:t>You will be accused of plagiarism. To avoid being expelled from the course.</w:t>
      </w:r>
    </w:p>
    <w:p w:rsidR="009C0A9E" w:rsidRPr="009C0A9E" w:rsidRDefault="009C0A9E" w:rsidP="001501DB">
      <w:pPr>
        <w:pStyle w:val="ListParagraph"/>
        <w:rPr>
          <w:sz w:val="28"/>
          <w:szCs w:val="28"/>
        </w:rPr>
      </w:pPr>
    </w:p>
    <w:p w:rsidR="009C0A9E" w:rsidRPr="009C0A9E" w:rsidRDefault="009C0A9E" w:rsidP="009C0A9E">
      <w:pPr>
        <w:pStyle w:val="ListParagraph"/>
        <w:numPr>
          <w:ilvl w:val="0"/>
          <w:numId w:val="1"/>
        </w:numPr>
        <w:rPr>
          <w:sz w:val="28"/>
          <w:szCs w:val="28"/>
        </w:rPr>
      </w:pPr>
      <w:r w:rsidRPr="009C0A9E">
        <w:rPr>
          <w:sz w:val="28"/>
          <w:szCs w:val="28"/>
        </w:rPr>
        <w:t>False.</w:t>
      </w:r>
    </w:p>
    <w:p w:rsidR="009C0A9E" w:rsidRPr="009C0A9E" w:rsidRDefault="009C0A9E" w:rsidP="00337AEA">
      <w:pPr>
        <w:pStyle w:val="ListParagraph"/>
        <w:rPr>
          <w:sz w:val="28"/>
          <w:szCs w:val="28"/>
        </w:rPr>
      </w:pPr>
    </w:p>
    <w:p w:rsidR="009C0A9E" w:rsidRPr="009C0A9E" w:rsidRDefault="009C0A9E" w:rsidP="00337AEA">
      <w:pPr>
        <w:pStyle w:val="ListParagraph"/>
        <w:rPr>
          <w:sz w:val="28"/>
          <w:szCs w:val="28"/>
        </w:rPr>
      </w:pPr>
      <w:r w:rsidRPr="009C0A9E">
        <w:rPr>
          <w:sz w:val="28"/>
          <w:szCs w:val="28"/>
        </w:rPr>
        <w:t>“Referencing is an important part of academic work. It puts your work in context, demonstrates the breadth and depth of your research, and acknowledges other people’s work. You should reference whenever you use someone else’s idea”.   (Leeds.ac.uk)</w:t>
      </w:r>
    </w:p>
    <w:p w:rsidR="009C0A9E" w:rsidRPr="009C0A9E" w:rsidRDefault="009C0A9E" w:rsidP="001501DB">
      <w:pPr>
        <w:pStyle w:val="ListParagraph"/>
        <w:rPr>
          <w:sz w:val="28"/>
          <w:szCs w:val="28"/>
        </w:rPr>
      </w:pPr>
    </w:p>
    <w:p w:rsidR="009C0A9E" w:rsidRPr="009C0A9E" w:rsidRDefault="009C0A9E" w:rsidP="009C0A9E">
      <w:pPr>
        <w:pStyle w:val="ListParagraph"/>
        <w:numPr>
          <w:ilvl w:val="0"/>
          <w:numId w:val="1"/>
        </w:numPr>
        <w:rPr>
          <w:sz w:val="28"/>
          <w:szCs w:val="28"/>
        </w:rPr>
      </w:pPr>
      <w:r w:rsidRPr="009C0A9E">
        <w:rPr>
          <w:sz w:val="28"/>
          <w:szCs w:val="28"/>
        </w:rPr>
        <w:t xml:space="preserve">True. Wikipedia is a good starting point for looking at academic assignments we may know nothing about. We can then use the referencing guide to look at information more carefully. </w:t>
      </w:r>
    </w:p>
    <w:p w:rsidR="009C0A9E" w:rsidRPr="009C0A9E" w:rsidRDefault="009C0A9E" w:rsidP="00E906F3">
      <w:pPr>
        <w:pStyle w:val="ListParagraph"/>
        <w:rPr>
          <w:sz w:val="28"/>
          <w:szCs w:val="28"/>
        </w:rPr>
      </w:pPr>
    </w:p>
    <w:p w:rsidR="009C0A9E" w:rsidRPr="009C0A9E" w:rsidRDefault="009C0A9E" w:rsidP="009C0A9E">
      <w:pPr>
        <w:pStyle w:val="ListParagraph"/>
        <w:numPr>
          <w:ilvl w:val="0"/>
          <w:numId w:val="1"/>
        </w:numPr>
        <w:rPr>
          <w:sz w:val="28"/>
          <w:szCs w:val="28"/>
        </w:rPr>
      </w:pPr>
      <w:r w:rsidRPr="009C0A9E">
        <w:rPr>
          <w:sz w:val="28"/>
          <w:szCs w:val="28"/>
        </w:rPr>
        <w:t>If you use a direct quotation from an author that is longer than two lines you should insert the quote as a separate, indented paragraph.</w:t>
      </w:r>
    </w:p>
    <w:p w:rsidR="009C0A9E" w:rsidRPr="009C0A9E" w:rsidRDefault="009C0A9E" w:rsidP="00A537CC">
      <w:pPr>
        <w:pStyle w:val="ListParagraph"/>
        <w:rPr>
          <w:sz w:val="28"/>
          <w:szCs w:val="28"/>
        </w:rPr>
      </w:pPr>
    </w:p>
    <w:p w:rsidR="009C0A9E" w:rsidRPr="009C0A9E" w:rsidRDefault="009C0A9E" w:rsidP="009C0A9E">
      <w:pPr>
        <w:pStyle w:val="ListParagraph"/>
        <w:numPr>
          <w:ilvl w:val="0"/>
          <w:numId w:val="1"/>
        </w:numPr>
        <w:rPr>
          <w:sz w:val="28"/>
          <w:szCs w:val="28"/>
        </w:rPr>
      </w:pPr>
      <w:r w:rsidRPr="009C0A9E">
        <w:rPr>
          <w:sz w:val="28"/>
          <w:szCs w:val="28"/>
        </w:rPr>
        <w:t>After you find what topic you have for your academic assignment you can research by using libraries, books, databases, online websites, academic journals.</w:t>
      </w:r>
    </w:p>
    <w:p w:rsidR="009C0A9E" w:rsidRPr="009C0A9E" w:rsidRDefault="009C0A9E" w:rsidP="00337AEA">
      <w:pPr>
        <w:rPr>
          <w:sz w:val="28"/>
          <w:szCs w:val="28"/>
        </w:rPr>
      </w:pPr>
    </w:p>
    <w:p w:rsidR="009C0A9E" w:rsidRPr="009C0A9E" w:rsidRDefault="009C0A9E" w:rsidP="001501DB">
      <w:pPr>
        <w:rPr>
          <w:sz w:val="28"/>
          <w:szCs w:val="28"/>
        </w:rPr>
      </w:pPr>
    </w:p>
    <w:p w:rsidR="009C0A9E" w:rsidRPr="009C0A9E" w:rsidRDefault="009C0A9E" w:rsidP="001501DB">
      <w:pPr>
        <w:rPr>
          <w:sz w:val="28"/>
          <w:szCs w:val="28"/>
        </w:rPr>
      </w:pPr>
    </w:p>
    <w:p w:rsidR="009C0A9E" w:rsidRPr="009C0A9E" w:rsidRDefault="009C0A9E" w:rsidP="001501DB">
      <w:pPr>
        <w:rPr>
          <w:sz w:val="28"/>
          <w:szCs w:val="28"/>
        </w:rPr>
      </w:pPr>
    </w:p>
    <w:p w:rsidR="009C0A9E" w:rsidRPr="009C0A9E" w:rsidRDefault="009C0A9E" w:rsidP="001501DB">
      <w:pPr>
        <w:rPr>
          <w:sz w:val="28"/>
          <w:szCs w:val="28"/>
        </w:rPr>
      </w:pPr>
    </w:p>
    <w:p w:rsidR="009C0A9E" w:rsidRPr="009C0A9E" w:rsidRDefault="009C0A9E" w:rsidP="001501DB">
      <w:pPr>
        <w:rPr>
          <w:sz w:val="28"/>
          <w:szCs w:val="28"/>
        </w:rPr>
      </w:pPr>
    </w:p>
    <w:p w:rsidR="009C0A9E" w:rsidRPr="009C0A9E" w:rsidRDefault="009C0A9E" w:rsidP="001501DB">
      <w:pPr>
        <w:rPr>
          <w:sz w:val="28"/>
          <w:szCs w:val="28"/>
        </w:rPr>
      </w:pPr>
    </w:p>
    <w:p w:rsidR="009C0A9E" w:rsidRPr="009C0A9E" w:rsidRDefault="009C0A9E" w:rsidP="001501DB">
      <w:pPr>
        <w:rPr>
          <w:sz w:val="28"/>
          <w:szCs w:val="28"/>
        </w:rPr>
      </w:pPr>
    </w:p>
    <w:p w:rsidR="009C0A9E" w:rsidRPr="009C0A9E" w:rsidRDefault="009C0A9E" w:rsidP="001501DB">
      <w:pPr>
        <w:rPr>
          <w:b/>
          <w:sz w:val="28"/>
          <w:szCs w:val="28"/>
        </w:rPr>
      </w:pPr>
      <w:r w:rsidRPr="009C0A9E">
        <w:rPr>
          <w:b/>
          <w:sz w:val="28"/>
          <w:szCs w:val="28"/>
        </w:rPr>
        <w:t xml:space="preserve">References </w:t>
      </w:r>
    </w:p>
    <w:p w:rsidR="009C0A9E" w:rsidRPr="009C0A9E" w:rsidRDefault="009C0A9E" w:rsidP="001501DB">
      <w:pPr>
        <w:rPr>
          <w:sz w:val="28"/>
          <w:szCs w:val="28"/>
        </w:rPr>
      </w:pPr>
      <w:r w:rsidRPr="009C0A9E">
        <w:rPr>
          <w:sz w:val="28"/>
          <w:szCs w:val="28"/>
        </w:rPr>
        <w:t>Leeds.co.uk</w:t>
      </w:r>
    </w:p>
    <w:p w:rsidR="009C0A9E" w:rsidRPr="009C0A9E" w:rsidRDefault="009C0A9E" w:rsidP="001501DB">
      <w:pPr>
        <w:rPr>
          <w:i/>
          <w:sz w:val="28"/>
          <w:szCs w:val="28"/>
        </w:rPr>
      </w:pPr>
      <w:r w:rsidRPr="009C0A9E">
        <w:rPr>
          <w:sz w:val="28"/>
          <w:szCs w:val="28"/>
        </w:rPr>
        <w:t xml:space="preserve">Online at </w:t>
      </w:r>
      <w:hyperlink r:id="rId7" w:history="1">
        <w:r w:rsidRPr="009C0A9E">
          <w:rPr>
            <w:rStyle w:val="Hyperlink"/>
            <w:i/>
            <w:sz w:val="28"/>
            <w:szCs w:val="28"/>
          </w:rPr>
          <w:t>https://library.leeds.ac.uk/info/1402/referencing/47/referencing_explained</w:t>
        </w:r>
      </w:hyperlink>
    </w:p>
    <w:p w:rsidR="009C0A9E" w:rsidRPr="009C0A9E" w:rsidRDefault="009C0A9E" w:rsidP="001501DB">
      <w:pPr>
        <w:rPr>
          <w:sz w:val="28"/>
          <w:szCs w:val="28"/>
        </w:rPr>
      </w:pPr>
      <w:r w:rsidRPr="009C0A9E">
        <w:rPr>
          <w:sz w:val="28"/>
          <w:szCs w:val="28"/>
        </w:rPr>
        <w:t>accessed 10/10/18</w:t>
      </w:r>
    </w:p>
    <w:p w:rsidR="009C0A9E" w:rsidRDefault="009C0A9E" w:rsidP="001501DB">
      <w:pPr>
        <w:rPr>
          <w:sz w:val="24"/>
          <w:szCs w:val="24"/>
        </w:rPr>
      </w:pPr>
    </w:p>
    <w:p w:rsidR="009C0A9E" w:rsidRPr="001501DB" w:rsidRDefault="009C0A9E" w:rsidP="001501DB">
      <w:pPr>
        <w:rPr>
          <w:sz w:val="24"/>
          <w:szCs w:val="24"/>
        </w:rPr>
      </w:pPr>
      <w:r>
        <w:rPr>
          <w:sz w:val="24"/>
          <w:szCs w:val="24"/>
        </w:rPr>
        <w:t xml:space="preserve"> </w:t>
      </w:r>
    </w:p>
    <w:p w:rsidR="009C0A9E" w:rsidRDefault="009C0A9E" w:rsidP="00FC6DC5">
      <w:pPr>
        <w:rPr>
          <w:b/>
          <w:sz w:val="28"/>
          <w:szCs w:val="28"/>
          <w:u w:val="single"/>
        </w:rPr>
      </w:pPr>
      <w:r w:rsidRPr="005706CC">
        <w:rPr>
          <w:b/>
          <w:sz w:val="28"/>
          <w:szCs w:val="28"/>
          <w:u w:val="single"/>
        </w:rPr>
        <w:t>Part</w:t>
      </w:r>
      <w:r>
        <w:rPr>
          <w:b/>
          <w:sz w:val="28"/>
          <w:szCs w:val="28"/>
          <w:u w:val="single"/>
        </w:rPr>
        <w:t xml:space="preserve"> 3</w:t>
      </w:r>
    </w:p>
    <w:p w:rsidR="009C0A9E" w:rsidRDefault="009C0A9E" w:rsidP="00FC6DC5">
      <w:pPr>
        <w:rPr>
          <w:b/>
          <w:sz w:val="28"/>
          <w:szCs w:val="28"/>
          <w:u w:val="single"/>
        </w:rPr>
      </w:pPr>
    </w:p>
    <w:p w:rsidR="009C0A9E" w:rsidRDefault="009C0A9E" w:rsidP="00FC6DC5">
      <w:pPr>
        <w:rPr>
          <w:sz w:val="28"/>
          <w:szCs w:val="28"/>
        </w:rPr>
      </w:pPr>
      <w:r w:rsidRPr="00FC6DC5">
        <w:rPr>
          <w:i/>
          <w:sz w:val="28"/>
          <w:szCs w:val="28"/>
        </w:rPr>
        <w:t>‘Yes but’ rhetoric, reality and resistance in teaching assistants’ experiences of inclusive education</w:t>
      </w:r>
      <w:r>
        <w:rPr>
          <w:sz w:val="28"/>
          <w:szCs w:val="28"/>
        </w:rPr>
        <w:t>; is an article written by Suzanne Mackenzie. The aim of this article is to analyse the tensions between the policy and institutional frameworks of inclusion and how Teaching Assistants (TAs) experience this within the Education sector (Mackenzie, 2011).</w:t>
      </w:r>
    </w:p>
    <w:p w:rsidR="009C0A9E" w:rsidRDefault="009C0A9E" w:rsidP="00FC6DC5">
      <w:pPr>
        <w:rPr>
          <w:sz w:val="28"/>
          <w:szCs w:val="28"/>
        </w:rPr>
      </w:pPr>
      <w:r>
        <w:rPr>
          <w:sz w:val="28"/>
          <w:szCs w:val="28"/>
        </w:rPr>
        <w:lastRenderedPageBreak/>
        <w:t xml:space="preserve">The main focus of this article was the role of the TAs, their experiences and thoughts of being a TA within the Special Educational Needs (SEN) department specifically, looking at the difficulties faced with finding the most effective way of achieving inclusive education within the classroom and the wider school. Furthermore, we learn Mackenzie’s article was inspired by the approach of </w:t>
      </w:r>
      <w:r w:rsidRPr="00B732F9">
        <w:rPr>
          <w:i/>
          <w:sz w:val="28"/>
          <w:szCs w:val="28"/>
        </w:rPr>
        <w:t>O’Brian and Garner 2001</w:t>
      </w:r>
      <w:r>
        <w:rPr>
          <w:sz w:val="28"/>
          <w:szCs w:val="28"/>
        </w:rPr>
        <w:t xml:space="preserve"> and how previous research did not include or consider the views or voices of </w:t>
      </w:r>
      <w:proofErr w:type="spellStart"/>
      <w:r>
        <w:rPr>
          <w:sz w:val="28"/>
          <w:szCs w:val="28"/>
        </w:rPr>
        <w:t>TAs.</w:t>
      </w:r>
      <w:proofErr w:type="spellEnd"/>
      <w:r>
        <w:rPr>
          <w:sz w:val="28"/>
          <w:szCs w:val="28"/>
        </w:rPr>
        <w:t xml:space="preserve"> This article intends to reproduce that approach by provide an opportunity to examine the experiences of TAs by asking 5 female TAs to give their own stories in their own words. These five individual case studies give the reader a reliable insight into the experiences that TAs have with inclusion education such as; relationships with the Special Educational Needs coordinator (</w:t>
      </w:r>
      <w:proofErr w:type="spellStart"/>
      <w:r>
        <w:rPr>
          <w:sz w:val="28"/>
          <w:szCs w:val="28"/>
        </w:rPr>
        <w:t>SENco</w:t>
      </w:r>
      <w:proofErr w:type="spellEnd"/>
      <w:r>
        <w:rPr>
          <w:sz w:val="28"/>
          <w:szCs w:val="28"/>
        </w:rPr>
        <w:t xml:space="preserve">), teaching staff, colleagues and other TAs, as well as their view on their pay, gender within the SEN department and the concerns they have regarding their roles and status within school. </w:t>
      </w:r>
    </w:p>
    <w:p w:rsidR="009C0A9E" w:rsidRDefault="009C0A9E" w:rsidP="00FC6DC5">
      <w:pPr>
        <w:rPr>
          <w:sz w:val="28"/>
          <w:szCs w:val="28"/>
        </w:rPr>
      </w:pPr>
      <w:r>
        <w:rPr>
          <w:sz w:val="28"/>
          <w:szCs w:val="28"/>
        </w:rPr>
        <w:t>The article is both an objective and a subjectively written text that is structured through the use of short, informative, complex sentences that, in my opinion, is to keep the reader interested throughout. The text is organised in a way to give the reader a clear understanding of the aims of the article through the use of key words, such as; inclusion, life experiences, gender, relationships and case study, all within the first few paragraphs. Each paragraph has its own independent focus while fitting into the larger theme of the article; the experiences of the TAs within schools. In her article, Suzanne Mackenzie used formal language throughout, yet both formal and informal language was used throughout the 5 case studies by the participants. The author uses formal language to summarise the main points the five participants make in her conclusion.</w:t>
      </w:r>
    </w:p>
    <w:p w:rsidR="009C0A9E" w:rsidRDefault="009C0A9E" w:rsidP="00FC6DC5">
      <w:pPr>
        <w:rPr>
          <w:sz w:val="28"/>
          <w:szCs w:val="28"/>
        </w:rPr>
      </w:pPr>
    </w:p>
    <w:p w:rsidR="009C0A9E" w:rsidRDefault="009C0A9E" w:rsidP="00FC6DC5">
      <w:pPr>
        <w:rPr>
          <w:sz w:val="28"/>
          <w:szCs w:val="28"/>
        </w:rPr>
      </w:pPr>
      <w:r>
        <w:rPr>
          <w:sz w:val="28"/>
          <w:szCs w:val="28"/>
        </w:rPr>
        <w:t xml:space="preserve">Objective  and subjective language is used in the article; as the 5 participants use subjective language such as; </w:t>
      </w:r>
      <w:r w:rsidRPr="00824161">
        <w:rPr>
          <w:i/>
          <w:sz w:val="28"/>
          <w:szCs w:val="28"/>
        </w:rPr>
        <w:t>I think</w:t>
      </w:r>
      <w:r>
        <w:rPr>
          <w:sz w:val="28"/>
          <w:szCs w:val="28"/>
        </w:rPr>
        <w:t xml:space="preserve">, </w:t>
      </w:r>
      <w:r w:rsidRPr="00824161">
        <w:rPr>
          <w:i/>
          <w:sz w:val="28"/>
          <w:szCs w:val="28"/>
        </w:rPr>
        <w:t>I never</w:t>
      </w:r>
      <w:r>
        <w:rPr>
          <w:sz w:val="28"/>
          <w:szCs w:val="28"/>
        </w:rPr>
        <w:t xml:space="preserve">, </w:t>
      </w:r>
      <w:r w:rsidRPr="00824161">
        <w:rPr>
          <w:i/>
          <w:sz w:val="28"/>
          <w:szCs w:val="28"/>
        </w:rPr>
        <w:t>you don’t</w:t>
      </w:r>
      <w:r>
        <w:rPr>
          <w:i/>
          <w:sz w:val="28"/>
          <w:szCs w:val="28"/>
        </w:rPr>
        <w:t>,</w:t>
      </w:r>
      <w:r>
        <w:rPr>
          <w:sz w:val="28"/>
          <w:szCs w:val="28"/>
        </w:rPr>
        <w:t xml:space="preserve"> demonstrating their emotional involvement which suggests their opinions are based on emotions rather than objective thinking. Although the author uses formal language in the majority of the article, subjective language is also used in her conclusion by saying she believes TA training needs to take a different approach in order to better benefit TAs in their role through the sharing of best practice and a wider school understanding of their roles. Mackenzie concluded that TAs are </w:t>
      </w:r>
      <w:r>
        <w:rPr>
          <w:sz w:val="28"/>
          <w:szCs w:val="28"/>
        </w:rPr>
        <w:lastRenderedPageBreak/>
        <w:t>undervalued within the Education sector and further training for all staff needs to be revisited. This is subjective language, not objective.</w:t>
      </w:r>
    </w:p>
    <w:p w:rsidR="009C0A9E" w:rsidRPr="000E375A" w:rsidRDefault="009C0A9E" w:rsidP="00FC6DC5">
      <w:pPr>
        <w:rPr>
          <w:sz w:val="28"/>
          <w:szCs w:val="28"/>
        </w:rPr>
      </w:pPr>
      <w:r w:rsidRPr="000E375A">
        <w:rPr>
          <w:sz w:val="28"/>
          <w:szCs w:val="28"/>
        </w:rPr>
        <w:t xml:space="preserve">The opening line of articles introduction is the role of teaching assistants working with children with special educational needs in an increasingly complex and diverse context, but the main title includes the words teaching assistants experiences of inclusive education. As the title and introduction are different the purpose of this article </w:t>
      </w:r>
      <w:r>
        <w:rPr>
          <w:sz w:val="28"/>
          <w:szCs w:val="28"/>
        </w:rPr>
        <w:t>deviates</w:t>
      </w:r>
      <w:r w:rsidRPr="000E375A">
        <w:rPr>
          <w:sz w:val="28"/>
          <w:szCs w:val="28"/>
        </w:rPr>
        <w:t xml:space="preserve"> from the main aim of the author which is inclusive education. For example, this study builds on and extends previous research and takes a case study approach </w:t>
      </w:r>
      <w:r>
        <w:rPr>
          <w:sz w:val="28"/>
          <w:szCs w:val="28"/>
        </w:rPr>
        <w:t xml:space="preserve">but </w:t>
      </w:r>
      <w:r w:rsidRPr="000E375A">
        <w:rPr>
          <w:sz w:val="28"/>
          <w:szCs w:val="28"/>
        </w:rPr>
        <w:t>present</w:t>
      </w:r>
      <w:r>
        <w:rPr>
          <w:sz w:val="28"/>
          <w:szCs w:val="28"/>
        </w:rPr>
        <w:t>ed</w:t>
      </w:r>
      <w:r w:rsidRPr="000E375A">
        <w:rPr>
          <w:sz w:val="28"/>
          <w:szCs w:val="28"/>
        </w:rPr>
        <w:t xml:space="preserve"> </w:t>
      </w:r>
      <w:r>
        <w:rPr>
          <w:sz w:val="28"/>
          <w:szCs w:val="28"/>
        </w:rPr>
        <w:t>a variety of finding such as</w:t>
      </w:r>
      <w:r w:rsidRPr="000E375A">
        <w:rPr>
          <w:sz w:val="28"/>
          <w:szCs w:val="28"/>
        </w:rPr>
        <w:t>; how TAs life experiences influence their work in the classroom and relationships with other staff; the impact of gender on the TA role; TAs understandings of inclusion</w:t>
      </w:r>
      <w:r>
        <w:rPr>
          <w:sz w:val="28"/>
          <w:szCs w:val="28"/>
        </w:rPr>
        <w:t>,</w:t>
      </w:r>
      <w:r w:rsidRPr="000E375A">
        <w:rPr>
          <w:sz w:val="28"/>
          <w:szCs w:val="28"/>
        </w:rPr>
        <w:t xml:space="preserve"> motivations to carry out the role; perceptions of their status; and tens</w:t>
      </w:r>
      <w:r>
        <w:rPr>
          <w:sz w:val="28"/>
          <w:szCs w:val="28"/>
        </w:rPr>
        <w:t xml:space="preserve">ions between official policy (both </w:t>
      </w:r>
      <w:r w:rsidRPr="000E375A">
        <w:rPr>
          <w:sz w:val="28"/>
          <w:szCs w:val="28"/>
        </w:rPr>
        <w:t>inclusion and their own practise</w:t>
      </w:r>
      <w:r>
        <w:rPr>
          <w:sz w:val="28"/>
          <w:szCs w:val="28"/>
        </w:rPr>
        <w:t>)</w:t>
      </w:r>
      <w:r w:rsidRPr="000E375A">
        <w:rPr>
          <w:sz w:val="28"/>
          <w:szCs w:val="28"/>
        </w:rPr>
        <w:t xml:space="preserve">. That text shows how hard </w:t>
      </w:r>
      <w:r>
        <w:rPr>
          <w:sz w:val="28"/>
          <w:szCs w:val="28"/>
        </w:rPr>
        <w:t>it was</w:t>
      </w:r>
      <w:r w:rsidRPr="000E375A">
        <w:rPr>
          <w:sz w:val="28"/>
          <w:szCs w:val="28"/>
        </w:rPr>
        <w:t xml:space="preserve"> for the author to remain </w:t>
      </w:r>
      <w:r>
        <w:rPr>
          <w:sz w:val="28"/>
          <w:szCs w:val="28"/>
        </w:rPr>
        <w:t>focused</w:t>
      </w:r>
      <w:r w:rsidRPr="000E375A">
        <w:rPr>
          <w:sz w:val="28"/>
          <w:szCs w:val="28"/>
        </w:rPr>
        <w:t xml:space="preserve"> in the article about TAs experiences of inclusive education without bringing in other factors. </w:t>
      </w:r>
    </w:p>
    <w:p w:rsidR="009C0A9E" w:rsidRDefault="009C0A9E" w:rsidP="00FC6DC5">
      <w:pPr>
        <w:rPr>
          <w:sz w:val="28"/>
          <w:szCs w:val="28"/>
        </w:rPr>
      </w:pPr>
      <w:r w:rsidRPr="00B732F9">
        <w:rPr>
          <w:sz w:val="28"/>
          <w:szCs w:val="28"/>
        </w:rPr>
        <w:t>Evidence for the article comes from academic books, research, web sites and journals these include teachers and TAs attitudes towards the inclusion of children with SEN, teachers’ personal beliefs about students with disabilities and researching understandings of inclusion. To check that the evidence is valid and reliable we should look for citations and references throughout the article. Valid articles should include sources within the text and have a clear reference page at the end of the article. We can then check the sources on the reference page to see if they do coincide with what is written in the article.</w:t>
      </w:r>
      <w:r>
        <w:rPr>
          <w:sz w:val="28"/>
          <w:szCs w:val="28"/>
        </w:rPr>
        <w:t xml:space="preserve"> </w:t>
      </w:r>
    </w:p>
    <w:p w:rsidR="009C0A9E" w:rsidRDefault="009C0A9E" w:rsidP="00FC6DC5">
      <w:pPr>
        <w:rPr>
          <w:sz w:val="28"/>
          <w:szCs w:val="28"/>
        </w:rPr>
      </w:pPr>
      <w:r>
        <w:rPr>
          <w:sz w:val="28"/>
          <w:szCs w:val="28"/>
        </w:rPr>
        <w:t xml:space="preserve">There is more evidence that this is an objective article than there is for it being a subjective one; for example, in all five of the case studies we range from discussions about pressure on teachers hitting league targets, relationships with other members of staff (specifically </w:t>
      </w:r>
      <w:proofErr w:type="spellStart"/>
      <w:r>
        <w:rPr>
          <w:sz w:val="28"/>
          <w:szCs w:val="28"/>
        </w:rPr>
        <w:t>SENco</w:t>
      </w:r>
      <w:proofErr w:type="spellEnd"/>
      <w:r>
        <w:rPr>
          <w:sz w:val="28"/>
          <w:szCs w:val="28"/>
        </w:rPr>
        <w:t xml:space="preserve">), problems of collaboration and the role that gender plays in the SEN department as well as and serious incidents such as having to carry on working after being attacked, abused or disrespected by a pupil. The main topic of inclusive education is not directly answered by any of the five case studies and the evidence supporting the article is a combination of other factors such as teachers and TAs personal clashes in the classroom feelings and life experiences. I think a more direct approach of asking how the TAs have experience individual school approaches to inclusion in order to investigate both negative positive experiences in their </w:t>
      </w:r>
      <w:r>
        <w:rPr>
          <w:sz w:val="28"/>
          <w:szCs w:val="28"/>
        </w:rPr>
        <w:lastRenderedPageBreak/>
        <w:t>own practice, and within the schools they work in would have had a more objective conclusion as it would have focused the responses of the participants on the questions of their experiences with inclusion.</w:t>
      </w:r>
    </w:p>
    <w:p w:rsidR="009C0A9E" w:rsidRDefault="009C0A9E" w:rsidP="00FC6DC5">
      <w:pPr>
        <w:rPr>
          <w:sz w:val="28"/>
          <w:szCs w:val="28"/>
        </w:rPr>
      </w:pPr>
      <w:r>
        <w:rPr>
          <w:sz w:val="28"/>
          <w:szCs w:val="28"/>
        </w:rPr>
        <w:t>In conclusion, this article starts of by stating it is an investigation into the experiences of TAs of inclusive education but when it goes into the five case studies it changes to more of a personal experience of working within the school as a whole. More direct questions here about inclusive education would have provided a more reliable understanding of the range of experiences the TAs have with inclusive education. I do think asking a sample of male TAs instead of asking five females as was the case in Mackenzie’s article would have provided a more diverse flavour to the investigation. I however think overall it is an appropriate and informative academic article, not about TAs experiences of inclusive education but more of an article about the wider personal feelings and grievances that TAs have with working within a school environment which was not the intention of the article. However, in doing so, the author does succeed in analysing the tensions of the school policies and the institutional framework of inclusion education.</w:t>
      </w:r>
    </w:p>
    <w:p w:rsidR="009C0A9E" w:rsidRDefault="009C0A9E" w:rsidP="00FC6DC5">
      <w:pPr>
        <w:rPr>
          <w:sz w:val="28"/>
          <w:szCs w:val="28"/>
        </w:rPr>
      </w:pPr>
    </w:p>
    <w:p w:rsidR="009C0A9E" w:rsidRPr="00437ABC" w:rsidRDefault="009C0A9E" w:rsidP="00FC6DC5">
      <w:pPr>
        <w:rPr>
          <w:b/>
          <w:sz w:val="28"/>
          <w:szCs w:val="28"/>
        </w:rPr>
      </w:pPr>
    </w:p>
    <w:p w:rsidR="009C0A9E" w:rsidRDefault="009C0A9E">
      <w:pPr>
        <w:rPr>
          <w:b/>
          <w:sz w:val="28"/>
          <w:szCs w:val="28"/>
        </w:rPr>
      </w:pPr>
    </w:p>
    <w:p w:rsidR="009C0A9E" w:rsidRDefault="009C0A9E">
      <w:pPr>
        <w:rPr>
          <w:b/>
          <w:sz w:val="28"/>
          <w:szCs w:val="28"/>
        </w:rPr>
      </w:pPr>
    </w:p>
    <w:p w:rsidR="009C0A9E" w:rsidRDefault="009C0A9E">
      <w:pPr>
        <w:rPr>
          <w:b/>
          <w:sz w:val="28"/>
          <w:szCs w:val="28"/>
        </w:rPr>
      </w:pPr>
    </w:p>
    <w:p w:rsidR="009C0A9E" w:rsidRDefault="009C0A9E">
      <w:pPr>
        <w:rPr>
          <w:b/>
          <w:sz w:val="28"/>
          <w:szCs w:val="28"/>
        </w:rPr>
      </w:pPr>
    </w:p>
    <w:p w:rsidR="009C0A9E" w:rsidRDefault="009C0A9E">
      <w:pPr>
        <w:rPr>
          <w:b/>
          <w:sz w:val="28"/>
          <w:szCs w:val="28"/>
        </w:rPr>
      </w:pPr>
    </w:p>
    <w:p w:rsidR="009C0A9E" w:rsidRDefault="009C0A9E">
      <w:pPr>
        <w:rPr>
          <w:b/>
          <w:sz w:val="28"/>
          <w:szCs w:val="28"/>
        </w:rPr>
      </w:pPr>
    </w:p>
    <w:p w:rsidR="009C0A9E" w:rsidRDefault="009C0A9E">
      <w:pPr>
        <w:rPr>
          <w:b/>
          <w:sz w:val="28"/>
          <w:szCs w:val="28"/>
        </w:rPr>
      </w:pPr>
      <w:r w:rsidRPr="00437ABC">
        <w:rPr>
          <w:b/>
          <w:sz w:val="28"/>
          <w:szCs w:val="28"/>
        </w:rPr>
        <w:t>Referencing lis</w:t>
      </w:r>
      <w:r>
        <w:rPr>
          <w:b/>
          <w:sz w:val="28"/>
          <w:szCs w:val="28"/>
        </w:rPr>
        <w:t>t</w:t>
      </w:r>
    </w:p>
    <w:p w:rsidR="009C0A9E" w:rsidRDefault="009C0A9E" w:rsidP="00F732B8">
      <w:pPr>
        <w:rPr>
          <w:i/>
          <w:sz w:val="28"/>
          <w:szCs w:val="28"/>
        </w:rPr>
      </w:pPr>
      <w:r w:rsidRPr="00F732B8">
        <w:rPr>
          <w:sz w:val="28"/>
          <w:szCs w:val="28"/>
        </w:rPr>
        <w:t>Mackenzie, S (2011)</w:t>
      </w:r>
      <w:r w:rsidRPr="00833794">
        <w:rPr>
          <w:i/>
          <w:sz w:val="28"/>
          <w:szCs w:val="28"/>
        </w:rPr>
        <w:t xml:space="preserve"> </w:t>
      </w:r>
      <w:r w:rsidRPr="00833794">
        <w:rPr>
          <w:sz w:val="28"/>
          <w:szCs w:val="28"/>
        </w:rPr>
        <w:t>Journal title</w:t>
      </w:r>
      <w:r w:rsidRPr="00833794">
        <w:rPr>
          <w:i/>
          <w:sz w:val="28"/>
          <w:szCs w:val="28"/>
        </w:rPr>
        <w:t>:</w:t>
      </w:r>
      <w:r>
        <w:rPr>
          <w:b/>
          <w:sz w:val="28"/>
          <w:szCs w:val="28"/>
        </w:rPr>
        <w:t xml:space="preserve"> </w:t>
      </w:r>
      <w:r w:rsidRPr="00F732B8">
        <w:rPr>
          <w:i/>
          <w:sz w:val="28"/>
          <w:szCs w:val="28"/>
        </w:rPr>
        <w:t>‘Yes but…’: rhetoric, reality and resistance in assistants’ experiences of inclusive education</w:t>
      </w:r>
      <w:r>
        <w:rPr>
          <w:i/>
          <w:sz w:val="28"/>
          <w:szCs w:val="28"/>
        </w:rPr>
        <w:t xml:space="preserve">. </w:t>
      </w:r>
      <w:r w:rsidRPr="00F732B8">
        <w:rPr>
          <w:i/>
          <w:sz w:val="28"/>
          <w:szCs w:val="28"/>
        </w:rPr>
        <w:t>Support for Learning</w:t>
      </w:r>
      <w:r>
        <w:rPr>
          <w:i/>
          <w:sz w:val="28"/>
          <w:szCs w:val="28"/>
        </w:rPr>
        <w:t xml:space="preserve"> </w:t>
      </w:r>
      <w:r w:rsidRPr="00F732B8">
        <w:rPr>
          <w:i/>
          <w:sz w:val="28"/>
          <w:szCs w:val="28"/>
        </w:rPr>
        <w:t>Issue number:</w:t>
      </w:r>
      <w:r>
        <w:rPr>
          <w:i/>
          <w:sz w:val="28"/>
          <w:szCs w:val="28"/>
        </w:rPr>
        <w:t xml:space="preserve"> </w:t>
      </w:r>
      <w:r w:rsidRPr="00F732B8">
        <w:rPr>
          <w:i/>
          <w:sz w:val="28"/>
          <w:szCs w:val="28"/>
        </w:rPr>
        <w:t>2</w:t>
      </w:r>
      <w:r>
        <w:rPr>
          <w:i/>
          <w:sz w:val="28"/>
          <w:szCs w:val="28"/>
        </w:rPr>
        <w:t xml:space="preserve"> </w:t>
      </w:r>
      <w:r w:rsidRPr="00F732B8">
        <w:rPr>
          <w:i/>
          <w:sz w:val="28"/>
          <w:szCs w:val="28"/>
        </w:rPr>
        <w:t>Volume number:</w:t>
      </w:r>
      <w:r>
        <w:rPr>
          <w:i/>
          <w:sz w:val="28"/>
          <w:szCs w:val="28"/>
        </w:rPr>
        <w:t xml:space="preserve"> </w:t>
      </w:r>
      <w:r w:rsidRPr="00F732B8">
        <w:rPr>
          <w:i/>
          <w:sz w:val="28"/>
          <w:szCs w:val="28"/>
        </w:rPr>
        <w:t>26</w:t>
      </w:r>
      <w:r>
        <w:rPr>
          <w:i/>
          <w:sz w:val="28"/>
          <w:szCs w:val="28"/>
        </w:rPr>
        <w:t xml:space="preserve"> </w:t>
      </w:r>
      <w:r w:rsidRPr="00F732B8">
        <w:rPr>
          <w:i/>
          <w:sz w:val="28"/>
          <w:szCs w:val="28"/>
        </w:rPr>
        <w:t>Pages:</w:t>
      </w:r>
      <w:r>
        <w:rPr>
          <w:i/>
          <w:sz w:val="28"/>
          <w:szCs w:val="28"/>
        </w:rPr>
        <w:t xml:space="preserve"> </w:t>
      </w:r>
      <w:r w:rsidRPr="00F732B8">
        <w:rPr>
          <w:i/>
          <w:sz w:val="28"/>
          <w:szCs w:val="28"/>
        </w:rPr>
        <w:t>64-71</w:t>
      </w:r>
    </w:p>
    <w:p w:rsidR="009C0A9E" w:rsidRDefault="009C0A9E">
      <w:pPr>
        <w:rPr>
          <w:i/>
          <w:sz w:val="28"/>
          <w:szCs w:val="28"/>
        </w:rPr>
      </w:pPr>
      <w:r w:rsidRPr="00F732B8">
        <w:rPr>
          <w:sz w:val="28"/>
          <w:szCs w:val="28"/>
        </w:rPr>
        <w:t xml:space="preserve">O’BRIEN, T. and GARNER, P. (eds). </w:t>
      </w:r>
      <w:r w:rsidRPr="00F732B8">
        <w:rPr>
          <w:i/>
          <w:sz w:val="28"/>
          <w:szCs w:val="28"/>
        </w:rPr>
        <w:t>(2001) Untold Stories: Learning Support Assistants and their Work. Stoke on Trent: Trentham Books.</w:t>
      </w:r>
    </w:p>
    <w:p w:rsidR="009C0A9E" w:rsidRPr="00F732B8" w:rsidRDefault="009C0A9E">
      <w:pPr>
        <w:rPr>
          <w:sz w:val="28"/>
          <w:szCs w:val="28"/>
        </w:rPr>
      </w:pPr>
    </w:p>
    <w:p w:rsidR="006B2B29" w:rsidRDefault="006B2B29"/>
    <w:sectPr w:rsidR="006B2B29" w:rsidSect="00F71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69EA"/>
    <w:multiLevelType w:val="hybridMultilevel"/>
    <w:tmpl w:val="FA0C4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A9E"/>
    <w:rsid w:val="006B2B29"/>
    <w:rsid w:val="00757EDD"/>
    <w:rsid w:val="009C0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C9D7AF-86E4-421E-BA6E-D7720EF3D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A9E"/>
    <w:pPr>
      <w:ind w:left="720"/>
      <w:contextualSpacing/>
    </w:pPr>
  </w:style>
  <w:style w:type="character" w:styleId="Hyperlink">
    <w:name w:val="Hyperlink"/>
    <w:basedOn w:val="DefaultParagraphFont"/>
    <w:uiPriority w:val="99"/>
    <w:unhideWhenUsed/>
    <w:rsid w:val="009C0A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brary.leeds.ac.uk/info/1402/referencing/47/referencing_explain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Word_Document.docx"/><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1632</Words>
  <Characters>9306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paulstubbs74@gmail.com</dc:creator>
  <cp:keywords/>
  <dc:description/>
  <cp:lastModifiedBy>Heike Griffiths</cp:lastModifiedBy>
  <cp:revision>2</cp:revision>
  <dcterms:created xsi:type="dcterms:W3CDTF">2018-11-13T13:37:00Z</dcterms:created>
  <dcterms:modified xsi:type="dcterms:W3CDTF">2018-11-13T13:37:00Z</dcterms:modified>
</cp:coreProperties>
</file>