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1501F" w14:textId="4F0783AE" w:rsidR="00244943" w:rsidRDefault="00A703F7" w:rsidP="00A703F7">
      <w:pPr>
        <w:jc w:val="center"/>
      </w:pPr>
      <w:r>
        <w:rPr>
          <w:noProof/>
        </w:rPr>
        <w:drawing>
          <wp:inline distT="0" distB="0" distL="0" distR="0" wp14:anchorId="53567AC9" wp14:editId="64B7A3A5">
            <wp:extent cx="3733800" cy="1559542"/>
            <wp:effectExtent l="0" t="0" r="0" b="3175"/>
            <wp:docPr id="341636773"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51174" cy="1566799"/>
                    </a:xfrm>
                    <a:prstGeom prst="rect">
                      <a:avLst/>
                    </a:prstGeom>
                    <a:noFill/>
                    <a:ln>
                      <a:noFill/>
                    </a:ln>
                  </pic:spPr>
                </pic:pic>
              </a:graphicData>
            </a:graphic>
          </wp:inline>
        </w:drawing>
      </w:r>
    </w:p>
    <w:p w14:paraId="7CD3527C" w14:textId="77777777" w:rsidR="00244943" w:rsidRDefault="00244943">
      <w:pPr>
        <w:spacing w:before="400"/>
      </w:pPr>
    </w:p>
    <w:p w14:paraId="52105967" w14:textId="77777777" w:rsidR="00244943" w:rsidRDefault="00000000">
      <w:pPr>
        <w:pBdr>
          <w:bottom w:val="single" w:sz="6" w:space="0" w:color="0D7377"/>
        </w:pBdr>
        <w:spacing w:after="100"/>
        <w:jc w:val="center"/>
      </w:pPr>
      <w:r>
        <w:rPr>
          <w:rFonts w:ascii="Arial" w:eastAsia="Arial" w:hAnsi="Arial" w:cs="Arial"/>
          <w:b/>
          <w:bCs/>
          <w:color w:val="1B3A5C"/>
          <w:sz w:val="36"/>
          <w:szCs w:val="36"/>
        </w:rPr>
        <w:t>Marketing Environment Analysis and</w:t>
      </w:r>
    </w:p>
    <w:p w14:paraId="5842B615" w14:textId="77777777" w:rsidR="00244943" w:rsidRDefault="00000000">
      <w:pPr>
        <w:spacing w:after="300"/>
        <w:jc w:val="center"/>
      </w:pPr>
      <w:r>
        <w:rPr>
          <w:rFonts w:ascii="Arial" w:eastAsia="Arial" w:hAnsi="Arial" w:cs="Arial"/>
          <w:b/>
          <w:bCs/>
          <w:color w:val="1B3A5C"/>
          <w:sz w:val="36"/>
          <w:szCs w:val="36"/>
        </w:rPr>
        <w:t>Strategic Growth Strategy</w:t>
      </w:r>
    </w:p>
    <w:p w14:paraId="12503287" w14:textId="77777777" w:rsidR="00244943" w:rsidRDefault="00000000">
      <w:pPr>
        <w:spacing w:after="120"/>
        <w:jc w:val="center"/>
      </w:pPr>
      <w:r>
        <w:rPr>
          <w:rFonts w:ascii="Arial" w:eastAsia="Arial" w:hAnsi="Arial" w:cs="Arial"/>
          <w:b/>
          <w:bCs/>
          <w:color w:val="0D7377"/>
          <w:sz w:val="30"/>
          <w:szCs w:val="30"/>
        </w:rPr>
        <w:t>BHP Group Limited</w:t>
      </w:r>
    </w:p>
    <w:p w14:paraId="29AF11ED" w14:textId="77777777" w:rsidR="00244943" w:rsidRPr="00A703F7" w:rsidRDefault="00244943" w:rsidP="00A703F7">
      <w:pPr>
        <w:spacing w:before="600"/>
        <w:rPr>
          <w:sz w:val="22"/>
          <w:szCs w:val="22"/>
        </w:rPr>
      </w:pPr>
    </w:p>
    <w:p w14:paraId="3C4F835F" w14:textId="6F904576" w:rsidR="00244943" w:rsidRPr="00A703F7" w:rsidRDefault="00000000" w:rsidP="00A703F7">
      <w:pPr>
        <w:spacing w:after="80"/>
        <w:jc w:val="center"/>
        <w:rPr>
          <w:sz w:val="22"/>
          <w:szCs w:val="22"/>
        </w:rPr>
      </w:pPr>
      <w:r w:rsidRPr="00A703F7">
        <w:rPr>
          <w:rFonts w:ascii="Arial" w:eastAsia="Arial" w:hAnsi="Arial" w:cs="Arial"/>
          <w:color w:val="1B3A5C"/>
          <w:sz w:val="28"/>
          <w:szCs w:val="28"/>
        </w:rPr>
        <w:t xml:space="preserve">Module: Marketing </w:t>
      </w:r>
      <w:r w:rsidR="002D6135">
        <w:rPr>
          <w:rFonts w:ascii="Arial" w:eastAsia="Arial" w:hAnsi="Arial" w:cs="Arial"/>
          <w:color w:val="1B3A5C"/>
          <w:sz w:val="28"/>
          <w:szCs w:val="28"/>
        </w:rPr>
        <w:t>Management</w:t>
      </w:r>
    </w:p>
    <w:p w14:paraId="516F97EC" w14:textId="004D9FA8" w:rsidR="00244943" w:rsidRPr="00A703F7" w:rsidRDefault="00000000" w:rsidP="00A703F7">
      <w:pPr>
        <w:spacing w:after="80"/>
        <w:jc w:val="center"/>
        <w:rPr>
          <w:sz w:val="22"/>
          <w:szCs w:val="22"/>
        </w:rPr>
      </w:pPr>
      <w:r w:rsidRPr="00A703F7">
        <w:rPr>
          <w:rFonts w:ascii="Arial" w:eastAsia="Arial" w:hAnsi="Arial" w:cs="Arial"/>
          <w:color w:val="1B3A5C"/>
          <w:sz w:val="28"/>
          <w:szCs w:val="28"/>
        </w:rPr>
        <w:t xml:space="preserve">Programme: </w:t>
      </w:r>
      <w:r w:rsidR="00A703F7" w:rsidRPr="00A703F7">
        <w:rPr>
          <w:rFonts w:ascii="Arial" w:eastAsia="Arial" w:hAnsi="Arial" w:cs="Arial"/>
          <w:color w:val="1B3A5C"/>
          <w:sz w:val="28"/>
          <w:szCs w:val="28"/>
        </w:rPr>
        <w:t>Marketing Management</w:t>
      </w:r>
    </w:p>
    <w:p w14:paraId="41240C5B" w14:textId="7246B798" w:rsidR="00244943" w:rsidRPr="00A703F7" w:rsidRDefault="00000000" w:rsidP="00A703F7">
      <w:pPr>
        <w:spacing w:after="80"/>
        <w:jc w:val="center"/>
        <w:rPr>
          <w:sz w:val="22"/>
          <w:szCs w:val="22"/>
        </w:rPr>
      </w:pPr>
      <w:r w:rsidRPr="00A703F7">
        <w:rPr>
          <w:rFonts w:ascii="Arial" w:eastAsia="Arial" w:hAnsi="Arial" w:cs="Arial"/>
          <w:color w:val="1B3A5C"/>
          <w:sz w:val="28"/>
          <w:szCs w:val="28"/>
        </w:rPr>
        <w:t>Student ID:</w:t>
      </w:r>
      <w:r w:rsidR="009E2F4B">
        <w:rPr>
          <w:rFonts w:ascii="Arial" w:eastAsia="Arial" w:hAnsi="Arial" w:cs="Arial"/>
          <w:color w:val="1B3A5C"/>
          <w:sz w:val="28"/>
          <w:szCs w:val="28"/>
        </w:rPr>
        <w:t xml:space="preserve"> </w:t>
      </w:r>
      <w:r w:rsidR="009E2F4B" w:rsidRPr="009E2F4B">
        <w:rPr>
          <w:rFonts w:ascii="Arial" w:eastAsia="Arial" w:hAnsi="Arial" w:cs="Arial"/>
          <w:color w:val="1B3A5C"/>
          <w:sz w:val="28"/>
          <w:szCs w:val="28"/>
        </w:rPr>
        <w:t>2538982</w:t>
      </w:r>
    </w:p>
    <w:p w14:paraId="1EFACDD0" w14:textId="7CF0BCD3" w:rsidR="00244943" w:rsidRPr="00A703F7" w:rsidRDefault="00000000" w:rsidP="00A703F7">
      <w:pPr>
        <w:spacing w:after="80"/>
        <w:jc w:val="center"/>
        <w:rPr>
          <w:sz w:val="22"/>
          <w:szCs w:val="22"/>
        </w:rPr>
      </w:pPr>
      <w:r w:rsidRPr="00A703F7">
        <w:rPr>
          <w:rFonts w:ascii="Arial" w:eastAsia="Arial" w:hAnsi="Arial" w:cs="Arial"/>
          <w:color w:val="1B3A5C"/>
          <w:sz w:val="28"/>
          <w:szCs w:val="28"/>
        </w:rPr>
        <w:t>Word Count: 2,</w:t>
      </w:r>
      <w:r w:rsidR="000C4A53">
        <w:rPr>
          <w:rFonts w:ascii="Arial" w:eastAsia="Arial" w:hAnsi="Arial" w:cs="Arial"/>
          <w:color w:val="1B3A5C"/>
          <w:sz w:val="28"/>
          <w:szCs w:val="28"/>
        </w:rPr>
        <w:t>733</w:t>
      </w:r>
    </w:p>
    <w:p w14:paraId="16B6545F" w14:textId="77777777" w:rsidR="00244943" w:rsidRPr="00A703F7" w:rsidRDefault="00000000" w:rsidP="00A703F7">
      <w:pPr>
        <w:spacing w:after="80"/>
        <w:jc w:val="center"/>
        <w:rPr>
          <w:sz w:val="22"/>
          <w:szCs w:val="22"/>
        </w:rPr>
      </w:pPr>
      <w:r w:rsidRPr="00A703F7">
        <w:rPr>
          <w:rFonts w:ascii="Arial" w:eastAsia="Arial" w:hAnsi="Arial" w:cs="Arial"/>
          <w:color w:val="1B3A5C"/>
          <w:sz w:val="28"/>
          <w:szCs w:val="28"/>
        </w:rPr>
        <w:t>Submission Date: 24 July 2026</w:t>
      </w:r>
    </w:p>
    <w:p w14:paraId="6BCF6FA4" w14:textId="77777777" w:rsidR="00244943" w:rsidRDefault="00244943">
      <w:pPr>
        <w:sectPr w:rsidR="00244943">
          <w:pgSz w:w="11906" w:h="16838"/>
          <w:pgMar w:top="1440" w:right="1440" w:bottom="1440" w:left="1440" w:header="708" w:footer="708" w:gutter="0"/>
          <w:cols w:space="720"/>
          <w:docGrid w:linePitch="360"/>
        </w:sectPr>
      </w:pPr>
    </w:p>
    <w:p w14:paraId="0FFACA16" w14:textId="77777777" w:rsidR="00244943" w:rsidRDefault="00000000">
      <w:pPr>
        <w:pStyle w:val="MyHeading1"/>
        <w:spacing w:before="200" w:after="300"/>
      </w:pPr>
      <w:r>
        <w:lastRenderedPageBreak/>
        <w:t>Table of Contents</w:t>
      </w:r>
    </w:p>
    <w:sdt>
      <w:sdtPr>
        <w:rPr>
          <w:rFonts w:ascii="Times New Roman" w:eastAsia="Times New Roman" w:hAnsi="Times New Roman" w:cs="Times New Roman"/>
          <w:color w:val="0D0D0D" w:themeColor="text1" w:themeTint="F2"/>
          <w:sz w:val="24"/>
          <w:szCs w:val="20"/>
          <w:lang w:val="en-GB" w:eastAsia="en-GB"/>
        </w:rPr>
        <w:id w:val="938104465"/>
        <w:docPartObj>
          <w:docPartGallery w:val="Table of Contents"/>
          <w:docPartUnique/>
        </w:docPartObj>
      </w:sdtPr>
      <w:sdtEndPr>
        <w:rPr>
          <w:b/>
          <w:bCs/>
          <w:noProof/>
        </w:rPr>
      </w:sdtEndPr>
      <w:sdtContent>
        <w:p w14:paraId="7F45A6F2" w14:textId="2DF43436" w:rsidR="002E7649" w:rsidRPr="002E7649" w:rsidRDefault="002E7649" w:rsidP="002E7649">
          <w:pPr>
            <w:pStyle w:val="TOCHeading"/>
            <w:spacing w:line="360" w:lineRule="auto"/>
            <w:rPr>
              <w:sz w:val="40"/>
              <w:szCs w:val="40"/>
            </w:rPr>
          </w:pPr>
        </w:p>
        <w:p w14:paraId="2617F882" w14:textId="1E14EDD7" w:rsidR="00591462" w:rsidRDefault="002E7649">
          <w:pPr>
            <w:pStyle w:val="TOC1"/>
            <w:tabs>
              <w:tab w:val="right" w:leader="dot" w:pos="9016"/>
            </w:tabs>
            <w:rPr>
              <w:rFonts w:asciiTheme="minorHAnsi" w:eastAsiaTheme="minorEastAsia" w:hAnsiTheme="minorHAnsi" w:cstheme="minorBidi"/>
              <w:noProof/>
              <w:color w:val="auto"/>
              <w:kern w:val="2"/>
              <w:szCs w:val="24"/>
              <w14:ligatures w14:val="standardContextual"/>
            </w:rPr>
          </w:pPr>
          <w:r w:rsidRPr="002E7649">
            <w:rPr>
              <w:szCs w:val="24"/>
            </w:rPr>
            <w:fldChar w:fldCharType="begin"/>
          </w:r>
          <w:r w:rsidRPr="002E7649">
            <w:rPr>
              <w:szCs w:val="24"/>
            </w:rPr>
            <w:instrText xml:space="preserve"> TOC \o "1-3" \h \z \u </w:instrText>
          </w:r>
          <w:r w:rsidRPr="002E7649">
            <w:rPr>
              <w:szCs w:val="24"/>
            </w:rPr>
            <w:fldChar w:fldCharType="separate"/>
          </w:r>
          <w:hyperlink w:anchor="_Toc235729018" w:history="1">
            <w:r w:rsidR="00591462" w:rsidRPr="0001498A">
              <w:rPr>
                <w:rStyle w:val="Hyperlink"/>
                <w:noProof/>
              </w:rPr>
              <w:t>1. Introduction</w:t>
            </w:r>
            <w:r w:rsidR="00591462">
              <w:rPr>
                <w:noProof/>
                <w:webHidden/>
              </w:rPr>
              <w:tab/>
            </w:r>
            <w:r w:rsidR="00591462">
              <w:rPr>
                <w:noProof/>
                <w:webHidden/>
              </w:rPr>
              <w:fldChar w:fldCharType="begin"/>
            </w:r>
            <w:r w:rsidR="00591462">
              <w:rPr>
                <w:noProof/>
                <w:webHidden/>
              </w:rPr>
              <w:instrText xml:space="preserve"> PAGEREF _Toc235729018 \h </w:instrText>
            </w:r>
            <w:r w:rsidR="00591462">
              <w:rPr>
                <w:noProof/>
                <w:webHidden/>
              </w:rPr>
            </w:r>
            <w:r w:rsidR="00591462">
              <w:rPr>
                <w:noProof/>
                <w:webHidden/>
              </w:rPr>
              <w:fldChar w:fldCharType="separate"/>
            </w:r>
            <w:r w:rsidR="00591462">
              <w:rPr>
                <w:noProof/>
                <w:webHidden/>
              </w:rPr>
              <w:t>2</w:t>
            </w:r>
            <w:r w:rsidR="00591462">
              <w:rPr>
                <w:noProof/>
                <w:webHidden/>
              </w:rPr>
              <w:fldChar w:fldCharType="end"/>
            </w:r>
          </w:hyperlink>
        </w:p>
        <w:p w14:paraId="00A56235" w14:textId="0B83C55F" w:rsidR="00591462" w:rsidRDefault="0059146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35729019" w:history="1">
            <w:r w:rsidRPr="0001498A">
              <w:rPr>
                <w:rStyle w:val="Hyperlink"/>
                <w:noProof/>
              </w:rPr>
              <w:t>2. Marketing Environment Analysis</w:t>
            </w:r>
            <w:r>
              <w:rPr>
                <w:noProof/>
                <w:webHidden/>
              </w:rPr>
              <w:tab/>
            </w:r>
            <w:r>
              <w:rPr>
                <w:noProof/>
                <w:webHidden/>
              </w:rPr>
              <w:fldChar w:fldCharType="begin"/>
            </w:r>
            <w:r>
              <w:rPr>
                <w:noProof/>
                <w:webHidden/>
              </w:rPr>
              <w:instrText xml:space="preserve"> PAGEREF _Toc235729019 \h </w:instrText>
            </w:r>
            <w:r>
              <w:rPr>
                <w:noProof/>
                <w:webHidden/>
              </w:rPr>
            </w:r>
            <w:r>
              <w:rPr>
                <w:noProof/>
                <w:webHidden/>
              </w:rPr>
              <w:fldChar w:fldCharType="separate"/>
            </w:r>
            <w:r>
              <w:rPr>
                <w:noProof/>
                <w:webHidden/>
              </w:rPr>
              <w:t>2</w:t>
            </w:r>
            <w:r>
              <w:rPr>
                <w:noProof/>
                <w:webHidden/>
              </w:rPr>
              <w:fldChar w:fldCharType="end"/>
            </w:r>
          </w:hyperlink>
        </w:p>
        <w:p w14:paraId="63B52999" w14:textId="41733A8C"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0" w:history="1">
            <w:r w:rsidRPr="0001498A">
              <w:rPr>
                <w:rStyle w:val="Hyperlink"/>
                <w:noProof/>
              </w:rPr>
              <w:t>2.1 The Natural Environment</w:t>
            </w:r>
            <w:r>
              <w:rPr>
                <w:noProof/>
                <w:webHidden/>
              </w:rPr>
              <w:tab/>
            </w:r>
            <w:r>
              <w:rPr>
                <w:noProof/>
                <w:webHidden/>
              </w:rPr>
              <w:fldChar w:fldCharType="begin"/>
            </w:r>
            <w:r>
              <w:rPr>
                <w:noProof/>
                <w:webHidden/>
              </w:rPr>
              <w:instrText xml:space="preserve"> PAGEREF _Toc235729020 \h </w:instrText>
            </w:r>
            <w:r>
              <w:rPr>
                <w:noProof/>
                <w:webHidden/>
              </w:rPr>
            </w:r>
            <w:r>
              <w:rPr>
                <w:noProof/>
                <w:webHidden/>
              </w:rPr>
              <w:fldChar w:fldCharType="separate"/>
            </w:r>
            <w:r>
              <w:rPr>
                <w:noProof/>
                <w:webHidden/>
              </w:rPr>
              <w:t>3</w:t>
            </w:r>
            <w:r>
              <w:rPr>
                <w:noProof/>
                <w:webHidden/>
              </w:rPr>
              <w:fldChar w:fldCharType="end"/>
            </w:r>
          </w:hyperlink>
        </w:p>
        <w:p w14:paraId="3809C214" w14:textId="37F1EA2A"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1" w:history="1">
            <w:r w:rsidRPr="0001498A">
              <w:rPr>
                <w:rStyle w:val="Hyperlink"/>
                <w:noProof/>
              </w:rPr>
              <w:t>2.2 The Political and Regulatory Environment</w:t>
            </w:r>
            <w:r>
              <w:rPr>
                <w:noProof/>
                <w:webHidden/>
              </w:rPr>
              <w:tab/>
            </w:r>
            <w:r>
              <w:rPr>
                <w:noProof/>
                <w:webHidden/>
              </w:rPr>
              <w:fldChar w:fldCharType="begin"/>
            </w:r>
            <w:r>
              <w:rPr>
                <w:noProof/>
                <w:webHidden/>
              </w:rPr>
              <w:instrText xml:space="preserve"> PAGEREF _Toc235729021 \h </w:instrText>
            </w:r>
            <w:r>
              <w:rPr>
                <w:noProof/>
                <w:webHidden/>
              </w:rPr>
            </w:r>
            <w:r>
              <w:rPr>
                <w:noProof/>
                <w:webHidden/>
              </w:rPr>
              <w:fldChar w:fldCharType="separate"/>
            </w:r>
            <w:r>
              <w:rPr>
                <w:noProof/>
                <w:webHidden/>
              </w:rPr>
              <w:t>4</w:t>
            </w:r>
            <w:r>
              <w:rPr>
                <w:noProof/>
                <w:webHidden/>
              </w:rPr>
              <w:fldChar w:fldCharType="end"/>
            </w:r>
          </w:hyperlink>
        </w:p>
        <w:p w14:paraId="696742FE" w14:textId="64A0427A" w:rsidR="00591462" w:rsidRDefault="0059146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35729022" w:history="1">
            <w:r w:rsidRPr="0001498A">
              <w:rPr>
                <w:rStyle w:val="Hyperlink"/>
                <w:noProof/>
              </w:rPr>
              <w:t>3. Strategic Growth and Competitive Positioning</w:t>
            </w:r>
            <w:r>
              <w:rPr>
                <w:noProof/>
                <w:webHidden/>
              </w:rPr>
              <w:tab/>
            </w:r>
            <w:r>
              <w:rPr>
                <w:noProof/>
                <w:webHidden/>
              </w:rPr>
              <w:fldChar w:fldCharType="begin"/>
            </w:r>
            <w:r>
              <w:rPr>
                <w:noProof/>
                <w:webHidden/>
              </w:rPr>
              <w:instrText xml:space="preserve"> PAGEREF _Toc235729022 \h </w:instrText>
            </w:r>
            <w:r>
              <w:rPr>
                <w:noProof/>
                <w:webHidden/>
              </w:rPr>
            </w:r>
            <w:r>
              <w:rPr>
                <w:noProof/>
                <w:webHidden/>
              </w:rPr>
              <w:fldChar w:fldCharType="separate"/>
            </w:r>
            <w:r>
              <w:rPr>
                <w:noProof/>
                <w:webHidden/>
              </w:rPr>
              <w:t>5</w:t>
            </w:r>
            <w:r>
              <w:rPr>
                <w:noProof/>
                <w:webHidden/>
              </w:rPr>
              <w:fldChar w:fldCharType="end"/>
            </w:r>
          </w:hyperlink>
        </w:p>
        <w:p w14:paraId="39820049" w14:textId="28493C8C"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3" w:history="1">
            <w:r w:rsidRPr="0001498A">
              <w:rPr>
                <w:rStyle w:val="Hyperlink"/>
                <w:noProof/>
              </w:rPr>
              <w:t>3.1 Application of the Ansoff Matrix</w:t>
            </w:r>
            <w:r>
              <w:rPr>
                <w:noProof/>
                <w:webHidden/>
              </w:rPr>
              <w:tab/>
            </w:r>
            <w:r>
              <w:rPr>
                <w:noProof/>
                <w:webHidden/>
              </w:rPr>
              <w:fldChar w:fldCharType="begin"/>
            </w:r>
            <w:r>
              <w:rPr>
                <w:noProof/>
                <w:webHidden/>
              </w:rPr>
              <w:instrText xml:space="preserve"> PAGEREF _Toc235729023 \h </w:instrText>
            </w:r>
            <w:r>
              <w:rPr>
                <w:noProof/>
                <w:webHidden/>
              </w:rPr>
            </w:r>
            <w:r>
              <w:rPr>
                <w:noProof/>
                <w:webHidden/>
              </w:rPr>
              <w:fldChar w:fldCharType="separate"/>
            </w:r>
            <w:r>
              <w:rPr>
                <w:noProof/>
                <w:webHidden/>
              </w:rPr>
              <w:t>5</w:t>
            </w:r>
            <w:r>
              <w:rPr>
                <w:noProof/>
                <w:webHidden/>
              </w:rPr>
              <w:fldChar w:fldCharType="end"/>
            </w:r>
          </w:hyperlink>
        </w:p>
        <w:p w14:paraId="4B51CD95" w14:textId="6F4BEC03"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4" w:history="1">
            <w:r w:rsidRPr="0001498A">
              <w:rPr>
                <w:rStyle w:val="Hyperlink"/>
                <w:noProof/>
              </w:rPr>
              <w:t>3.2 Achieving Competitive Advantage Through Lower-Carbon Transition</w:t>
            </w:r>
            <w:r>
              <w:rPr>
                <w:noProof/>
                <w:webHidden/>
              </w:rPr>
              <w:tab/>
            </w:r>
            <w:r>
              <w:rPr>
                <w:noProof/>
                <w:webHidden/>
              </w:rPr>
              <w:fldChar w:fldCharType="begin"/>
            </w:r>
            <w:r>
              <w:rPr>
                <w:noProof/>
                <w:webHidden/>
              </w:rPr>
              <w:instrText xml:space="preserve"> PAGEREF _Toc235729024 \h </w:instrText>
            </w:r>
            <w:r>
              <w:rPr>
                <w:noProof/>
                <w:webHidden/>
              </w:rPr>
            </w:r>
            <w:r>
              <w:rPr>
                <w:noProof/>
                <w:webHidden/>
              </w:rPr>
              <w:fldChar w:fldCharType="separate"/>
            </w:r>
            <w:r>
              <w:rPr>
                <w:noProof/>
                <w:webHidden/>
              </w:rPr>
              <w:t>6</w:t>
            </w:r>
            <w:r>
              <w:rPr>
                <w:noProof/>
                <w:webHidden/>
              </w:rPr>
              <w:fldChar w:fldCharType="end"/>
            </w:r>
          </w:hyperlink>
        </w:p>
        <w:p w14:paraId="1C489789" w14:textId="6FD9F987" w:rsidR="00591462" w:rsidRDefault="0059146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35729025" w:history="1">
            <w:r w:rsidRPr="0001498A">
              <w:rPr>
                <w:rStyle w:val="Hyperlink"/>
                <w:noProof/>
              </w:rPr>
              <w:t>4. Critical Reflection on AI Usage</w:t>
            </w:r>
            <w:r>
              <w:rPr>
                <w:noProof/>
                <w:webHidden/>
              </w:rPr>
              <w:tab/>
            </w:r>
            <w:r>
              <w:rPr>
                <w:noProof/>
                <w:webHidden/>
              </w:rPr>
              <w:fldChar w:fldCharType="begin"/>
            </w:r>
            <w:r>
              <w:rPr>
                <w:noProof/>
                <w:webHidden/>
              </w:rPr>
              <w:instrText xml:space="preserve"> PAGEREF _Toc235729025 \h </w:instrText>
            </w:r>
            <w:r>
              <w:rPr>
                <w:noProof/>
                <w:webHidden/>
              </w:rPr>
            </w:r>
            <w:r>
              <w:rPr>
                <w:noProof/>
                <w:webHidden/>
              </w:rPr>
              <w:fldChar w:fldCharType="separate"/>
            </w:r>
            <w:r>
              <w:rPr>
                <w:noProof/>
                <w:webHidden/>
              </w:rPr>
              <w:t>8</w:t>
            </w:r>
            <w:r>
              <w:rPr>
                <w:noProof/>
                <w:webHidden/>
              </w:rPr>
              <w:fldChar w:fldCharType="end"/>
            </w:r>
          </w:hyperlink>
        </w:p>
        <w:p w14:paraId="27EA2469" w14:textId="6949250D"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6" w:history="1">
            <w:r w:rsidRPr="0001498A">
              <w:rPr>
                <w:rStyle w:val="Hyperlink"/>
                <w:noProof/>
              </w:rPr>
              <w:t>4.1 Tool Disclosure</w:t>
            </w:r>
            <w:r>
              <w:rPr>
                <w:noProof/>
                <w:webHidden/>
              </w:rPr>
              <w:tab/>
            </w:r>
            <w:r>
              <w:rPr>
                <w:noProof/>
                <w:webHidden/>
              </w:rPr>
              <w:fldChar w:fldCharType="begin"/>
            </w:r>
            <w:r>
              <w:rPr>
                <w:noProof/>
                <w:webHidden/>
              </w:rPr>
              <w:instrText xml:space="preserve"> PAGEREF _Toc235729026 \h </w:instrText>
            </w:r>
            <w:r>
              <w:rPr>
                <w:noProof/>
                <w:webHidden/>
              </w:rPr>
            </w:r>
            <w:r>
              <w:rPr>
                <w:noProof/>
                <w:webHidden/>
              </w:rPr>
              <w:fldChar w:fldCharType="separate"/>
            </w:r>
            <w:r>
              <w:rPr>
                <w:noProof/>
                <w:webHidden/>
              </w:rPr>
              <w:t>8</w:t>
            </w:r>
            <w:r>
              <w:rPr>
                <w:noProof/>
                <w:webHidden/>
              </w:rPr>
              <w:fldChar w:fldCharType="end"/>
            </w:r>
          </w:hyperlink>
        </w:p>
        <w:p w14:paraId="5C83881D" w14:textId="698C17D5"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7" w:history="1">
            <w:r w:rsidRPr="0001498A">
              <w:rPr>
                <w:rStyle w:val="Hyperlink"/>
                <w:noProof/>
              </w:rPr>
              <w:t>4.2 Critical Evaluation of AI Output</w:t>
            </w:r>
            <w:r>
              <w:rPr>
                <w:noProof/>
                <w:webHidden/>
              </w:rPr>
              <w:tab/>
            </w:r>
            <w:r>
              <w:rPr>
                <w:noProof/>
                <w:webHidden/>
              </w:rPr>
              <w:fldChar w:fldCharType="begin"/>
            </w:r>
            <w:r>
              <w:rPr>
                <w:noProof/>
                <w:webHidden/>
              </w:rPr>
              <w:instrText xml:space="preserve"> PAGEREF _Toc235729027 \h </w:instrText>
            </w:r>
            <w:r>
              <w:rPr>
                <w:noProof/>
                <w:webHidden/>
              </w:rPr>
            </w:r>
            <w:r>
              <w:rPr>
                <w:noProof/>
                <w:webHidden/>
              </w:rPr>
              <w:fldChar w:fldCharType="separate"/>
            </w:r>
            <w:r>
              <w:rPr>
                <w:noProof/>
                <w:webHidden/>
              </w:rPr>
              <w:t>8</w:t>
            </w:r>
            <w:r>
              <w:rPr>
                <w:noProof/>
                <w:webHidden/>
              </w:rPr>
              <w:fldChar w:fldCharType="end"/>
            </w:r>
          </w:hyperlink>
        </w:p>
        <w:p w14:paraId="3D09B4AD" w14:textId="18EE03B6"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8" w:history="1">
            <w:r w:rsidRPr="0001498A">
              <w:rPr>
                <w:rStyle w:val="Hyperlink"/>
                <w:noProof/>
              </w:rPr>
              <w:t>4.3 Contribution Analysis</w:t>
            </w:r>
            <w:r>
              <w:rPr>
                <w:noProof/>
                <w:webHidden/>
              </w:rPr>
              <w:tab/>
            </w:r>
            <w:r>
              <w:rPr>
                <w:noProof/>
                <w:webHidden/>
              </w:rPr>
              <w:fldChar w:fldCharType="begin"/>
            </w:r>
            <w:r>
              <w:rPr>
                <w:noProof/>
                <w:webHidden/>
              </w:rPr>
              <w:instrText xml:space="preserve"> PAGEREF _Toc235729028 \h </w:instrText>
            </w:r>
            <w:r>
              <w:rPr>
                <w:noProof/>
                <w:webHidden/>
              </w:rPr>
            </w:r>
            <w:r>
              <w:rPr>
                <w:noProof/>
                <w:webHidden/>
              </w:rPr>
              <w:fldChar w:fldCharType="separate"/>
            </w:r>
            <w:r>
              <w:rPr>
                <w:noProof/>
                <w:webHidden/>
              </w:rPr>
              <w:t>8</w:t>
            </w:r>
            <w:r>
              <w:rPr>
                <w:noProof/>
                <w:webHidden/>
              </w:rPr>
              <w:fldChar w:fldCharType="end"/>
            </w:r>
          </w:hyperlink>
        </w:p>
        <w:p w14:paraId="38651927" w14:textId="70DE7B91" w:rsidR="00591462" w:rsidRDefault="00591462">
          <w:pPr>
            <w:pStyle w:val="TOC2"/>
            <w:tabs>
              <w:tab w:val="right" w:leader="dot" w:pos="9016"/>
            </w:tabs>
            <w:rPr>
              <w:rFonts w:asciiTheme="minorHAnsi" w:eastAsiaTheme="minorEastAsia" w:hAnsiTheme="minorHAnsi" w:cstheme="minorBidi"/>
              <w:noProof/>
              <w:color w:val="auto"/>
              <w:kern w:val="2"/>
              <w:szCs w:val="24"/>
              <w14:ligatures w14:val="standardContextual"/>
            </w:rPr>
          </w:pPr>
          <w:hyperlink w:anchor="_Toc235729029" w:history="1">
            <w:r w:rsidRPr="0001498A">
              <w:rPr>
                <w:rStyle w:val="Hyperlink"/>
                <w:noProof/>
              </w:rPr>
              <w:t>4.4 Ethical and Professional Reflection</w:t>
            </w:r>
            <w:r>
              <w:rPr>
                <w:noProof/>
                <w:webHidden/>
              </w:rPr>
              <w:tab/>
            </w:r>
            <w:r>
              <w:rPr>
                <w:noProof/>
                <w:webHidden/>
              </w:rPr>
              <w:fldChar w:fldCharType="begin"/>
            </w:r>
            <w:r>
              <w:rPr>
                <w:noProof/>
                <w:webHidden/>
              </w:rPr>
              <w:instrText xml:space="preserve"> PAGEREF _Toc235729029 \h </w:instrText>
            </w:r>
            <w:r>
              <w:rPr>
                <w:noProof/>
                <w:webHidden/>
              </w:rPr>
            </w:r>
            <w:r>
              <w:rPr>
                <w:noProof/>
                <w:webHidden/>
              </w:rPr>
              <w:fldChar w:fldCharType="separate"/>
            </w:r>
            <w:r>
              <w:rPr>
                <w:noProof/>
                <w:webHidden/>
              </w:rPr>
              <w:t>9</w:t>
            </w:r>
            <w:r>
              <w:rPr>
                <w:noProof/>
                <w:webHidden/>
              </w:rPr>
              <w:fldChar w:fldCharType="end"/>
            </w:r>
          </w:hyperlink>
        </w:p>
        <w:p w14:paraId="1982D1E0" w14:textId="42787366" w:rsidR="00591462" w:rsidRDefault="0059146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35729030" w:history="1">
            <w:r w:rsidRPr="0001498A">
              <w:rPr>
                <w:rStyle w:val="Hyperlink"/>
                <w:noProof/>
              </w:rPr>
              <w:t>5 Conclusion</w:t>
            </w:r>
            <w:r>
              <w:rPr>
                <w:noProof/>
                <w:webHidden/>
              </w:rPr>
              <w:tab/>
            </w:r>
            <w:r>
              <w:rPr>
                <w:noProof/>
                <w:webHidden/>
              </w:rPr>
              <w:fldChar w:fldCharType="begin"/>
            </w:r>
            <w:r>
              <w:rPr>
                <w:noProof/>
                <w:webHidden/>
              </w:rPr>
              <w:instrText xml:space="preserve"> PAGEREF _Toc235729030 \h </w:instrText>
            </w:r>
            <w:r>
              <w:rPr>
                <w:noProof/>
                <w:webHidden/>
              </w:rPr>
            </w:r>
            <w:r>
              <w:rPr>
                <w:noProof/>
                <w:webHidden/>
              </w:rPr>
              <w:fldChar w:fldCharType="separate"/>
            </w:r>
            <w:r>
              <w:rPr>
                <w:noProof/>
                <w:webHidden/>
              </w:rPr>
              <w:t>9</w:t>
            </w:r>
            <w:r>
              <w:rPr>
                <w:noProof/>
                <w:webHidden/>
              </w:rPr>
              <w:fldChar w:fldCharType="end"/>
            </w:r>
          </w:hyperlink>
        </w:p>
        <w:p w14:paraId="4ABA36A5" w14:textId="0D5F972F" w:rsidR="00591462" w:rsidRDefault="00591462">
          <w:pPr>
            <w:pStyle w:val="TOC1"/>
            <w:tabs>
              <w:tab w:val="right" w:leader="dot" w:pos="9016"/>
            </w:tabs>
            <w:rPr>
              <w:rFonts w:asciiTheme="minorHAnsi" w:eastAsiaTheme="minorEastAsia" w:hAnsiTheme="minorHAnsi" w:cstheme="minorBidi"/>
              <w:noProof/>
              <w:color w:val="auto"/>
              <w:kern w:val="2"/>
              <w:szCs w:val="24"/>
              <w14:ligatures w14:val="standardContextual"/>
            </w:rPr>
          </w:pPr>
          <w:hyperlink w:anchor="_Toc235729031" w:history="1">
            <w:r w:rsidRPr="0001498A">
              <w:rPr>
                <w:rStyle w:val="Hyperlink"/>
                <w:noProof/>
              </w:rPr>
              <w:t>6 Reference List</w:t>
            </w:r>
            <w:r>
              <w:rPr>
                <w:noProof/>
                <w:webHidden/>
              </w:rPr>
              <w:tab/>
            </w:r>
            <w:r>
              <w:rPr>
                <w:noProof/>
                <w:webHidden/>
              </w:rPr>
              <w:fldChar w:fldCharType="begin"/>
            </w:r>
            <w:r>
              <w:rPr>
                <w:noProof/>
                <w:webHidden/>
              </w:rPr>
              <w:instrText xml:space="preserve"> PAGEREF _Toc235729031 \h </w:instrText>
            </w:r>
            <w:r>
              <w:rPr>
                <w:noProof/>
                <w:webHidden/>
              </w:rPr>
            </w:r>
            <w:r>
              <w:rPr>
                <w:noProof/>
                <w:webHidden/>
              </w:rPr>
              <w:fldChar w:fldCharType="separate"/>
            </w:r>
            <w:r>
              <w:rPr>
                <w:noProof/>
                <w:webHidden/>
              </w:rPr>
              <w:t>10</w:t>
            </w:r>
            <w:r>
              <w:rPr>
                <w:noProof/>
                <w:webHidden/>
              </w:rPr>
              <w:fldChar w:fldCharType="end"/>
            </w:r>
          </w:hyperlink>
        </w:p>
        <w:p w14:paraId="2E2287F7" w14:textId="64CF4197" w:rsidR="002E7649" w:rsidRDefault="002E7649" w:rsidP="002E7649">
          <w:r w:rsidRPr="002E7649">
            <w:rPr>
              <w:b/>
              <w:bCs/>
              <w:noProof/>
              <w:szCs w:val="24"/>
            </w:rPr>
            <w:fldChar w:fldCharType="end"/>
          </w:r>
        </w:p>
      </w:sdtContent>
    </w:sdt>
    <w:p w14:paraId="232769DD" w14:textId="288B89AF" w:rsidR="00244943" w:rsidRDefault="00244943"/>
    <w:p w14:paraId="3A14FBC8" w14:textId="77777777" w:rsidR="00244943" w:rsidRDefault="00000000">
      <w:r>
        <w:br w:type="page"/>
      </w:r>
    </w:p>
    <w:p w14:paraId="520BFFD9" w14:textId="77777777" w:rsidR="00244943" w:rsidRDefault="00000000" w:rsidP="00A703F7">
      <w:pPr>
        <w:pStyle w:val="Heading1"/>
      </w:pPr>
      <w:bookmarkStart w:id="0" w:name="_Toc235729018"/>
      <w:r>
        <w:lastRenderedPageBreak/>
        <w:t>1. Introduction</w:t>
      </w:r>
      <w:bookmarkEnd w:id="0"/>
    </w:p>
    <w:p w14:paraId="29FD245E" w14:textId="0059F851" w:rsidR="001D035C" w:rsidRDefault="001D035C" w:rsidP="001D035C">
      <w:r>
        <w:t>BHP Group Limited is a diversified mining company with operations in over ten countries, including iron ore, copper, metallurgical coal, nickel and potash (BHP, 2025). Copper was BHP's biggest earner in the first half of financial year 2026, for the first time in the company's history, earning around US$7.95 billion in underlying EBITDA, marking a strategic shift away from BHP's traditional focus on “backwards-looking commodities” (BHP, 2026a). But this shift is opposed. Leaked internal documents, called the "BHP files," in May 2026 uncovered that BHP had shelved a number of major decarbonisation initiatives in its Iron Ore business such as an approved project to install solar panels and a 500-megawatt hybrid renewable power project (Knaus and Morton, 2026). This paradox between climate commitment in the public space and internal decision-making process makes it a compelling example to subject to analysis of how the macro-environment influences marketing strategy.</w:t>
      </w:r>
      <w:r w:rsidR="007728AF">
        <w:t xml:space="preserve"> </w:t>
      </w:r>
      <w:r>
        <w:t>This report will use Kotler &amp; Keller's (2016) macro-environment framework to analyse two external actors, the natural environment and the political-regulatory environment that have the greatest influence on BHP's strategic marketing. It then uses innovation's growth matrix, developed by Ansoff (1957), to suggest a product development pathway based on emission verified commodities, which would give BHP a competitive advantage in the world's increasingly carbon conscious markets. The report ends with an evaluation of the use of AI tools throughout the research and writing process.</w:t>
      </w:r>
    </w:p>
    <w:p w14:paraId="36491E44" w14:textId="7831CFC8" w:rsidR="00244943" w:rsidRDefault="00000000" w:rsidP="001D035C">
      <w:pPr>
        <w:pStyle w:val="Heading1"/>
      </w:pPr>
      <w:bookmarkStart w:id="1" w:name="_Toc235729019"/>
      <w:r>
        <w:t>2. Marketing Environment Analysis</w:t>
      </w:r>
      <w:bookmarkEnd w:id="1"/>
    </w:p>
    <w:p w14:paraId="7CDBC532" w14:textId="28FA4B14" w:rsidR="00C41BB5" w:rsidRDefault="00C41BB5" w:rsidP="00C41BB5">
      <w:r w:rsidRPr="00C41BB5">
        <w:t>According to Kotler and Keller (2016, p.78), macro-environment is the collection of broad societal forces that impact all actors in the microenvironment, including demographic, economic, natural, technological, political-legal, and socio-cultural forces. The natural and the political-regulatory context is especially important to BHP Billiton's resource extraction business due to its dual effect of restricting their operations while also setting the boundaries for their future expansion (Porter &amp; Kramer, 2011). Figure 1 below summarises the dynamics of these two players and BHP's strategy.</w:t>
      </w:r>
    </w:p>
    <w:p w14:paraId="5768DA40" w14:textId="77777777" w:rsidR="00244943" w:rsidRDefault="00000000">
      <w:pPr>
        <w:spacing w:before="200" w:after="200"/>
        <w:jc w:val="center"/>
      </w:pPr>
      <w:r>
        <w:rPr>
          <w:noProof/>
        </w:rPr>
        <w:drawing>
          <wp:inline distT="0" distB="0" distL="0" distR="0" wp14:anchorId="42785D45" wp14:editId="67C2283E">
            <wp:extent cx="5524500" cy="3032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3032760"/>
                    </a:xfrm>
                    <a:prstGeom prst="rect">
                      <a:avLst/>
                    </a:prstGeom>
                  </pic:spPr>
                </pic:pic>
              </a:graphicData>
            </a:graphic>
          </wp:inline>
        </w:drawing>
      </w:r>
    </w:p>
    <w:p w14:paraId="62D33951" w14:textId="03EB7863" w:rsidR="00A703F7" w:rsidRPr="00A703F7" w:rsidRDefault="00A703F7">
      <w:pPr>
        <w:spacing w:before="200" w:after="200"/>
        <w:jc w:val="center"/>
        <w:rPr>
          <w:b/>
          <w:bCs/>
        </w:rPr>
      </w:pPr>
      <w:r w:rsidRPr="00A703F7">
        <w:rPr>
          <w:b/>
          <w:bCs/>
        </w:rPr>
        <w:t>Figure 1: BHP Marco-Environment : Key External Factors</w:t>
      </w:r>
    </w:p>
    <w:p w14:paraId="6C89A183" w14:textId="77777777" w:rsidR="00244943" w:rsidRDefault="00000000" w:rsidP="00DE3189">
      <w:pPr>
        <w:pStyle w:val="Heading2"/>
      </w:pPr>
      <w:bookmarkStart w:id="2" w:name="_Toc235729020"/>
      <w:r>
        <w:t>2.1 The Natural Environment</w:t>
      </w:r>
      <w:bookmarkEnd w:id="2"/>
    </w:p>
    <w:p w14:paraId="09321766" w14:textId="77777777" w:rsidR="00C41BB5" w:rsidRDefault="00C41BB5" w:rsidP="00C41BB5">
      <w:r>
        <w:t>The natural environment includes physical resources, ecological systems, and climate found in the world in which companies function (Kotler and Keller, 2016). This is BHP's direct emissions, its reliance on finite natural resources and the physical risks climate change poses to mining operations.</w:t>
      </w:r>
    </w:p>
    <w:p w14:paraId="61B85BF3" w14:textId="7F3612EF" w:rsidR="00C41BB5" w:rsidRDefault="00C41BB5" w:rsidP="00C41BB5">
      <w:r>
        <w:t>Approximately ten million tonnes of CO₂-equivalent emissions are generated by BHP through its operations (Scope 1 and 2 emissions combined) and approximately forty times that amount of CO₂-equivalent emissions are generated by BHP's customers when they process and burn BHP products (Scope 3 downstream emissions) (Cantilever Future Solutions 2026). This is the core issue of BHP's climate challenge. The company said that it would cut operational emissions by 36 per cent from its FY2020 baseline by mid-2025, while 70 per cent of its total electricity use will come from renewables (</w:t>
      </w:r>
      <w:r w:rsidR="00973E6F">
        <w:t>Miningmx, 2026</w:t>
      </w:r>
      <w:r>
        <w:t>). Through a power purchase agreement (PPA), its Escondida and Spence copper mines in Chile have switched to 100 per cent renewable electricity (BHP, 2024a).</w:t>
      </w:r>
    </w:p>
    <w:p w14:paraId="78AC6672" w14:textId="58526EA1" w:rsidR="00C41BB5" w:rsidRDefault="00C41BB5" w:rsidP="00C41BB5">
      <w:r>
        <w:t>The documents, which were leaked, are far more critical about BHP's biggest unit, however. Planned decarbonisation projects for the Pilbara iron ore operations, many of which are not grid connected and dependent on haul trucks and locomotives powered by diesel, were delayed or dropped. Shortly after funding approval was given in 2023 for a board-approved 50-megawatt solar farm and 20-megawatt battery project at the Jimblebar mine, the project was shelved, while a transformative 500-megawatt hybrid renewable project was denied funding until at least 2031, the originally targeted start date (Knaus and Morton, 2026; Renew Economy, 2026). The need for renewables had "waned" and the likelihood of success of the BHP's net zero plan for the Pilbara was "low," an internal BHP document from May 2025 said (Chin@Strategy, 2026). Perhaps most crucially, the same documents showed BHP's emissions will increase from FY2025 to FY2030 (Renew Economy, 2026), a stark stance on emissions and a direct challenge to the perception of progressive decarbonisation in its public sustainability reporting.</w:t>
      </w:r>
      <w:r w:rsidR="00591462">
        <w:t xml:space="preserve"> </w:t>
      </w:r>
      <w:r w:rsidR="00591462" w:rsidRPr="00591462">
        <w:t>This trust deficit can prove to be a serious reputational issue. Grant (2021) states that environmental performance can be seen as one of the most important factors of brand equity in industries that are stakeholder driven. BHP's leaked documents also confirmed that such a lack of decarbonisation risked its ‘licence to operate' (Knaus and Morton, 2026): where legitimacy, power and urgency intersect, the pressure to respond to espoused values in terms of operational reality becomes irresistible, in line with Crane and Matten's (2020) stakeholder salience framework.</w:t>
      </w:r>
    </w:p>
    <w:p w14:paraId="1E5E125C" w14:textId="77777777" w:rsidR="00244943" w:rsidRDefault="00000000" w:rsidP="00DE3189">
      <w:pPr>
        <w:pStyle w:val="Heading2"/>
      </w:pPr>
      <w:bookmarkStart w:id="3" w:name="_Toc235729021"/>
      <w:r>
        <w:t>2.2 The Political and Regulatory Environment</w:t>
      </w:r>
      <w:bookmarkEnd w:id="3"/>
    </w:p>
    <w:p w14:paraId="6933EDE7" w14:textId="77777777" w:rsidR="00C41BB5" w:rsidRDefault="00C41BB5" w:rsidP="00C41BB5">
      <w:r>
        <w:t>Political-regulatory environment refers to the policies, laws and institutions that limit or facilitate business activities (Kotler and Keller, 2016). BHP works in several regulatory jurisdictions, but three mechanisms create the most severe constraints on the marketing and strategic positioning of BHP.</w:t>
      </w:r>
    </w:p>
    <w:p w14:paraId="083AB121" w14:textId="4010B713" w:rsidR="00C41BB5" w:rsidRDefault="00C41BB5" w:rsidP="00C41BB5">
      <w:r w:rsidRPr="00ED77A3">
        <w:rPr>
          <w:b/>
          <w:bCs/>
        </w:rPr>
        <w:t>Australia's Safeguard Mechanism is the most immediate domestic constraint</w:t>
      </w:r>
      <w:r>
        <w:t>. It is reformed in 2023 and will take about 200 major industrial facilities such as BHP's mines to lower their emissions intensity by 4.9 per cent per year until 2030 (Cantilever Future Solutions 2026). Any site with emissions exceeding 100,000 tonnes of CO₂-equivalent must reduce its emissions or buy Australian Carbon Credit Units (ACCUs) to offset the emissions (BHP, 2024b). BHP reported that it was on track to meet its FY2025 Safeguard targets by reducing its emissions by more than one-quarter (25 per cent) compared to its baseline emissions in FY2019, but in the previous financial year, over half of BHP's highest-polluting facilities were operating above their emissions baselines, and the company had to surrender about 225,000 carbon credits, at a cost of under A$9 million (Chin@Strategy, 2026). Additionally, the Australian Sustainability Reporting Standards (ASRS) will be mandatory for Group 1 entities, such as BHP, from January 2025, which will provide a new level of transparency around the carbon footprint of mining products in Australia (Cantilever Future Solutions, 2026).</w:t>
      </w:r>
    </w:p>
    <w:p w14:paraId="4EA9FC47" w14:textId="7B77B379" w:rsidR="00C41BB5" w:rsidRDefault="00ED77A3" w:rsidP="00C41BB5">
      <w:r>
        <w:t>The</w:t>
      </w:r>
      <w:r w:rsidR="00C41BB5">
        <w:t xml:space="preserve"> definitive phase of the European Union (EU) Carbon Border Adjustment Mechanism (CBAM) began on 1 January 2026 and will include the imports of iron and steel, aluminium, cement, electricity, hydrogen and fertilisers. CBAM is a market-shaping measure for BHP, which is a key supplier to European steel producers, as these steel producers will be more inclined to purchase iron ore from BHP that produces fewer emissions because of its lower CBAM liabilities. For BHP, CBAM will therefore be a force to contend with, with a preference by steel producers to buy lower emitting ore to reduce their CBAM liability, thus creating a price advantage for verified low carbon raw materials (World Economic Forum, 2025). The UK's CBAM will be implemented from 2027 and Canada, India and the US are looking into similar measures (CarbonChain, 2026), and this is likely to bring a convergence in carbon adjusted trade, which will significantly change commodity markets.</w:t>
      </w:r>
    </w:p>
    <w:p w14:paraId="3BC24D22" w14:textId="319AF012" w:rsidR="002D6135" w:rsidRDefault="00C41BB5" w:rsidP="00C41BB5">
      <w:r>
        <w:t xml:space="preserve">These mechanisms are embedded in the overarching framework of </w:t>
      </w:r>
      <w:r w:rsidRPr="00ED77A3">
        <w:rPr>
          <w:b/>
          <w:bCs/>
        </w:rPr>
        <w:t>international climate commitments</w:t>
      </w:r>
      <w:r>
        <w:t>. Australia is also legislated to cut its GHG emissions by 43 per cent by 2030 and become a net zero by 2050 (Australian Government 2022). BHP has set its interim goal at 30 per cent reduction in operational emissions from their FY2020 baseline by FY2030 and their target of net zero emissions is by 2050 (BHP, 2024a). But the public promises made by BHP and how the company makes decisions internally — especially the postponement of the investment in the Pilbara — shows that it may be complying rather than leading the way in environmental matters. This tension is exactly where marketing strategy comes in, as marketing can be a way for companies to proactively rather than reactively fit in with regulatory environments and turn compliance expenses into areas of competitive differentiation (Porter and van der Linde, 1995).</w:t>
      </w:r>
    </w:p>
    <w:p w14:paraId="7A527148" w14:textId="5B6E1F36" w:rsidR="00244943" w:rsidRDefault="00000000" w:rsidP="002E7649">
      <w:pPr>
        <w:pStyle w:val="Heading1"/>
      </w:pPr>
      <w:bookmarkStart w:id="4" w:name="_Toc235729022"/>
      <w:r>
        <w:t>3. Strategic Growth and Competitive Positioning</w:t>
      </w:r>
      <w:bookmarkEnd w:id="4"/>
    </w:p>
    <w:p w14:paraId="47D0DACE" w14:textId="77777777" w:rsidR="00244943" w:rsidRDefault="00000000" w:rsidP="00DE3189">
      <w:pPr>
        <w:pStyle w:val="Heading2"/>
      </w:pPr>
      <w:bookmarkStart w:id="5" w:name="_Toc235729023"/>
      <w:r>
        <w:t>3.1 Application of the Ansoff Matrix</w:t>
      </w:r>
      <w:bookmarkEnd w:id="5"/>
    </w:p>
    <w:p w14:paraId="3B44999E" w14:textId="60451BC2" w:rsidR="002E6BF3" w:rsidRDefault="002E6BF3" w:rsidP="002E6BF3">
      <w:r w:rsidRPr="002E6BF3">
        <w:t>Ansoff's (1957) product-market growth matrix gives a basic framework to consider strategic expansion opportunities in terms of two dimensions—product novelty and market novelty. The matrix is applied to BHP's existing strategic situation in Figure 2, where each quadrant is correlated to an action.</w:t>
      </w:r>
    </w:p>
    <w:p w14:paraId="321A76F3" w14:textId="77777777" w:rsidR="00244943" w:rsidRDefault="00000000">
      <w:pPr>
        <w:spacing w:before="200" w:after="200"/>
        <w:jc w:val="center"/>
      </w:pPr>
      <w:r>
        <w:rPr>
          <w:noProof/>
        </w:rPr>
        <w:drawing>
          <wp:inline distT="0" distB="0" distL="0" distR="0" wp14:anchorId="561C517A" wp14:editId="052619F8">
            <wp:extent cx="4792980" cy="2941320"/>
            <wp:effectExtent l="0" t="0" r="7620" b="0"/>
            <wp:docPr id="1110756721" name="Picture 1110756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792980" cy="2941320"/>
                    </a:xfrm>
                    <a:prstGeom prst="rect">
                      <a:avLst/>
                    </a:prstGeom>
                  </pic:spPr>
                </pic:pic>
              </a:graphicData>
            </a:graphic>
          </wp:inline>
        </w:drawing>
      </w:r>
    </w:p>
    <w:p w14:paraId="1374F4B3" w14:textId="5A4002C8" w:rsidR="00A703F7" w:rsidRDefault="00A703F7">
      <w:pPr>
        <w:spacing w:before="200" w:after="200"/>
        <w:jc w:val="center"/>
        <w:rPr>
          <w:b/>
          <w:bCs/>
        </w:rPr>
      </w:pPr>
      <w:r w:rsidRPr="006F1CC4">
        <w:rPr>
          <w:b/>
          <w:bCs/>
        </w:rPr>
        <w:t>Figure 2: Ansoff  Matric Applied to BHP Group</w:t>
      </w:r>
    </w:p>
    <w:p w14:paraId="168EC168" w14:textId="20FF3E48" w:rsidR="002E6BF3" w:rsidRPr="006F1CC4" w:rsidRDefault="002E6BF3" w:rsidP="002E6BF3">
      <w:r w:rsidRPr="002E6BF3">
        <w:t xml:space="preserve">BHP is actively pursuing elements in all four quadrants. Its current iron ore production of around 265 million tonnes from its Western Australian operations in FY26 and the AI-powered ore optimisation which boosted production by almost one million tonnes in 2025 are proof of its </w:t>
      </w:r>
      <w:r w:rsidRPr="002E6BF3">
        <w:rPr>
          <w:b/>
          <w:bCs/>
        </w:rPr>
        <w:t>market penetration</w:t>
      </w:r>
      <w:r w:rsidRPr="002E6BF3">
        <w:t xml:space="preserve"> (GMK Center, 2026; BHP, 2026a). </w:t>
      </w:r>
      <w:r>
        <w:t xml:space="preserve">Market Development is represented by </w:t>
      </w:r>
      <w:r w:rsidRPr="002E6BF3">
        <w:t>The Jansen potash project in Saskatchewan, Canada is a US$10.6 billion development for first production by mid-2027, which will introduce BHP into the agricultural fertilisers market for the first time (BHP, 2026c). The copper-gold joint venture with Lundin Mining (LPE, Argentina), which was approved by regulation in June 2026, is a geographic market development strategy for copper (BHP, 2026d). Meanwhile, the company's decision to halt its Nickel West operations, which are up for review by February 2027 for potential divestment, marks a shift from a market the company previously identified as a key component in its transition to an electric vehicle (BHP, 2025).</w:t>
      </w:r>
    </w:p>
    <w:p w14:paraId="362D27FC" w14:textId="77777777" w:rsidR="00244943" w:rsidRDefault="00000000" w:rsidP="00DE3189">
      <w:pPr>
        <w:pStyle w:val="Heading2"/>
      </w:pPr>
      <w:bookmarkStart w:id="6" w:name="_Toc235729024"/>
      <w:r>
        <w:t>3.2 Achieving Competitive Advantage Through Lower-Carbon Transition</w:t>
      </w:r>
      <w:bookmarkEnd w:id="6"/>
    </w:p>
    <w:p w14:paraId="6C8D693D" w14:textId="77777777" w:rsidR="002E6BF3" w:rsidRDefault="002E6BF3" w:rsidP="002E6BF3">
      <w:r>
        <w:t>This report suggests BHP should focus on a product development strategy, driven by the development and certification of emissions verified commodity-product offerings for its current customer base. This recommendation naturally follows from the macro-environmental analysis: the joining of the EU CBAM, the Safeguard Mechanism in Australia, and the requirement for ASRS disclosure will result in a structural market premium for commodity with verified, lower carbon intensity.</w:t>
      </w:r>
    </w:p>
    <w:p w14:paraId="080B2B48" w14:textId="3A2D1EF8" w:rsidR="002E6BF3" w:rsidRDefault="002E6BF3" w:rsidP="002E6BF3">
      <w:r>
        <w:t xml:space="preserve">In particular, this strategy would be based on three points: First, BHP should build a certified "green iron ore" product line that supplies iron ore feedstock to European and Asian steel producers which can help them lower their emissions and the CBAM costs. There is a sound basis for such differentiation in BHP's existing 36 per cent emissions reduction and 70 per cent renewable electricity penetration, if BHP can change the plans that are currently being delayed at its Pilbara mines. Second, BHP should use its role as the world's largest copper producer (with production expected to reach around 2.5 million tonnes per annum by FY2035 </w:t>
      </w:r>
      <w:r w:rsidR="00973E6F">
        <w:t>(</w:t>
      </w:r>
      <w:r>
        <w:t>BHP, 2026a) to help develop and launch independently certified "green copper" for supply chains for the electrification industry, where BHP's buyers are increasingly calling for transparency in their supply chains regarding emissions. Thirdly, the Jansen potash project, which will generate about 50 per cent less CO₂ emissions per tonne of product than the average Saskatchewan mine (Mining.com 2025), should be marketed by launch as a low carbon agricultural product, and have first-mover advantage in a market where carbon credentials will become a primary differentiator.</w:t>
      </w:r>
    </w:p>
    <w:p w14:paraId="2F882A6C" w14:textId="77777777" w:rsidR="002E6BF3" w:rsidRDefault="002E6BF3" w:rsidP="002E6BF3">
      <w:r>
        <w:t>This is in line with the Porter and van der Linde (1995) perspective on innovation-based environmental regulation that suggests that appropriately structured environmental policies can spur innovation and reduce compliance costs or increase the value of the product, thus offsetting the compliance costs. This is also corroborated by BHP's resource-based view of its company, which includes world class tier-one assets, existing renewable energy contracts, and scale (Barney, 1991): Competitors like Rio Tinto and Glencore have seen a decline in decarbonisation investment, and BHP's blend of world-class tier-one assets, established renewable energy contracts and scale is not easily replicable. But, if it's to be a competitive advantage, it must be believable. The “say-do” disconnect detailed in the BHP files is a critical strategic dilemma as those stakeholders who suspect greenwashing are likely to impose reputational, regulatory and financial penalties which will undermine any first-mover advantage (Lyon and Montgomery, 2015).</w:t>
      </w:r>
    </w:p>
    <w:p w14:paraId="0A972D75" w14:textId="15D02CBB" w:rsidR="002E6BF3" w:rsidRDefault="002E6BF3" w:rsidP="002E6BF3">
      <w:r>
        <w:t>Ansoff framework has its limitations as recognized by a critical evaluation of the framework. It is assumed that there are clear divisions between existing and new products and markets in the matrix, but the green commodity strategy developed by BHP is somewhere in between; the product (iron ore, copper concentrate) is the same, while the value proposition (emissions certification, CBAM compliance) is new. To address how the firm reconfigures its resources to form new value, without altering the type of product itself, Lynch (2021) and Johnson et al. (2020) recommend combining Ansoff with dynamic capability theory (Teece, 2007). BHP's dynamic capability is its ability to credibly and quickly decarbonise its operations, and the leaked documents suggest that is the area in which BHP is currently lacking.</w:t>
      </w:r>
    </w:p>
    <w:p w14:paraId="4DB4285E" w14:textId="4125B3E4" w:rsidR="00244943" w:rsidRDefault="00000000" w:rsidP="002E7649">
      <w:pPr>
        <w:pStyle w:val="Heading1"/>
      </w:pPr>
      <w:bookmarkStart w:id="7" w:name="_Toc235729025"/>
      <w:r>
        <w:t>4. Critical Reflection on AI Usage</w:t>
      </w:r>
      <w:bookmarkEnd w:id="7"/>
    </w:p>
    <w:p w14:paraId="76264E54" w14:textId="30A5AD94" w:rsidR="00B33440" w:rsidRDefault="00000000" w:rsidP="00B33440">
      <w:pPr>
        <w:pStyle w:val="Heading2"/>
      </w:pPr>
      <w:bookmarkStart w:id="8" w:name="_Toc235729026"/>
      <w:r>
        <w:t>4.1 Tool Disclosure</w:t>
      </w:r>
      <w:bookmarkEnd w:id="8"/>
    </w:p>
    <w:p w14:paraId="3A75D97B" w14:textId="19B85F32" w:rsidR="00591462" w:rsidRDefault="00591462" w:rsidP="00591462">
      <w:r w:rsidRPr="00591462">
        <w:t>Two AI tools used within the scope allowed by the assessment specification. Microsoft Copilot assisted research by summarizing recent news articles on BHP's decarbonisation strategy, identifying regulatory developments, including the EU CBAM timeline, and finding scholarly sources, such as Ansoff (1957) and Porter and van der Linde (1995). Grammatically, syntactically and in terms of readability, the texts were checked with Grammarly. In compliance with the module's use of AI, the structure, argument and written prose of the report were not produced by AI.</w:t>
      </w:r>
    </w:p>
    <w:p w14:paraId="0564F1C6" w14:textId="73BD0A29" w:rsidR="00B33440" w:rsidRDefault="00B13877" w:rsidP="00B13877">
      <w:pPr>
        <w:pStyle w:val="Heading2"/>
      </w:pPr>
      <w:bookmarkStart w:id="9" w:name="_Toc235729027"/>
      <w:r>
        <w:t xml:space="preserve">4.2 </w:t>
      </w:r>
      <w:r w:rsidR="00B33440">
        <w:t>Critical Evaluation of AI Output</w:t>
      </w:r>
      <w:bookmarkEnd w:id="9"/>
    </w:p>
    <w:p w14:paraId="0C9BE571" w14:textId="77777777" w:rsidR="00B33440" w:rsidRDefault="00B33440" w:rsidP="00B33440">
      <w:r>
        <w:t>AI-created research summaries necessitated a thorough review with the primary sources. There were 3 specific problems identified and addressed. First, all the emissions reduction that BHP initially announced was a companywide target that didn't link to the leaked internal documents that showed they were deferring investments (Knaus and Morton, 2026). This gap in the analysis was only identified through a compilation and cross-referencing with investigation done by the Guardian for which the analysis in Section 2.1 is undertaken. Secondly, the AI tool mis-calculated BHP's Scope 1 and Scope 3 emission data, which are operationally and strategically very different, Scope 3 is about 40 times the size (from Cantilever Future Solutions, 2026). It was necessary to correct this manually. Third, it was a factual hallucination that BHP had suggested a reference to a “net zero by 2030”. In fact, BHP’s interim target is to reduce its footprint by 30 per cent for FY2030, with a ‘net zero’ goal set for 2050 (BHP, 2024a). The content of each output has then been triangulated against at least two independent sources prior to being included, as would be expected at Level 7 (FHEQ).</w:t>
      </w:r>
    </w:p>
    <w:p w14:paraId="33CD7AB3" w14:textId="68371FF5" w:rsidR="00B33440" w:rsidRDefault="00B13877" w:rsidP="00B13877">
      <w:pPr>
        <w:pStyle w:val="Heading2"/>
      </w:pPr>
      <w:bookmarkStart w:id="10" w:name="_Toc235729028"/>
      <w:r>
        <w:t xml:space="preserve">4.3 </w:t>
      </w:r>
      <w:r w:rsidR="00B33440">
        <w:t>Contribution Analysis</w:t>
      </w:r>
      <w:bookmarkEnd w:id="10"/>
    </w:p>
    <w:p w14:paraId="48A22146" w14:textId="37682688" w:rsidR="00591462" w:rsidRDefault="00591462" w:rsidP="00591462">
      <w:r w:rsidRPr="00591462">
        <w:t>Around 15% of the intended submission is based on AI-supported research (identifying and summarising content from sources, then checking and incorporating into the author's argumentation). The remaining 85 per cent is original prose, critical analysis and theoretical application. These report structure, the selection of actor in the macro-environment, the recommendation for product development according to Ansoff, the critique of the dynamic capability of the firm (Teece, 2007) and the risk analysis of greenwashing (Lyon and Montgomery, 2015) have been constructed independently.</w:t>
      </w:r>
    </w:p>
    <w:p w14:paraId="12A58FC8" w14:textId="638664EC" w:rsidR="00B33440" w:rsidRDefault="00B13877" w:rsidP="00B13877">
      <w:pPr>
        <w:pStyle w:val="Heading2"/>
      </w:pPr>
      <w:bookmarkStart w:id="11" w:name="_Toc235729029"/>
      <w:r>
        <w:t xml:space="preserve">4.4 </w:t>
      </w:r>
      <w:r w:rsidR="00B33440">
        <w:t>Ethical and Professional Reflection</w:t>
      </w:r>
      <w:bookmarkEnd w:id="11"/>
    </w:p>
    <w:p w14:paraId="3EC1C642" w14:textId="03B68EBF" w:rsidR="00B33440" w:rsidRDefault="00B33440" w:rsidP="00B33440">
      <w:r>
        <w:t xml:space="preserve">There are </w:t>
      </w:r>
      <w:r w:rsidR="00B13877">
        <w:t>two</w:t>
      </w:r>
      <w:r>
        <w:t xml:space="preserve"> ethical issues about using AI in marketing analysis. The first is transparency: UWTSD's policy on academic honesty, which states that if students utilize AI to increase the efficiency of their work, they must disclose it, so that an assessor can determine whether the content is the product of their own intellectual effort or AI. This is a reflection as part of that commitment. The second is 'professional relevance' because, as AI becomes more and more widely used by marketing practitioners for competitor research, environmental scanning, and generation of consumer insights (Brynjolfsson and McAfee, 2017), the ability to critically analyse AI outputs, rather than simply accept them, is now a key professional skill. The danger is not that people are using AI, it's that they are relying on it unreflectively and taking the easy route of fluency over rigour. This assignment has highlighted the fact that AI should be used to help speed up research, rather than replace analytical judgement needed to differentiate between good marketing strategy and a superficial description.</w:t>
      </w:r>
    </w:p>
    <w:p w14:paraId="1A530358" w14:textId="33F40DA7" w:rsidR="004066F4" w:rsidRDefault="00591462" w:rsidP="004066F4">
      <w:pPr>
        <w:pStyle w:val="Heading1"/>
      </w:pPr>
      <w:bookmarkStart w:id="12" w:name="_Toc235729030"/>
      <w:r>
        <w:t xml:space="preserve">5 </w:t>
      </w:r>
      <w:r w:rsidR="004066F4">
        <w:t>Conclusion</w:t>
      </w:r>
      <w:bookmarkEnd w:id="12"/>
    </w:p>
    <w:p w14:paraId="56F7A3E2" w14:textId="46BB8FBD" w:rsidR="004066F4" w:rsidRDefault="004066F4" w:rsidP="004066F4">
      <w:r>
        <w:t>This report has highlighted two significant macro-environmental dynamics that BHP Group is exposed to: increasing pressures on the natural environment from its large carbon footprint; and a constricting political-regulatory environment characterized by Australia's Safeguard Mechanism, the EU CBAM and the compulsory inclusion of climate disclosure provisions. The leaked "BHP files" show a huge credibility gap between the company's publicly announced decarbonisation commitments and its internal decision making processes, posing a major strategic threat to its licence to operate and brand equity. Also, this report proposes a product development approach based on the use of the Ansoff growth matrix that seeks to differentiate BHP through the production of emissions-verified commodities (green iron ore, certified copper, and low-carbon potash). But as the dynamic capabilities analysis shows, it is subject to credible execution. BHP must not be accused of greenwashing to minimise the risk of losing the first-mover advantage, otherwise stakeholders are unlikely to trust its intentions.</w:t>
      </w:r>
    </w:p>
    <w:p w14:paraId="2C3E5AAE" w14:textId="77777777" w:rsidR="0042515E" w:rsidRDefault="0042515E" w:rsidP="004066F4"/>
    <w:p w14:paraId="503A2DC0" w14:textId="4F04EACE" w:rsidR="00244943" w:rsidRDefault="00591462" w:rsidP="00891795">
      <w:pPr>
        <w:pStyle w:val="Heading1"/>
      </w:pPr>
      <w:bookmarkStart w:id="13" w:name="_Toc235729031"/>
      <w:r>
        <w:t>6 Reference List</w:t>
      </w:r>
      <w:bookmarkEnd w:id="13"/>
    </w:p>
    <w:p w14:paraId="5B80C5B6" w14:textId="77777777" w:rsidR="00891795" w:rsidRPr="00891795" w:rsidRDefault="00891795" w:rsidP="00891795">
      <w:pPr>
        <w:jc w:val="left"/>
      </w:pPr>
      <w:r w:rsidRPr="00891795">
        <w:t xml:space="preserve">Ansoff, H.I. (1957) 'Strategies for diversification', </w:t>
      </w:r>
      <w:r w:rsidRPr="00891795">
        <w:rPr>
          <w:i/>
          <w:iCs/>
        </w:rPr>
        <w:t>Harvard Business Review</w:t>
      </w:r>
      <w:r w:rsidRPr="00891795">
        <w:t>, 35(5), pp. 113–124.</w:t>
      </w:r>
    </w:p>
    <w:p w14:paraId="762DBAFE" w14:textId="77777777" w:rsidR="00891795" w:rsidRPr="00891795" w:rsidRDefault="00891795" w:rsidP="00891795">
      <w:pPr>
        <w:jc w:val="left"/>
      </w:pPr>
      <w:r w:rsidRPr="00891795">
        <w:t xml:space="preserve">Australian Government (2022) </w:t>
      </w:r>
      <w:r w:rsidRPr="00891795">
        <w:rPr>
          <w:i/>
          <w:iCs/>
        </w:rPr>
        <w:t>Climate Change Act 2022</w:t>
      </w:r>
      <w:r w:rsidRPr="00891795">
        <w:t xml:space="preserve"> (Cth). Available at: </w:t>
      </w:r>
      <w:hyperlink r:id="rId11" w:history="1">
        <w:r w:rsidRPr="00891795">
          <w:rPr>
            <w:rStyle w:val="Hyperlink"/>
            <w:color w:val="0D0D0D" w:themeColor="text1" w:themeTint="F2"/>
          </w:rPr>
          <w:t>https://www.legislation.gov.au/C2022A00037/latest</w:t>
        </w:r>
      </w:hyperlink>
      <w:r w:rsidRPr="00891795">
        <w:t xml:space="preserve"> (Accessed: 15 July 2026).</w:t>
      </w:r>
    </w:p>
    <w:p w14:paraId="536BA758" w14:textId="77777777" w:rsidR="00891795" w:rsidRPr="00891795" w:rsidRDefault="00891795" w:rsidP="00891795">
      <w:pPr>
        <w:jc w:val="left"/>
      </w:pPr>
      <w:r w:rsidRPr="00891795">
        <w:t xml:space="preserve">Barney, J.B. (1991) 'Firm resources and sustained competitive advantage', </w:t>
      </w:r>
      <w:r w:rsidRPr="00891795">
        <w:rPr>
          <w:i/>
          <w:iCs/>
        </w:rPr>
        <w:t>Journal of Management</w:t>
      </w:r>
      <w:r w:rsidRPr="00891795">
        <w:t>, 17(1), pp. 99–120.</w:t>
      </w:r>
    </w:p>
    <w:p w14:paraId="63FFCB96" w14:textId="77777777" w:rsidR="00891795" w:rsidRPr="00891795" w:rsidRDefault="00891795" w:rsidP="00891795">
      <w:pPr>
        <w:jc w:val="left"/>
      </w:pPr>
      <w:r w:rsidRPr="00891795">
        <w:t xml:space="preserve">BHP (2024a) </w:t>
      </w:r>
      <w:r w:rsidRPr="00891795">
        <w:rPr>
          <w:i/>
          <w:iCs/>
        </w:rPr>
        <w:t>Decarbonisation Roundtable.</w:t>
      </w:r>
      <w:r w:rsidRPr="00891795">
        <w:t xml:space="preserve"> Melbourne: BHP Group. Available at: </w:t>
      </w:r>
      <w:hyperlink r:id="rId12" w:history="1">
        <w:r w:rsidRPr="00891795">
          <w:rPr>
            <w:rStyle w:val="Hyperlink"/>
            <w:color w:val="0D0D0D" w:themeColor="text1" w:themeTint="F2"/>
          </w:rPr>
          <w:t>https://www.bhp.com/-/media/documents/media/reports-and-presentations/2024/260624_decarbonisationroundtable.pdf</w:t>
        </w:r>
      </w:hyperlink>
      <w:r w:rsidRPr="00891795">
        <w:t xml:space="preserve"> (Accessed: 8 July 2026).</w:t>
      </w:r>
    </w:p>
    <w:p w14:paraId="6732138E" w14:textId="77777777" w:rsidR="00891795" w:rsidRPr="00891795" w:rsidRDefault="00891795" w:rsidP="00891795">
      <w:pPr>
        <w:jc w:val="left"/>
      </w:pPr>
      <w:r w:rsidRPr="00891795">
        <w:t xml:space="preserve">BHP (2024b) </w:t>
      </w:r>
      <w:r w:rsidRPr="00891795">
        <w:rPr>
          <w:i/>
          <w:iCs/>
        </w:rPr>
        <w:t>Carbon Offsetting.</w:t>
      </w:r>
      <w:r w:rsidRPr="00891795">
        <w:t xml:space="preserve"> Melbourne: BHP Group. Available at: </w:t>
      </w:r>
      <w:hyperlink r:id="rId13" w:history="1">
        <w:r w:rsidRPr="00891795">
          <w:rPr>
            <w:rStyle w:val="Hyperlink"/>
            <w:color w:val="0D0D0D" w:themeColor="text1" w:themeTint="F2"/>
          </w:rPr>
          <w:t>https://www.bhp.com/sustainability/climate-change/carbon-offsetting</w:t>
        </w:r>
      </w:hyperlink>
      <w:r w:rsidRPr="00891795">
        <w:t xml:space="preserve"> (Accessed: 8 July 2026).</w:t>
      </w:r>
    </w:p>
    <w:p w14:paraId="0725152B" w14:textId="77777777" w:rsidR="00891795" w:rsidRPr="00891795" w:rsidRDefault="00891795" w:rsidP="00891795">
      <w:pPr>
        <w:jc w:val="left"/>
      </w:pPr>
      <w:r w:rsidRPr="00891795">
        <w:t xml:space="preserve">BHP (2025) </w:t>
      </w:r>
      <w:r w:rsidRPr="00891795">
        <w:rPr>
          <w:i/>
          <w:iCs/>
        </w:rPr>
        <w:t>Financial Results for the Year Ended 30 June 2025.</w:t>
      </w:r>
      <w:r w:rsidRPr="00891795">
        <w:t xml:space="preserve"> Melbourne: BHP Group. Available at: </w:t>
      </w:r>
      <w:hyperlink r:id="rId14" w:history="1">
        <w:r w:rsidRPr="00891795">
          <w:rPr>
            <w:rStyle w:val="Hyperlink"/>
            <w:color w:val="0D0D0D" w:themeColor="text1" w:themeTint="F2"/>
          </w:rPr>
          <w:t>https://www.bhp.com/investor-hub/reports-and-presentations/financial-results-operational-reviews</w:t>
        </w:r>
      </w:hyperlink>
      <w:r w:rsidRPr="00891795">
        <w:t xml:space="preserve"> (Accessed: 10 July 2026).</w:t>
      </w:r>
    </w:p>
    <w:p w14:paraId="34A9B949" w14:textId="77777777" w:rsidR="00891795" w:rsidRPr="00891795" w:rsidRDefault="00891795" w:rsidP="00891795">
      <w:pPr>
        <w:jc w:val="left"/>
      </w:pPr>
      <w:r w:rsidRPr="00891795">
        <w:t xml:space="preserve">BHP (2026a) </w:t>
      </w:r>
      <w:r w:rsidRPr="00891795">
        <w:rPr>
          <w:i/>
          <w:iCs/>
        </w:rPr>
        <w:t>Operational Review for the Half Year Ended 31 December 2025.</w:t>
      </w:r>
      <w:r w:rsidRPr="00891795">
        <w:t xml:space="preserve"> Melbourne: BHP Group. Available at: </w:t>
      </w:r>
      <w:hyperlink r:id="rId15" w:history="1">
        <w:r w:rsidRPr="00891795">
          <w:rPr>
            <w:rStyle w:val="Hyperlink"/>
            <w:color w:val="0D0D0D" w:themeColor="text1" w:themeTint="F2"/>
          </w:rPr>
          <w:t>https://www.bhp.com/news/media-centre/releases/2026/01/bhp-operational-review-for-the-half-year-ended-31-december-2025</w:t>
        </w:r>
      </w:hyperlink>
      <w:r w:rsidRPr="00891795">
        <w:t xml:space="preserve"> (Accessed: 9 July 2026).</w:t>
      </w:r>
    </w:p>
    <w:p w14:paraId="6E35F4DE" w14:textId="77777777" w:rsidR="00891795" w:rsidRPr="00891795" w:rsidRDefault="00891795" w:rsidP="00891795">
      <w:pPr>
        <w:jc w:val="left"/>
      </w:pPr>
      <w:r w:rsidRPr="00891795">
        <w:t xml:space="preserve">BHP (2026c) </w:t>
      </w:r>
      <w:r w:rsidRPr="00891795">
        <w:rPr>
          <w:i/>
          <w:iCs/>
        </w:rPr>
        <w:t>Update — Jansen Stage 2 Potash Project.</w:t>
      </w:r>
      <w:r w:rsidRPr="00891795">
        <w:t xml:space="preserve"> Melbourne: BHP Group. Available at: </w:t>
      </w:r>
      <w:hyperlink r:id="rId16" w:history="1">
        <w:r w:rsidRPr="00891795">
          <w:rPr>
            <w:rStyle w:val="Hyperlink"/>
            <w:color w:val="0D0D0D" w:themeColor="text1" w:themeTint="F2"/>
          </w:rPr>
          <w:t>https://www.bhp.com/news/media-centre/releases/2026/06/update---jansen-stage-2-potash-project</w:t>
        </w:r>
      </w:hyperlink>
      <w:r w:rsidRPr="00891795">
        <w:t xml:space="preserve"> (Accessed: 20 July 2026).</w:t>
      </w:r>
    </w:p>
    <w:p w14:paraId="26FFD034" w14:textId="77777777" w:rsidR="00891795" w:rsidRPr="00891795" w:rsidRDefault="00891795" w:rsidP="00891795">
      <w:pPr>
        <w:jc w:val="left"/>
      </w:pPr>
      <w:r w:rsidRPr="00891795">
        <w:t xml:space="preserve">BHP (2026d) </w:t>
      </w:r>
      <w:r w:rsidRPr="00891795">
        <w:rPr>
          <w:i/>
          <w:iCs/>
        </w:rPr>
        <w:t>Operational Review for the Year Ended 30 June 2026.</w:t>
      </w:r>
      <w:r w:rsidRPr="00891795">
        <w:t xml:space="preserve"> Melbourne: BHP Group. Available at: </w:t>
      </w:r>
      <w:hyperlink r:id="rId17" w:history="1">
        <w:r w:rsidRPr="00891795">
          <w:rPr>
            <w:rStyle w:val="Hyperlink"/>
            <w:color w:val="0D0D0D" w:themeColor="text1" w:themeTint="F2"/>
          </w:rPr>
          <w:t>https://www.bhp.com/news/media-centre/releases/2026/07/bhp-operational-review-for-the-year-ended-30-june-2026</w:t>
        </w:r>
      </w:hyperlink>
      <w:r w:rsidRPr="00891795">
        <w:t xml:space="preserve"> (Accessed: 20 July 2026).</w:t>
      </w:r>
    </w:p>
    <w:p w14:paraId="3EE30F91" w14:textId="77777777" w:rsidR="00891795" w:rsidRPr="00891795" w:rsidRDefault="00891795" w:rsidP="00891795">
      <w:pPr>
        <w:jc w:val="left"/>
      </w:pPr>
      <w:r w:rsidRPr="00891795">
        <w:t xml:space="preserve">Brynjolfsson, E. and McAfee, A. (2017) </w:t>
      </w:r>
      <w:r w:rsidRPr="00891795">
        <w:rPr>
          <w:i/>
          <w:iCs/>
        </w:rPr>
        <w:t>Machine, Platform, Crowd: Harnessing Our Digital Future.</w:t>
      </w:r>
      <w:r w:rsidRPr="00891795">
        <w:t xml:space="preserve"> New York: W.W. Norton.</w:t>
      </w:r>
    </w:p>
    <w:p w14:paraId="27D8FBC1" w14:textId="77777777" w:rsidR="00891795" w:rsidRPr="00891795" w:rsidRDefault="00891795" w:rsidP="00891795">
      <w:pPr>
        <w:jc w:val="left"/>
      </w:pPr>
      <w:r w:rsidRPr="00891795">
        <w:t xml:space="preserve">Cantilever Future Solutions (2026) 'Scope 3 emissions in mining: what Australian companies need to know in 2026', 21 April. Available at: </w:t>
      </w:r>
      <w:hyperlink r:id="rId18" w:history="1">
        <w:r w:rsidRPr="00891795">
          <w:rPr>
            <w:rStyle w:val="Hyperlink"/>
            <w:color w:val="0D0D0D" w:themeColor="text1" w:themeTint="F2"/>
          </w:rPr>
          <w:t>https://www.cantileverfs.com.au/scope-3-emissions-mining-australia</w:t>
        </w:r>
      </w:hyperlink>
      <w:r w:rsidRPr="00891795">
        <w:t xml:space="preserve"> (Accessed: 12 July 2026).</w:t>
      </w:r>
    </w:p>
    <w:p w14:paraId="4A3ED8EE" w14:textId="77777777" w:rsidR="00891795" w:rsidRDefault="00891795" w:rsidP="00891795">
      <w:pPr>
        <w:jc w:val="left"/>
      </w:pPr>
      <w:r w:rsidRPr="00891795">
        <w:t xml:space="preserve">CarbonChain (2026) </w:t>
      </w:r>
      <w:r w:rsidRPr="00891795">
        <w:rPr>
          <w:i/>
          <w:iCs/>
        </w:rPr>
        <w:t>How Will EU CBAM Affect Metal Trade?</w:t>
      </w:r>
      <w:r w:rsidRPr="00891795">
        <w:t xml:space="preserve"> Available at: </w:t>
      </w:r>
      <w:hyperlink r:id="rId19" w:history="1">
        <w:r w:rsidRPr="00891795">
          <w:rPr>
            <w:rStyle w:val="Hyperlink"/>
            <w:color w:val="0D0D0D" w:themeColor="text1" w:themeTint="F2"/>
          </w:rPr>
          <w:t>https://www.carbonchain.com/cbam/eu-cbam-metals</w:t>
        </w:r>
      </w:hyperlink>
      <w:r w:rsidRPr="00891795">
        <w:t xml:space="preserve"> (Accessed: 14 July 2026).</w:t>
      </w:r>
    </w:p>
    <w:p w14:paraId="23D5B4C3" w14:textId="6762819F" w:rsidR="006323CE" w:rsidRPr="006323CE" w:rsidRDefault="006323CE" w:rsidP="00891795">
      <w:pPr>
        <w:jc w:val="left"/>
      </w:pPr>
      <w:r w:rsidRPr="006323CE">
        <w:t xml:space="preserve">Chin@Strategy (2026) 'Revealed: the internal BHP memo that slammed the brakes on world's biggest miner's climate push', 25 May. Available at: </w:t>
      </w:r>
      <w:hyperlink r:id="rId20" w:history="1">
        <w:r w:rsidRPr="006323CE">
          <w:rPr>
            <w:rStyle w:val="Hyperlink"/>
            <w:color w:val="0D0D0D" w:themeColor="text1" w:themeTint="F2"/>
          </w:rPr>
          <w:t>https://www.chinastrategy.org/2026/05/25/revealed-the-internal-bhp-memo-that-slammed-the-brakes-on-worlds-biggest-miners-climate-push/</w:t>
        </w:r>
      </w:hyperlink>
      <w:r w:rsidRPr="006323CE">
        <w:t xml:space="preserve"> (Accessed: 6 July 2026).</w:t>
      </w:r>
    </w:p>
    <w:p w14:paraId="6814F6AE" w14:textId="77777777" w:rsidR="00891795" w:rsidRPr="00891795" w:rsidRDefault="00891795" w:rsidP="00891795">
      <w:pPr>
        <w:jc w:val="left"/>
      </w:pPr>
      <w:r w:rsidRPr="00891795">
        <w:t xml:space="preserve">Crane, A. and Matten, D. (2020) </w:t>
      </w:r>
      <w:r w:rsidRPr="00891795">
        <w:rPr>
          <w:i/>
          <w:iCs/>
        </w:rPr>
        <w:t>Business Ethics: Managing Corporate Citizenship and Sustainability in the Age of Globalization.</w:t>
      </w:r>
      <w:r w:rsidRPr="00891795">
        <w:t xml:space="preserve"> 5th edn. Oxford: Oxford University Press.</w:t>
      </w:r>
    </w:p>
    <w:p w14:paraId="7C657887" w14:textId="77777777" w:rsidR="00891795" w:rsidRDefault="00891795" w:rsidP="00891795">
      <w:pPr>
        <w:jc w:val="left"/>
      </w:pPr>
      <w:r w:rsidRPr="00891795">
        <w:t xml:space="preserve">Grant, R.M. (2021) </w:t>
      </w:r>
      <w:r w:rsidRPr="00891795">
        <w:rPr>
          <w:i/>
          <w:iCs/>
        </w:rPr>
        <w:t>Contemporary Strategy Analysis.</w:t>
      </w:r>
      <w:r w:rsidRPr="00891795">
        <w:t xml:space="preserve"> 11th edn. Hoboken: John Wiley &amp; Sons.</w:t>
      </w:r>
    </w:p>
    <w:p w14:paraId="43BCDE26" w14:textId="43D911D9" w:rsidR="00125163" w:rsidRPr="00125163" w:rsidRDefault="00125163" w:rsidP="00891795">
      <w:pPr>
        <w:jc w:val="left"/>
      </w:pPr>
      <w:r w:rsidRPr="00125163">
        <w:t xml:space="preserve">GMK Center (2026) 'BHP is scaling back decarbonization projects at its iron ore operations', 26 May. Available at: </w:t>
      </w:r>
      <w:hyperlink r:id="rId21" w:history="1">
        <w:r w:rsidRPr="00125163">
          <w:rPr>
            <w:rStyle w:val="Hyperlink"/>
            <w:color w:val="0D0D0D" w:themeColor="text1" w:themeTint="F2"/>
          </w:rPr>
          <w:t>https://gmk.center/en/news/bhp-is-scaling-back-decarbonization-projects-at-its-iron-ore-operations-media-reports/</w:t>
        </w:r>
      </w:hyperlink>
      <w:r w:rsidRPr="00125163">
        <w:t xml:space="preserve"> (Accessed: 10 July 2026).</w:t>
      </w:r>
    </w:p>
    <w:p w14:paraId="5BCDD1E5" w14:textId="77777777" w:rsidR="00891795" w:rsidRPr="00891795" w:rsidRDefault="00891795" w:rsidP="00891795">
      <w:pPr>
        <w:jc w:val="left"/>
      </w:pPr>
      <w:r w:rsidRPr="00891795">
        <w:t xml:space="preserve">Johnson, G., Whittington, R., Regnér, P., Angwin, D. and Scholes, K. (2020) </w:t>
      </w:r>
      <w:r w:rsidRPr="00891795">
        <w:rPr>
          <w:i/>
          <w:iCs/>
        </w:rPr>
        <w:t>Exploring Strategy: Text and Cases.</w:t>
      </w:r>
      <w:r w:rsidRPr="00891795">
        <w:t xml:space="preserve"> 12th edn. Harlow: Pearson.</w:t>
      </w:r>
    </w:p>
    <w:p w14:paraId="01FA2BF7" w14:textId="77777777" w:rsidR="00891795" w:rsidRPr="00891795" w:rsidRDefault="00891795" w:rsidP="00891795">
      <w:pPr>
        <w:jc w:val="left"/>
      </w:pPr>
      <w:r w:rsidRPr="00891795">
        <w:t xml:space="preserve">Knaus, C. and Morton, A. (2026) 'World's biggest miner BHP backtracks on climate action with key projects put on ice', </w:t>
      </w:r>
      <w:r w:rsidRPr="00891795">
        <w:rPr>
          <w:i/>
          <w:iCs/>
        </w:rPr>
        <w:t>The Guardian</w:t>
      </w:r>
      <w:r w:rsidRPr="00891795">
        <w:t xml:space="preserve">, 25 May. Available at: </w:t>
      </w:r>
      <w:hyperlink r:id="rId22" w:history="1">
        <w:r w:rsidRPr="00891795">
          <w:rPr>
            <w:rStyle w:val="Hyperlink"/>
            <w:color w:val="0D0D0D" w:themeColor="text1" w:themeTint="F2"/>
          </w:rPr>
          <w:t>https://www.theguardian.com/world/2026/may/25/bhp-files-leak-mining-company-climate-action</w:t>
        </w:r>
      </w:hyperlink>
      <w:r w:rsidRPr="00891795">
        <w:t xml:space="preserve"> (Accessed: 6 July 2026).</w:t>
      </w:r>
    </w:p>
    <w:p w14:paraId="75755A2D" w14:textId="77777777" w:rsidR="00891795" w:rsidRPr="00891795" w:rsidRDefault="00891795" w:rsidP="00891795">
      <w:pPr>
        <w:jc w:val="left"/>
      </w:pPr>
      <w:r w:rsidRPr="00891795">
        <w:t xml:space="preserve">Kotler, P. and Keller, K.L. (2016) </w:t>
      </w:r>
      <w:r w:rsidRPr="00891795">
        <w:rPr>
          <w:i/>
          <w:iCs/>
        </w:rPr>
        <w:t>Marketing Management.</w:t>
      </w:r>
      <w:r w:rsidRPr="00891795">
        <w:t xml:space="preserve"> 15th edn. Harlow: Pearson.</w:t>
      </w:r>
    </w:p>
    <w:p w14:paraId="32115A13" w14:textId="77777777" w:rsidR="00891795" w:rsidRPr="00891795" w:rsidRDefault="00891795" w:rsidP="00891795">
      <w:pPr>
        <w:jc w:val="left"/>
      </w:pPr>
      <w:r w:rsidRPr="00891795">
        <w:t xml:space="preserve">Lynch, R. (2021) </w:t>
      </w:r>
      <w:r w:rsidRPr="00891795">
        <w:rPr>
          <w:i/>
          <w:iCs/>
        </w:rPr>
        <w:t>Strategic Management.</w:t>
      </w:r>
      <w:r w:rsidRPr="00891795">
        <w:t xml:space="preserve"> London: Sage.</w:t>
      </w:r>
    </w:p>
    <w:p w14:paraId="5EB960B2" w14:textId="77777777" w:rsidR="00891795" w:rsidRPr="00891795" w:rsidRDefault="00891795" w:rsidP="00891795">
      <w:pPr>
        <w:jc w:val="left"/>
      </w:pPr>
      <w:r w:rsidRPr="00891795">
        <w:t xml:space="preserve">Lyon, T.P. and Montgomery, A.W. (2015) 'The means and end of greenwash', </w:t>
      </w:r>
      <w:r w:rsidRPr="00891795">
        <w:rPr>
          <w:i/>
          <w:iCs/>
        </w:rPr>
        <w:t>Organization &amp; Environment</w:t>
      </w:r>
      <w:r w:rsidRPr="00891795">
        <w:t>, 28(2), pp. 223–249.</w:t>
      </w:r>
    </w:p>
    <w:p w14:paraId="08BF65AF" w14:textId="77777777" w:rsidR="00891795" w:rsidRPr="00891795" w:rsidRDefault="00891795" w:rsidP="00891795">
      <w:pPr>
        <w:jc w:val="left"/>
      </w:pPr>
      <w:r w:rsidRPr="00891795">
        <w:t xml:space="preserve">Mining.com (2025) 'BHP bets on $10.6B Jansen mine to build potash footprint', 27 June. Available at: </w:t>
      </w:r>
      <w:hyperlink r:id="rId23" w:history="1">
        <w:r w:rsidRPr="00891795">
          <w:rPr>
            <w:rStyle w:val="Hyperlink"/>
            <w:color w:val="0D0D0D" w:themeColor="text1" w:themeTint="F2"/>
          </w:rPr>
          <w:t>https://www.mining.com/bhp-bets-on-10-6b-jansen-mine-to-build-potash-footprint/</w:t>
        </w:r>
      </w:hyperlink>
      <w:r w:rsidRPr="00891795">
        <w:t xml:space="preserve"> (Accessed: 11 July 2026).</w:t>
      </w:r>
    </w:p>
    <w:p w14:paraId="31AC95F5" w14:textId="77777777" w:rsidR="00891795" w:rsidRPr="00891795" w:rsidRDefault="00891795" w:rsidP="00891795">
      <w:pPr>
        <w:jc w:val="left"/>
      </w:pPr>
      <w:r w:rsidRPr="00891795">
        <w:t xml:space="preserve">Miningmx (2026) 'BHP scales back once critical decarbonisation plans', 28 May. Available at: </w:t>
      </w:r>
      <w:hyperlink r:id="rId24" w:history="1">
        <w:r w:rsidRPr="00891795">
          <w:rPr>
            <w:rStyle w:val="Hyperlink"/>
            <w:color w:val="0D0D0D" w:themeColor="text1" w:themeTint="F2"/>
          </w:rPr>
          <w:t>https://www.miningmx.com/news/markets/65423-bhp-scales-back-once-critical-decarbonisation-plans/</w:t>
        </w:r>
      </w:hyperlink>
      <w:r w:rsidRPr="00891795">
        <w:t xml:space="preserve"> (Accessed: 6 July 2026).</w:t>
      </w:r>
    </w:p>
    <w:p w14:paraId="4501B85D" w14:textId="77777777" w:rsidR="00891795" w:rsidRPr="00891795" w:rsidRDefault="00891795" w:rsidP="00891795">
      <w:pPr>
        <w:jc w:val="left"/>
      </w:pPr>
      <w:r w:rsidRPr="00891795">
        <w:t xml:space="preserve">Porter, M.E. and Kramer, M.R. (2011) 'Creating shared value', </w:t>
      </w:r>
      <w:r w:rsidRPr="00891795">
        <w:rPr>
          <w:i/>
          <w:iCs/>
        </w:rPr>
        <w:t>Harvard Business Review</w:t>
      </w:r>
      <w:r w:rsidRPr="00891795">
        <w:t>, 89(1/2), pp. 62–77.</w:t>
      </w:r>
    </w:p>
    <w:p w14:paraId="6E0A91E3" w14:textId="77777777" w:rsidR="00891795" w:rsidRPr="00891795" w:rsidRDefault="00891795" w:rsidP="00891795">
      <w:pPr>
        <w:jc w:val="left"/>
      </w:pPr>
      <w:r w:rsidRPr="00891795">
        <w:t xml:space="preserve">Porter, M.E. and van der Linde, C. (1995) 'Toward a new conception of the environment-competitiveness relationship', </w:t>
      </w:r>
      <w:r w:rsidRPr="00891795">
        <w:rPr>
          <w:i/>
          <w:iCs/>
        </w:rPr>
        <w:t>Journal of Economic Perspectives</w:t>
      </w:r>
      <w:r w:rsidRPr="00891795">
        <w:t>, 9(4), pp. 97–118.</w:t>
      </w:r>
    </w:p>
    <w:p w14:paraId="268BA3F5" w14:textId="77777777" w:rsidR="00891795" w:rsidRPr="00891795" w:rsidRDefault="00891795" w:rsidP="00891795">
      <w:pPr>
        <w:jc w:val="left"/>
      </w:pPr>
      <w:r w:rsidRPr="00891795">
        <w:t xml:space="preserve">Renew Economy (2026) 'Up is not down: BHP in spotlight as epic decarbonisation walk-back revealed', 26 May. Available at: </w:t>
      </w:r>
      <w:hyperlink r:id="rId25" w:history="1">
        <w:r w:rsidRPr="00891795">
          <w:rPr>
            <w:rStyle w:val="Hyperlink"/>
            <w:color w:val="0D0D0D" w:themeColor="text1" w:themeTint="F2"/>
          </w:rPr>
          <w:t>https://reneweconomy.com.au/up-is-not-down-bhp-in-spotlight-as-epic-decarbonisation-walk-back-revealed/</w:t>
        </w:r>
      </w:hyperlink>
      <w:r w:rsidRPr="00891795">
        <w:t xml:space="preserve"> (Accessed: 6 July 2026).</w:t>
      </w:r>
    </w:p>
    <w:p w14:paraId="561DB675" w14:textId="77777777" w:rsidR="00891795" w:rsidRPr="00891795" w:rsidRDefault="00891795" w:rsidP="00891795">
      <w:pPr>
        <w:jc w:val="left"/>
      </w:pPr>
      <w:r w:rsidRPr="00891795">
        <w:t xml:space="preserve">Teece, D.J. (2007) 'Explicating dynamic capabilities: the nature and microfoundations of (sustainable) enterprise performance', </w:t>
      </w:r>
      <w:r w:rsidRPr="00891795">
        <w:rPr>
          <w:i/>
          <w:iCs/>
        </w:rPr>
        <w:t>Strategic Management Journal</w:t>
      </w:r>
      <w:r w:rsidRPr="00891795">
        <w:t>, 28(13), pp. 1319–1350.</w:t>
      </w:r>
    </w:p>
    <w:p w14:paraId="4CED9925" w14:textId="77777777" w:rsidR="00891795" w:rsidRPr="00891795" w:rsidRDefault="00891795" w:rsidP="00891795">
      <w:pPr>
        <w:jc w:val="left"/>
      </w:pPr>
      <w:r w:rsidRPr="00891795">
        <w:t xml:space="preserve">World Economic Forum (2025) 'The impact of the EU's CBAM on business and the carbon-pricing landscape', 15 December. Available at: </w:t>
      </w:r>
      <w:hyperlink r:id="rId26" w:history="1">
        <w:r w:rsidRPr="00891795">
          <w:rPr>
            <w:rStyle w:val="Hyperlink"/>
            <w:color w:val="0D0D0D" w:themeColor="text1" w:themeTint="F2"/>
          </w:rPr>
          <w:t>https://www.weforum.org/stories/2025/12/eu-cbam-impact-business-carbon-pricing-landscape/</w:t>
        </w:r>
      </w:hyperlink>
      <w:r w:rsidRPr="00891795">
        <w:t xml:space="preserve"> (Accessed: 14 July 2026).</w:t>
      </w:r>
    </w:p>
    <w:p w14:paraId="7B033270" w14:textId="77777777" w:rsidR="00891795" w:rsidRDefault="00891795" w:rsidP="00891795"/>
    <w:p w14:paraId="402ABBEE" w14:textId="54DA2548" w:rsidR="00244943" w:rsidRDefault="00244943">
      <w:pPr>
        <w:spacing w:after="120"/>
        <w:ind w:left="720" w:hanging="720"/>
      </w:pPr>
    </w:p>
    <w:sectPr w:rsidR="00244943">
      <w:headerReference w:type="default" r:id="rId27"/>
      <w:footerReference w:type="default" r:id="rId28"/>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7FB10" w14:textId="77777777" w:rsidR="00936FF0" w:rsidRDefault="00936FF0">
      <w:r>
        <w:separator/>
      </w:r>
    </w:p>
  </w:endnote>
  <w:endnote w:type="continuationSeparator" w:id="0">
    <w:p w14:paraId="085CC622" w14:textId="77777777" w:rsidR="00936FF0" w:rsidRDefault="00936F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F15D7" w14:textId="77777777" w:rsidR="00244943" w:rsidRDefault="00000000">
    <w:pPr>
      <w:jc w:val="cente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743620">
      <w:rPr>
        <w:rFonts w:ascii="Arial" w:eastAsia="Arial" w:hAnsi="Arial" w:cs="Arial"/>
        <w:noProof/>
      </w:rPr>
      <w:t>1</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63DCF" w14:textId="77777777" w:rsidR="00936FF0" w:rsidRDefault="00936FF0">
      <w:r>
        <w:separator/>
      </w:r>
    </w:p>
  </w:footnote>
  <w:footnote w:type="continuationSeparator" w:id="0">
    <w:p w14:paraId="706C31F2" w14:textId="77777777" w:rsidR="00936FF0" w:rsidRDefault="00936F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A81EC" w14:textId="0CE42706" w:rsidR="00244943" w:rsidRDefault="0024494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8710C6"/>
    <w:multiLevelType w:val="hybridMultilevel"/>
    <w:tmpl w:val="8EFE5118"/>
    <w:lvl w:ilvl="0" w:tplc="59B63682">
      <w:start w:val="1"/>
      <w:numFmt w:val="bullet"/>
      <w:lvlText w:val="●"/>
      <w:lvlJc w:val="left"/>
      <w:pPr>
        <w:ind w:left="720" w:hanging="360"/>
      </w:pPr>
    </w:lvl>
    <w:lvl w:ilvl="1" w:tplc="9FF85E3A">
      <w:start w:val="1"/>
      <w:numFmt w:val="bullet"/>
      <w:lvlText w:val="○"/>
      <w:lvlJc w:val="left"/>
      <w:pPr>
        <w:ind w:left="1440" w:hanging="360"/>
      </w:pPr>
    </w:lvl>
    <w:lvl w:ilvl="2" w:tplc="41D04FD4">
      <w:start w:val="1"/>
      <w:numFmt w:val="bullet"/>
      <w:lvlText w:val="■"/>
      <w:lvlJc w:val="left"/>
      <w:pPr>
        <w:ind w:left="2160" w:hanging="360"/>
      </w:pPr>
    </w:lvl>
    <w:lvl w:ilvl="3" w:tplc="F3942C20">
      <w:start w:val="1"/>
      <w:numFmt w:val="bullet"/>
      <w:lvlText w:val="●"/>
      <w:lvlJc w:val="left"/>
      <w:pPr>
        <w:ind w:left="2880" w:hanging="360"/>
      </w:pPr>
    </w:lvl>
    <w:lvl w:ilvl="4" w:tplc="2486A3A8">
      <w:start w:val="1"/>
      <w:numFmt w:val="bullet"/>
      <w:lvlText w:val="○"/>
      <w:lvlJc w:val="left"/>
      <w:pPr>
        <w:ind w:left="3600" w:hanging="360"/>
      </w:pPr>
    </w:lvl>
    <w:lvl w:ilvl="5" w:tplc="E86E61C2">
      <w:start w:val="1"/>
      <w:numFmt w:val="bullet"/>
      <w:lvlText w:val="■"/>
      <w:lvlJc w:val="left"/>
      <w:pPr>
        <w:ind w:left="4320" w:hanging="360"/>
      </w:pPr>
    </w:lvl>
    <w:lvl w:ilvl="6" w:tplc="ED86EB1E">
      <w:start w:val="1"/>
      <w:numFmt w:val="bullet"/>
      <w:lvlText w:val="●"/>
      <w:lvlJc w:val="left"/>
      <w:pPr>
        <w:ind w:left="5040" w:hanging="360"/>
      </w:pPr>
    </w:lvl>
    <w:lvl w:ilvl="7" w:tplc="9676CD5A">
      <w:start w:val="1"/>
      <w:numFmt w:val="bullet"/>
      <w:lvlText w:val="●"/>
      <w:lvlJc w:val="left"/>
      <w:pPr>
        <w:ind w:left="5760" w:hanging="360"/>
      </w:pPr>
    </w:lvl>
    <w:lvl w:ilvl="8" w:tplc="6B063998">
      <w:start w:val="1"/>
      <w:numFmt w:val="bullet"/>
      <w:lvlText w:val="●"/>
      <w:lvlJc w:val="left"/>
      <w:pPr>
        <w:ind w:left="6480" w:hanging="360"/>
      </w:pPr>
    </w:lvl>
  </w:abstractNum>
  <w:num w:numId="1" w16cid:durableId="77733316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943"/>
    <w:rsid w:val="00042325"/>
    <w:rsid w:val="000C4A53"/>
    <w:rsid w:val="00125163"/>
    <w:rsid w:val="001D035C"/>
    <w:rsid w:val="00204CDA"/>
    <w:rsid w:val="00244943"/>
    <w:rsid w:val="002853E8"/>
    <w:rsid w:val="002D6135"/>
    <w:rsid w:val="002E6BF3"/>
    <w:rsid w:val="002E7649"/>
    <w:rsid w:val="002F4749"/>
    <w:rsid w:val="004066F4"/>
    <w:rsid w:val="0042515E"/>
    <w:rsid w:val="004E3B2A"/>
    <w:rsid w:val="00591462"/>
    <w:rsid w:val="005F4D1F"/>
    <w:rsid w:val="006323CE"/>
    <w:rsid w:val="006F1CC4"/>
    <w:rsid w:val="00743620"/>
    <w:rsid w:val="00762A70"/>
    <w:rsid w:val="007728AF"/>
    <w:rsid w:val="007C773E"/>
    <w:rsid w:val="00891795"/>
    <w:rsid w:val="00891B06"/>
    <w:rsid w:val="00936FF0"/>
    <w:rsid w:val="00973E6F"/>
    <w:rsid w:val="009E2F4B"/>
    <w:rsid w:val="00A471A6"/>
    <w:rsid w:val="00A703F7"/>
    <w:rsid w:val="00B07DA1"/>
    <w:rsid w:val="00B13877"/>
    <w:rsid w:val="00B33440"/>
    <w:rsid w:val="00BA05AB"/>
    <w:rsid w:val="00BA2BB6"/>
    <w:rsid w:val="00C41BB5"/>
    <w:rsid w:val="00D87724"/>
    <w:rsid w:val="00DE3189"/>
    <w:rsid w:val="00EC690E"/>
    <w:rsid w:val="00ED77A3"/>
    <w:rsid w:val="00F60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B76E0"/>
  <w15:docId w15:val="{69B0AF3C-5D42-4B48-80ED-794C19094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35C"/>
    <w:pPr>
      <w:spacing w:before="120" w:after="240" w:line="360" w:lineRule="auto"/>
      <w:jc w:val="both"/>
    </w:pPr>
    <w:rPr>
      <w:color w:val="0D0D0D" w:themeColor="text1" w:themeTint="F2"/>
      <w:sz w:val="24"/>
    </w:rPr>
  </w:style>
  <w:style w:type="paragraph" w:styleId="Heading1">
    <w:name w:val="heading 1"/>
    <w:uiPriority w:val="9"/>
    <w:qFormat/>
    <w:rsid w:val="00A703F7"/>
    <w:pPr>
      <w:spacing w:before="120" w:after="240"/>
      <w:outlineLvl w:val="0"/>
    </w:pPr>
    <w:rPr>
      <w:b/>
      <w:color w:val="0A2F41" w:themeColor="accent1" w:themeShade="80"/>
      <w:sz w:val="32"/>
      <w:szCs w:val="32"/>
    </w:rPr>
  </w:style>
  <w:style w:type="paragraph" w:styleId="Heading2">
    <w:name w:val="heading 2"/>
    <w:uiPriority w:val="9"/>
    <w:unhideWhenUsed/>
    <w:qFormat/>
    <w:rsid w:val="00A703F7"/>
    <w:pPr>
      <w:spacing w:before="120" w:after="240"/>
      <w:outlineLvl w:val="1"/>
    </w:pPr>
    <w:rPr>
      <w:b/>
      <w:color w:val="0D0D0D" w:themeColor="text1" w:themeTint="F2"/>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customStyle="1" w:styleId="MyHeading1">
    <w:name w:val="My Heading 1"/>
    <w:pPr>
      <w:spacing w:before="360" w:after="200"/>
    </w:pPr>
    <w:rPr>
      <w:rFonts w:ascii="Arial" w:eastAsia="Arial" w:hAnsi="Arial" w:cs="Arial"/>
      <w:b/>
      <w:bCs/>
      <w:color w:val="1B3A5C"/>
      <w:sz w:val="32"/>
      <w:szCs w:val="32"/>
    </w:rPr>
  </w:style>
  <w:style w:type="paragraph" w:customStyle="1" w:styleId="MyHeading2">
    <w:name w:val="My Heading 2"/>
    <w:pPr>
      <w:spacing w:before="280" w:after="150"/>
    </w:pPr>
    <w:rPr>
      <w:rFonts w:ascii="Arial" w:eastAsia="Arial" w:hAnsi="Arial" w:cs="Arial"/>
      <w:b/>
      <w:bCs/>
      <w:color w:val="0D7377"/>
      <w:sz w:val="28"/>
      <w:szCs w:val="28"/>
    </w:rPr>
  </w:style>
  <w:style w:type="paragraph" w:customStyle="1" w:styleId="MyHeading3">
    <w:name w:val="My Heading 3"/>
    <w:pPr>
      <w:spacing w:before="200" w:after="100"/>
    </w:pPr>
    <w:rPr>
      <w:rFonts w:ascii="Arial" w:eastAsia="Arial" w:hAnsi="Arial" w:cs="Arial"/>
      <w:b/>
      <w:bCs/>
      <w:color w:val="1B3A5C"/>
      <w:sz w:val="24"/>
      <w:szCs w:val="24"/>
    </w:rPr>
  </w:style>
  <w:style w:type="paragraph" w:styleId="TOCHeading">
    <w:name w:val="TOC Heading"/>
    <w:basedOn w:val="Heading1"/>
    <w:next w:val="Normal"/>
    <w:uiPriority w:val="39"/>
    <w:unhideWhenUsed/>
    <w:qFormat/>
    <w:rsid w:val="002E7649"/>
    <w:pPr>
      <w:keepNext/>
      <w:keepLines/>
      <w:spacing w:before="240" w:after="0" w:line="259" w:lineRule="auto"/>
      <w:outlineLvl w:val="9"/>
    </w:pPr>
    <w:rPr>
      <w:rFonts w:asciiTheme="majorHAnsi" w:eastAsiaTheme="majorEastAsia" w:hAnsiTheme="majorHAnsi" w:cstheme="majorBidi"/>
      <w:b w:val="0"/>
      <w:color w:val="0F4761" w:themeColor="accent1" w:themeShade="BF"/>
      <w:lang w:val="en-US" w:eastAsia="en-US"/>
    </w:rPr>
  </w:style>
  <w:style w:type="paragraph" w:styleId="TOC1">
    <w:name w:val="toc 1"/>
    <w:basedOn w:val="Normal"/>
    <w:next w:val="Normal"/>
    <w:autoRedefine/>
    <w:uiPriority w:val="39"/>
    <w:unhideWhenUsed/>
    <w:rsid w:val="002E7649"/>
    <w:pPr>
      <w:spacing w:after="100"/>
    </w:pPr>
  </w:style>
  <w:style w:type="paragraph" w:styleId="TOC2">
    <w:name w:val="toc 2"/>
    <w:basedOn w:val="Normal"/>
    <w:next w:val="Normal"/>
    <w:autoRedefine/>
    <w:uiPriority w:val="39"/>
    <w:unhideWhenUsed/>
    <w:rsid w:val="002E7649"/>
    <w:pPr>
      <w:spacing w:after="100"/>
      <w:ind w:left="200"/>
    </w:pPr>
  </w:style>
  <w:style w:type="paragraph" w:styleId="Header">
    <w:name w:val="header"/>
    <w:basedOn w:val="Normal"/>
    <w:link w:val="HeaderChar"/>
    <w:uiPriority w:val="99"/>
    <w:unhideWhenUsed/>
    <w:rsid w:val="002E7649"/>
    <w:pPr>
      <w:tabs>
        <w:tab w:val="center" w:pos="4513"/>
        <w:tab w:val="right" w:pos="9026"/>
      </w:tabs>
    </w:pPr>
  </w:style>
  <w:style w:type="character" w:customStyle="1" w:styleId="HeaderChar">
    <w:name w:val="Header Char"/>
    <w:basedOn w:val="DefaultParagraphFont"/>
    <w:link w:val="Header"/>
    <w:uiPriority w:val="99"/>
    <w:rsid w:val="002E7649"/>
  </w:style>
  <w:style w:type="paragraph" w:styleId="Footer">
    <w:name w:val="footer"/>
    <w:basedOn w:val="Normal"/>
    <w:link w:val="FooterChar"/>
    <w:uiPriority w:val="99"/>
    <w:unhideWhenUsed/>
    <w:rsid w:val="002E7649"/>
    <w:pPr>
      <w:tabs>
        <w:tab w:val="center" w:pos="4513"/>
        <w:tab w:val="right" w:pos="9026"/>
      </w:tabs>
    </w:pPr>
  </w:style>
  <w:style w:type="character" w:customStyle="1" w:styleId="FooterChar">
    <w:name w:val="Footer Char"/>
    <w:basedOn w:val="DefaultParagraphFont"/>
    <w:link w:val="Footer"/>
    <w:uiPriority w:val="99"/>
    <w:rsid w:val="002E7649"/>
  </w:style>
  <w:style w:type="character" w:styleId="UnresolvedMention">
    <w:name w:val="Unresolved Mention"/>
    <w:basedOn w:val="DefaultParagraphFont"/>
    <w:uiPriority w:val="99"/>
    <w:semiHidden/>
    <w:unhideWhenUsed/>
    <w:rsid w:val="008917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hp.com/sustainability/climate-change/carbon-offsetting" TargetMode="External"/><Relationship Id="rId18" Type="http://schemas.openxmlformats.org/officeDocument/2006/relationships/hyperlink" Target="https://www.cantileverfs.com.au/scope-3-emissions-mining-australia" TargetMode="External"/><Relationship Id="rId26" Type="http://schemas.openxmlformats.org/officeDocument/2006/relationships/hyperlink" Target="https://www.weforum.org/stories/2025/12/eu-cbam-impact-business-carbon-pricing-landscape/" TargetMode="External"/><Relationship Id="rId3" Type="http://schemas.openxmlformats.org/officeDocument/2006/relationships/styles" Target="styles.xml"/><Relationship Id="rId21" Type="http://schemas.openxmlformats.org/officeDocument/2006/relationships/hyperlink" Target="https://gmk.center/en/news/bhp-is-scaling-back-decarbonization-projects-at-its-iron-ore-operations-media-reports/" TargetMode="External"/><Relationship Id="rId7" Type="http://schemas.openxmlformats.org/officeDocument/2006/relationships/endnotes" Target="endnotes.xml"/><Relationship Id="rId12" Type="http://schemas.openxmlformats.org/officeDocument/2006/relationships/hyperlink" Target="https://www.bhp.com/-/media/documents/media/reports-and-presentations/2024/260624_decarbonisationroundtable.pdf" TargetMode="External"/><Relationship Id="rId17" Type="http://schemas.openxmlformats.org/officeDocument/2006/relationships/hyperlink" Target="https://www.bhp.com/news/media-centre/releases/2026/07/bhp-operational-review-for-the-year-ended-30-june-2026" TargetMode="External"/><Relationship Id="rId25" Type="http://schemas.openxmlformats.org/officeDocument/2006/relationships/hyperlink" Target="https://reneweconomy.com.au/up-is-not-down-bhp-in-spotlight-as-epic-decarbonisation-walk-back-revealed/" TargetMode="External"/><Relationship Id="rId2" Type="http://schemas.openxmlformats.org/officeDocument/2006/relationships/numbering" Target="numbering.xml"/><Relationship Id="rId16" Type="http://schemas.openxmlformats.org/officeDocument/2006/relationships/hyperlink" Target="https://www.bhp.com/news/media-centre/releases/2026/06/update---jansen-stage-2-potash-project" TargetMode="External"/><Relationship Id="rId20" Type="http://schemas.openxmlformats.org/officeDocument/2006/relationships/hyperlink" Target="https://www.chinastrategy.org/2026/05/25/revealed-the-internal-bhp-memo-that-slammed-the-brakes-on-worlds-biggest-miners-climate-pus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au/C2022A00037/latest" TargetMode="External"/><Relationship Id="rId24" Type="http://schemas.openxmlformats.org/officeDocument/2006/relationships/hyperlink" Target="https://www.miningmx.com/news/markets/65423-bhp-scales-back-once-critical-decarbonisation-plans/" TargetMode="External"/><Relationship Id="rId5" Type="http://schemas.openxmlformats.org/officeDocument/2006/relationships/webSettings" Target="webSettings.xml"/><Relationship Id="rId15" Type="http://schemas.openxmlformats.org/officeDocument/2006/relationships/hyperlink" Target="https://www.bhp.com/news/media-centre/releases/2026/01/bhp-operational-review-for-the-half-year-ended-31-december-2025" TargetMode="External"/><Relationship Id="rId23" Type="http://schemas.openxmlformats.org/officeDocument/2006/relationships/hyperlink" Target="https://www.mining.com/bhp-bets-on-10-6b-jansen-mine-to-build-potash-footprint/"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carbonchain.com/cbam/eu-cbam-met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hp.com/investor-hub/reports-and-presentations/financial-results-operational-reviews" TargetMode="External"/><Relationship Id="rId22" Type="http://schemas.openxmlformats.org/officeDocument/2006/relationships/hyperlink" Target="https://www.theguardian.com/world/2026/may/25/bhp-files-leak-mining-company-climate-action"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F3C85-3A78-45B2-995B-BDEA4797E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3</Pages>
  <Words>3967</Words>
  <Characters>22617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Vraj Patel</dc:creator>
  <cp:lastModifiedBy>Vrajkumar Rajeshbhai Patel (2538982)</cp:lastModifiedBy>
  <cp:revision>23</cp:revision>
  <cp:lastPrinted>2026-07-22T09:42:00Z</cp:lastPrinted>
  <dcterms:created xsi:type="dcterms:W3CDTF">2026-07-22T09:43:00Z</dcterms:created>
  <dcterms:modified xsi:type="dcterms:W3CDTF">2026-07-24T09:31:00Z</dcterms:modified>
</cp:coreProperties>
</file>