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77D1E11" w14:textId="77777777" w:rsidR="001B5215" w:rsidRPr="00BD2D50" w:rsidRDefault="001B5215" w:rsidP="001B5215">
      <w:pPr>
        <w:jc w:val="center"/>
        <w:rPr>
          <w:rFonts w:ascii="Arial" w:hAnsi="Arial" w:cs="Arial"/>
          <w:sz w:val="40"/>
          <w:szCs w:val="40"/>
        </w:rPr>
      </w:pPr>
      <w:proofErr w:type="spellStart"/>
      <w:r w:rsidRPr="00BD2D50">
        <w:rPr>
          <w:rFonts w:ascii="Arial" w:hAnsi="Arial" w:cs="Arial"/>
          <w:sz w:val="40"/>
          <w:szCs w:val="40"/>
        </w:rPr>
        <w:t>Programme</w:t>
      </w:r>
      <w:proofErr w:type="spellEnd"/>
      <w:r w:rsidRPr="00BD2D50">
        <w:rPr>
          <w:rFonts w:ascii="Arial" w:hAnsi="Arial" w:cs="Arial"/>
          <w:sz w:val="40"/>
          <w:szCs w:val="40"/>
        </w:rPr>
        <w:t>: BA (</w:t>
      </w:r>
      <w:proofErr w:type="spellStart"/>
      <w:r w:rsidRPr="00BD2D50">
        <w:rPr>
          <w:rFonts w:ascii="Arial" w:hAnsi="Arial" w:cs="Arial"/>
          <w:sz w:val="40"/>
          <w:szCs w:val="40"/>
        </w:rPr>
        <w:t>Hons</w:t>
      </w:r>
      <w:proofErr w:type="spellEnd"/>
      <w:r w:rsidRPr="00BD2D50">
        <w:rPr>
          <w:rFonts w:ascii="Arial" w:hAnsi="Arial" w:cs="Arial"/>
          <w:sz w:val="40"/>
          <w:szCs w:val="40"/>
        </w:rPr>
        <w:t>) Business Management</w:t>
      </w:r>
    </w:p>
    <w:p w14:paraId="65F730AA" w14:textId="77777777" w:rsidR="001B5215" w:rsidRPr="00BD2D50" w:rsidRDefault="001B5215" w:rsidP="001B5215">
      <w:pPr>
        <w:jc w:val="center"/>
        <w:rPr>
          <w:rFonts w:ascii="Arial" w:hAnsi="Arial" w:cs="Arial"/>
          <w:sz w:val="40"/>
          <w:szCs w:val="40"/>
        </w:rPr>
      </w:pPr>
      <w:r w:rsidRPr="00BD2D50">
        <w:rPr>
          <w:rFonts w:ascii="Arial" w:hAnsi="Arial" w:cs="Arial"/>
          <w:sz w:val="40"/>
          <w:szCs w:val="40"/>
        </w:rPr>
        <w:t xml:space="preserve">Module: </w:t>
      </w:r>
      <w:r>
        <w:rPr>
          <w:rFonts w:ascii="Arial" w:hAnsi="Arial" w:cs="Arial"/>
          <w:sz w:val="40"/>
          <w:szCs w:val="40"/>
        </w:rPr>
        <w:t xml:space="preserve">Project </w:t>
      </w:r>
      <w:r w:rsidRPr="00BD2D50">
        <w:rPr>
          <w:rFonts w:ascii="Arial" w:hAnsi="Arial" w:cs="Arial"/>
          <w:sz w:val="40"/>
          <w:szCs w:val="40"/>
        </w:rPr>
        <w:t xml:space="preserve">Management </w:t>
      </w:r>
    </w:p>
    <w:p w14:paraId="5712D654" w14:textId="77777777" w:rsidR="001B5215" w:rsidRPr="00BD2D50" w:rsidRDefault="001B5215" w:rsidP="001B5215">
      <w:pPr>
        <w:jc w:val="center"/>
        <w:rPr>
          <w:rFonts w:ascii="Arial" w:hAnsi="Arial" w:cs="Arial"/>
          <w:sz w:val="40"/>
          <w:szCs w:val="40"/>
        </w:rPr>
      </w:pPr>
      <w:r>
        <w:rPr>
          <w:rFonts w:ascii="Arial" w:hAnsi="Arial" w:cs="Arial"/>
          <w:sz w:val="40"/>
          <w:szCs w:val="40"/>
        </w:rPr>
        <w:t>Module Code: LCBB5005</w:t>
      </w:r>
    </w:p>
    <w:p w14:paraId="08B535ED" w14:textId="77777777" w:rsidR="001B5215" w:rsidRPr="00BD2D50" w:rsidRDefault="001B5215" w:rsidP="001B5215">
      <w:pPr>
        <w:jc w:val="center"/>
        <w:rPr>
          <w:rFonts w:ascii="Arial" w:hAnsi="Arial" w:cs="Arial"/>
          <w:sz w:val="40"/>
          <w:szCs w:val="40"/>
        </w:rPr>
      </w:pPr>
      <w:r>
        <w:rPr>
          <w:rFonts w:ascii="Arial" w:hAnsi="Arial" w:cs="Arial"/>
          <w:sz w:val="40"/>
          <w:szCs w:val="40"/>
        </w:rPr>
        <w:t xml:space="preserve">Module Leader: Dr. David </w:t>
      </w:r>
      <w:proofErr w:type="spellStart"/>
      <w:r>
        <w:rPr>
          <w:rFonts w:ascii="Arial" w:hAnsi="Arial" w:cs="Arial"/>
          <w:sz w:val="40"/>
          <w:szCs w:val="40"/>
        </w:rPr>
        <w:t>Oyebisi</w:t>
      </w:r>
      <w:proofErr w:type="spellEnd"/>
    </w:p>
    <w:p w14:paraId="2AE27DAC" w14:textId="77777777" w:rsidR="001B5215" w:rsidRPr="00BD2D50" w:rsidRDefault="001B5215" w:rsidP="001B5215">
      <w:pPr>
        <w:jc w:val="center"/>
        <w:rPr>
          <w:rFonts w:ascii="Arial" w:hAnsi="Arial" w:cs="Arial"/>
          <w:sz w:val="40"/>
          <w:szCs w:val="40"/>
        </w:rPr>
      </w:pPr>
    </w:p>
    <w:p w14:paraId="4DFBE848" w14:textId="77777777" w:rsidR="001B5215" w:rsidRPr="00BD2D50" w:rsidRDefault="001B5215" w:rsidP="001B5215">
      <w:pPr>
        <w:jc w:val="center"/>
        <w:rPr>
          <w:rFonts w:ascii="Arial" w:hAnsi="Arial" w:cs="Arial"/>
          <w:sz w:val="40"/>
          <w:szCs w:val="40"/>
        </w:rPr>
      </w:pPr>
    </w:p>
    <w:p w14:paraId="540ADFDB" w14:textId="77777777" w:rsidR="001B5215" w:rsidRPr="00BD2D50" w:rsidRDefault="001B5215" w:rsidP="001B5215">
      <w:pPr>
        <w:jc w:val="center"/>
        <w:rPr>
          <w:rFonts w:ascii="Arial" w:hAnsi="Arial" w:cs="Arial"/>
          <w:sz w:val="40"/>
          <w:szCs w:val="40"/>
        </w:rPr>
      </w:pPr>
      <w:r w:rsidRPr="00BD2D50">
        <w:rPr>
          <w:rFonts w:ascii="Arial" w:hAnsi="Arial" w:cs="Arial"/>
          <w:sz w:val="40"/>
          <w:szCs w:val="40"/>
        </w:rPr>
        <w:t xml:space="preserve">Submitted by: </w:t>
      </w:r>
      <w:proofErr w:type="spellStart"/>
      <w:r w:rsidRPr="00BD2D50">
        <w:rPr>
          <w:rFonts w:ascii="Arial" w:hAnsi="Arial" w:cs="Arial"/>
          <w:sz w:val="40"/>
          <w:szCs w:val="40"/>
        </w:rPr>
        <w:t>Md</w:t>
      </w:r>
      <w:proofErr w:type="spellEnd"/>
      <w:r w:rsidRPr="00BD2D50">
        <w:rPr>
          <w:rFonts w:ascii="Arial" w:hAnsi="Arial" w:cs="Arial"/>
          <w:sz w:val="40"/>
          <w:szCs w:val="40"/>
        </w:rPr>
        <w:t xml:space="preserve"> Abidur Rahman</w:t>
      </w:r>
    </w:p>
    <w:p w14:paraId="403ABC42" w14:textId="77777777" w:rsidR="001B5215" w:rsidRPr="00BD2D50" w:rsidRDefault="001B5215" w:rsidP="001B5215">
      <w:pPr>
        <w:jc w:val="center"/>
        <w:rPr>
          <w:rFonts w:ascii="Arial" w:hAnsi="Arial" w:cs="Arial"/>
          <w:sz w:val="40"/>
          <w:szCs w:val="40"/>
        </w:rPr>
      </w:pPr>
      <w:r w:rsidRPr="00BD2D50">
        <w:rPr>
          <w:rFonts w:ascii="Arial" w:hAnsi="Arial" w:cs="Arial"/>
          <w:sz w:val="40"/>
          <w:szCs w:val="40"/>
        </w:rPr>
        <w:t>ID: 1815081</w:t>
      </w:r>
    </w:p>
    <w:p w14:paraId="285518CE" w14:textId="5326E242" w:rsidR="001B5215" w:rsidRPr="00BD2D50" w:rsidRDefault="001B5215" w:rsidP="001B5215">
      <w:pPr>
        <w:jc w:val="center"/>
        <w:rPr>
          <w:rFonts w:ascii="Arial" w:hAnsi="Arial" w:cs="Arial"/>
          <w:sz w:val="40"/>
          <w:szCs w:val="40"/>
        </w:rPr>
      </w:pPr>
      <w:r w:rsidRPr="00BD2D50">
        <w:rPr>
          <w:rFonts w:ascii="Arial" w:hAnsi="Arial" w:cs="Arial"/>
          <w:sz w:val="40"/>
          <w:szCs w:val="40"/>
        </w:rPr>
        <w:t xml:space="preserve">Date: </w:t>
      </w:r>
      <w:r w:rsidR="00EA483E">
        <w:rPr>
          <w:rFonts w:ascii="Arial" w:hAnsi="Arial" w:cs="Arial"/>
          <w:sz w:val="40"/>
          <w:szCs w:val="40"/>
        </w:rPr>
        <w:t>27</w:t>
      </w:r>
      <w:r>
        <w:rPr>
          <w:rFonts w:ascii="Arial" w:hAnsi="Arial" w:cs="Arial"/>
          <w:sz w:val="40"/>
          <w:szCs w:val="40"/>
        </w:rPr>
        <w:t>/03</w:t>
      </w:r>
      <w:r w:rsidRPr="00BD2D50">
        <w:rPr>
          <w:rFonts w:ascii="Arial" w:hAnsi="Arial" w:cs="Arial"/>
          <w:sz w:val="40"/>
          <w:szCs w:val="40"/>
        </w:rPr>
        <w:t>/2025</w:t>
      </w:r>
    </w:p>
    <w:p w14:paraId="10A43297" w14:textId="4B25024F" w:rsidR="00286374" w:rsidRDefault="00286374">
      <w:pPr>
        <w:spacing w:line="259" w:lineRule="auto"/>
        <w:jc w:val="left"/>
      </w:pPr>
      <w:r>
        <w:br w:type="page"/>
      </w:r>
    </w:p>
    <w:sdt>
      <w:sdtPr>
        <w:rPr>
          <w:rFonts w:ascii="Arial" w:eastAsiaTheme="minorHAnsi" w:hAnsi="Arial" w:cs="Arial"/>
          <w:color w:val="auto"/>
          <w:kern w:val="2"/>
          <w:sz w:val="22"/>
          <w:szCs w:val="22"/>
          <w14:ligatures w14:val="standardContextual"/>
        </w:rPr>
        <w:id w:val="1756006943"/>
        <w:docPartObj>
          <w:docPartGallery w:val="Table of Contents"/>
          <w:docPartUnique/>
        </w:docPartObj>
      </w:sdtPr>
      <w:sdtEndPr>
        <w:rPr>
          <w:b/>
          <w:bCs/>
          <w:noProof/>
        </w:rPr>
      </w:sdtEndPr>
      <w:sdtContent>
        <w:p w14:paraId="7C331110" w14:textId="3AE4034E" w:rsidR="0094702B" w:rsidRPr="001B5215" w:rsidRDefault="0094702B" w:rsidP="001B5215">
          <w:pPr>
            <w:pStyle w:val="TOCHeading"/>
            <w:spacing w:line="360" w:lineRule="auto"/>
            <w:jc w:val="center"/>
            <w:rPr>
              <w:rFonts w:ascii="Arial" w:hAnsi="Arial" w:cs="Arial"/>
              <w:b/>
              <w:bCs/>
              <w:sz w:val="22"/>
              <w:szCs w:val="22"/>
            </w:rPr>
          </w:pPr>
          <w:r w:rsidRPr="001B5215">
            <w:rPr>
              <w:rFonts w:ascii="Arial" w:hAnsi="Arial" w:cs="Arial"/>
              <w:b/>
              <w:bCs/>
              <w:sz w:val="22"/>
              <w:szCs w:val="22"/>
            </w:rPr>
            <w:t>Table of Contents</w:t>
          </w:r>
        </w:p>
        <w:p w14:paraId="6497AFC6" w14:textId="0B23E00B" w:rsidR="00FD32BC" w:rsidRPr="001B5215" w:rsidRDefault="0094702B" w:rsidP="001B5215">
          <w:pPr>
            <w:pStyle w:val="TOC1"/>
            <w:tabs>
              <w:tab w:val="right" w:leader="dot" w:pos="9350"/>
            </w:tabs>
            <w:rPr>
              <w:rFonts w:ascii="Arial" w:eastAsiaTheme="minorEastAsia" w:hAnsi="Arial" w:cs="Arial"/>
              <w:noProof/>
              <w:sz w:val="22"/>
            </w:rPr>
          </w:pPr>
          <w:r w:rsidRPr="001B5215">
            <w:rPr>
              <w:rFonts w:ascii="Arial" w:hAnsi="Arial" w:cs="Arial"/>
              <w:sz w:val="22"/>
            </w:rPr>
            <w:fldChar w:fldCharType="begin"/>
          </w:r>
          <w:r w:rsidRPr="001B5215">
            <w:rPr>
              <w:rFonts w:ascii="Arial" w:hAnsi="Arial" w:cs="Arial"/>
              <w:sz w:val="22"/>
            </w:rPr>
            <w:instrText xml:space="preserve"> TOC \o "1-3" \h \z \u </w:instrText>
          </w:r>
          <w:r w:rsidRPr="001B5215">
            <w:rPr>
              <w:rFonts w:ascii="Arial" w:hAnsi="Arial" w:cs="Arial"/>
              <w:sz w:val="22"/>
            </w:rPr>
            <w:fldChar w:fldCharType="separate"/>
          </w:r>
          <w:hyperlink w:anchor="_Toc193402752" w:history="1">
            <w:r w:rsidR="00FD32BC" w:rsidRPr="001B5215">
              <w:rPr>
                <w:rStyle w:val="Hyperlink"/>
                <w:rFonts w:ascii="Arial" w:hAnsi="Arial" w:cs="Arial"/>
                <w:noProof/>
                <w:sz w:val="22"/>
              </w:rPr>
              <w:t>Introduction</w:t>
            </w:r>
            <w:r w:rsidR="00FD32BC" w:rsidRPr="001B5215">
              <w:rPr>
                <w:rFonts w:ascii="Arial" w:hAnsi="Arial" w:cs="Arial"/>
                <w:noProof/>
                <w:webHidden/>
                <w:sz w:val="22"/>
              </w:rPr>
              <w:tab/>
            </w:r>
            <w:r w:rsidR="00FD32BC" w:rsidRPr="001B5215">
              <w:rPr>
                <w:rFonts w:ascii="Arial" w:hAnsi="Arial" w:cs="Arial"/>
                <w:noProof/>
                <w:webHidden/>
                <w:sz w:val="22"/>
              </w:rPr>
              <w:fldChar w:fldCharType="begin"/>
            </w:r>
            <w:r w:rsidR="00FD32BC" w:rsidRPr="001B5215">
              <w:rPr>
                <w:rFonts w:ascii="Arial" w:hAnsi="Arial" w:cs="Arial"/>
                <w:noProof/>
                <w:webHidden/>
                <w:sz w:val="22"/>
              </w:rPr>
              <w:instrText xml:space="preserve"> PAGEREF _Toc193402752 \h </w:instrText>
            </w:r>
            <w:r w:rsidR="00FD32BC" w:rsidRPr="001B5215">
              <w:rPr>
                <w:rFonts w:ascii="Arial" w:hAnsi="Arial" w:cs="Arial"/>
                <w:noProof/>
                <w:webHidden/>
                <w:sz w:val="22"/>
              </w:rPr>
            </w:r>
            <w:r w:rsidR="00FD32BC" w:rsidRPr="001B5215">
              <w:rPr>
                <w:rFonts w:ascii="Arial" w:hAnsi="Arial" w:cs="Arial"/>
                <w:noProof/>
                <w:webHidden/>
                <w:sz w:val="22"/>
              </w:rPr>
              <w:fldChar w:fldCharType="separate"/>
            </w:r>
            <w:r w:rsidR="00FD32BC" w:rsidRPr="001B5215">
              <w:rPr>
                <w:rFonts w:ascii="Arial" w:hAnsi="Arial" w:cs="Arial"/>
                <w:noProof/>
                <w:webHidden/>
                <w:sz w:val="22"/>
              </w:rPr>
              <w:t>1</w:t>
            </w:r>
            <w:r w:rsidR="00FD32BC" w:rsidRPr="001B5215">
              <w:rPr>
                <w:rFonts w:ascii="Arial" w:hAnsi="Arial" w:cs="Arial"/>
                <w:noProof/>
                <w:webHidden/>
                <w:sz w:val="22"/>
              </w:rPr>
              <w:fldChar w:fldCharType="end"/>
            </w:r>
          </w:hyperlink>
        </w:p>
        <w:p w14:paraId="2A3F3924" w14:textId="1876AFB7" w:rsidR="00FD32BC" w:rsidRPr="001B5215" w:rsidRDefault="00105976" w:rsidP="001B5215">
          <w:pPr>
            <w:pStyle w:val="TOC1"/>
            <w:tabs>
              <w:tab w:val="right" w:leader="dot" w:pos="9350"/>
            </w:tabs>
            <w:rPr>
              <w:rFonts w:ascii="Arial" w:eastAsiaTheme="minorEastAsia" w:hAnsi="Arial" w:cs="Arial"/>
              <w:noProof/>
              <w:sz w:val="22"/>
            </w:rPr>
          </w:pPr>
          <w:hyperlink w:anchor="_Toc193402753" w:history="1">
            <w:r w:rsidR="00FD32BC" w:rsidRPr="001B5215">
              <w:rPr>
                <w:rStyle w:val="Hyperlink"/>
                <w:rFonts w:ascii="Arial" w:hAnsi="Arial" w:cs="Arial"/>
                <w:noProof/>
                <w:sz w:val="22"/>
              </w:rPr>
              <w:t>Main Body</w:t>
            </w:r>
            <w:r w:rsidR="00FD32BC" w:rsidRPr="001B5215">
              <w:rPr>
                <w:rFonts w:ascii="Arial" w:hAnsi="Arial" w:cs="Arial"/>
                <w:noProof/>
                <w:webHidden/>
                <w:sz w:val="22"/>
              </w:rPr>
              <w:tab/>
            </w:r>
            <w:r w:rsidR="00FD32BC" w:rsidRPr="001B5215">
              <w:rPr>
                <w:rFonts w:ascii="Arial" w:hAnsi="Arial" w:cs="Arial"/>
                <w:noProof/>
                <w:webHidden/>
                <w:sz w:val="22"/>
              </w:rPr>
              <w:fldChar w:fldCharType="begin"/>
            </w:r>
            <w:r w:rsidR="00FD32BC" w:rsidRPr="001B5215">
              <w:rPr>
                <w:rFonts w:ascii="Arial" w:hAnsi="Arial" w:cs="Arial"/>
                <w:noProof/>
                <w:webHidden/>
                <w:sz w:val="22"/>
              </w:rPr>
              <w:instrText xml:space="preserve"> PAGEREF _Toc193402753 \h </w:instrText>
            </w:r>
            <w:r w:rsidR="00FD32BC" w:rsidRPr="001B5215">
              <w:rPr>
                <w:rFonts w:ascii="Arial" w:hAnsi="Arial" w:cs="Arial"/>
                <w:noProof/>
                <w:webHidden/>
                <w:sz w:val="22"/>
              </w:rPr>
            </w:r>
            <w:r w:rsidR="00FD32BC" w:rsidRPr="001B5215">
              <w:rPr>
                <w:rFonts w:ascii="Arial" w:hAnsi="Arial" w:cs="Arial"/>
                <w:noProof/>
                <w:webHidden/>
                <w:sz w:val="22"/>
              </w:rPr>
              <w:fldChar w:fldCharType="separate"/>
            </w:r>
            <w:r w:rsidR="00FD32BC" w:rsidRPr="001B5215">
              <w:rPr>
                <w:rFonts w:ascii="Arial" w:hAnsi="Arial" w:cs="Arial"/>
                <w:noProof/>
                <w:webHidden/>
                <w:sz w:val="22"/>
              </w:rPr>
              <w:t>1</w:t>
            </w:r>
            <w:r w:rsidR="00FD32BC" w:rsidRPr="001B5215">
              <w:rPr>
                <w:rFonts w:ascii="Arial" w:hAnsi="Arial" w:cs="Arial"/>
                <w:noProof/>
                <w:webHidden/>
                <w:sz w:val="22"/>
              </w:rPr>
              <w:fldChar w:fldCharType="end"/>
            </w:r>
          </w:hyperlink>
        </w:p>
        <w:p w14:paraId="567FD75E" w14:textId="50A9EB8E" w:rsidR="00FD32BC" w:rsidRPr="001B5215" w:rsidRDefault="00105976" w:rsidP="001B5215">
          <w:pPr>
            <w:pStyle w:val="TOC1"/>
            <w:tabs>
              <w:tab w:val="right" w:leader="dot" w:pos="9350"/>
            </w:tabs>
            <w:rPr>
              <w:rFonts w:ascii="Arial" w:eastAsiaTheme="minorEastAsia" w:hAnsi="Arial" w:cs="Arial"/>
              <w:noProof/>
              <w:sz w:val="22"/>
            </w:rPr>
          </w:pPr>
          <w:hyperlink w:anchor="_Toc193402754" w:history="1">
            <w:r w:rsidR="00FD32BC" w:rsidRPr="001B5215">
              <w:rPr>
                <w:rStyle w:val="Hyperlink"/>
                <w:rFonts w:ascii="Arial" w:hAnsi="Arial" w:cs="Arial"/>
                <w:noProof/>
                <w:sz w:val="22"/>
              </w:rPr>
              <w:t>Conclusion</w:t>
            </w:r>
            <w:r w:rsidR="00FD32BC" w:rsidRPr="001B5215">
              <w:rPr>
                <w:rFonts w:ascii="Arial" w:hAnsi="Arial" w:cs="Arial"/>
                <w:noProof/>
                <w:webHidden/>
                <w:sz w:val="22"/>
              </w:rPr>
              <w:tab/>
            </w:r>
            <w:r w:rsidR="00FD32BC" w:rsidRPr="001B5215">
              <w:rPr>
                <w:rFonts w:ascii="Arial" w:hAnsi="Arial" w:cs="Arial"/>
                <w:noProof/>
                <w:webHidden/>
                <w:sz w:val="22"/>
              </w:rPr>
              <w:fldChar w:fldCharType="begin"/>
            </w:r>
            <w:r w:rsidR="00FD32BC" w:rsidRPr="001B5215">
              <w:rPr>
                <w:rFonts w:ascii="Arial" w:hAnsi="Arial" w:cs="Arial"/>
                <w:noProof/>
                <w:webHidden/>
                <w:sz w:val="22"/>
              </w:rPr>
              <w:instrText xml:space="preserve"> PAGEREF _Toc193402754 \h </w:instrText>
            </w:r>
            <w:r w:rsidR="00FD32BC" w:rsidRPr="001B5215">
              <w:rPr>
                <w:rFonts w:ascii="Arial" w:hAnsi="Arial" w:cs="Arial"/>
                <w:noProof/>
                <w:webHidden/>
                <w:sz w:val="22"/>
              </w:rPr>
            </w:r>
            <w:r w:rsidR="00FD32BC" w:rsidRPr="001B5215">
              <w:rPr>
                <w:rFonts w:ascii="Arial" w:hAnsi="Arial" w:cs="Arial"/>
                <w:noProof/>
                <w:webHidden/>
                <w:sz w:val="22"/>
              </w:rPr>
              <w:fldChar w:fldCharType="separate"/>
            </w:r>
            <w:r w:rsidR="00FD32BC" w:rsidRPr="001B5215">
              <w:rPr>
                <w:rFonts w:ascii="Arial" w:hAnsi="Arial" w:cs="Arial"/>
                <w:noProof/>
                <w:webHidden/>
                <w:sz w:val="22"/>
              </w:rPr>
              <w:t>7</w:t>
            </w:r>
            <w:r w:rsidR="00FD32BC" w:rsidRPr="001B5215">
              <w:rPr>
                <w:rFonts w:ascii="Arial" w:hAnsi="Arial" w:cs="Arial"/>
                <w:noProof/>
                <w:webHidden/>
                <w:sz w:val="22"/>
              </w:rPr>
              <w:fldChar w:fldCharType="end"/>
            </w:r>
          </w:hyperlink>
        </w:p>
        <w:p w14:paraId="01762152" w14:textId="719CDEF7" w:rsidR="00FD32BC" w:rsidRPr="001B5215" w:rsidRDefault="00105976" w:rsidP="001B5215">
          <w:pPr>
            <w:pStyle w:val="TOC1"/>
            <w:tabs>
              <w:tab w:val="right" w:leader="dot" w:pos="9350"/>
            </w:tabs>
            <w:rPr>
              <w:rFonts w:ascii="Arial" w:eastAsiaTheme="minorEastAsia" w:hAnsi="Arial" w:cs="Arial"/>
              <w:noProof/>
              <w:sz w:val="22"/>
            </w:rPr>
          </w:pPr>
          <w:hyperlink w:anchor="_Toc193402755" w:history="1">
            <w:r w:rsidR="00FD32BC" w:rsidRPr="001B5215">
              <w:rPr>
                <w:rStyle w:val="Hyperlink"/>
                <w:rFonts w:ascii="Arial" w:hAnsi="Arial" w:cs="Arial"/>
                <w:noProof/>
                <w:sz w:val="22"/>
              </w:rPr>
              <w:t>References</w:t>
            </w:r>
            <w:r w:rsidR="00FD32BC" w:rsidRPr="001B5215">
              <w:rPr>
                <w:rFonts w:ascii="Arial" w:hAnsi="Arial" w:cs="Arial"/>
                <w:noProof/>
                <w:webHidden/>
                <w:sz w:val="22"/>
              </w:rPr>
              <w:tab/>
            </w:r>
            <w:r w:rsidR="00FD32BC" w:rsidRPr="001B5215">
              <w:rPr>
                <w:rFonts w:ascii="Arial" w:hAnsi="Arial" w:cs="Arial"/>
                <w:noProof/>
                <w:webHidden/>
                <w:sz w:val="22"/>
              </w:rPr>
              <w:fldChar w:fldCharType="begin"/>
            </w:r>
            <w:r w:rsidR="00FD32BC" w:rsidRPr="001B5215">
              <w:rPr>
                <w:rFonts w:ascii="Arial" w:hAnsi="Arial" w:cs="Arial"/>
                <w:noProof/>
                <w:webHidden/>
                <w:sz w:val="22"/>
              </w:rPr>
              <w:instrText xml:space="preserve"> PAGEREF _Toc193402755 \h </w:instrText>
            </w:r>
            <w:r w:rsidR="00FD32BC" w:rsidRPr="001B5215">
              <w:rPr>
                <w:rFonts w:ascii="Arial" w:hAnsi="Arial" w:cs="Arial"/>
                <w:noProof/>
                <w:webHidden/>
                <w:sz w:val="22"/>
              </w:rPr>
            </w:r>
            <w:r w:rsidR="00FD32BC" w:rsidRPr="001B5215">
              <w:rPr>
                <w:rFonts w:ascii="Arial" w:hAnsi="Arial" w:cs="Arial"/>
                <w:noProof/>
                <w:webHidden/>
                <w:sz w:val="22"/>
              </w:rPr>
              <w:fldChar w:fldCharType="separate"/>
            </w:r>
            <w:r w:rsidR="00FD32BC" w:rsidRPr="001B5215">
              <w:rPr>
                <w:rFonts w:ascii="Arial" w:hAnsi="Arial" w:cs="Arial"/>
                <w:noProof/>
                <w:webHidden/>
                <w:sz w:val="22"/>
              </w:rPr>
              <w:t>8</w:t>
            </w:r>
            <w:r w:rsidR="00FD32BC" w:rsidRPr="001B5215">
              <w:rPr>
                <w:rFonts w:ascii="Arial" w:hAnsi="Arial" w:cs="Arial"/>
                <w:noProof/>
                <w:webHidden/>
                <w:sz w:val="22"/>
              </w:rPr>
              <w:fldChar w:fldCharType="end"/>
            </w:r>
          </w:hyperlink>
        </w:p>
        <w:p w14:paraId="4E227B90" w14:textId="2BE8F70B" w:rsidR="0094702B" w:rsidRPr="001B5215" w:rsidRDefault="0094702B" w:rsidP="001B5215">
          <w:pPr>
            <w:rPr>
              <w:rFonts w:ascii="Arial" w:hAnsi="Arial" w:cs="Arial"/>
              <w:sz w:val="22"/>
            </w:rPr>
          </w:pPr>
          <w:r w:rsidRPr="001B5215">
            <w:rPr>
              <w:rFonts w:ascii="Arial" w:hAnsi="Arial" w:cs="Arial"/>
              <w:b/>
              <w:bCs/>
              <w:noProof/>
              <w:sz w:val="22"/>
            </w:rPr>
            <w:fldChar w:fldCharType="end"/>
          </w:r>
        </w:p>
      </w:sdtContent>
    </w:sdt>
    <w:p w14:paraId="64EEF782" w14:textId="3E9A11DD" w:rsidR="00286374" w:rsidRPr="001B5215" w:rsidRDefault="00286374" w:rsidP="001B5215">
      <w:pPr>
        <w:jc w:val="left"/>
        <w:rPr>
          <w:rFonts w:ascii="Arial" w:hAnsi="Arial" w:cs="Arial"/>
          <w:sz w:val="22"/>
        </w:rPr>
      </w:pPr>
      <w:r w:rsidRPr="001B5215">
        <w:rPr>
          <w:rFonts w:ascii="Arial" w:hAnsi="Arial" w:cs="Arial"/>
          <w:sz w:val="22"/>
        </w:rPr>
        <w:br w:type="page"/>
      </w:r>
    </w:p>
    <w:p w14:paraId="38C404FB" w14:textId="77777777" w:rsidR="00B01D43" w:rsidRPr="001B5215" w:rsidRDefault="00B01D43" w:rsidP="001B5215">
      <w:pPr>
        <w:pStyle w:val="Heading1"/>
        <w:rPr>
          <w:rFonts w:ascii="Arial" w:hAnsi="Arial" w:cs="Arial"/>
          <w:sz w:val="22"/>
          <w:szCs w:val="22"/>
        </w:rPr>
        <w:sectPr w:rsidR="00B01D43" w:rsidRPr="001B5215">
          <w:pgSz w:w="12240" w:h="15840"/>
          <w:pgMar w:top="1440" w:right="1440" w:bottom="1440" w:left="1440" w:header="720" w:footer="720" w:gutter="0"/>
          <w:cols w:space="720"/>
          <w:docGrid w:linePitch="360"/>
        </w:sectPr>
      </w:pPr>
    </w:p>
    <w:p w14:paraId="3FDE556C" w14:textId="77777777" w:rsidR="00286374" w:rsidRPr="001B5215" w:rsidRDefault="00286374" w:rsidP="001B5215">
      <w:pPr>
        <w:pStyle w:val="Heading1"/>
        <w:rPr>
          <w:rFonts w:ascii="Arial" w:hAnsi="Arial" w:cs="Arial"/>
          <w:sz w:val="22"/>
          <w:szCs w:val="22"/>
        </w:rPr>
      </w:pPr>
      <w:bookmarkStart w:id="0" w:name="_Toc193402752"/>
      <w:r w:rsidRPr="001B5215">
        <w:rPr>
          <w:rFonts w:ascii="Arial" w:hAnsi="Arial" w:cs="Arial"/>
          <w:sz w:val="22"/>
          <w:szCs w:val="22"/>
        </w:rPr>
        <w:lastRenderedPageBreak/>
        <w:t>Introduction</w:t>
      </w:r>
      <w:bookmarkEnd w:id="0"/>
    </w:p>
    <w:p w14:paraId="38943612" w14:textId="76225BB5" w:rsidR="00C05324" w:rsidRPr="001B5215" w:rsidRDefault="00C05324" w:rsidP="001B5215">
      <w:pPr>
        <w:rPr>
          <w:rFonts w:ascii="Arial" w:hAnsi="Arial" w:cs="Arial"/>
          <w:sz w:val="22"/>
        </w:rPr>
      </w:pPr>
      <w:r w:rsidRPr="001B5215">
        <w:rPr>
          <w:rFonts w:ascii="Arial" w:hAnsi="Arial" w:cs="Arial"/>
          <w:sz w:val="22"/>
        </w:rPr>
        <w:t>Project management depends on contracts to distribute duties and address project threats among owners who need to fulfill predefined project requirements. Project managers guide the entire project duration spanning planning to execution to closure toward achieving specified targets and staying within time constraints and budget limita</w:t>
      </w:r>
      <w:r w:rsidR="00C36A67">
        <w:rPr>
          <w:rFonts w:ascii="Arial" w:hAnsi="Arial" w:cs="Arial"/>
          <w:sz w:val="22"/>
        </w:rPr>
        <w:t>tions (</w:t>
      </w:r>
      <w:proofErr w:type="spellStart"/>
      <w:r w:rsidR="00C36A67">
        <w:rPr>
          <w:rFonts w:ascii="Arial" w:hAnsi="Arial" w:cs="Arial"/>
          <w:sz w:val="22"/>
        </w:rPr>
        <w:t>Orieno</w:t>
      </w:r>
      <w:proofErr w:type="spellEnd"/>
      <w:r w:rsidR="00C36A67">
        <w:rPr>
          <w:rFonts w:ascii="Arial" w:hAnsi="Arial" w:cs="Arial"/>
          <w:sz w:val="22"/>
        </w:rPr>
        <w:t>, et. al., 2024). Bo</w:t>
      </w:r>
      <w:r w:rsidRPr="001B5215">
        <w:rPr>
          <w:rFonts w:ascii="Arial" w:hAnsi="Arial" w:cs="Arial"/>
          <w:sz w:val="22"/>
        </w:rPr>
        <w:t xml:space="preserve">ard members need to choose an appropriate contracting method because such methodologies determine both project efficiency as well as cost management and risk allocation. Project contracting selection depends on unique project demands with variables such as complexity </w:t>
      </w:r>
      <w:bookmarkStart w:id="1" w:name="_GoBack"/>
      <w:bookmarkEnd w:id="1"/>
      <w:r w:rsidRPr="001B5215">
        <w:rPr>
          <w:rFonts w:ascii="Arial" w:hAnsi="Arial" w:cs="Arial"/>
          <w:sz w:val="22"/>
        </w:rPr>
        <w:t>degree and financial costs and owner skill level (Vergara, et. al., 2024). The disability in owner influence alongside streamlined project management defines turnkey contracting although a single contractor handles complete project delivery. Using a multi-contract system allows owners to manage separate agreements more effectively yet they sacrifice project coordination quality (Gouda Mohamed, et. al., 2024).</w:t>
      </w:r>
      <w:r w:rsidR="00AD0CF4" w:rsidRPr="001B5215">
        <w:rPr>
          <w:rFonts w:ascii="Arial" w:hAnsi="Arial" w:cs="Arial"/>
          <w:sz w:val="22"/>
        </w:rPr>
        <w:t xml:space="preserve"> </w:t>
      </w:r>
      <w:bookmarkStart w:id="2" w:name="_Toc193402753"/>
      <w:r w:rsidRPr="001B5215">
        <w:rPr>
          <w:rFonts w:ascii="Arial" w:hAnsi="Arial" w:cs="Arial"/>
          <w:sz w:val="22"/>
        </w:rPr>
        <w:t>Owners who manage projects by themselves have full authority over construction but need both excellent understanding and extensive experience in risk management to maintain low costs. Through the combination of Multicontract + DIY model owners maintain expert assistance to oversee their projects efficiently. Businesses must select the most appropriate contractual framework for every project that aligns with project requirements together with stakeholder expertise and operational needs. This paper evaluates the four-project contracting options by examining organizational advantages and restrictions which determine their appropriate project applications.</w:t>
      </w:r>
    </w:p>
    <w:p w14:paraId="68A16E5C" w14:textId="18816F36" w:rsidR="00203465" w:rsidRPr="001B5215" w:rsidRDefault="00203465" w:rsidP="001B5215">
      <w:pPr>
        <w:pStyle w:val="Heading1"/>
        <w:rPr>
          <w:rFonts w:ascii="Arial" w:hAnsi="Arial" w:cs="Arial"/>
          <w:sz w:val="22"/>
          <w:szCs w:val="22"/>
        </w:rPr>
      </w:pPr>
      <w:r w:rsidRPr="001B5215">
        <w:rPr>
          <w:rFonts w:ascii="Arial" w:hAnsi="Arial" w:cs="Arial"/>
          <w:sz w:val="22"/>
          <w:szCs w:val="22"/>
        </w:rPr>
        <w:t>Main Body</w:t>
      </w:r>
      <w:bookmarkEnd w:id="2"/>
    </w:p>
    <w:p w14:paraId="6C74980E" w14:textId="5FE7D986" w:rsidR="0094702B" w:rsidRPr="001B5215" w:rsidRDefault="00AD0CF4" w:rsidP="001B5215">
      <w:pPr>
        <w:rPr>
          <w:rFonts w:ascii="Arial" w:hAnsi="Arial" w:cs="Arial"/>
          <w:sz w:val="22"/>
        </w:rPr>
      </w:pPr>
      <w:r w:rsidRPr="001B5215">
        <w:rPr>
          <w:rFonts w:ascii="Arial" w:hAnsi="Arial" w:cs="Arial"/>
          <w:sz w:val="22"/>
        </w:rPr>
        <w:t xml:space="preserve">A single contractor under turnkey contracting accepts total responsibility to create and construct a project before delivering it </w:t>
      </w:r>
      <w:r w:rsidR="00987C01" w:rsidRPr="001B5215">
        <w:rPr>
          <w:rFonts w:ascii="Arial" w:hAnsi="Arial" w:cs="Arial"/>
          <w:sz w:val="22"/>
        </w:rPr>
        <w:t xml:space="preserve">to </w:t>
      </w:r>
      <w:r w:rsidRPr="001B5215">
        <w:rPr>
          <w:rFonts w:ascii="Arial" w:hAnsi="Arial" w:cs="Arial"/>
          <w:sz w:val="22"/>
        </w:rPr>
        <w:t>operational readiness for immediate use. The contractor takes full charge of the project life cycle from start to finish after this approach cuts down on the owner's participation in project execution. Owners typically select turnkey contracting because it enables them to concentrate on main business activities while one contractor handles everything from design to operation readiness</w:t>
      </w:r>
      <w:r w:rsidR="00987C01" w:rsidRPr="001B5215">
        <w:rPr>
          <w:rFonts w:ascii="Arial" w:hAnsi="Arial" w:cs="Arial"/>
          <w:sz w:val="22"/>
        </w:rPr>
        <w:t xml:space="preserve"> (</w:t>
      </w:r>
      <w:proofErr w:type="spellStart"/>
      <w:r w:rsidR="00987C01" w:rsidRPr="001B5215">
        <w:rPr>
          <w:rFonts w:ascii="Arial" w:hAnsi="Arial" w:cs="Arial"/>
          <w:sz w:val="22"/>
        </w:rPr>
        <w:t>Orieno</w:t>
      </w:r>
      <w:proofErr w:type="spellEnd"/>
      <w:r w:rsidR="00987C01" w:rsidRPr="001B5215">
        <w:rPr>
          <w:rFonts w:ascii="Arial" w:hAnsi="Arial" w:cs="Arial"/>
          <w:sz w:val="22"/>
        </w:rPr>
        <w:t>, et. al., 2024)</w:t>
      </w:r>
      <w:r w:rsidRPr="001B5215">
        <w:rPr>
          <w:rFonts w:ascii="Arial" w:hAnsi="Arial" w:cs="Arial"/>
          <w:sz w:val="22"/>
        </w:rPr>
        <w:t xml:space="preserve">. The primary benefit </w:t>
      </w:r>
      <w:r w:rsidR="00987C01" w:rsidRPr="001B5215">
        <w:rPr>
          <w:rFonts w:ascii="Arial" w:hAnsi="Arial" w:cs="Arial"/>
          <w:sz w:val="22"/>
        </w:rPr>
        <w:t>of</w:t>
      </w:r>
      <w:r w:rsidRPr="001B5215">
        <w:rPr>
          <w:rFonts w:ascii="Arial" w:hAnsi="Arial" w:cs="Arial"/>
          <w:sz w:val="22"/>
        </w:rPr>
        <w:t xml:space="preserve"> turnkey contracting provides owners with guaranteed set prices throughout the project period. The pre-established fixed-price contract of this model allows owners to maintain controlled financial requirements and protect themselves from excessive budget expansion risks. Cost increases matter to the contractor rather than the owner because this arrangement protects owners from spending more money than planned. The owner encounters fewer coordination </w:t>
      </w:r>
      <w:r w:rsidRPr="001B5215">
        <w:rPr>
          <w:rFonts w:ascii="Arial" w:hAnsi="Arial" w:cs="Arial"/>
          <w:sz w:val="22"/>
        </w:rPr>
        <w:lastRenderedPageBreak/>
        <w:t>challenges through turnkey contracting because they work with one entity instead of many subcontractors</w:t>
      </w:r>
      <w:r w:rsidR="00987C01" w:rsidRPr="001B5215">
        <w:rPr>
          <w:rFonts w:ascii="Arial" w:hAnsi="Arial" w:cs="Arial"/>
          <w:sz w:val="22"/>
        </w:rPr>
        <w:t xml:space="preserve"> (Yan, et. al., 2024)</w:t>
      </w:r>
      <w:r w:rsidRPr="001B5215">
        <w:rPr>
          <w:rFonts w:ascii="Arial" w:hAnsi="Arial" w:cs="Arial"/>
          <w:sz w:val="22"/>
        </w:rPr>
        <w:t>. By centralizing decisions to one entity the project management streamlines information exchange speeds up executive choices and improves total project productivity. EVERY aspect of project execution falls under one contractor's responsibility which enables owners to experience continuous workflow while avoiding interruptions. Turnkey contracting features multiple drawbacks which should be considered by users. Once a turnkey project enters execution there is minimal control that owners maintain over its progress. Owners lose control of decision-making authority regarding design and construction because the contractor bears total responsibility. Some concern arises from owners not having direct oversight since the final production might fail to match their developing needs and changing expectations. Projects face significant drawbacks because all project risks are concentrated within one entity</w:t>
      </w:r>
      <w:r w:rsidR="00987C01" w:rsidRPr="001B5215">
        <w:rPr>
          <w:rFonts w:ascii="Arial" w:hAnsi="Arial" w:cs="Arial"/>
          <w:sz w:val="22"/>
        </w:rPr>
        <w:t xml:space="preserve"> (</w:t>
      </w:r>
      <w:proofErr w:type="spellStart"/>
      <w:r w:rsidR="00987C01" w:rsidRPr="001B5215">
        <w:rPr>
          <w:rFonts w:ascii="Arial" w:hAnsi="Arial" w:cs="Arial"/>
          <w:sz w:val="22"/>
        </w:rPr>
        <w:t>Orieno</w:t>
      </w:r>
      <w:proofErr w:type="spellEnd"/>
      <w:r w:rsidR="00987C01" w:rsidRPr="001B5215">
        <w:rPr>
          <w:rFonts w:ascii="Arial" w:hAnsi="Arial" w:cs="Arial"/>
          <w:sz w:val="22"/>
        </w:rPr>
        <w:t>, et. al., 2024)</w:t>
      </w:r>
      <w:r w:rsidRPr="001B5215">
        <w:rPr>
          <w:rFonts w:ascii="Arial" w:hAnsi="Arial" w:cs="Arial"/>
          <w:sz w:val="22"/>
        </w:rPr>
        <w:t>. The contractor becomes responsible for a substantial portion of project responsibilities thus facing potential conflicts when delays or quality problems or unexpected challenges happen. Owners who find their contractor has failed to deliver on agreed terms become exposed to time-consuming legal expenses and delayed project completion. Turnkey contracting works best for large-scale initiatives that need efficient implementation despite the project-related dangers. The turnkey method applies to major industrial plants and complex infrastructure developments and vast commercial projects because it ensures maximum efficiency through minimal owner involvement</w:t>
      </w:r>
      <w:r w:rsidR="00987C01" w:rsidRPr="001B5215">
        <w:rPr>
          <w:rFonts w:ascii="Arial" w:hAnsi="Arial" w:cs="Arial"/>
          <w:sz w:val="22"/>
        </w:rPr>
        <w:t xml:space="preserve"> (</w:t>
      </w:r>
      <w:proofErr w:type="spellStart"/>
      <w:r w:rsidR="00987C01" w:rsidRPr="001B5215">
        <w:rPr>
          <w:rFonts w:ascii="Arial" w:hAnsi="Arial" w:cs="Arial"/>
          <w:sz w:val="22"/>
        </w:rPr>
        <w:t>Donati</w:t>
      </w:r>
      <w:proofErr w:type="spellEnd"/>
      <w:r w:rsidR="00987C01" w:rsidRPr="001B5215">
        <w:rPr>
          <w:rFonts w:ascii="Arial" w:hAnsi="Arial" w:cs="Arial"/>
          <w:sz w:val="22"/>
        </w:rPr>
        <w:t>, et. al., 2024)</w:t>
      </w:r>
      <w:r w:rsidRPr="001B5215">
        <w:rPr>
          <w:rFonts w:ascii="Arial" w:hAnsi="Arial" w:cs="Arial"/>
          <w:sz w:val="22"/>
        </w:rPr>
        <w:t>. Through collaboration with an experienced contractor who demonstrates consistent success owners can reduce the project risks and achieve a fortunate project completion. Organizations should choose turnkey contracting when they need cost surety combined with clear objectives and fewer owner interference requirements.</w:t>
      </w:r>
    </w:p>
    <w:p w14:paraId="05C996A2" w14:textId="7FF643D1" w:rsidR="00660A96" w:rsidRPr="001B5215" w:rsidRDefault="00660A96" w:rsidP="001B5215">
      <w:pPr>
        <w:rPr>
          <w:rFonts w:ascii="Arial" w:hAnsi="Arial" w:cs="Arial"/>
          <w:sz w:val="22"/>
        </w:rPr>
      </w:pPr>
      <w:r w:rsidRPr="001B5215">
        <w:rPr>
          <w:rFonts w:ascii="Arial" w:hAnsi="Arial" w:cs="Arial"/>
          <w:sz w:val="22"/>
        </w:rPr>
        <w:t xml:space="preserve">The </w:t>
      </w:r>
      <w:r w:rsidR="00987C01" w:rsidRPr="001B5215">
        <w:rPr>
          <w:rFonts w:ascii="Arial" w:hAnsi="Arial" w:cs="Arial"/>
          <w:sz w:val="22"/>
        </w:rPr>
        <w:t>multi-contract</w:t>
      </w:r>
      <w:r w:rsidRPr="001B5215">
        <w:rPr>
          <w:rFonts w:ascii="Arial" w:hAnsi="Arial" w:cs="Arial"/>
          <w:sz w:val="22"/>
        </w:rPr>
        <w:t xml:space="preserve"> approach enables owners to delegate project responsibilities through direct </w:t>
      </w:r>
      <w:r w:rsidR="00987C01" w:rsidRPr="001B5215">
        <w:rPr>
          <w:rFonts w:ascii="Arial" w:hAnsi="Arial" w:cs="Arial"/>
          <w:sz w:val="22"/>
        </w:rPr>
        <w:t>owner-trade</w:t>
      </w:r>
      <w:r w:rsidRPr="001B5215">
        <w:rPr>
          <w:rFonts w:ascii="Arial" w:hAnsi="Arial" w:cs="Arial"/>
          <w:sz w:val="22"/>
        </w:rPr>
        <w:t xml:space="preserve"> agreements serving individual project sections. Though turnkey contracting gives one entity full system oversight this method grants owners full operational authority by letting </w:t>
      </w:r>
      <w:proofErr w:type="gramStart"/>
      <w:r w:rsidRPr="001B5215">
        <w:rPr>
          <w:rFonts w:ascii="Arial" w:hAnsi="Arial" w:cs="Arial"/>
          <w:sz w:val="22"/>
        </w:rPr>
        <w:t>them</w:t>
      </w:r>
      <w:proofErr w:type="gramEnd"/>
      <w:r w:rsidRPr="001B5215">
        <w:rPr>
          <w:rFonts w:ascii="Arial" w:hAnsi="Arial" w:cs="Arial"/>
          <w:sz w:val="22"/>
        </w:rPr>
        <w:t xml:space="preserve"> direct financial aspects and subcontractor management during project activities</w:t>
      </w:r>
      <w:r w:rsidR="00987C01" w:rsidRPr="001B5215">
        <w:rPr>
          <w:rFonts w:ascii="Arial" w:hAnsi="Arial" w:cs="Arial"/>
          <w:sz w:val="22"/>
        </w:rPr>
        <w:t xml:space="preserve"> (Alvarez-</w:t>
      </w:r>
      <w:proofErr w:type="spellStart"/>
      <w:r w:rsidR="00987C01" w:rsidRPr="001B5215">
        <w:rPr>
          <w:rFonts w:ascii="Arial" w:hAnsi="Arial" w:cs="Arial"/>
          <w:sz w:val="22"/>
        </w:rPr>
        <w:t>Pozo</w:t>
      </w:r>
      <w:proofErr w:type="spellEnd"/>
      <w:r w:rsidR="00987C01" w:rsidRPr="001B5215">
        <w:rPr>
          <w:rFonts w:ascii="Arial" w:hAnsi="Arial" w:cs="Arial"/>
          <w:sz w:val="22"/>
        </w:rPr>
        <w:t>, et. al., 2024)</w:t>
      </w:r>
      <w:r w:rsidRPr="001B5215">
        <w:rPr>
          <w:rFonts w:ascii="Arial" w:hAnsi="Arial" w:cs="Arial"/>
          <w:sz w:val="22"/>
        </w:rPr>
        <w:t xml:space="preserve">. The direct management of contractors' agreements allows owners to create projects matching their requirements so each stage meets their standards and vision. The project benefits from this method because one contractor alone cannot provide all </w:t>
      </w:r>
      <w:r w:rsidR="003B2296" w:rsidRPr="001B5215">
        <w:rPr>
          <w:rFonts w:ascii="Arial" w:hAnsi="Arial" w:cs="Arial"/>
          <w:sz w:val="22"/>
        </w:rPr>
        <w:t xml:space="preserve">the </w:t>
      </w:r>
      <w:r w:rsidRPr="001B5215">
        <w:rPr>
          <w:rFonts w:ascii="Arial" w:hAnsi="Arial" w:cs="Arial"/>
          <w:sz w:val="22"/>
        </w:rPr>
        <w:t xml:space="preserve">required expertise needed across different disciplines. The </w:t>
      </w:r>
      <w:r w:rsidR="003B2296" w:rsidRPr="001B5215">
        <w:rPr>
          <w:rFonts w:ascii="Arial" w:hAnsi="Arial" w:cs="Arial"/>
          <w:sz w:val="22"/>
        </w:rPr>
        <w:t>multi-contract</w:t>
      </w:r>
      <w:r w:rsidRPr="001B5215">
        <w:rPr>
          <w:rFonts w:ascii="Arial" w:hAnsi="Arial" w:cs="Arial"/>
          <w:sz w:val="22"/>
        </w:rPr>
        <w:t xml:space="preserve"> approach delivers owners with improved control functions as a significant advantage. Successful oversight of project quality assurance and budget management becomes possible through owner-initiated specialist </w:t>
      </w:r>
      <w:r w:rsidRPr="001B5215">
        <w:rPr>
          <w:rFonts w:ascii="Arial" w:hAnsi="Arial" w:cs="Arial"/>
          <w:sz w:val="22"/>
        </w:rPr>
        <w:lastRenderedPageBreak/>
        <w:t>contracting for different project elements. Because owners retain direct involvement</w:t>
      </w:r>
      <w:r w:rsidR="003B2296" w:rsidRPr="001B5215">
        <w:rPr>
          <w:rFonts w:ascii="Arial" w:hAnsi="Arial" w:cs="Arial"/>
          <w:sz w:val="22"/>
        </w:rPr>
        <w:t>,</w:t>
      </w:r>
      <w:r w:rsidRPr="001B5215">
        <w:rPr>
          <w:rFonts w:ascii="Arial" w:hAnsi="Arial" w:cs="Arial"/>
          <w:sz w:val="22"/>
        </w:rPr>
        <w:t xml:space="preserve"> they need less general contractor oversight which lets them handle problems instantly to implement required changes</w:t>
      </w:r>
      <w:r w:rsidR="003B2296" w:rsidRPr="001B5215">
        <w:rPr>
          <w:rFonts w:ascii="Arial" w:hAnsi="Arial" w:cs="Arial"/>
          <w:sz w:val="22"/>
        </w:rPr>
        <w:t xml:space="preserve"> (</w:t>
      </w:r>
      <w:proofErr w:type="spellStart"/>
      <w:r w:rsidR="003B2296" w:rsidRPr="001B5215">
        <w:rPr>
          <w:rFonts w:ascii="Arial" w:hAnsi="Arial" w:cs="Arial"/>
          <w:sz w:val="22"/>
        </w:rPr>
        <w:t>Orieno</w:t>
      </w:r>
      <w:proofErr w:type="spellEnd"/>
      <w:r w:rsidR="003B2296" w:rsidRPr="001B5215">
        <w:rPr>
          <w:rFonts w:ascii="Arial" w:hAnsi="Arial" w:cs="Arial"/>
          <w:sz w:val="22"/>
        </w:rPr>
        <w:t>, et. al., 2024)</w:t>
      </w:r>
      <w:r w:rsidRPr="001B5215">
        <w:rPr>
          <w:rFonts w:ascii="Arial" w:hAnsi="Arial" w:cs="Arial"/>
          <w:sz w:val="22"/>
        </w:rPr>
        <w:t xml:space="preserve">. The direct relationship between owners and contractors creates better communication which reduces misinterpretation problems normally associated with general contractor mediation. Better alignment of project goals happens through the improved communications that emerge from direct contact. The </w:t>
      </w:r>
      <w:r w:rsidR="003B2296" w:rsidRPr="001B5215">
        <w:rPr>
          <w:rFonts w:ascii="Arial" w:hAnsi="Arial" w:cs="Arial"/>
          <w:sz w:val="22"/>
        </w:rPr>
        <w:t>multi-contract</w:t>
      </w:r>
      <w:r w:rsidRPr="001B5215">
        <w:rPr>
          <w:rFonts w:ascii="Arial" w:hAnsi="Arial" w:cs="Arial"/>
          <w:sz w:val="22"/>
        </w:rPr>
        <w:t xml:space="preserve"> method provides adjustable structures that work best for projects which need different specialist involvement during different stages. The project needs of owners determine when to hire contractors sequentially thus optimizing resource usage and promoting flexibility in projects. The multicontract approach brings several benefits yet functionality problems exist within this structure. An owner faces higher financial risks as a main disadvantage of this approach. The protected owner incurs all cost overruns that stem from contractor mismanagement and unforeseen project events because there </w:t>
      </w:r>
      <w:proofErr w:type="gramStart"/>
      <w:r w:rsidRPr="001B5215">
        <w:rPr>
          <w:rFonts w:ascii="Arial" w:hAnsi="Arial" w:cs="Arial"/>
          <w:sz w:val="22"/>
        </w:rPr>
        <w:t>exists</w:t>
      </w:r>
      <w:proofErr w:type="gramEnd"/>
      <w:r w:rsidRPr="001B5215">
        <w:rPr>
          <w:rFonts w:ascii="Arial" w:hAnsi="Arial" w:cs="Arial"/>
          <w:sz w:val="22"/>
        </w:rPr>
        <w:t xml:space="preserve"> no unified contractor overseeing project execution. A budgetary catastrophe can be avoided through proper financial monitoring and risk evaluation activities. Owners face considerable difficulties because they must manage numerous independent contractors</w:t>
      </w:r>
      <w:r w:rsidR="003B2296" w:rsidRPr="001B5215">
        <w:rPr>
          <w:rFonts w:ascii="Arial" w:hAnsi="Arial" w:cs="Arial"/>
          <w:sz w:val="22"/>
        </w:rPr>
        <w:t xml:space="preserve"> (Salman, et. al., 2024)</w:t>
      </w:r>
      <w:r w:rsidRPr="001B5215">
        <w:rPr>
          <w:rFonts w:ascii="Arial" w:hAnsi="Arial" w:cs="Arial"/>
          <w:sz w:val="22"/>
        </w:rPr>
        <w:t xml:space="preserve">. Physical oversight of multiple independent teams needs </w:t>
      </w:r>
      <w:r w:rsidR="003B2296" w:rsidRPr="001B5215">
        <w:rPr>
          <w:rFonts w:ascii="Arial" w:hAnsi="Arial" w:cs="Arial"/>
          <w:sz w:val="22"/>
        </w:rPr>
        <w:t xml:space="preserve">a </w:t>
      </w:r>
      <w:r w:rsidRPr="001B5215">
        <w:rPr>
          <w:rFonts w:ascii="Arial" w:hAnsi="Arial" w:cs="Arial"/>
          <w:sz w:val="22"/>
        </w:rPr>
        <w:t xml:space="preserve">deep understanding </w:t>
      </w:r>
      <w:r w:rsidR="003B2296" w:rsidRPr="001B5215">
        <w:rPr>
          <w:rFonts w:ascii="Arial" w:hAnsi="Arial" w:cs="Arial"/>
          <w:sz w:val="22"/>
        </w:rPr>
        <w:t>of</w:t>
      </w:r>
      <w:r w:rsidRPr="001B5215">
        <w:rPr>
          <w:rFonts w:ascii="Arial" w:hAnsi="Arial" w:cs="Arial"/>
          <w:sz w:val="22"/>
        </w:rPr>
        <w:t xml:space="preserve"> project schedules and dispute resolution as well as advanced project management knowledge. Organizational skills of adequate strength create essential foundations to avoid delays along with efficiency problems and contractor disputes. One major difficulty with no clear point of responsibility arises because it prevents proper accountability assignment in case of problems thereby making project execution more complicated. The multicontract procedure functions most effectively when it applies to major development works with continuous stages including commercial and residential endeavors. Cold projects demand multiple specialized skills from various sectors so direct subcontracting </w:t>
      </w:r>
      <w:proofErr w:type="gramStart"/>
      <w:r w:rsidRPr="001B5215">
        <w:rPr>
          <w:rFonts w:ascii="Arial" w:hAnsi="Arial" w:cs="Arial"/>
          <w:sz w:val="22"/>
        </w:rPr>
        <w:t>proves</w:t>
      </w:r>
      <w:proofErr w:type="gramEnd"/>
      <w:r w:rsidRPr="001B5215">
        <w:rPr>
          <w:rFonts w:ascii="Arial" w:hAnsi="Arial" w:cs="Arial"/>
          <w:sz w:val="22"/>
        </w:rPr>
        <w:t xml:space="preserve"> to be a viable solution. Albeit challenging, owners who either possess project management backgrounds or possess qualified construction managers will gain control of costs together with flexibility through this contracting approach. People without expertise in handling several contracts will encounter risks that exceed potential advantages. A multicontract approach succeeds when owners successfully manage and coordinate multiple contractors beyond basic customization and oversight functions</w:t>
      </w:r>
      <w:r w:rsidR="003B2296" w:rsidRPr="001B5215">
        <w:rPr>
          <w:rFonts w:ascii="Arial" w:hAnsi="Arial" w:cs="Arial"/>
          <w:sz w:val="22"/>
        </w:rPr>
        <w:t xml:space="preserve"> (</w:t>
      </w:r>
      <w:proofErr w:type="spellStart"/>
      <w:r w:rsidR="003B2296" w:rsidRPr="001B5215">
        <w:rPr>
          <w:rFonts w:ascii="Arial" w:hAnsi="Arial" w:cs="Arial"/>
          <w:sz w:val="22"/>
        </w:rPr>
        <w:t>Orieno</w:t>
      </w:r>
      <w:proofErr w:type="spellEnd"/>
      <w:r w:rsidR="003B2296" w:rsidRPr="001B5215">
        <w:rPr>
          <w:rFonts w:ascii="Arial" w:hAnsi="Arial" w:cs="Arial"/>
          <w:sz w:val="22"/>
        </w:rPr>
        <w:t>, et. al., 2024)</w:t>
      </w:r>
      <w:r w:rsidRPr="001B5215">
        <w:rPr>
          <w:rFonts w:ascii="Arial" w:hAnsi="Arial" w:cs="Arial"/>
          <w:sz w:val="22"/>
        </w:rPr>
        <w:t>.</w:t>
      </w:r>
    </w:p>
    <w:p w14:paraId="701EA880" w14:textId="2DBF7F45" w:rsidR="0094702B" w:rsidRPr="001B5215" w:rsidRDefault="00FC747F" w:rsidP="001B5215">
      <w:pPr>
        <w:rPr>
          <w:rFonts w:ascii="Arial" w:hAnsi="Arial" w:cs="Arial"/>
          <w:sz w:val="22"/>
        </w:rPr>
      </w:pPr>
      <w:r w:rsidRPr="001B5215">
        <w:rPr>
          <w:rFonts w:ascii="Arial" w:hAnsi="Arial" w:cs="Arial"/>
          <w:sz w:val="22"/>
        </w:rPr>
        <w:t>DIY contracting represents a project management approach where owners handle the complete planning and execution tasks for their projects by not engaging professional contractors. Through this approach</w:t>
      </w:r>
      <w:r w:rsidR="003B2296" w:rsidRPr="001B5215">
        <w:rPr>
          <w:rFonts w:ascii="Arial" w:hAnsi="Arial" w:cs="Arial"/>
          <w:sz w:val="22"/>
        </w:rPr>
        <w:t>,</w:t>
      </w:r>
      <w:r w:rsidRPr="001B5215">
        <w:rPr>
          <w:rFonts w:ascii="Arial" w:hAnsi="Arial" w:cs="Arial"/>
          <w:sz w:val="22"/>
        </w:rPr>
        <w:t xml:space="preserve"> the owner maintains absolute leadership across entire project activities </w:t>
      </w:r>
      <w:r w:rsidRPr="001B5215">
        <w:rPr>
          <w:rFonts w:ascii="Arial" w:hAnsi="Arial" w:cs="Arial"/>
          <w:sz w:val="22"/>
        </w:rPr>
        <w:lastRenderedPageBreak/>
        <w:t>including planning phases and procurement stages alongside quality assessment duties</w:t>
      </w:r>
      <w:r w:rsidR="003B2296" w:rsidRPr="001B5215">
        <w:rPr>
          <w:rFonts w:ascii="Arial" w:hAnsi="Arial" w:cs="Arial"/>
          <w:sz w:val="22"/>
        </w:rPr>
        <w:t xml:space="preserve"> (</w:t>
      </w:r>
      <w:proofErr w:type="spellStart"/>
      <w:r w:rsidR="003B2296" w:rsidRPr="001B5215">
        <w:rPr>
          <w:rFonts w:ascii="Arial" w:hAnsi="Arial" w:cs="Arial"/>
          <w:sz w:val="22"/>
        </w:rPr>
        <w:t>Atiewi</w:t>
      </w:r>
      <w:proofErr w:type="spellEnd"/>
      <w:r w:rsidR="003B2296" w:rsidRPr="001B5215">
        <w:rPr>
          <w:rFonts w:ascii="Arial" w:hAnsi="Arial" w:cs="Arial"/>
          <w:sz w:val="22"/>
        </w:rPr>
        <w:t>, et. al., 2024)</w:t>
      </w:r>
      <w:r w:rsidRPr="001B5215">
        <w:rPr>
          <w:rFonts w:ascii="Arial" w:hAnsi="Arial" w:cs="Arial"/>
          <w:sz w:val="22"/>
        </w:rPr>
        <w:t xml:space="preserve">. Discounting project supervision to all aspects ensures owners gain full control for achieving their vision through independent project delivery. Those owning definitive knowledge about their project needs value the ability to manage every phase of development which </w:t>
      </w:r>
      <w:r w:rsidR="003B2296" w:rsidRPr="001B5215">
        <w:rPr>
          <w:rFonts w:ascii="Arial" w:hAnsi="Arial" w:cs="Arial"/>
          <w:sz w:val="22"/>
        </w:rPr>
        <w:t xml:space="preserve">the </w:t>
      </w:r>
      <w:r w:rsidRPr="001B5215">
        <w:rPr>
          <w:rFonts w:ascii="Arial" w:hAnsi="Arial" w:cs="Arial"/>
          <w:sz w:val="22"/>
        </w:rPr>
        <w:t>DIY contracting system enables. The main benefit of choosing DIY contracting allows owners to achieve full control. As the decision-making authority owner directly oversees the process making immediate adjustments that avoid the need for contractor consultation. DIY contractors can effectively manage resources and prioritize tasks through self-governance which lets them ensure their project meets exact personal or business needs</w:t>
      </w:r>
      <w:r w:rsidR="003B2296" w:rsidRPr="001B5215">
        <w:rPr>
          <w:rFonts w:ascii="Arial" w:hAnsi="Arial" w:cs="Arial"/>
          <w:sz w:val="22"/>
        </w:rPr>
        <w:t xml:space="preserve"> (</w:t>
      </w:r>
      <w:proofErr w:type="spellStart"/>
      <w:r w:rsidR="003B2296" w:rsidRPr="001B5215">
        <w:rPr>
          <w:rFonts w:ascii="Arial" w:hAnsi="Arial" w:cs="Arial"/>
          <w:sz w:val="22"/>
        </w:rPr>
        <w:t>Narum</w:t>
      </w:r>
      <w:proofErr w:type="spellEnd"/>
      <w:r w:rsidR="003B2296" w:rsidRPr="001B5215">
        <w:rPr>
          <w:rFonts w:ascii="Arial" w:hAnsi="Arial" w:cs="Arial"/>
          <w:sz w:val="22"/>
        </w:rPr>
        <w:t>, et. al., 2024)</w:t>
      </w:r>
      <w:r w:rsidRPr="001B5215">
        <w:rPr>
          <w:rFonts w:ascii="Arial" w:hAnsi="Arial" w:cs="Arial"/>
          <w:sz w:val="22"/>
        </w:rPr>
        <w:t>. The practice of self-management in construction projects allows owners to achieve notable monetary reduction. Through DIY contracting owners gain maximum cost efficiency because they eliminate contractor markup fees while reducing overhead costs and management expenses of the project. People who seek cost optimization with direct oversight find DIY contracting financially beneficial. People who undertake DIY contracting face substantial challenges because it exposes them to many risks. As the owner maintains complete responsibility for project success</w:t>
      </w:r>
      <w:r w:rsidR="003B2296" w:rsidRPr="001B5215">
        <w:rPr>
          <w:rFonts w:ascii="Arial" w:hAnsi="Arial" w:cs="Arial"/>
          <w:sz w:val="22"/>
        </w:rPr>
        <w:t>,</w:t>
      </w:r>
      <w:r w:rsidRPr="001B5215">
        <w:rPr>
          <w:rFonts w:ascii="Arial" w:hAnsi="Arial" w:cs="Arial"/>
          <w:sz w:val="22"/>
        </w:rPr>
        <w:t xml:space="preserve"> they must handle all aspects of delay management unexpected expenses and regulatory needs independently. Professional contractors provide essential expertise because their absence may trigger budgeting and scheduling blunders as well as execution faults producing expensive project delays. The implementation requires both profound knowledge </w:t>
      </w:r>
      <w:r w:rsidR="003B2296" w:rsidRPr="001B5215">
        <w:rPr>
          <w:rFonts w:ascii="Arial" w:hAnsi="Arial" w:cs="Arial"/>
          <w:sz w:val="22"/>
        </w:rPr>
        <w:t>of</w:t>
      </w:r>
      <w:r w:rsidRPr="001B5215">
        <w:rPr>
          <w:rFonts w:ascii="Arial" w:hAnsi="Arial" w:cs="Arial"/>
          <w:sz w:val="22"/>
        </w:rPr>
        <w:t xml:space="preserve"> project management as well as construction practices and industry regulatory requirements. The success of self-managed projects may suffer from coordination difficulties between project components because inexperienced owners do not execute these tasks efficiently</w:t>
      </w:r>
      <w:r w:rsidR="003B2296" w:rsidRPr="001B5215">
        <w:rPr>
          <w:rFonts w:ascii="Arial" w:hAnsi="Arial" w:cs="Arial"/>
          <w:sz w:val="22"/>
        </w:rPr>
        <w:t xml:space="preserve"> (</w:t>
      </w:r>
      <w:proofErr w:type="spellStart"/>
      <w:r w:rsidR="003B2296" w:rsidRPr="001B5215">
        <w:rPr>
          <w:rFonts w:ascii="Arial" w:hAnsi="Arial" w:cs="Arial"/>
          <w:sz w:val="22"/>
        </w:rPr>
        <w:t>Orieno</w:t>
      </w:r>
      <w:proofErr w:type="spellEnd"/>
      <w:r w:rsidR="003B2296" w:rsidRPr="001B5215">
        <w:rPr>
          <w:rFonts w:ascii="Arial" w:hAnsi="Arial" w:cs="Arial"/>
          <w:sz w:val="22"/>
        </w:rPr>
        <w:t>, et. al., 2024)</w:t>
      </w:r>
      <w:r w:rsidRPr="001B5215">
        <w:rPr>
          <w:rFonts w:ascii="Arial" w:hAnsi="Arial" w:cs="Arial"/>
          <w:sz w:val="22"/>
        </w:rPr>
        <w:t xml:space="preserve">. Hiring DIY contractors for project management is an optimal approach when owners have tackled similar projects before. The technique excels at renovating properties as well as home construction and rare specific ventures that need specialized implementation. Owners who possess project management experience and available time for task execution can benefit most from DIY contracting through enhanced control and inferior costs. Individuals who lack experience should think twice about using DIY contracting due to substantial risks that can reach beyond the potential benefits for complex developments. DIY contracting will achieve its goals when owners demonstrate adequate resource management skills while overcoming obstacles and applying precise execution methods. The </w:t>
      </w:r>
      <w:r w:rsidR="003B2296" w:rsidRPr="001B5215">
        <w:rPr>
          <w:rFonts w:ascii="Arial" w:hAnsi="Arial" w:cs="Arial"/>
          <w:sz w:val="22"/>
        </w:rPr>
        <w:t>multi-contract</w:t>
      </w:r>
      <w:r w:rsidRPr="001B5215">
        <w:rPr>
          <w:rFonts w:ascii="Arial" w:hAnsi="Arial" w:cs="Arial"/>
          <w:sz w:val="22"/>
        </w:rPr>
        <w:t xml:space="preserve"> + DIY approach unites various project management elements between </w:t>
      </w:r>
      <w:r w:rsidR="003B2296" w:rsidRPr="001B5215">
        <w:rPr>
          <w:rFonts w:ascii="Arial" w:hAnsi="Arial" w:cs="Arial"/>
          <w:sz w:val="22"/>
        </w:rPr>
        <w:t>multi contracting</w:t>
      </w:r>
      <w:r w:rsidRPr="001B5215">
        <w:rPr>
          <w:rFonts w:ascii="Arial" w:hAnsi="Arial" w:cs="Arial"/>
          <w:sz w:val="22"/>
        </w:rPr>
        <w:t xml:space="preserve"> and do-it-yourself (DIY) contracting practices</w:t>
      </w:r>
      <w:r w:rsidR="003B2296" w:rsidRPr="001B5215">
        <w:rPr>
          <w:rFonts w:ascii="Arial" w:hAnsi="Arial" w:cs="Arial"/>
          <w:sz w:val="22"/>
        </w:rPr>
        <w:t xml:space="preserve"> (</w:t>
      </w:r>
      <w:proofErr w:type="spellStart"/>
      <w:r w:rsidR="003B2296" w:rsidRPr="001B5215">
        <w:rPr>
          <w:rFonts w:ascii="Arial" w:hAnsi="Arial" w:cs="Arial"/>
          <w:sz w:val="22"/>
        </w:rPr>
        <w:t>Kandaswamy</w:t>
      </w:r>
      <w:proofErr w:type="spellEnd"/>
      <w:r w:rsidR="003B2296" w:rsidRPr="001B5215">
        <w:rPr>
          <w:rFonts w:ascii="Arial" w:hAnsi="Arial" w:cs="Arial"/>
          <w:sz w:val="22"/>
        </w:rPr>
        <w:t>, et. al., 2024)</w:t>
      </w:r>
      <w:r w:rsidRPr="001B5215">
        <w:rPr>
          <w:rFonts w:ascii="Arial" w:hAnsi="Arial" w:cs="Arial"/>
          <w:sz w:val="22"/>
        </w:rPr>
        <w:t xml:space="preserve">. Owners under this method get to manage </w:t>
      </w:r>
      <w:r w:rsidRPr="001B5215">
        <w:rPr>
          <w:rFonts w:ascii="Arial" w:hAnsi="Arial" w:cs="Arial"/>
          <w:sz w:val="22"/>
        </w:rPr>
        <w:lastRenderedPageBreak/>
        <w:t>key portions of their projects personally while appointing external specialists for specific tasks. When business owners apply the multicontract + DIY model they gain the ability to work closely on essential elements together with expert specialists who perform essential complex project work under owner oversight. People who possess basic project management abilities find this method ideal when specific areas of their project require specialized experts outside their core capabilities. The main benefit of this management strategy stems from its capability to maintain steady control measures</w:t>
      </w:r>
      <w:r w:rsidR="003B2296" w:rsidRPr="001B5215">
        <w:rPr>
          <w:rFonts w:ascii="Arial" w:hAnsi="Arial" w:cs="Arial"/>
          <w:sz w:val="22"/>
        </w:rPr>
        <w:t xml:space="preserve"> (Zhou, et. al., 2024)</w:t>
      </w:r>
      <w:r w:rsidRPr="001B5215">
        <w:rPr>
          <w:rFonts w:ascii="Arial" w:hAnsi="Arial" w:cs="Arial"/>
          <w:sz w:val="22"/>
        </w:rPr>
        <w:t xml:space="preserve">. By managing the project implementation process owners can focus on delivering results through delegated tasks to hired contractors who specialize in technical labor or demanding operations. The method </w:t>
      </w:r>
      <w:r w:rsidR="003B2296" w:rsidRPr="001B5215">
        <w:rPr>
          <w:rFonts w:ascii="Arial" w:hAnsi="Arial" w:cs="Arial"/>
          <w:sz w:val="22"/>
        </w:rPr>
        <w:t>guarantees</w:t>
      </w:r>
      <w:r w:rsidRPr="001B5215">
        <w:rPr>
          <w:rFonts w:ascii="Arial" w:hAnsi="Arial" w:cs="Arial"/>
          <w:sz w:val="22"/>
        </w:rPr>
        <w:t xml:space="preserve"> expert control of essential project parts alongside owner-administered important decisions. Owners achieve cost efficiency through selecting which specialized tasks to outsource since they can avoid full-service costs and management expenses with general contractors. Using this method allows contractors to improve budget allocation through reduced full-service costs of turnkey contracts and lower management costs from using general contractors. The </w:t>
      </w:r>
      <w:r w:rsidR="003B2296" w:rsidRPr="001B5215">
        <w:rPr>
          <w:rFonts w:ascii="Arial" w:hAnsi="Arial" w:cs="Arial"/>
          <w:sz w:val="22"/>
        </w:rPr>
        <w:t>multi-contract</w:t>
      </w:r>
      <w:r w:rsidRPr="001B5215">
        <w:rPr>
          <w:rFonts w:ascii="Arial" w:hAnsi="Arial" w:cs="Arial"/>
          <w:sz w:val="22"/>
        </w:rPr>
        <w:t xml:space="preserve"> + DIY approach carries several difficulties that owners must address. Owners encounter main problems because they need to keep self-managed responsibilities in balance with outsourced tasks. The efficient coordination between different tasks depends on strong communication and scheduling practices because any scheduling or communication misalignments result in higher costs delays and reduced efficiency</w:t>
      </w:r>
      <w:r w:rsidR="003B2296" w:rsidRPr="001B5215">
        <w:rPr>
          <w:rFonts w:ascii="Arial" w:hAnsi="Arial" w:cs="Arial"/>
          <w:sz w:val="22"/>
        </w:rPr>
        <w:t xml:space="preserve"> (</w:t>
      </w:r>
      <w:proofErr w:type="spellStart"/>
      <w:r w:rsidR="003B2296" w:rsidRPr="001B5215">
        <w:rPr>
          <w:rFonts w:ascii="Arial" w:hAnsi="Arial" w:cs="Arial"/>
          <w:sz w:val="22"/>
        </w:rPr>
        <w:t>Orieno</w:t>
      </w:r>
      <w:proofErr w:type="spellEnd"/>
      <w:r w:rsidR="003B2296" w:rsidRPr="001B5215">
        <w:rPr>
          <w:rFonts w:ascii="Arial" w:hAnsi="Arial" w:cs="Arial"/>
          <w:sz w:val="22"/>
        </w:rPr>
        <w:t>, et. al., 2024)</w:t>
      </w:r>
      <w:r w:rsidRPr="001B5215">
        <w:rPr>
          <w:rFonts w:ascii="Arial" w:hAnsi="Arial" w:cs="Arial"/>
          <w:sz w:val="22"/>
        </w:rPr>
        <w:t xml:space="preserve">. Additionally, the owner still bears significant risk for the self-managed aspects of the project. </w:t>
      </w:r>
      <w:proofErr w:type="gramStart"/>
      <w:r w:rsidRPr="001B5215">
        <w:rPr>
          <w:rFonts w:ascii="Arial" w:hAnsi="Arial" w:cs="Arial"/>
          <w:sz w:val="22"/>
        </w:rPr>
        <w:t>Financial loss together with project delays and compromised quality result from mistakes or errors or unknown issues in self-managed tasks.</w:t>
      </w:r>
      <w:proofErr w:type="gramEnd"/>
      <w:r w:rsidRPr="001B5215">
        <w:rPr>
          <w:rFonts w:ascii="Arial" w:hAnsi="Arial" w:cs="Arial"/>
          <w:sz w:val="22"/>
        </w:rPr>
        <w:t xml:space="preserve"> A successful outcome depends on both excellent organizational abilities and comprehensive project requirement understanding for this method. The multicontract + DIY model works optimally for projects that fit medium size parameters along with the owners' existing management knowledge base for select tasks along with outside help for advanced work requirements</w:t>
      </w:r>
      <w:r w:rsidR="003B2296" w:rsidRPr="001B5215">
        <w:rPr>
          <w:rFonts w:ascii="Arial" w:hAnsi="Arial" w:cs="Arial"/>
          <w:sz w:val="22"/>
        </w:rPr>
        <w:t xml:space="preserve"> (Ji, et. al., 2024)</w:t>
      </w:r>
      <w:r w:rsidRPr="001B5215">
        <w:rPr>
          <w:rFonts w:ascii="Arial" w:hAnsi="Arial" w:cs="Arial"/>
          <w:sz w:val="22"/>
        </w:rPr>
        <w:t>. Building owners apply this method across construction and renovation work and business growth initiatives through which they combine controlled outsourcing with hands-on project management. Effective success with the multicontract + DIY strategy directly relates to owners' capacity to organize various project components properly while handling risks and bringing in expert assistance at appropriate times.</w:t>
      </w:r>
      <w:r w:rsidR="001227BB" w:rsidRPr="001B5215">
        <w:rPr>
          <w:rFonts w:ascii="Arial" w:hAnsi="Arial" w:cs="Arial"/>
          <w:sz w:val="22"/>
        </w:rPr>
        <w:t xml:space="preserve"> Different contracting procedures deliver their best results for certain project types depending on the combination of project complexity with owner expertise and budget limitations as well as control requirements. Large construction projects succeed best through turnkey contracting as it provides direct </w:t>
      </w:r>
      <w:r w:rsidR="001227BB" w:rsidRPr="001B5215">
        <w:rPr>
          <w:rFonts w:ascii="Arial" w:hAnsi="Arial" w:cs="Arial"/>
          <w:sz w:val="22"/>
        </w:rPr>
        <w:lastRenderedPageBreak/>
        <w:t xml:space="preserve">supervision and full control with small owner involvement requirements. The turnkey contracting approach functions optimally when one vendor controls all phases from creation to final installation which works best for building basic infrastructure including factories and big business spaces during these times when both time-saving measures and cost control </w:t>
      </w:r>
      <w:r w:rsidR="003B2296" w:rsidRPr="001B5215">
        <w:rPr>
          <w:rFonts w:ascii="Arial" w:hAnsi="Arial" w:cs="Arial"/>
          <w:sz w:val="22"/>
        </w:rPr>
        <w:t>matter</w:t>
      </w:r>
      <w:r w:rsidR="001227BB" w:rsidRPr="001B5215">
        <w:rPr>
          <w:rFonts w:ascii="Arial" w:hAnsi="Arial" w:cs="Arial"/>
          <w:sz w:val="22"/>
        </w:rPr>
        <w:t xml:space="preserve"> most</w:t>
      </w:r>
      <w:r w:rsidR="003B2296" w:rsidRPr="001B5215">
        <w:rPr>
          <w:rFonts w:ascii="Arial" w:hAnsi="Arial" w:cs="Arial"/>
          <w:sz w:val="22"/>
        </w:rPr>
        <w:t xml:space="preserve"> (</w:t>
      </w:r>
      <w:proofErr w:type="spellStart"/>
      <w:r w:rsidR="003B2296" w:rsidRPr="001B5215">
        <w:rPr>
          <w:rFonts w:ascii="Arial" w:hAnsi="Arial" w:cs="Arial"/>
          <w:sz w:val="22"/>
        </w:rPr>
        <w:t>Forlenza</w:t>
      </w:r>
      <w:proofErr w:type="spellEnd"/>
      <w:r w:rsidR="003B2296" w:rsidRPr="001B5215">
        <w:rPr>
          <w:rFonts w:ascii="Arial" w:hAnsi="Arial" w:cs="Arial"/>
          <w:sz w:val="22"/>
        </w:rPr>
        <w:t>, et. al., 2024)</w:t>
      </w:r>
      <w:r w:rsidR="001227BB" w:rsidRPr="001B5215">
        <w:rPr>
          <w:rFonts w:ascii="Arial" w:hAnsi="Arial" w:cs="Arial"/>
          <w:sz w:val="22"/>
        </w:rPr>
        <w:t xml:space="preserve">. Between multiple project coordination options owners typically select turnkey contracting as their practical solution since it offers hands-off management with risk mitigation. Large multi-phase development management can be successfully handled through the </w:t>
      </w:r>
      <w:r w:rsidR="003B2296" w:rsidRPr="001B5215">
        <w:rPr>
          <w:rFonts w:ascii="Arial" w:hAnsi="Arial" w:cs="Arial"/>
          <w:sz w:val="22"/>
        </w:rPr>
        <w:t>multi-contract</w:t>
      </w:r>
      <w:r w:rsidR="001227BB" w:rsidRPr="001B5215">
        <w:rPr>
          <w:rFonts w:ascii="Arial" w:hAnsi="Arial" w:cs="Arial"/>
          <w:sz w:val="22"/>
        </w:rPr>
        <w:t xml:space="preserve"> approach by experienced owners. The owner benefits from direct control over multiple contractors throughout all project aspects including cost management and scheduling and quality delivery. The mixed-use commercial and residential development space finds exceptional value from this management method because it needs separate specialists throughout construction phases. Professional project managers along with construction managers who possess advanced coordination skills make the most suitable candidates for controlling multiple contracts through the traditional method. In cases where owners possess appropriate expertise to manage small projects with low complexity, DIY contracting becomes the most suitable choice. This contracting method delivers complete management of project elements together with reduced costs from eliminating contract expenses. Any individual with construction and scheduling abilities along with procurement experience should consider this method when they undertake home renovations while building their own house or specialized construction tasks</w:t>
      </w:r>
      <w:r w:rsidR="003B2296" w:rsidRPr="001B5215">
        <w:rPr>
          <w:rFonts w:ascii="Arial" w:hAnsi="Arial" w:cs="Arial"/>
          <w:sz w:val="22"/>
        </w:rPr>
        <w:t xml:space="preserve"> (</w:t>
      </w:r>
      <w:proofErr w:type="spellStart"/>
      <w:r w:rsidR="003B2296" w:rsidRPr="001B5215">
        <w:rPr>
          <w:rFonts w:ascii="Arial" w:hAnsi="Arial" w:cs="Arial"/>
          <w:sz w:val="22"/>
        </w:rPr>
        <w:t>Orieno</w:t>
      </w:r>
      <w:proofErr w:type="spellEnd"/>
      <w:r w:rsidR="003B2296" w:rsidRPr="001B5215">
        <w:rPr>
          <w:rFonts w:ascii="Arial" w:hAnsi="Arial" w:cs="Arial"/>
          <w:sz w:val="22"/>
        </w:rPr>
        <w:t>, et. al., 2024)</w:t>
      </w:r>
      <w:r w:rsidR="001227BB" w:rsidRPr="001B5215">
        <w:rPr>
          <w:rFonts w:ascii="Arial" w:hAnsi="Arial" w:cs="Arial"/>
          <w:sz w:val="22"/>
        </w:rPr>
        <w:t xml:space="preserve">. This type of contracting should be considered by people who possess exceptional project management abilities and the capability to tackle unexpected issues without professional assistance due to high risks involved. Medium-sized projects obtain a cost-effective solution through using the </w:t>
      </w:r>
      <w:r w:rsidR="003B2296" w:rsidRPr="001B5215">
        <w:rPr>
          <w:rFonts w:ascii="Arial" w:hAnsi="Arial" w:cs="Arial"/>
          <w:sz w:val="22"/>
        </w:rPr>
        <w:t>multi-contract</w:t>
      </w:r>
      <w:r w:rsidR="001227BB" w:rsidRPr="001B5215">
        <w:rPr>
          <w:rFonts w:ascii="Arial" w:hAnsi="Arial" w:cs="Arial"/>
          <w:sz w:val="22"/>
        </w:rPr>
        <w:t xml:space="preserve"> + DIY approach since it combines both professional contractor work and owner involvement. This collaborative strategy enables proprietors to stay in command during crucial areas of project execution while getting professional assistance for specialized duties which both saves costs and improves monitoring quality</w:t>
      </w:r>
      <w:r w:rsidR="003B2296" w:rsidRPr="001B5215">
        <w:rPr>
          <w:rFonts w:ascii="Arial" w:hAnsi="Arial" w:cs="Arial"/>
          <w:sz w:val="22"/>
        </w:rPr>
        <w:t xml:space="preserve"> (</w:t>
      </w:r>
      <w:proofErr w:type="spellStart"/>
      <w:r w:rsidR="003B2296" w:rsidRPr="001B5215">
        <w:rPr>
          <w:rFonts w:ascii="Arial" w:hAnsi="Arial" w:cs="Arial"/>
          <w:sz w:val="22"/>
        </w:rPr>
        <w:t>Narum</w:t>
      </w:r>
      <w:proofErr w:type="spellEnd"/>
      <w:r w:rsidR="003B2296" w:rsidRPr="001B5215">
        <w:rPr>
          <w:rFonts w:ascii="Arial" w:hAnsi="Arial" w:cs="Arial"/>
          <w:sz w:val="22"/>
        </w:rPr>
        <w:t>, et. al., 2024).</w:t>
      </w:r>
      <w:r w:rsidR="001227BB" w:rsidRPr="001B5215">
        <w:rPr>
          <w:rFonts w:ascii="Arial" w:hAnsi="Arial" w:cs="Arial"/>
          <w:sz w:val="22"/>
        </w:rPr>
        <w:t xml:space="preserve"> Selective contractor engagement provides project owners with both quality control and directorial </w:t>
      </w:r>
      <w:r w:rsidR="003B2296" w:rsidRPr="001B5215">
        <w:rPr>
          <w:rFonts w:ascii="Arial" w:hAnsi="Arial" w:cs="Arial"/>
          <w:sz w:val="22"/>
        </w:rPr>
        <w:t>decision</w:t>
      </w:r>
      <w:r w:rsidR="001227BB" w:rsidRPr="001B5215">
        <w:rPr>
          <w:rFonts w:ascii="Arial" w:hAnsi="Arial" w:cs="Arial"/>
          <w:sz w:val="22"/>
        </w:rPr>
        <w:t xml:space="preserve"> management capabilities for renovation efforts of commercial buildings custom construction work and business facility expansion operations. For this method to work effectively owners must display excellent coordination abilities to establish smooth communication between self-managed and outsourced tasks</w:t>
      </w:r>
      <w:r w:rsidR="003B2296" w:rsidRPr="001B5215">
        <w:rPr>
          <w:rFonts w:ascii="Arial" w:hAnsi="Arial" w:cs="Arial"/>
          <w:sz w:val="22"/>
        </w:rPr>
        <w:t xml:space="preserve"> (</w:t>
      </w:r>
      <w:proofErr w:type="spellStart"/>
      <w:r w:rsidR="003B2296" w:rsidRPr="001B5215">
        <w:rPr>
          <w:rFonts w:ascii="Arial" w:hAnsi="Arial" w:cs="Arial"/>
          <w:sz w:val="22"/>
        </w:rPr>
        <w:t>Orieno</w:t>
      </w:r>
      <w:proofErr w:type="spellEnd"/>
      <w:r w:rsidR="003B2296" w:rsidRPr="001B5215">
        <w:rPr>
          <w:rFonts w:ascii="Arial" w:hAnsi="Arial" w:cs="Arial"/>
          <w:sz w:val="22"/>
        </w:rPr>
        <w:t>, et. al., 2024)</w:t>
      </w:r>
      <w:r w:rsidR="001227BB" w:rsidRPr="001B5215">
        <w:rPr>
          <w:rFonts w:ascii="Arial" w:hAnsi="Arial" w:cs="Arial"/>
          <w:sz w:val="22"/>
        </w:rPr>
        <w:t xml:space="preserve">. The selection of proper contracting methods rests on three factors that include project scope along with technical difficulty and owner supervision capabilities regarding project responsibilities. A </w:t>
      </w:r>
      <w:r w:rsidR="001227BB" w:rsidRPr="001B5215">
        <w:rPr>
          <w:rFonts w:ascii="Arial" w:hAnsi="Arial" w:cs="Arial"/>
          <w:sz w:val="22"/>
        </w:rPr>
        <w:lastRenderedPageBreak/>
        <w:t>contracting method that matches project demands with existing capabilities will lead to high efficiency together with controlled costs and project success.</w:t>
      </w:r>
    </w:p>
    <w:p w14:paraId="66D2EBA7" w14:textId="77777777" w:rsidR="004C0713" w:rsidRPr="001B5215" w:rsidRDefault="004C0713" w:rsidP="001B5215">
      <w:pPr>
        <w:pStyle w:val="Heading1"/>
        <w:rPr>
          <w:rFonts w:ascii="Arial" w:hAnsi="Arial" w:cs="Arial"/>
          <w:sz w:val="22"/>
          <w:szCs w:val="22"/>
        </w:rPr>
      </w:pPr>
      <w:bookmarkStart w:id="3" w:name="_Toc193402754"/>
      <w:r w:rsidRPr="001B5215">
        <w:rPr>
          <w:rFonts w:ascii="Arial" w:hAnsi="Arial" w:cs="Arial"/>
          <w:sz w:val="22"/>
          <w:szCs w:val="22"/>
        </w:rPr>
        <w:t>Conclusion</w:t>
      </w:r>
      <w:bookmarkEnd w:id="3"/>
    </w:p>
    <w:p w14:paraId="3AD6742C" w14:textId="62AC317B" w:rsidR="0011157F" w:rsidRPr="001B5215" w:rsidRDefault="001227BB" w:rsidP="001B5215">
      <w:pPr>
        <w:rPr>
          <w:rFonts w:ascii="Arial" w:hAnsi="Arial" w:cs="Arial"/>
          <w:sz w:val="22"/>
        </w:rPr>
      </w:pPr>
      <w:r w:rsidRPr="001B5215">
        <w:rPr>
          <w:rFonts w:ascii="Arial" w:hAnsi="Arial" w:cs="Arial"/>
          <w:sz w:val="22"/>
        </w:rPr>
        <w:t>Project owners need contracting methods to match the requirements of their projects by accounting for their organizational complexity and financial limitations while considering their existing staff capabilities. Through turnkey contracting owners receive simplified execution with one contractor although this method restricts their ownership control. Through its extended monitoring capabilities</w:t>
      </w:r>
      <w:r w:rsidR="00FD32BC" w:rsidRPr="001B5215">
        <w:rPr>
          <w:rFonts w:ascii="Arial" w:hAnsi="Arial" w:cs="Arial"/>
          <w:sz w:val="22"/>
        </w:rPr>
        <w:t>,</w:t>
      </w:r>
      <w:r w:rsidRPr="001B5215">
        <w:rPr>
          <w:rFonts w:ascii="Arial" w:hAnsi="Arial" w:cs="Arial"/>
          <w:sz w:val="22"/>
        </w:rPr>
        <w:t xml:space="preserve"> the multicontract approach </w:t>
      </w:r>
      <w:proofErr w:type="gramStart"/>
      <w:r w:rsidRPr="001B5215">
        <w:rPr>
          <w:rFonts w:ascii="Arial" w:hAnsi="Arial" w:cs="Arial"/>
          <w:sz w:val="22"/>
        </w:rPr>
        <w:t>lets</w:t>
      </w:r>
      <w:proofErr w:type="gramEnd"/>
      <w:r w:rsidRPr="001B5215">
        <w:rPr>
          <w:rFonts w:ascii="Arial" w:hAnsi="Arial" w:cs="Arial"/>
          <w:sz w:val="22"/>
        </w:rPr>
        <w:t xml:space="preserve"> experienced property owners oversee various contractors at the cost of increased financial burden along with coordination complexity. DIY contracting provides owners with complete project management and budget-saving potential yet it demands advanced specialized knowledge to handle effectively so it suits restricted small projects where the owner has enough expertise to supervise. The multicontract + DIY method gives owners the advantage of handling some tasks themselves while outsourcing others which results in enhanced flexibility but requires additional coordination work. Project managers need to analyze capabilities and risks together with project specifications before deciding which contracting method suits their project best. Understanding these contractual approaches enables owners to implement more efficient decisions that control expenses to guarantee the completion of successful projects.</w:t>
      </w:r>
    </w:p>
    <w:p w14:paraId="672FA400" w14:textId="77777777" w:rsidR="0011157F" w:rsidRPr="001B5215" w:rsidRDefault="0011157F" w:rsidP="001B5215">
      <w:pPr>
        <w:rPr>
          <w:rFonts w:ascii="Arial" w:hAnsi="Arial" w:cs="Arial"/>
          <w:sz w:val="22"/>
        </w:rPr>
      </w:pPr>
    </w:p>
    <w:p w14:paraId="37AC2ABF" w14:textId="28923A24" w:rsidR="00286374" w:rsidRPr="001B5215" w:rsidRDefault="00286374" w:rsidP="001B5215">
      <w:pPr>
        <w:rPr>
          <w:rFonts w:ascii="Arial" w:hAnsi="Arial" w:cs="Arial"/>
          <w:sz w:val="22"/>
        </w:rPr>
      </w:pPr>
      <w:r w:rsidRPr="001B5215">
        <w:rPr>
          <w:rFonts w:ascii="Arial" w:hAnsi="Arial" w:cs="Arial"/>
          <w:sz w:val="22"/>
        </w:rPr>
        <w:br w:type="page"/>
      </w:r>
    </w:p>
    <w:p w14:paraId="055B4D96" w14:textId="77777777" w:rsidR="0094702B" w:rsidRPr="001B5215" w:rsidRDefault="0094702B" w:rsidP="001B5215">
      <w:pPr>
        <w:pStyle w:val="Heading1"/>
        <w:rPr>
          <w:rFonts w:ascii="Arial" w:hAnsi="Arial" w:cs="Arial"/>
          <w:sz w:val="22"/>
          <w:szCs w:val="22"/>
        </w:rPr>
      </w:pPr>
      <w:bookmarkStart w:id="4" w:name="_Toc193402755"/>
      <w:r w:rsidRPr="001B5215">
        <w:rPr>
          <w:rFonts w:ascii="Arial" w:hAnsi="Arial" w:cs="Arial"/>
          <w:sz w:val="22"/>
          <w:szCs w:val="22"/>
        </w:rPr>
        <w:lastRenderedPageBreak/>
        <w:t>References</w:t>
      </w:r>
      <w:bookmarkEnd w:id="4"/>
    </w:p>
    <w:p w14:paraId="2BF5C720" w14:textId="5361927B" w:rsidR="009909F6" w:rsidRPr="001B5215" w:rsidRDefault="009909F6" w:rsidP="001B5215">
      <w:pPr>
        <w:ind w:left="720" w:hanging="720"/>
        <w:rPr>
          <w:rFonts w:ascii="Arial" w:hAnsi="Arial" w:cs="Arial"/>
          <w:sz w:val="22"/>
        </w:rPr>
      </w:pPr>
      <w:proofErr w:type="spellStart"/>
      <w:proofErr w:type="gramStart"/>
      <w:r w:rsidRPr="001B5215">
        <w:rPr>
          <w:rFonts w:ascii="Arial" w:hAnsi="Arial" w:cs="Arial"/>
          <w:sz w:val="22"/>
        </w:rPr>
        <w:t>Orieno</w:t>
      </w:r>
      <w:proofErr w:type="spellEnd"/>
      <w:r w:rsidRPr="001B5215">
        <w:rPr>
          <w:rFonts w:ascii="Arial" w:hAnsi="Arial" w:cs="Arial"/>
          <w:sz w:val="22"/>
        </w:rPr>
        <w:t xml:space="preserve">, O.H., </w:t>
      </w:r>
      <w:proofErr w:type="spellStart"/>
      <w:r w:rsidRPr="001B5215">
        <w:rPr>
          <w:rFonts w:ascii="Arial" w:hAnsi="Arial" w:cs="Arial"/>
          <w:sz w:val="22"/>
        </w:rPr>
        <w:t>Ndubuisi</w:t>
      </w:r>
      <w:proofErr w:type="spellEnd"/>
      <w:r w:rsidRPr="001B5215">
        <w:rPr>
          <w:rFonts w:ascii="Arial" w:hAnsi="Arial" w:cs="Arial"/>
          <w:sz w:val="22"/>
        </w:rPr>
        <w:t xml:space="preserve">, N.L., </w:t>
      </w:r>
      <w:proofErr w:type="spellStart"/>
      <w:r w:rsidRPr="001B5215">
        <w:rPr>
          <w:rFonts w:ascii="Arial" w:hAnsi="Arial" w:cs="Arial"/>
          <w:sz w:val="22"/>
        </w:rPr>
        <w:t>Eyo-Udo</w:t>
      </w:r>
      <w:proofErr w:type="spellEnd"/>
      <w:r w:rsidRPr="001B5215">
        <w:rPr>
          <w:rFonts w:ascii="Arial" w:hAnsi="Arial" w:cs="Arial"/>
          <w:sz w:val="22"/>
        </w:rPr>
        <w:t xml:space="preserve">, N.L., </w:t>
      </w:r>
      <w:proofErr w:type="spellStart"/>
      <w:r w:rsidRPr="001B5215">
        <w:rPr>
          <w:rFonts w:ascii="Arial" w:hAnsi="Arial" w:cs="Arial"/>
          <w:sz w:val="22"/>
        </w:rPr>
        <w:t>Ilojianya</w:t>
      </w:r>
      <w:proofErr w:type="spellEnd"/>
      <w:r w:rsidRPr="001B5215">
        <w:rPr>
          <w:rFonts w:ascii="Arial" w:hAnsi="Arial" w:cs="Arial"/>
          <w:sz w:val="22"/>
        </w:rPr>
        <w:t>, V.I. and Biu, P.W., 2024.</w:t>
      </w:r>
      <w:proofErr w:type="gramEnd"/>
      <w:r w:rsidRPr="001B5215">
        <w:rPr>
          <w:rFonts w:ascii="Arial" w:hAnsi="Arial" w:cs="Arial"/>
          <w:sz w:val="22"/>
        </w:rPr>
        <w:t xml:space="preserve"> Sustainability in project management: A comprehensive review. </w:t>
      </w:r>
      <w:proofErr w:type="gramStart"/>
      <w:r w:rsidRPr="001B5215">
        <w:rPr>
          <w:rFonts w:ascii="Arial" w:hAnsi="Arial" w:cs="Arial"/>
          <w:i/>
          <w:iCs/>
          <w:sz w:val="22"/>
        </w:rPr>
        <w:t>World Journal of Advanced Research and Reviews</w:t>
      </w:r>
      <w:r w:rsidRPr="001B5215">
        <w:rPr>
          <w:rFonts w:ascii="Arial" w:hAnsi="Arial" w:cs="Arial"/>
          <w:sz w:val="22"/>
        </w:rPr>
        <w:t>, </w:t>
      </w:r>
      <w:r w:rsidRPr="001B5215">
        <w:rPr>
          <w:rFonts w:ascii="Arial" w:hAnsi="Arial" w:cs="Arial"/>
          <w:i/>
          <w:iCs/>
          <w:sz w:val="22"/>
        </w:rPr>
        <w:t>21</w:t>
      </w:r>
      <w:r w:rsidRPr="001B5215">
        <w:rPr>
          <w:rFonts w:ascii="Arial" w:hAnsi="Arial" w:cs="Arial"/>
          <w:sz w:val="22"/>
        </w:rPr>
        <w:t>(1), pp.656-677.</w:t>
      </w:r>
      <w:proofErr w:type="gramEnd"/>
    </w:p>
    <w:p w14:paraId="0AC15744" w14:textId="1FC8CEEB" w:rsidR="009909F6" w:rsidRPr="001B5215" w:rsidRDefault="009909F6" w:rsidP="001B5215">
      <w:pPr>
        <w:ind w:left="720" w:hanging="720"/>
        <w:rPr>
          <w:rFonts w:ascii="Arial" w:hAnsi="Arial" w:cs="Arial"/>
          <w:sz w:val="22"/>
        </w:rPr>
      </w:pPr>
      <w:r w:rsidRPr="001B5215">
        <w:rPr>
          <w:rFonts w:ascii="Arial" w:hAnsi="Arial" w:cs="Arial"/>
          <w:sz w:val="22"/>
        </w:rPr>
        <w:t xml:space="preserve">Vergara, D., </w:t>
      </w:r>
      <w:proofErr w:type="gramStart"/>
      <w:r w:rsidRPr="001B5215">
        <w:rPr>
          <w:rFonts w:ascii="Arial" w:hAnsi="Arial" w:cs="Arial"/>
          <w:sz w:val="22"/>
        </w:rPr>
        <w:t>del</w:t>
      </w:r>
      <w:proofErr w:type="gramEnd"/>
      <w:r w:rsidRPr="001B5215">
        <w:rPr>
          <w:rFonts w:ascii="Arial" w:hAnsi="Arial" w:cs="Arial"/>
          <w:sz w:val="22"/>
        </w:rPr>
        <w:t xml:space="preserve"> Bosque, A., </w:t>
      </w:r>
      <w:proofErr w:type="spellStart"/>
      <w:r w:rsidRPr="001B5215">
        <w:rPr>
          <w:rFonts w:ascii="Arial" w:hAnsi="Arial" w:cs="Arial"/>
          <w:sz w:val="22"/>
        </w:rPr>
        <w:t>Lampropoulos</w:t>
      </w:r>
      <w:proofErr w:type="spellEnd"/>
      <w:r w:rsidRPr="001B5215">
        <w:rPr>
          <w:rFonts w:ascii="Arial" w:hAnsi="Arial" w:cs="Arial"/>
          <w:sz w:val="22"/>
        </w:rPr>
        <w:t xml:space="preserve">, G. and Fernández-Arias, P., 2025. </w:t>
      </w:r>
      <w:proofErr w:type="gramStart"/>
      <w:r w:rsidRPr="001B5215">
        <w:rPr>
          <w:rFonts w:ascii="Arial" w:hAnsi="Arial" w:cs="Arial"/>
          <w:sz w:val="22"/>
        </w:rPr>
        <w:t>Trends and applications of artificial intelligence in project management.</w:t>
      </w:r>
      <w:proofErr w:type="gramEnd"/>
      <w:r w:rsidRPr="001B5215">
        <w:rPr>
          <w:rFonts w:ascii="Arial" w:hAnsi="Arial" w:cs="Arial"/>
          <w:sz w:val="22"/>
        </w:rPr>
        <w:t> </w:t>
      </w:r>
      <w:proofErr w:type="gramStart"/>
      <w:r w:rsidRPr="001B5215">
        <w:rPr>
          <w:rFonts w:ascii="Arial" w:hAnsi="Arial" w:cs="Arial"/>
          <w:i/>
          <w:iCs/>
          <w:sz w:val="22"/>
        </w:rPr>
        <w:t>Electronics</w:t>
      </w:r>
      <w:r w:rsidRPr="001B5215">
        <w:rPr>
          <w:rFonts w:ascii="Arial" w:hAnsi="Arial" w:cs="Arial"/>
          <w:sz w:val="22"/>
        </w:rPr>
        <w:t>, </w:t>
      </w:r>
      <w:r w:rsidRPr="001B5215">
        <w:rPr>
          <w:rFonts w:ascii="Arial" w:hAnsi="Arial" w:cs="Arial"/>
          <w:i/>
          <w:iCs/>
          <w:sz w:val="22"/>
        </w:rPr>
        <w:t>14</w:t>
      </w:r>
      <w:r w:rsidRPr="001B5215">
        <w:rPr>
          <w:rFonts w:ascii="Arial" w:hAnsi="Arial" w:cs="Arial"/>
          <w:sz w:val="22"/>
        </w:rPr>
        <w:t>(4), p.800.</w:t>
      </w:r>
      <w:proofErr w:type="gramEnd"/>
    </w:p>
    <w:p w14:paraId="417C5E00" w14:textId="3DB79B0F" w:rsidR="009909F6" w:rsidRPr="001B5215" w:rsidRDefault="009909F6" w:rsidP="001B5215">
      <w:pPr>
        <w:ind w:left="720" w:hanging="720"/>
        <w:rPr>
          <w:rFonts w:ascii="Arial" w:hAnsi="Arial" w:cs="Arial"/>
          <w:sz w:val="22"/>
        </w:rPr>
      </w:pPr>
      <w:proofErr w:type="gramStart"/>
      <w:r w:rsidRPr="001B5215">
        <w:rPr>
          <w:rFonts w:ascii="Arial" w:hAnsi="Arial" w:cs="Arial"/>
          <w:sz w:val="22"/>
        </w:rPr>
        <w:t xml:space="preserve">Gouda Mohamed, A., </w:t>
      </w:r>
      <w:proofErr w:type="spellStart"/>
      <w:r w:rsidRPr="001B5215">
        <w:rPr>
          <w:rFonts w:ascii="Arial" w:hAnsi="Arial" w:cs="Arial"/>
          <w:sz w:val="22"/>
        </w:rPr>
        <w:t>Alqahtani</w:t>
      </w:r>
      <w:proofErr w:type="spellEnd"/>
      <w:r w:rsidRPr="001B5215">
        <w:rPr>
          <w:rFonts w:ascii="Arial" w:hAnsi="Arial" w:cs="Arial"/>
          <w:sz w:val="22"/>
        </w:rPr>
        <w:t xml:space="preserve">, F.K., </w:t>
      </w:r>
      <w:proofErr w:type="spellStart"/>
      <w:r w:rsidRPr="001B5215">
        <w:rPr>
          <w:rFonts w:ascii="Arial" w:hAnsi="Arial" w:cs="Arial"/>
          <w:sz w:val="22"/>
        </w:rPr>
        <w:t>Sherif</w:t>
      </w:r>
      <w:proofErr w:type="spellEnd"/>
      <w:r w:rsidRPr="001B5215">
        <w:rPr>
          <w:rFonts w:ascii="Arial" w:hAnsi="Arial" w:cs="Arial"/>
          <w:sz w:val="22"/>
        </w:rPr>
        <w:t>, M. and El-</w:t>
      </w:r>
      <w:proofErr w:type="spellStart"/>
      <w:r w:rsidRPr="001B5215">
        <w:rPr>
          <w:rFonts w:ascii="Arial" w:hAnsi="Arial" w:cs="Arial"/>
          <w:sz w:val="22"/>
        </w:rPr>
        <w:t>Shamie</w:t>
      </w:r>
      <w:proofErr w:type="spellEnd"/>
      <w:r w:rsidRPr="001B5215">
        <w:rPr>
          <w:rFonts w:ascii="Arial" w:hAnsi="Arial" w:cs="Arial"/>
          <w:sz w:val="22"/>
        </w:rPr>
        <w:t>, S.M., 2024.</w:t>
      </w:r>
      <w:proofErr w:type="gramEnd"/>
      <w:r w:rsidRPr="001B5215">
        <w:rPr>
          <w:rFonts w:ascii="Arial" w:hAnsi="Arial" w:cs="Arial"/>
          <w:sz w:val="22"/>
        </w:rPr>
        <w:t xml:space="preserve"> </w:t>
      </w:r>
      <w:proofErr w:type="gramStart"/>
      <w:r w:rsidRPr="001B5215">
        <w:rPr>
          <w:rFonts w:ascii="Arial" w:hAnsi="Arial" w:cs="Arial"/>
          <w:sz w:val="22"/>
        </w:rPr>
        <w:t>Scrutinizing the adoption of smart contracts in the MENA Region’s Construction Industry.</w:t>
      </w:r>
      <w:proofErr w:type="gramEnd"/>
      <w:r w:rsidRPr="001B5215">
        <w:rPr>
          <w:rFonts w:ascii="Arial" w:hAnsi="Arial" w:cs="Arial"/>
          <w:sz w:val="22"/>
        </w:rPr>
        <w:t> </w:t>
      </w:r>
      <w:proofErr w:type="gramStart"/>
      <w:r w:rsidRPr="001B5215">
        <w:rPr>
          <w:rFonts w:ascii="Arial" w:hAnsi="Arial" w:cs="Arial"/>
          <w:i/>
          <w:iCs/>
          <w:sz w:val="22"/>
        </w:rPr>
        <w:t>Journal of Asian Architecture and Building Engineering</w:t>
      </w:r>
      <w:r w:rsidRPr="001B5215">
        <w:rPr>
          <w:rFonts w:ascii="Arial" w:hAnsi="Arial" w:cs="Arial"/>
          <w:sz w:val="22"/>
        </w:rPr>
        <w:t>, pp.1-20.</w:t>
      </w:r>
      <w:proofErr w:type="gramEnd"/>
    </w:p>
    <w:p w14:paraId="022F0690" w14:textId="487C3576" w:rsidR="009909F6" w:rsidRPr="001B5215" w:rsidRDefault="009909F6" w:rsidP="001B5215">
      <w:pPr>
        <w:ind w:left="720" w:hanging="720"/>
        <w:rPr>
          <w:rFonts w:ascii="Arial" w:hAnsi="Arial" w:cs="Arial"/>
          <w:sz w:val="22"/>
        </w:rPr>
      </w:pPr>
      <w:r w:rsidRPr="001B5215">
        <w:rPr>
          <w:rFonts w:ascii="Arial" w:hAnsi="Arial" w:cs="Arial"/>
          <w:sz w:val="22"/>
        </w:rPr>
        <w:t xml:space="preserve">Yan, L., Pan, Y. and Chen, Y., 2024. </w:t>
      </w:r>
      <w:proofErr w:type="gramStart"/>
      <w:r w:rsidRPr="001B5215">
        <w:rPr>
          <w:rFonts w:ascii="Arial" w:hAnsi="Arial" w:cs="Arial"/>
          <w:sz w:val="22"/>
        </w:rPr>
        <w:t>Understanding the Double-Edged Sword Effect of Contract Flexibility on Contractor’s Opportunistic Behavior in Construction Project: Moderating Role of BIM Application Degree.</w:t>
      </w:r>
      <w:proofErr w:type="gramEnd"/>
      <w:r w:rsidRPr="001B5215">
        <w:rPr>
          <w:rFonts w:ascii="Arial" w:hAnsi="Arial" w:cs="Arial"/>
          <w:sz w:val="22"/>
        </w:rPr>
        <w:t> </w:t>
      </w:r>
      <w:proofErr w:type="gramStart"/>
      <w:r w:rsidRPr="001B5215">
        <w:rPr>
          <w:rFonts w:ascii="Arial" w:hAnsi="Arial" w:cs="Arial"/>
          <w:i/>
          <w:iCs/>
          <w:sz w:val="22"/>
        </w:rPr>
        <w:t>Journal of Construction Engineering and Management</w:t>
      </w:r>
      <w:r w:rsidRPr="001B5215">
        <w:rPr>
          <w:rFonts w:ascii="Arial" w:hAnsi="Arial" w:cs="Arial"/>
          <w:sz w:val="22"/>
        </w:rPr>
        <w:t>, </w:t>
      </w:r>
      <w:r w:rsidRPr="001B5215">
        <w:rPr>
          <w:rFonts w:ascii="Arial" w:hAnsi="Arial" w:cs="Arial"/>
          <w:i/>
          <w:iCs/>
          <w:sz w:val="22"/>
        </w:rPr>
        <w:t>150</w:t>
      </w:r>
      <w:r w:rsidRPr="001B5215">
        <w:rPr>
          <w:rFonts w:ascii="Arial" w:hAnsi="Arial" w:cs="Arial"/>
          <w:sz w:val="22"/>
        </w:rPr>
        <w:t>(10), p.04024124.</w:t>
      </w:r>
      <w:proofErr w:type="gramEnd"/>
    </w:p>
    <w:p w14:paraId="66FF2321" w14:textId="0801D00D" w:rsidR="009909F6" w:rsidRPr="001B5215" w:rsidRDefault="009909F6" w:rsidP="001B5215">
      <w:pPr>
        <w:ind w:left="720" w:hanging="720"/>
        <w:rPr>
          <w:rFonts w:ascii="Arial" w:hAnsi="Arial" w:cs="Arial"/>
          <w:sz w:val="22"/>
        </w:rPr>
      </w:pPr>
      <w:proofErr w:type="spellStart"/>
      <w:proofErr w:type="gramStart"/>
      <w:r w:rsidRPr="001B5215">
        <w:rPr>
          <w:rFonts w:ascii="Arial" w:hAnsi="Arial" w:cs="Arial"/>
          <w:sz w:val="22"/>
        </w:rPr>
        <w:t>Donati</w:t>
      </w:r>
      <w:proofErr w:type="spellEnd"/>
      <w:r w:rsidRPr="001B5215">
        <w:rPr>
          <w:rFonts w:ascii="Arial" w:hAnsi="Arial" w:cs="Arial"/>
          <w:sz w:val="22"/>
        </w:rPr>
        <w:t xml:space="preserve">, E., </w:t>
      </w:r>
      <w:proofErr w:type="spellStart"/>
      <w:r w:rsidRPr="001B5215">
        <w:rPr>
          <w:rFonts w:ascii="Arial" w:hAnsi="Arial" w:cs="Arial"/>
          <w:sz w:val="22"/>
        </w:rPr>
        <w:t>Copiello</w:t>
      </w:r>
      <w:proofErr w:type="spellEnd"/>
      <w:r w:rsidRPr="001B5215">
        <w:rPr>
          <w:rFonts w:ascii="Arial" w:hAnsi="Arial" w:cs="Arial"/>
          <w:sz w:val="22"/>
        </w:rPr>
        <w:t xml:space="preserve">, S. and </w:t>
      </w:r>
      <w:proofErr w:type="spellStart"/>
      <w:r w:rsidRPr="001B5215">
        <w:rPr>
          <w:rFonts w:ascii="Arial" w:hAnsi="Arial" w:cs="Arial"/>
          <w:sz w:val="22"/>
        </w:rPr>
        <w:t>Bonifaci</w:t>
      </w:r>
      <w:proofErr w:type="spellEnd"/>
      <w:r w:rsidRPr="001B5215">
        <w:rPr>
          <w:rFonts w:ascii="Arial" w:hAnsi="Arial" w:cs="Arial"/>
          <w:sz w:val="22"/>
        </w:rPr>
        <w:t>, P., 2024, July.</w:t>
      </w:r>
      <w:proofErr w:type="gramEnd"/>
      <w:r w:rsidRPr="001B5215">
        <w:rPr>
          <w:rFonts w:ascii="Arial" w:hAnsi="Arial" w:cs="Arial"/>
          <w:sz w:val="22"/>
        </w:rPr>
        <w:t xml:space="preserve"> </w:t>
      </w:r>
      <w:proofErr w:type="gramStart"/>
      <w:r w:rsidRPr="001B5215">
        <w:rPr>
          <w:rFonts w:ascii="Arial" w:hAnsi="Arial" w:cs="Arial"/>
          <w:sz w:val="22"/>
        </w:rPr>
        <w:t>Applications and Economic Profiles of the Turnkey Contract Business Model.</w:t>
      </w:r>
      <w:proofErr w:type="gramEnd"/>
      <w:r w:rsidRPr="001B5215">
        <w:rPr>
          <w:rFonts w:ascii="Arial" w:hAnsi="Arial" w:cs="Arial"/>
          <w:sz w:val="22"/>
        </w:rPr>
        <w:t xml:space="preserve"> </w:t>
      </w:r>
      <w:proofErr w:type="gramStart"/>
      <w:r w:rsidRPr="001B5215">
        <w:rPr>
          <w:rFonts w:ascii="Arial" w:hAnsi="Arial" w:cs="Arial"/>
          <w:sz w:val="22"/>
        </w:rPr>
        <w:t>In </w:t>
      </w:r>
      <w:r w:rsidRPr="001B5215">
        <w:rPr>
          <w:rFonts w:ascii="Arial" w:hAnsi="Arial" w:cs="Arial"/>
          <w:i/>
          <w:iCs/>
          <w:sz w:val="22"/>
        </w:rPr>
        <w:t>International Conference on Computational Science and Its Applications</w:t>
      </w:r>
      <w:r w:rsidRPr="001B5215">
        <w:rPr>
          <w:rFonts w:ascii="Arial" w:hAnsi="Arial" w:cs="Arial"/>
          <w:sz w:val="22"/>
        </w:rPr>
        <w:t> (pp. 143-161).</w:t>
      </w:r>
      <w:proofErr w:type="gramEnd"/>
      <w:r w:rsidRPr="001B5215">
        <w:rPr>
          <w:rFonts w:ascii="Arial" w:hAnsi="Arial" w:cs="Arial"/>
          <w:sz w:val="22"/>
        </w:rPr>
        <w:t xml:space="preserve"> Cham: Springer Nature Switzerland.</w:t>
      </w:r>
    </w:p>
    <w:p w14:paraId="5961EC73" w14:textId="610DB80B" w:rsidR="009909F6" w:rsidRPr="001B5215" w:rsidRDefault="009909F6" w:rsidP="001B5215">
      <w:pPr>
        <w:ind w:left="720" w:hanging="720"/>
        <w:rPr>
          <w:rFonts w:ascii="Arial" w:hAnsi="Arial" w:cs="Arial"/>
          <w:sz w:val="22"/>
        </w:rPr>
      </w:pPr>
      <w:proofErr w:type="spellStart"/>
      <w:proofErr w:type="gramStart"/>
      <w:r w:rsidRPr="001B5215">
        <w:rPr>
          <w:rFonts w:ascii="Arial" w:hAnsi="Arial" w:cs="Arial"/>
          <w:sz w:val="22"/>
        </w:rPr>
        <w:t>Álvarez-Pozo</w:t>
      </w:r>
      <w:proofErr w:type="spellEnd"/>
      <w:r w:rsidRPr="001B5215">
        <w:rPr>
          <w:rFonts w:ascii="Arial" w:hAnsi="Arial" w:cs="Arial"/>
          <w:sz w:val="22"/>
        </w:rPr>
        <w:t>, A.H., Parma-</w:t>
      </w:r>
      <w:proofErr w:type="spellStart"/>
      <w:r w:rsidRPr="001B5215">
        <w:rPr>
          <w:rFonts w:ascii="Arial" w:hAnsi="Arial" w:cs="Arial"/>
          <w:sz w:val="22"/>
        </w:rPr>
        <w:t>García</w:t>
      </w:r>
      <w:proofErr w:type="spellEnd"/>
      <w:r w:rsidRPr="001B5215">
        <w:rPr>
          <w:rFonts w:ascii="Arial" w:hAnsi="Arial" w:cs="Arial"/>
          <w:sz w:val="22"/>
        </w:rPr>
        <w:t xml:space="preserve">, M.I., Ortiz-Marcos, I., Bautista, L.F. and </w:t>
      </w:r>
      <w:proofErr w:type="spellStart"/>
      <w:r w:rsidRPr="001B5215">
        <w:rPr>
          <w:rFonts w:ascii="Arial" w:hAnsi="Arial" w:cs="Arial"/>
          <w:sz w:val="22"/>
        </w:rPr>
        <w:t>Atanes</w:t>
      </w:r>
      <w:proofErr w:type="spellEnd"/>
      <w:r w:rsidRPr="001B5215">
        <w:rPr>
          <w:rFonts w:ascii="Arial" w:hAnsi="Arial" w:cs="Arial"/>
          <w:sz w:val="22"/>
        </w:rPr>
        <w:t>-Sánchez, E., 2024.</w:t>
      </w:r>
      <w:proofErr w:type="gramEnd"/>
      <w:r w:rsidRPr="001B5215">
        <w:rPr>
          <w:rFonts w:ascii="Arial" w:hAnsi="Arial" w:cs="Arial"/>
          <w:sz w:val="22"/>
        </w:rPr>
        <w:t xml:space="preserve"> Analysis of causes of delays and cost overruns as well as mitigation measures to improve profitability and sustainability in turnkey industrial projects. </w:t>
      </w:r>
      <w:proofErr w:type="gramStart"/>
      <w:r w:rsidRPr="001B5215">
        <w:rPr>
          <w:rFonts w:ascii="Arial" w:hAnsi="Arial" w:cs="Arial"/>
          <w:i/>
          <w:iCs/>
          <w:sz w:val="22"/>
        </w:rPr>
        <w:t>Sustainability</w:t>
      </w:r>
      <w:r w:rsidRPr="001B5215">
        <w:rPr>
          <w:rFonts w:ascii="Arial" w:hAnsi="Arial" w:cs="Arial"/>
          <w:sz w:val="22"/>
        </w:rPr>
        <w:t>, </w:t>
      </w:r>
      <w:r w:rsidRPr="001B5215">
        <w:rPr>
          <w:rFonts w:ascii="Arial" w:hAnsi="Arial" w:cs="Arial"/>
          <w:i/>
          <w:iCs/>
          <w:sz w:val="22"/>
        </w:rPr>
        <w:t>16</w:t>
      </w:r>
      <w:r w:rsidRPr="001B5215">
        <w:rPr>
          <w:rFonts w:ascii="Arial" w:hAnsi="Arial" w:cs="Arial"/>
          <w:sz w:val="22"/>
        </w:rPr>
        <w:t>(4), p.1449.</w:t>
      </w:r>
      <w:proofErr w:type="gramEnd"/>
    </w:p>
    <w:p w14:paraId="51244FFE" w14:textId="220821FD" w:rsidR="009909F6" w:rsidRPr="001B5215" w:rsidRDefault="009909F6" w:rsidP="001B5215">
      <w:pPr>
        <w:ind w:left="720" w:hanging="720"/>
        <w:rPr>
          <w:rFonts w:ascii="Arial" w:hAnsi="Arial" w:cs="Arial"/>
          <w:sz w:val="22"/>
        </w:rPr>
      </w:pPr>
      <w:r w:rsidRPr="001B5215">
        <w:rPr>
          <w:rFonts w:ascii="Arial" w:hAnsi="Arial" w:cs="Arial"/>
          <w:sz w:val="22"/>
        </w:rPr>
        <w:t xml:space="preserve">Salman, A., 2024. </w:t>
      </w:r>
      <w:proofErr w:type="gramStart"/>
      <w:r w:rsidRPr="001B5215">
        <w:rPr>
          <w:rFonts w:ascii="Arial" w:hAnsi="Arial" w:cs="Arial"/>
          <w:sz w:val="22"/>
        </w:rPr>
        <w:t>Analyzing Contingency Estimation for Residential Turnkey Projects in Saudi Arabia: A Neural Network Approach.</w:t>
      </w:r>
      <w:proofErr w:type="gramEnd"/>
      <w:r w:rsidRPr="001B5215">
        <w:rPr>
          <w:rFonts w:ascii="Arial" w:hAnsi="Arial" w:cs="Arial"/>
          <w:sz w:val="22"/>
        </w:rPr>
        <w:t> </w:t>
      </w:r>
      <w:proofErr w:type="gramStart"/>
      <w:r w:rsidRPr="001B5215">
        <w:rPr>
          <w:rFonts w:ascii="Arial" w:hAnsi="Arial" w:cs="Arial"/>
          <w:i/>
          <w:iCs/>
          <w:sz w:val="22"/>
        </w:rPr>
        <w:t>Buildings</w:t>
      </w:r>
      <w:r w:rsidRPr="001B5215">
        <w:rPr>
          <w:rFonts w:ascii="Arial" w:hAnsi="Arial" w:cs="Arial"/>
          <w:sz w:val="22"/>
        </w:rPr>
        <w:t>, </w:t>
      </w:r>
      <w:r w:rsidRPr="001B5215">
        <w:rPr>
          <w:rFonts w:ascii="Arial" w:hAnsi="Arial" w:cs="Arial"/>
          <w:i/>
          <w:iCs/>
          <w:sz w:val="22"/>
        </w:rPr>
        <w:t>14</w:t>
      </w:r>
      <w:r w:rsidRPr="001B5215">
        <w:rPr>
          <w:rFonts w:ascii="Arial" w:hAnsi="Arial" w:cs="Arial"/>
          <w:sz w:val="22"/>
        </w:rPr>
        <w:t>(6), p.1844.</w:t>
      </w:r>
      <w:proofErr w:type="gramEnd"/>
    </w:p>
    <w:p w14:paraId="7342CDE4" w14:textId="6DF9DE0F" w:rsidR="00987C01" w:rsidRPr="001B5215" w:rsidRDefault="00987C01" w:rsidP="001B5215">
      <w:pPr>
        <w:ind w:left="720" w:hanging="720"/>
        <w:rPr>
          <w:rFonts w:ascii="Arial" w:hAnsi="Arial" w:cs="Arial"/>
          <w:sz w:val="22"/>
        </w:rPr>
      </w:pPr>
      <w:proofErr w:type="spellStart"/>
      <w:r w:rsidRPr="001B5215">
        <w:rPr>
          <w:rFonts w:ascii="Arial" w:hAnsi="Arial" w:cs="Arial"/>
          <w:sz w:val="22"/>
        </w:rPr>
        <w:t>Atiewi</w:t>
      </w:r>
      <w:proofErr w:type="spellEnd"/>
      <w:r w:rsidRPr="001B5215">
        <w:rPr>
          <w:rFonts w:ascii="Arial" w:hAnsi="Arial" w:cs="Arial"/>
          <w:sz w:val="22"/>
        </w:rPr>
        <w:t>, S., Al-</w:t>
      </w:r>
      <w:proofErr w:type="spellStart"/>
      <w:r w:rsidRPr="001B5215">
        <w:rPr>
          <w:rFonts w:ascii="Arial" w:hAnsi="Arial" w:cs="Arial"/>
          <w:sz w:val="22"/>
        </w:rPr>
        <w:t>Rahayfeh</w:t>
      </w:r>
      <w:proofErr w:type="spellEnd"/>
      <w:r w:rsidRPr="001B5215">
        <w:rPr>
          <w:rFonts w:ascii="Arial" w:hAnsi="Arial" w:cs="Arial"/>
          <w:sz w:val="22"/>
        </w:rPr>
        <w:t xml:space="preserve">, A., </w:t>
      </w:r>
      <w:proofErr w:type="spellStart"/>
      <w:r w:rsidRPr="001B5215">
        <w:rPr>
          <w:rFonts w:ascii="Arial" w:hAnsi="Arial" w:cs="Arial"/>
          <w:sz w:val="22"/>
        </w:rPr>
        <w:t>Almiani</w:t>
      </w:r>
      <w:proofErr w:type="spellEnd"/>
      <w:r w:rsidRPr="001B5215">
        <w:rPr>
          <w:rFonts w:ascii="Arial" w:hAnsi="Arial" w:cs="Arial"/>
          <w:sz w:val="22"/>
        </w:rPr>
        <w:t xml:space="preserve">, M., </w:t>
      </w:r>
      <w:proofErr w:type="spellStart"/>
      <w:r w:rsidRPr="001B5215">
        <w:rPr>
          <w:rFonts w:ascii="Arial" w:hAnsi="Arial" w:cs="Arial"/>
          <w:sz w:val="22"/>
        </w:rPr>
        <w:t>Abuhussein</w:t>
      </w:r>
      <w:proofErr w:type="spellEnd"/>
      <w:r w:rsidRPr="001B5215">
        <w:rPr>
          <w:rFonts w:ascii="Arial" w:hAnsi="Arial" w:cs="Arial"/>
          <w:sz w:val="22"/>
        </w:rPr>
        <w:t xml:space="preserve">, A. and </w:t>
      </w:r>
      <w:proofErr w:type="spellStart"/>
      <w:r w:rsidRPr="001B5215">
        <w:rPr>
          <w:rFonts w:ascii="Arial" w:hAnsi="Arial" w:cs="Arial"/>
          <w:sz w:val="22"/>
        </w:rPr>
        <w:t>Yussof</w:t>
      </w:r>
      <w:proofErr w:type="spellEnd"/>
      <w:r w:rsidRPr="001B5215">
        <w:rPr>
          <w:rFonts w:ascii="Arial" w:hAnsi="Arial" w:cs="Arial"/>
          <w:sz w:val="22"/>
        </w:rPr>
        <w:t xml:space="preserve">, S., 2024. Ethereum blockchain-based </w:t>
      </w:r>
      <w:r w:rsidR="003B2296" w:rsidRPr="001B5215">
        <w:rPr>
          <w:rFonts w:ascii="Arial" w:hAnsi="Arial" w:cs="Arial"/>
          <w:sz w:val="22"/>
        </w:rPr>
        <w:t>three-factor</w:t>
      </w:r>
      <w:r w:rsidRPr="001B5215">
        <w:rPr>
          <w:rFonts w:ascii="Arial" w:hAnsi="Arial" w:cs="Arial"/>
          <w:sz w:val="22"/>
        </w:rPr>
        <w:t xml:space="preserve"> authentication and multi-contract access control for secure smart home environment in 5G networks. </w:t>
      </w:r>
      <w:proofErr w:type="gramStart"/>
      <w:r w:rsidRPr="001B5215">
        <w:rPr>
          <w:rFonts w:ascii="Arial" w:hAnsi="Arial" w:cs="Arial"/>
          <w:i/>
          <w:iCs/>
          <w:sz w:val="22"/>
        </w:rPr>
        <w:t>Cluster Computing</w:t>
      </w:r>
      <w:r w:rsidRPr="001B5215">
        <w:rPr>
          <w:rFonts w:ascii="Arial" w:hAnsi="Arial" w:cs="Arial"/>
          <w:sz w:val="22"/>
        </w:rPr>
        <w:t>, </w:t>
      </w:r>
      <w:r w:rsidRPr="001B5215">
        <w:rPr>
          <w:rFonts w:ascii="Arial" w:hAnsi="Arial" w:cs="Arial"/>
          <w:i/>
          <w:iCs/>
          <w:sz w:val="22"/>
        </w:rPr>
        <w:t>27</w:t>
      </w:r>
      <w:r w:rsidRPr="001B5215">
        <w:rPr>
          <w:rFonts w:ascii="Arial" w:hAnsi="Arial" w:cs="Arial"/>
          <w:sz w:val="22"/>
        </w:rPr>
        <w:t>(4), pp.4551-4568.</w:t>
      </w:r>
      <w:proofErr w:type="gramEnd"/>
    </w:p>
    <w:p w14:paraId="1B26A82F" w14:textId="5522208D" w:rsidR="00987C01" w:rsidRPr="001B5215" w:rsidRDefault="00987C01" w:rsidP="001B5215">
      <w:pPr>
        <w:ind w:left="720" w:hanging="720"/>
        <w:rPr>
          <w:rFonts w:ascii="Arial" w:hAnsi="Arial" w:cs="Arial"/>
          <w:sz w:val="22"/>
        </w:rPr>
      </w:pPr>
      <w:r w:rsidRPr="001B5215">
        <w:rPr>
          <w:rFonts w:ascii="Arial" w:hAnsi="Arial" w:cs="Arial"/>
          <w:sz w:val="22"/>
        </w:rPr>
        <w:t xml:space="preserve">Zhou, A., Metaxa, D., Kim, Y.M. and </w:t>
      </w:r>
      <w:proofErr w:type="spellStart"/>
      <w:r w:rsidRPr="001B5215">
        <w:rPr>
          <w:rFonts w:ascii="Arial" w:hAnsi="Arial" w:cs="Arial"/>
          <w:sz w:val="22"/>
        </w:rPr>
        <w:t>Jaidka</w:t>
      </w:r>
      <w:proofErr w:type="spellEnd"/>
      <w:r w:rsidRPr="001B5215">
        <w:rPr>
          <w:rFonts w:ascii="Arial" w:hAnsi="Arial" w:cs="Arial"/>
          <w:sz w:val="22"/>
        </w:rPr>
        <w:t>, K., 2024. User-Centric Behavioral Tracking: Lessons from Three Case Studies with Do-It-Yourself Computational Pipelines. </w:t>
      </w:r>
      <w:proofErr w:type="gramStart"/>
      <w:r w:rsidRPr="001B5215">
        <w:rPr>
          <w:rFonts w:ascii="Arial" w:hAnsi="Arial" w:cs="Arial"/>
          <w:i/>
          <w:iCs/>
          <w:sz w:val="22"/>
        </w:rPr>
        <w:t>Journal of Advertising</w:t>
      </w:r>
      <w:r w:rsidRPr="001B5215">
        <w:rPr>
          <w:rFonts w:ascii="Arial" w:hAnsi="Arial" w:cs="Arial"/>
          <w:sz w:val="22"/>
        </w:rPr>
        <w:t>, </w:t>
      </w:r>
      <w:r w:rsidRPr="001B5215">
        <w:rPr>
          <w:rFonts w:ascii="Arial" w:hAnsi="Arial" w:cs="Arial"/>
          <w:i/>
          <w:iCs/>
          <w:sz w:val="22"/>
        </w:rPr>
        <w:t>53</w:t>
      </w:r>
      <w:r w:rsidRPr="001B5215">
        <w:rPr>
          <w:rFonts w:ascii="Arial" w:hAnsi="Arial" w:cs="Arial"/>
          <w:sz w:val="22"/>
        </w:rPr>
        <w:t>(5), pp.791-809.</w:t>
      </w:r>
      <w:proofErr w:type="gramEnd"/>
    </w:p>
    <w:p w14:paraId="42F4BE8A" w14:textId="2D4600BB" w:rsidR="00987C01" w:rsidRPr="001B5215" w:rsidRDefault="00987C01" w:rsidP="001B5215">
      <w:pPr>
        <w:ind w:left="720" w:hanging="720"/>
        <w:rPr>
          <w:rFonts w:ascii="Arial" w:hAnsi="Arial" w:cs="Arial"/>
          <w:sz w:val="22"/>
        </w:rPr>
      </w:pPr>
      <w:r w:rsidRPr="001B5215">
        <w:rPr>
          <w:rFonts w:ascii="Arial" w:hAnsi="Arial" w:cs="Arial"/>
          <w:sz w:val="22"/>
        </w:rPr>
        <w:lastRenderedPageBreak/>
        <w:t xml:space="preserve">Ji, N.Y., 2025. 14 Do-It-Yourself </w:t>
      </w:r>
      <w:proofErr w:type="gramStart"/>
      <w:r w:rsidRPr="001B5215">
        <w:rPr>
          <w:rFonts w:ascii="Arial" w:hAnsi="Arial" w:cs="Arial"/>
          <w:sz w:val="22"/>
        </w:rPr>
        <w:t>Heritage</w:t>
      </w:r>
      <w:proofErr w:type="gramEnd"/>
      <w:r w:rsidRPr="001B5215">
        <w:rPr>
          <w:rFonts w:ascii="Arial" w:hAnsi="Arial" w:cs="Arial"/>
          <w:sz w:val="22"/>
        </w:rPr>
        <w:t>. </w:t>
      </w:r>
      <w:r w:rsidRPr="001B5215">
        <w:rPr>
          <w:rFonts w:ascii="Arial" w:hAnsi="Arial" w:cs="Arial"/>
          <w:i/>
          <w:iCs/>
          <w:sz w:val="22"/>
        </w:rPr>
        <w:t>Alternative Economies of Heritage: Sustainable, Anti-Colonial and Creative Approaches to Cultural Inheritance</w:t>
      </w:r>
      <w:r w:rsidRPr="001B5215">
        <w:rPr>
          <w:rFonts w:ascii="Arial" w:hAnsi="Arial" w:cs="Arial"/>
          <w:sz w:val="22"/>
        </w:rPr>
        <w:t>, p.177.</w:t>
      </w:r>
    </w:p>
    <w:p w14:paraId="74EDBA6C" w14:textId="21F4CC38" w:rsidR="00987C01" w:rsidRPr="001B5215" w:rsidRDefault="00987C01" w:rsidP="001B5215">
      <w:pPr>
        <w:ind w:left="720" w:hanging="720"/>
        <w:rPr>
          <w:rFonts w:ascii="Arial" w:hAnsi="Arial" w:cs="Arial"/>
          <w:sz w:val="22"/>
        </w:rPr>
      </w:pPr>
      <w:proofErr w:type="spellStart"/>
      <w:r w:rsidRPr="001B5215">
        <w:rPr>
          <w:rFonts w:ascii="Arial" w:hAnsi="Arial" w:cs="Arial"/>
          <w:sz w:val="22"/>
        </w:rPr>
        <w:t>Forlenza</w:t>
      </w:r>
      <w:proofErr w:type="spellEnd"/>
      <w:r w:rsidRPr="001B5215">
        <w:rPr>
          <w:rFonts w:ascii="Arial" w:hAnsi="Arial" w:cs="Arial"/>
          <w:sz w:val="22"/>
        </w:rPr>
        <w:t xml:space="preserve">, G.P., </w:t>
      </w:r>
      <w:proofErr w:type="spellStart"/>
      <w:r w:rsidRPr="001B5215">
        <w:rPr>
          <w:rFonts w:ascii="Arial" w:hAnsi="Arial" w:cs="Arial"/>
          <w:sz w:val="22"/>
        </w:rPr>
        <w:t>Tabatabai</w:t>
      </w:r>
      <w:proofErr w:type="spellEnd"/>
      <w:r w:rsidRPr="001B5215">
        <w:rPr>
          <w:rFonts w:ascii="Arial" w:hAnsi="Arial" w:cs="Arial"/>
          <w:sz w:val="22"/>
        </w:rPr>
        <w:t>, I. and Lewis, D.M., 2024. Point-Counterpoint: The Need for Do-It-Yourself (DIY) Open Source (OS) AID Systems in Type 1 Diabetes Management. </w:t>
      </w:r>
      <w:proofErr w:type="gramStart"/>
      <w:r w:rsidRPr="001B5215">
        <w:rPr>
          <w:rFonts w:ascii="Arial" w:hAnsi="Arial" w:cs="Arial"/>
          <w:i/>
          <w:iCs/>
          <w:sz w:val="22"/>
        </w:rPr>
        <w:t>Diabetes Technology &amp; Therapeutics</w:t>
      </w:r>
      <w:r w:rsidRPr="001B5215">
        <w:rPr>
          <w:rFonts w:ascii="Arial" w:hAnsi="Arial" w:cs="Arial"/>
          <w:sz w:val="22"/>
        </w:rPr>
        <w:t>, </w:t>
      </w:r>
      <w:r w:rsidRPr="001B5215">
        <w:rPr>
          <w:rFonts w:ascii="Arial" w:hAnsi="Arial" w:cs="Arial"/>
          <w:i/>
          <w:iCs/>
          <w:sz w:val="22"/>
        </w:rPr>
        <w:t>26</w:t>
      </w:r>
      <w:r w:rsidRPr="001B5215">
        <w:rPr>
          <w:rFonts w:ascii="Arial" w:hAnsi="Arial" w:cs="Arial"/>
          <w:sz w:val="22"/>
        </w:rPr>
        <w:t>(10), pp.689-699.</w:t>
      </w:r>
      <w:proofErr w:type="gramEnd"/>
    </w:p>
    <w:p w14:paraId="1A768E11" w14:textId="24C2D70B" w:rsidR="00987C01" w:rsidRPr="001B5215" w:rsidRDefault="00987C01" w:rsidP="001B5215">
      <w:pPr>
        <w:ind w:left="720" w:hanging="720"/>
        <w:rPr>
          <w:rFonts w:ascii="Arial" w:hAnsi="Arial" w:cs="Arial"/>
          <w:sz w:val="22"/>
        </w:rPr>
      </w:pPr>
      <w:proofErr w:type="spellStart"/>
      <w:r w:rsidRPr="001B5215">
        <w:rPr>
          <w:rFonts w:ascii="Arial" w:hAnsi="Arial" w:cs="Arial"/>
          <w:sz w:val="22"/>
        </w:rPr>
        <w:t>Kandaswamy</w:t>
      </w:r>
      <w:proofErr w:type="spellEnd"/>
      <w:r w:rsidRPr="001B5215">
        <w:rPr>
          <w:rFonts w:ascii="Arial" w:hAnsi="Arial" w:cs="Arial"/>
          <w:sz w:val="22"/>
        </w:rPr>
        <w:t>, U., 2024. </w:t>
      </w:r>
      <w:proofErr w:type="gramStart"/>
      <w:r w:rsidRPr="001B5215">
        <w:rPr>
          <w:rFonts w:ascii="Arial" w:hAnsi="Arial" w:cs="Arial"/>
          <w:i/>
          <w:iCs/>
          <w:sz w:val="22"/>
        </w:rPr>
        <w:t>Understanding the Risk Allocation for the Transportation Projects Using Alternative Contracting Methods</w:t>
      </w:r>
      <w:r w:rsidRPr="001B5215">
        <w:rPr>
          <w:rFonts w:ascii="Arial" w:hAnsi="Arial" w:cs="Arial"/>
          <w:sz w:val="22"/>
        </w:rPr>
        <w:t> (Master's thesis, University of Kansas).</w:t>
      </w:r>
      <w:proofErr w:type="gramEnd"/>
    </w:p>
    <w:p w14:paraId="0B1909B5" w14:textId="7B5E7A30" w:rsidR="00987C01" w:rsidRPr="001B5215" w:rsidRDefault="00987C01" w:rsidP="001B5215">
      <w:pPr>
        <w:ind w:left="720" w:hanging="720"/>
        <w:rPr>
          <w:rFonts w:ascii="Arial" w:hAnsi="Arial" w:cs="Arial"/>
          <w:sz w:val="22"/>
        </w:rPr>
      </w:pPr>
      <w:proofErr w:type="spellStart"/>
      <w:r w:rsidRPr="001B5215">
        <w:rPr>
          <w:rFonts w:ascii="Arial" w:hAnsi="Arial" w:cs="Arial"/>
          <w:sz w:val="22"/>
        </w:rPr>
        <w:t>Narum</w:t>
      </w:r>
      <w:proofErr w:type="spellEnd"/>
      <w:r w:rsidRPr="001B5215">
        <w:rPr>
          <w:rFonts w:ascii="Arial" w:hAnsi="Arial" w:cs="Arial"/>
          <w:sz w:val="22"/>
        </w:rPr>
        <w:t xml:space="preserve">, K.B. and </w:t>
      </w:r>
      <w:proofErr w:type="spellStart"/>
      <w:r w:rsidRPr="001B5215">
        <w:rPr>
          <w:rFonts w:ascii="Arial" w:hAnsi="Arial" w:cs="Arial"/>
          <w:sz w:val="22"/>
        </w:rPr>
        <w:t>Debnath</w:t>
      </w:r>
      <w:proofErr w:type="spellEnd"/>
      <w:r w:rsidRPr="001B5215">
        <w:rPr>
          <w:rFonts w:ascii="Arial" w:hAnsi="Arial" w:cs="Arial"/>
          <w:sz w:val="22"/>
        </w:rPr>
        <w:t xml:space="preserve">, S., 2025. </w:t>
      </w:r>
      <w:proofErr w:type="gramStart"/>
      <w:r w:rsidRPr="001B5215">
        <w:rPr>
          <w:rFonts w:ascii="Arial" w:hAnsi="Arial" w:cs="Arial"/>
          <w:sz w:val="22"/>
        </w:rPr>
        <w:t>Sustainable megaproject delivery and uncertainty in design-build cable-stayed bridges.</w:t>
      </w:r>
      <w:proofErr w:type="gramEnd"/>
      <w:r w:rsidRPr="001B5215">
        <w:rPr>
          <w:rFonts w:ascii="Arial" w:hAnsi="Arial" w:cs="Arial"/>
          <w:sz w:val="22"/>
        </w:rPr>
        <w:t> </w:t>
      </w:r>
      <w:proofErr w:type="gramStart"/>
      <w:r w:rsidRPr="001B5215">
        <w:rPr>
          <w:rFonts w:ascii="Arial" w:hAnsi="Arial" w:cs="Arial"/>
          <w:i/>
          <w:iCs/>
          <w:sz w:val="22"/>
        </w:rPr>
        <w:t>Procedia Computer Science</w:t>
      </w:r>
      <w:r w:rsidRPr="001B5215">
        <w:rPr>
          <w:rFonts w:ascii="Arial" w:hAnsi="Arial" w:cs="Arial"/>
          <w:sz w:val="22"/>
        </w:rPr>
        <w:t>, </w:t>
      </w:r>
      <w:r w:rsidRPr="001B5215">
        <w:rPr>
          <w:rFonts w:ascii="Arial" w:hAnsi="Arial" w:cs="Arial"/>
          <w:i/>
          <w:iCs/>
          <w:sz w:val="22"/>
        </w:rPr>
        <w:t>256</w:t>
      </w:r>
      <w:r w:rsidRPr="001B5215">
        <w:rPr>
          <w:rFonts w:ascii="Arial" w:hAnsi="Arial" w:cs="Arial"/>
          <w:sz w:val="22"/>
        </w:rPr>
        <w:t>, pp.1706-1716.</w:t>
      </w:r>
      <w:proofErr w:type="gramEnd"/>
    </w:p>
    <w:p w14:paraId="63DB1815" w14:textId="75D0D15E" w:rsidR="00987C01" w:rsidRPr="001B5215" w:rsidRDefault="00987C01" w:rsidP="001B5215">
      <w:pPr>
        <w:ind w:left="720" w:hanging="720"/>
        <w:rPr>
          <w:rFonts w:ascii="Arial" w:hAnsi="Arial" w:cs="Arial"/>
          <w:sz w:val="22"/>
        </w:rPr>
      </w:pPr>
      <w:proofErr w:type="spellStart"/>
      <w:r w:rsidRPr="001B5215">
        <w:rPr>
          <w:rFonts w:ascii="Arial" w:hAnsi="Arial" w:cs="Arial"/>
          <w:sz w:val="22"/>
        </w:rPr>
        <w:t>Atiewi</w:t>
      </w:r>
      <w:proofErr w:type="spellEnd"/>
      <w:r w:rsidRPr="001B5215">
        <w:rPr>
          <w:rFonts w:ascii="Arial" w:hAnsi="Arial" w:cs="Arial"/>
          <w:sz w:val="22"/>
        </w:rPr>
        <w:t>, S., Al-</w:t>
      </w:r>
      <w:proofErr w:type="spellStart"/>
      <w:r w:rsidRPr="001B5215">
        <w:rPr>
          <w:rFonts w:ascii="Arial" w:hAnsi="Arial" w:cs="Arial"/>
          <w:sz w:val="22"/>
        </w:rPr>
        <w:t>Rahayfeh</w:t>
      </w:r>
      <w:proofErr w:type="spellEnd"/>
      <w:r w:rsidRPr="001B5215">
        <w:rPr>
          <w:rFonts w:ascii="Arial" w:hAnsi="Arial" w:cs="Arial"/>
          <w:sz w:val="22"/>
        </w:rPr>
        <w:t xml:space="preserve">, A., </w:t>
      </w:r>
      <w:proofErr w:type="spellStart"/>
      <w:r w:rsidRPr="001B5215">
        <w:rPr>
          <w:rFonts w:ascii="Arial" w:hAnsi="Arial" w:cs="Arial"/>
          <w:sz w:val="22"/>
        </w:rPr>
        <w:t>Almiani</w:t>
      </w:r>
      <w:proofErr w:type="spellEnd"/>
      <w:r w:rsidRPr="001B5215">
        <w:rPr>
          <w:rFonts w:ascii="Arial" w:hAnsi="Arial" w:cs="Arial"/>
          <w:sz w:val="22"/>
        </w:rPr>
        <w:t xml:space="preserve">, M., </w:t>
      </w:r>
      <w:proofErr w:type="spellStart"/>
      <w:r w:rsidRPr="001B5215">
        <w:rPr>
          <w:rFonts w:ascii="Arial" w:hAnsi="Arial" w:cs="Arial"/>
          <w:sz w:val="22"/>
        </w:rPr>
        <w:t>Abuhussein</w:t>
      </w:r>
      <w:proofErr w:type="spellEnd"/>
      <w:r w:rsidRPr="001B5215">
        <w:rPr>
          <w:rFonts w:ascii="Arial" w:hAnsi="Arial" w:cs="Arial"/>
          <w:sz w:val="22"/>
        </w:rPr>
        <w:t xml:space="preserve">, A. and </w:t>
      </w:r>
      <w:proofErr w:type="spellStart"/>
      <w:r w:rsidRPr="001B5215">
        <w:rPr>
          <w:rFonts w:ascii="Arial" w:hAnsi="Arial" w:cs="Arial"/>
          <w:sz w:val="22"/>
        </w:rPr>
        <w:t>Yussof</w:t>
      </w:r>
      <w:proofErr w:type="spellEnd"/>
      <w:r w:rsidRPr="001B5215">
        <w:rPr>
          <w:rFonts w:ascii="Arial" w:hAnsi="Arial" w:cs="Arial"/>
          <w:sz w:val="22"/>
        </w:rPr>
        <w:t>, S., 2024. Ethereum blockchain-based three factor authentication and multi-contract access control for secure smart home environment in 5G networks. </w:t>
      </w:r>
      <w:proofErr w:type="gramStart"/>
      <w:r w:rsidRPr="001B5215">
        <w:rPr>
          <w:rFonts w:ascii="Arial" w:hAnsi="Arial" w:cs="Arial"/>
          <w:i/>
          <w:iCs/>
          <w:sz w:val="22"/>
        </w:rPr>
        <w:t>Cluster Computing</w:t>
      </w:r>
      <w:r w:rsidRPr="001B5215">
        <w:rPr>
          <w:rFonts w:ascii="Arial" w:hAnsi="Arial" w:cs="Arial"/>
          <w:sz w:val="22"/>
        </w:rPr>
        <w:t>, </w:t>
      </w:r>
      <w:r w:rsidRPr="001B5215">
        <w:rPr>
          <w:rFonts w:ascii="Arial" w:hAnsi="Arial" w:cs="Arial"/>
          <w:i/>
          <w:iCs/>
          <w:sz w:val="22"/>
        </w:rPr>
        <w:t>27</w:t>
      </w:r>
      <w:r w:rsidRPr="001B5215">
        <w:rPr>
          <w:rFonts w:ascii="Arial" w:hAnsi="Arial" w:cs="Arial"/>
          <w:sz w:val="22"/>
        </w:rPr>
        <w:t>(4), pp.4551-4568.</w:t>
      </w:r>
      <w:proofErr w:type="gramEnd"/>
    </w:p>
    <w:p w14:paraId="4E2A1FF2" w14:textId="77777777" w:rsidR="00987C01" w:rsidRPr="001B5215" w:rsidRDefault="00987C01" w:rsidP="001B5215">
      <w:pPr>
        <w:ind w:left="720" w:hanging="720"/>
        <w:rPr>
          <w:rFonts w:ascii="Arial" w:hAnsi="Arial" w:cs="Arial"/>
          <w:sz w:val="22"/>
        </w:rPr>
      </w:pPr>
    </w:p>
    <w:sectPr w:rsidR="00987C01" w:rsidRPr="001B5215" w:rsidSect="00B01D43">
      <w:head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2374E18" w14:textId="77777777" w:rsidR="00105976" w:rsidRDefault="00105976" w:rsidP="00B01D43">
      <w:pPr>
        <w:spacing w:after="0" w:line="240" w:lineRule="auto"/>
      </w:pPr>
      <w:r>
        <w:separator/>
      </w:r>
    </w:p>
  </w:endnote>
  <w:endnote w:type="continuationSeparator" w:id="0">
    <w:p w14:paraId="1AEF03BA" w14:textId="77777777" w:rsidR="00105976" w:rsidRDefault="00105976" w:rsidP="00B01D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ED870EC" w14:textId="77777777" w:rsidR="00105976" w:rsidRDefault="00105976" w:rsidP="00B01D43">
      <w:pPr>
        <w:spacing w:after="0" w:line="240" w:lineRule="auto"/>
      </w:pPr>
      <w:r>
        <w:separator/>
      </w:r>
    </w:p>
  </w:footnote>
  <w:footnote w:type="continuationSeparator" w:id="0">
    <w:p w14:paraId="64ECB588" w14:textId="77777777" w:rsidR="00105976" w:rsidRDefault="00105976" w:rsidP="00B01D4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70925850"/>
      <w:docPartObj>
        <w:docPartGallery w:val="Page Numbers (Top of Page)"/>
        <w:docPartUnique/>
      </w:docPartObj>
    </w:sdtPr>
    <w:sdtEndPr>
      <w:rPr>
        <w:color w:val="7F7F7F" w:themeColor="background1" w:themeShade="7F"/>
        <w:spacing w:val="60"/>
      </w:rPr>
    </w:sdtEndPr>
    <w:sdtContent>
      <w:p w14:paraId="764BF4E2" w14:textId="77777777" w:rsidR="00B01D43" w:rsidRDefault="00B01D43" w:rsidP="00297D38">
        <w:pPr>
          <w:pStyle w:val="Header"/>
          <w:pBdr>
            <w:bottom w:val="single" w:sz="4" w:space="18" w:color="D9D9D9" w:themeColor="background1" w:themeShade="D9"/>
          </w:pBdr>
          <w:rPr>
            <w:b/>
            <w:bCs/>
          </w:rPr>
        </w:pPr>
        <w:r>
          <w:fldChar w:fldCharType="begin"/>
        </w:r>
        <w:r>
          <w:instrText xml:space="preserve"> PAGE   \* MERGEFORMAT </w:instrText>
        </w:r>
        <w:r>
          <w:fldChar w:fldCharType="separate"/>
        </w:r>
        <w:r w:rsidR="006B42C4" w:rsidRPr="006B42C4">
          <w:rPr>
            <w:b/>
            <w:bCs/>
            <w:noProof/>
          </w:rPr>
          <w:t>1</w:t>
        </w:r>
        <w:r>
          <w:rPr>
            <w:b/>
            <w:bCs/>
            <w:noProof/>
          </w:rPr>
          <w:fldChar w:fldCharType="end"/>
        </w:r>
        <w:r>
          <w:rPr>
            <w:b/>
            <w:bCs/>
          </w:rPr>
          <w:t xml:space="preserve"> | </w:t>
        </w:r>
        <w:r>
          <w:rPr>
            <w:color w:val="7F7F7F" w:themeColor="background1" w:themeShade="7F"/>
            <w:spacing w:val="60"/>
          </w:rPr>
          <w:t>Page</w:t>
        </w:r>
      </w:p>
    </w:sdtContent>
  </w:sdt>
  <w:p w14:paraId="5AFE84DA" w14:textId="77777777" w:rsidR="00B01D43" w:rsidRDefault="00B01D43">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A1569C7"/>
    <w:multiLevelType w:val="hybridMultilevel"/>
    <w:tmpl w:val="9294CA56"/>
    <w:lvl w:ilvl="0" w:tplc="04090009">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86374"/>
    <w:rsid w:val="000D6246"/>
    <w:rsid w:val="00105976"/>
    <w:rsid w:val="0011157F"/>
    <w:rsid w:val="001227BB"/>
    <w:rsid w:val="001B5215"/>
    <w:rsid w:val="001E6079"/>
    <w:rsid w:val="00203465"/>
    <w:rsid w:val="00286374"/>
    <w:rsid w:val="00291C11"/>
    <w:rsid w:val="0029766B"/>
    <w:rsid w:val="00297D38"/>
    <w:rsid w:val="002D0F5D"/>
    <w:rsid w:val="002F0143"/>
    <w:rsid w:val="003B2296"/>
    <w:rsid w:val="004151D4"/>
    <w:rsid w:val="004C0713"/>
    <w:rsid w:val="005E03EB"/>
    <w:rsid w:val="00660A96"/>
    <w:rsid w:val="006B42C4"/>
    <w:rsid w:val="006E7DFB"/>
    <w:rsid w:val="00777CC9"/>
    <w:rsid w:val="007D3C8F"/>
    <w:rsid w:val="00855159"/>
    <w:rsid w:val="0088220A"/>
    <w:rsid w:val="0094702B"/>
    <w:rsid w:val="00987C01"/>
    <w:rsid w:val="009909F6"/>
    <w:rsid w:val="00AC06EC"/>
    <w:rsid w:val="00AD0CF4"/>
    <w:rsid w:val="00B01D43"/>
    <w:rsid w:val="00B86B1E"/>
    <w:rsid w:val="00C05324"/>
    <w:rsid w:val="00C36A67"/>
    <w:rsid w:val="00CA6D82"/>
    <w:rsid w:val="00CE2A5C"/>
    <w:rsid w:val="00E26DAE"/>
    <w:rsid w:val="00E44560"/>
    <w:rsid w:val="00E530B4"/>
    <w:rsid w:val="00EA483E"/>
    <w:rsid w:val="00F34D8C"/>
    <w:rsid w:val="00F96CA8"/>
    <w:rsid w:val="00FC747F"/>
    <w:rsid w:val="00FD32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4A4B2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8637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86374"/>
    <w:pPr>
      <w:keepNext/>
      <w:keepLines/>
      <w:spacing w:before="240" w:after="0"/>
      <w:outlineLvl w:val="0"/>
    </w:pPr>
    <w:rPr>
      <w:rFonts w:eastAsiaTheme="majorEastAsia" w:cstheme="majorBidi"/>
      <w:b/>
      <w:color w:val="002060"/>
      <w:sz w:val="32"/>
      <w:szCs w:val="32"/>
    </w:rPr>
  </w:style>
  <w:style w:type="paragraph" w:styleId="Heading2">
    <w:name w:val="heading 2"/>
    <w:basedOn w:val="Normal"/>
    <w:next w:val="Normal"/>
    <w:link w:val="Heading2Char"/>
    <w:uiPriority w:val="9"/>
    <w:unhideWhenUsed/>
    <w:qFormat/>
    <w:rsid w:val="00286374"/>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unhideWhenUsed/>
    <w:qFormat/>
    <w:rsid w:val="00CE2A5C"/>
    <w:pPr>
      <w:keepNext/>
      <w:keepLines/>
      <w:spacing w:before="40" w:after="0"/>
      <w:outlineLvl w:val="2"/>
    </w:pPr>
    <w:rPr>
      <w:rFonts w:ascii="Arial Black" w:eastAsiaTheme="majorEastAsia" w:hAnsi="Arial Black" w:cstheme="majorBidi"/>
      <w:color w:val="0070C0"/>
      <w:sz w:val="2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6374"/>
    <w:rPr>
      <w:rFonts w:ascii="Times New Roman" w:eastAsiaTheme="majorEastAsia" w:hAnsi="Times New Roman" w:cstheme="majorBidi"/>
      <w:b/>
      <w:color w:val="002060"/>
      <w:sz w:val="32"/>
      <w:szCs w:val="32"/>
    </w:rPr>
  </w:style>
  <w:style w:type="character" w:customStyle="1" w:styleId="Heading2Char">
    <w:name w:val="Heading 2 Char"/>
    <w:basedOn w:val="DefaultParagraphFont"/>
    <w:link w:val="Heading2"/>
    <w:uiPriority w:val="9"/>
    <w:rsid w:val="00286374"/>
    <w:rPr>
      <w:rFonts w:ascii="Times New Roman" w:eastAsiaTheme="majorEastAsia" w:hAnsi="Times New Roman" w:cstheme="majorBidi"/>
      <w:b/>
      <w:color w:val="2F5496" w:themeColor="accent1" w:themeShade="BF"/>
      <w:sz w:val="28"/>
      <w:szCs w:val="26"/>
    </w:rPr>
  </w:style>
  <w:style w:type="character" w:customStyle="1" w:styleId="Heading3Char">
    <w:name w:val="Heading 3 Char"/>
    <w:basedOn w:val="DefaultParagraphFont"/>
    <w:link w:val="Heading3"/>
    <w:uiPriority w:val="9"/>
    <w:rsid w:val="00CE2A5C"/>
    <w:rPr>
      <w:rFonts w:ascii="Arial Black" w:eastAsiaTheme="majorEastAsia" w:hAnsi="Arial Black" w:cstheme="majorBidi"/>
      <w:color w:val="0070C0"/>
      <w:sz w:val="20"/>
      <w:szCs w:val="24"/>
    </w:rPr>
  </w:style>
  <w:style w:type="paragraph" w:styleId="ListParagraph">
    <w:name w:val="List Paragraph"/>
    <w:basedOn w:val="Normal"/>
    <w:uiPriority w:val="34"/>
    <w:qFormat/>
    <w:rsid w:val="0094702B"/>
    <w:pPr>
      <w:ind w:left="720"/>
      <w:contextualSpacing/>
    </w:pPr>
  </w:style>
  <w:style w:type="paragraph" w:styleId="TOCHeading">
    <w:name w:val="TOC Heading"/>
    <w:basedOn w:val="Heading1"/>
    <w:next w:val="Normal"/>
    <w:uiPriority w:val="39"/>
    <w:unhideWhenUsed/>
    <w:qFormat/>
    <w:rsid w:val="0094702B"/>
    <w:pPr>
      <w:spacing w:line="259" w:lineRule="auto"/>
      <w:jc w:val="left"/>
      <w:outlineLvl w:val="9"/>
    </w:pPr>
    <w:rPr>
      <w:rFonts w:asciiTheme="majorHAnsi" w:hAnsiTheme="majorHAnsi"/>
      <w:b w:val="0"/>
      <w:color w:val="2F5496" w:themeColor="accent1" w:themeShade="BF"/>
      <w:kern w:val="0"/>
      <w14:ligatures w14:val="none"/>
    </w:rPr>
  </w:style>
  <w:style w:type="paragraph" w:styleId="TOC1">
    <w:name w:val="toc 1"/>
    <w:basedOn w:val="Normal"/>
    <w:next w:val="Normal"/>
    <w:autoRedefine/>
    <w:uiPriority w:val="39"/>
    <w:unhideWhenUsed/>
    <w:rsid w:val="0094702B"/>
    <w:pPr>
      <w:spacing w:after="100"/>
    </w:pPr>
  </w:style>
  <w:style w:type="paragraph" w:styleId="TOC3">
    <w:name w:val="toc 3"/>
    <w:basedOn w:val="Normal"/>
    <w:next w:val="Normal"/>
    <w:autoRedefine/>
    <w:uiPriority w:val="39"/>
    <w:unhideWhenUsed/>
    <w:rsid w:val="0094702B"/>
    <w:pPr>
      <w:spacing w:after="100"/>
      <w:ind w:left="480"/>
    </w:pPr>
  </w:style>
  <w:style w:type="paragraph" w:styleId="TOC2">
    <w:name w:val="toc 2"/>
    <w:basedOn w:val="Normal"/>
    <w:next w:val="Normal"/>
    <w:autoRedefine/>
    <w:uiPriority w:val="39"/>
    <w:unhideWhenUsed/>
    <w:rsid w:val="0094702B"/>
    <w:pPr>
      <w:spacing w:after="100"/>
      <w:ind w:left="240"/>
    </w:pPr>
  </w:style>
  <w:style w:type="character" w:styleId="Hyperlink">
    <w:name w:val="Hyperlink"/>
    <w:basedOn w:val="DefaultParagraphFont"/>
    <w:uiPriority w:val="99"/>
    <w:unhideWhenUsed/>
    <w:rsid w:val="0094702B"/>
    <w:rPr>
      <w:color w:val="0563C1" w:themeColor="hyperlink"/>
      <w:u w:val="single"/>
    </w:rPr>
  </w:style>
  <w:style w:type="paragraph" w:styleId="Header">
    <w:name w:val="header"/>
    <w:basedOn w:val="Normal"/>
    <w:link w:val="HeaderChar"/>
    <w:uiPriority w:val="99"/>
    <w:unhideWhenUsed/>
    <w:rsid w:val="00B01D43"/>
    <w:pPr>
      <w:tabs>
        <w:tab w:val="center" w:pos="4680"/>
        <w:tab w:val="right" w:pos="9360"/>
      </w:tabs>
      <w:spacing w:after="0" w:line="240" w:lineRule="auto"/>
    </w:pPr>
  </w:style>
  <w:style w:type="character" w:customStyle="1" w:styleId="HeaderChar">
    <w:name w:val="Header Char"/>
    <w:basedOn w:val="DefaultParagraphFont"/>
    <w:link w:val="Header"/>
    <w:uiPriority w:val="99"/>
    <w:rsid w:val="00B01D43"/>
    <w:rPr>
      <w:rFonts w:ascii="Times New Roman" w:hAnsi="Times New Roman"/>
      <w:sz w:val="24"/>
    </w:rPr>
  </w:style>
  <w:style w:type="paragraph" w:styleId="Footer">
    <w:name w:val="footer"/>
    <w:basedOn w:val="Normal"/>
    <w:link w:val="FooterChar"/>
    <w:uiPriority w:val="99"/>
    <w:unhideWhenUsed/>
    <w:rsid w:val="00B01D43"/>
    <w:pPr>
      <w:tabs>
        <w:tab w:val="center" w:pos="4680"/>
        <w:tab w:val="right" w:pos="9360"/>
      </w:tabs>
      <w:spacing w:after="0" w:line="240" w:lineRule="auto"/>
    </w:pPr>
  </w:style>
  <w:style w:type="character" w:customStyle="1" w:styleId="FooterChar">
    <w:name w:val="Footer Char"/>
    <w:basedOn w:val="DefaultParagraphFont"/>
    <w:link w:val="Footer"/>
    <w:uiPriority w:val="99"/>
    <w:rsid w:val="00B01D43"/>
    <w:rPr>
      <w:rFonts w:ascii="Times New Roman" w:hAnsi="Times New Roman"/>
      <w:sz w:val="24"/>
    </w:rPr>
  </w:style>
  <w:style w:type="table" w:styleId="TableGrid">
    <w:name w:val="Table Grid"/>
    <w:basedOn w:val="TableNormal"/>
    <w:uiPriority w:val="59"/>
    <w:rsid w:val="00297D38"/>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297D38"/>
    <w:pPr>
      <w:spacing w:after="0" w:line="240" w:lineRule="auto"/>
      <w:jc w:val="both"/>
    </w:pPr>
    <w:rPr>
      <w:rFonts w:ascii="Times New Roman" w:hAnsi="Times New Roman"/>
      <w:kern w:val="0"/>
      <w:sz w:val="24"/>
      <w14:ligatures w14:val="none"/>
    </w:rPr>
  </w:style>
  <w:style w:type="paragraph" w:styleId="BalloonText">
    <w:name w:val="Balloon Text"/>
    <w:basedOn w:val="Normal"/>
    <w:link w:val="BalloonTextChar"/>
    <w:uiPriority w:val="99"/>
    <w:semiHidden/>
    <w:unhideWhenUsed/>
    <w:rsid w:val="001B521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B5215"/>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8637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86374"/>
    <w:pPr>
      <w:keepNext/>
      <w:keepLines/>
      <w:spacing w:before="240" w:after="0"/>
      <w:outlineLvl w:val="0"/>
    </w:pPr>
    <w:rPr>
      <w:rFonts w:eastAsiaTheme="majorEastAsia" w:cstheme="majorBidi"/>
      <w:b/>
      <w:color w:val="002060"/>
      <w:sz w:val="32"/>
      <w:szCs w:val="32"/>
    </w:rPr>
  </w:style>
  <w:style w:type="paragraph" w:styleId="Heading2">
    <w:name w:val="heading 2"/>
    <w:basedOn w:val="Normal"/>
    <w:next w:val="Normal"/>
    <w:link w:val="Heading2Char"/>
    <w:uiPriority w:val="9"/>
    <w:unhideWhenUsed/>
    <w:qFormat/>
    <w:rsid w:val="00286374"/>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unhideWhenUsed/>
    <w:qFormat/>
    <w:rsid w:val="00CE2A5C"/>
    <w:pPr>
      <w:keepNext/>
      <w:keepLines/>
      <w:spacing w:before="40" w:after="0"/>
      <w:outlineLvl w:val="2"/>
    </w:pPr>
    <w:rPr>
      <w:rFonts w:ascii="Arial Black" w:eastAsiaTheme="majorEastAsia" w:hAnsi="Arial Black" w:cstheme="majorBidi"/>
      <w:color w:val="0070C0"/>
      <w:sz w:val="2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6374"/>
    <w:rPr>
      <w:rFonts w:ascii="Times New Roman" w:eastAsiaTheme="majorEastAsia" w:hAnsi="Times New Roman" w:cstheme="majorBidi"/>
      <w:b/>
      <w:color w:val="002060"/>
      <w:sz w:val="32"/>
      <w:szCs w:val="32"/>
    </w:rPr>
  </w:style>
  <w:style w:type="character" w:customStyle="1" w:styleId="Heading2Char">
    <w:name w:val="Heading 2 Char"/>
    <w:basedOn w:val="DefaultParagraphFont"/>
    <w:link w:val="Heading2"/>
    <w:uiPriority w:val="9"/>
    <w:rsid w:val="00286374"/>
    <w:rPr>
      <w:rFonts w:ascii="Times New Roman" w:eastAsiaTheme="majorEastAsia" w:hAnsi="Times New Roman" w:cstheme="majorBidi"/>
      <w:b/>
      <w:color w:val="2F5496" w:themeColor="accent1" w:themeShade="BF"/>
      <w:sz w:val="28"/>
      <w:szCs w:val="26"/>
    </w:rPr>
  </w:style>
  <w:style w:type="character" w:customStyle="1" w:styleId="Heading3Char">
    <w:name w:val="Heading 3 Char"/>
    <w:basedOn w:val="DefaultParagraphFont"/>
    <w:link w:val="Heading3"/>
    <w:uiPriority w:val="9"/>
    <w:rsid w:val="00CE2A5C"/>
    <w:rPr>
      <w:rFonts w:ascii="Arial Black" w:eastAsiaTheme="majorEastAsia" w:hAnsi="Arial Black" w:cstheme="majorBidi"/>
      <w:color w:val="0070C0"/>
      <w:sz w:val="20"/>
      <w:szCs w:val="24"/>
    </w:rPr>
  </w:style>
  <w:style w:type="paragraph" w:styleId="ListParagraph">
    <w:name w:val="List Paragraph"/>
    <w:basedOn w:val="Normal"/>
    <w:uiPriority w:val="34"/>
    <w:qFormat/>
    <w:rsid w:val="0094702B"/>
    <w:pPr>
      <w:ind w:left="720"/>
      <w:contextualSpacing/>
    </w:pPr>
  </w:style>
  <w:style w:type="paragraph" w:styleId="TOCHeading">
    <w:name w:val="TOC Heading"/>
    <w:basedOn w:val="Heading1"/>
    <w:next w:val="Normal"/>
    <w:uiPriority w:val="39"/>
    <w:unhideWhenUsed/>
    <w:qFormat/>
    <w:rsid w:val="0094702B"/>
    <w:pPr>
      <w:spacing w:line="259" w:lineRule="auto"/>
      <w:jc w:val="left"/>
      <w:outlineLvl w:val="9"/>
    </w:pPr>
    <w:rPr>
      <w:rFonts w:asciiTheme="majorHAnsi" w:hAnsiTheme="majorHAnsi"/>
      <w:b w:val="0"/>
      <w:color w:val="2F5496" w:themeColor="accent1" w:themeShade="BF"/>
      <w:kern w:val="0"/>
      <w14:ligatures w14:val="none"/>
    </w:rPr>
  </w:style>
  <w:style w:type="paragraph" w:styleId="TOC1">
    <w:name w:val="toc 1"/>
    <w:basedOn w:val="Normal"/>
    <w:next w:val="Normal"/>
    <w:autoRedefine/>
    <w:uiPriority w:val="39"/>
    <w:unhideWhenUsed/>
    <w:rsid w:val="0094702B"/>
    <w:pPr>
      <w:spacing w:after="100"/>
    </w:pPr>
  </w:style>
  <w:style w:type="paragraph" w:styleId="TOC3">
    <w:name w:val="toc 3"/>
    <w:basedOn w:val="Normal"/>
    <w:next w:val="Normal"/>
    <w:autoRedefine/>
    <w:uiPriority w:val="39"/>
    <w:unhideWhenUsed/>
    <w:rsid w:val="0094702B"/>
    <w:pPr>
      <w:spacing w:after="100"/>
      <w:ind w:left="480"/>
    </w:pPr>
  </w:style>
  <w:style w:type="paragraph" w:styleId="TOC2">
    <w:name w:val="toc 2"/>
    <w:basedOn w:val="Normal"/>
    <w:next w:val="Normal"/>
    <w:autoRedefine/>
    <w:uiPriority w:val="39"/>
    <w:unhideWhenUsed/>
    <w:rsid w:val="0094702B"/>
    <w:pPr>
      <w:spacing w:after="100"/>
      <w:ind w:left="240"/>
    </w:pPr>
  </w:style>
  <w:style w:type="character" w:styleId="Hyperlink">
    <w:name w:val="Hyperlink"/>
    <w:basedOn w:val="DefaultParagraphFont"/>
    <w:uiPriority w:val="99"/>
    <w:unhideWhenUsed/>
    <w:rsid w:val="0094702B"/>
    <w:rPr>
      <w:color w:val="0563C1" w:themeColor="hyperlink"/>
      <w:u w:val="single"/>
    </w:rPr>
  </w:style>
  <w:style w:type="paragraph" w:styleId="Header">
    <w:name w:val="header"/>
    <w:basedOn w:val="Normal"/>
    <w:link w:val="HeaderChar"/>
    <w:uiPriority w:val="99"/>
    <w:unhideWhenUsed/>
    <w:rsid w:val="00B01D43"/>
    <w:pPr>
      <w:tabs>
        <w:tab w:val="center" w:pos="4680"/>
        <w:tab w:val="right" w:pos="9360"/>
      </w:tabs>
      <w:spacing w:after="0" w:line="240" w:lineRule="auto"/>
    </w:pPr>
  </w:style>
  <w:style w:type="character" w:customStyle="1" w:styleId="HeaderChar">
    <w:name w:val="Header Char"/>
    <w:basedOn w:val="DefaultParagraphFont"/>
    <w:link w:val="Header"/>
    <w:uiPriority w:val="99"/>
    <w:rsid w:val="00B01D43"/>
    <w:rPr>
      <w:rFonts w:ascii="Times New Roman" w:hAnsi="Times New Roman"/>
      <w:sz w:val="24"/>
    </w:rPr>
  </w:style>
  <w:style w:type="paragraph" w:styleId="Footer">
    <w:name w:val="footer"/>
    <w:basedOn w:val="Normal"/>
    <w:link w:val="FooterChar"/>
    <w:uiPriority w:val="99"/>
    <w:unhideWhenUsed/>
    <w:rsid w:val="00B01D43"/>
    <w:pPr>
      <w:tabs>
        <w:tab w:val="center" w:pos="4680"/>
        <w:tab w:val="right" w:pos="9360"/>
      </w:tabs>
      <w:spacing w:after="0" w:line="240" w:lineRule="auto"/>
    </w:pPr>
  </w:style>
  <w:style w:type="character" w:customStyle="1" w:styleId="FooterChar">
    <w:name w:val="Footer Char"/>
    <w:basedOn w:val="DefaultParagraphFont"/>
    <w:link w:val="Footer"/>
    <w:uiPriority w:val="99"/>
    <w:rsid w:val="00B01D43"/>
    <w:rPr>
      <w:rFonts w:ascii="Times New Roman" w:hAnsi="Times New Roman"/>
      <w:sz w:val="24"/>
    </w:rPr>
  </w:style>
  <w:style w:type="table" w:styleId="TableGrid">
    <w:name w:val="Table Grid"/>
    <w:basedOn w:val="TableNormal"/>
    <w:uiPriority w:val="59"/>
    <w:rsid w:val="00297D38"/>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297D38"/>
    <w:pPr>
      <w:spacing w:after="0" w:line="240" w:lineRule="auto"/>
      <w:jc w:val="both"/>
    </w:pPr>
    <w:rPr>
      <w:rFonts w:ascii="Times New Roman" w:hAnsi="Times New Roman"/>
      <w:kern w:val="0"/>
      <w:sz w:val="24"/>
      <w14:ligatures w14:val="none"/>
    </w:rPr>
  </w:style>
  <w:style w:type="paragraph" w:styleId="BalloonText">
    <w:name w:val="Balloon Text"/>
    <w:basedOn w:val="Normal"/>
    <w:link w:val="BalloonTextChar"/>
    <w:uiPriority w:val="99"/>
    <w:semiHidden/>
    <w:unhideWhenUsed/>
    <w:rsid w:val="001B521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B521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9911179">
      <w:bodyDiv w:val="1"/>
      <w:marLeft w:val="0"/>
      <w:marRight w:val="0"/>
      <w:marTop w:val="0"/>
      <w:marBottom w:val="0"/>
      <w:divBdr>
        <w:top w:val="none" w:sz="0" w:space="0" w:color="auto"/>
        <w:left w:val="none" w:sz="0" w:space="0" w:color="auto"/>
        <w:bottom w:val="none" w:sz="0" w:space="0" w:color="auto"/>
        <w:right w:val="none" w:sz="0" w:space="0" w:color="auto"/>
      </w:divBdr>
      <w:divsChild>
        <w:div w:id="479269819">
          <w:marLeft w:val="0"/>
          <w:marRight w:val="0"/>
          <w:marTop w:val="0"/>
          <w:marBottom w:val="0"/>
          <w:divBdr>
            <w:top w:val="single" w:sz="2" w:space="0" w:color="auto"/>
            <w:left w:val="single" w:sz="2" w:space="0" w:color="auto"/>
            <w:bottom w:val="single" w:sz="2" w:space="0" w:color="auto"/>
            <w:right w:val="single" w:sz="2" w:space="0" w:color="auto"/>
          </w:divBdr>
        </w:div>
        <w:div w:id="860554874">
          <w:marLeft w:val="0"/>
          <w:marRight w:val="0"/>
          <w:marTop w:val="0"/>
          <w:marBottom w:val="0"/>
          <w:divBdr>
            <w:top w:val="single" w:sz="2" w:space="0" w:color="auto"/>
            <w:left w:val="single" w:sz="2" w:space="0" w:color="auto"/>
            <w:bottom w:val="single" w:sz="2" w:space="0" w:color="auto"/>
            <w:right w:val="single" w:sz="2" w:space="0" w:color="auto"/>
          </w:divBdr>
          <w:divsChild>
            <w:div w:id="1743941024">
              <w:marLeft w:val="0"/>
              <w:marRight w:val="0"/>
              <w:marTop w:val="0"/>
              <w:marBottom w:val="0"/>
              <w:divBdr>
                <w:top w:val="single" w:sz="2" w:space="0" w:color="auto"/>
                <w:left w:val="single" w:sz="2" w:space="0" w:color="auto"/>
                <w:bottom w:val="single" w:sz="2" w:space="0" w:color="auto"/>
                <w:right w:val="single" w:sz="2" w:space="0" w:color="auto"/>
              </w:divBdr>
              <w:divsChild>
                <w:div w:id="9733373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451975751">
      <w:bodyDiv w:val="1"/>
      <w:marLeft w:val="0"/>
      <w:marRight w:val="0"/>
      <w:marTop w:val="0"/>
      <w:marBottom w:val="0"/>
      <w:divBdr>
        <w:top w:val="none" w:sz="0" w:space="0" w:color="auto"/>
        <w:left w:val="none" w:sz="0" w:space="0" w:color="auto"/>
        <w:bottom w:val="none" w:sz="0" w:space="0" w:color="auto"/>
        <w:right w:val="none" w:sz="0" w:space="0" w:color="auto"/>
      </w:divBdr>
      <w:divsChild>
        <w:div w:id="1011569184">
          <w:marLeft w:val="0"/>
          <w:marRight w:val="0"/>
          <w:marTop w:val="0"/>
          <w:marBottom w:val="0"/>
          <w:divBdr>
            <w:top w:val="single" w:sz="2" w:space="0" w:color="auto"/>
            <w:left w:val="single" w:sz="2" w:space="0" w:color="auto"/>
            <w:bottom w:val="single" w:sz="2" w:space="0" w:color="auto"/>
            <w:right w:val="single" w:sz="2" w:space="0" w:color="auto"/>
          </w:divBdr>
        </w:div>
        <w:div w:id="297881000">
          <w:marLeft w:val="0"/>
          <w:marRight w:val="0"/>
          <w:marTop w:val="0"/>
          <w:marBottom w:val="0"/>
          <w:divBdr>
            <w:top w:val="single" w:sz="2" w:space="0" w:color="auto"/>
            <w:left w:val="single" w:sz="2" w:space="0" w:color="auto"/>
            <w:bottom w:val="single" w:sz="2" w:space="0" w:color="auto"/>
            <w:right w:val="single" w:sz="2" w:space="0" w:color="auto"/>
          </w:divBdr>
          <w:divsChild>
            <w:div w:id="2102220510">
              <w:marLeft w:val="0"/>
              <w:marRight w:val="0"/>
              <w:marTop w:val="0"/>
              <w:marBottom w:val="0"/>
              <w:divBdr>
                <w:top w:val="single" w:sz="2" w:space="0" w:color="auto"/>
                <w:left w:val="single" w:sz="2" w:space="0" w:color="auto"/>
                <w:bottom w:val="single" w:sz="2" w:space="0" w:color="auto"/>
                <w:right w:val="single" w:sz="2" w:space="0" w:color="auto"/>
              </w:divBdr>
              <w:divsChild>
                <w:div w:id="118366267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864A95-1B18-44F2-8CAB-B4FA38DD8A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3432</Words>
  <Characters>19564</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22951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Robayat Hasan</dc:creator>
  <cp:lastModifiedBy>Md. Abidur Rahman</cp:lastModifiedBy>
  <cp:revision>2</cp:revision>
  <dcterms:created xsi:type="dcterms:W3CDTF">2025-03-27T10:01:00Z</dcterms:created>
  <dcterms:modified xsi:type="dcterms:W3CDTF">2025-03-27T10:01:00Z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695189d0-f72c-418f-83cf-068e156f0309</vt:lpwstr>
  </property>
</Properties>
</file>