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Exploring the relationship between sensation seeking and the likelihood of engaging in risky driving behaviours</w:t>
      </w: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Abstract</w:t>
      </w: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shd w:fill="auto" w:val="clear"/>
        </w:rPr>
        <w:t xml:space="preserve">This report is based on the relationship between sensastion seeking and risky driving behaviour, this has been looked into within psychology as impusivity is thought to be a highly contributing factor to reckless driving. The research behind this theory is that there must be a strong relationship between the two factors, so in order to test it a group of university students took part in a research experiment. During this task, the participants would complete two questionnaires regarding sensation seeking and reckless driving. The hypothesis for this experiment was that there would be a strong relationship between sensation seeking and risky driving behaviour.</w:t>
      </w: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Introduction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report will discuss the relationship between sensation seeking and risky driving behaviours. Sensation seeking and its relationship with risky driving behaviour has been examined by researchers since the 1970’s Jonah A. B, (1997). Different research approaches have been examined within psychology as an attempt to understand what the individual differences are between risky driving and collisions Ulleberg P, &amp; Rundmo T, (2003). A study conducted on driving behaviour researched predictors such as anger driving, sensation seeking, boredom proneness and impulsiveness. Sensation seeking can include factors such as speeding, tailgating and driving whilst under the influence resulting in consequences like collisions Jonah A. B, (1997).</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Impulsiveness similarly links with behaviours such as drink driving, non-use of seatbelts and an individual’s reduced ability to identify traffic signs. Impulsive behaviour is very much alike sensation seeking, although impulsive behaviour involves a person’s ability to control their thoughts and behaviours and sensation seeking can result in more risk taking behaviour due to its excitement and the individual lacking in self-control Dahlen R. E, &amp; Martin C. R, &amp; Ragan. K, &amp; Kuhlman M. M, (2005). Impulsive driving is considered to be a correlated with aggressive behaviour and despite this factor not being studied in psychology it does suggest its link with aggression in general (Dahlen et al). Sensation seeking is thought to be an important influencer of risky driving behaviour and according to Zuckerman’s (1994) Sensation Seeking Scale, seeking sudden excitement has a strong relationship to risk taking whilst driving as well as other factors such as environment and personality traits. Zuckerman believed that a trait determined through seeking extreme sensation displays the likelihood to endure physical, social and legal risks to participate in those experiences.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this report the hypothesis being researched is whether there is a strong relationship between sensation seeking and the possibility of risky driving. The data collected for this study will be from first year psychology students at University of Wales Trinity Saint David. The hypothesis is to discover whether the students find sensation in risky driving from personal experience.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Methods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u w:val="single"/>
          <w:shd w:fill="auto" w:val="clear"/>
        </w:rPr>
        <w:t xml:space="preserve">Participants</w:t>
        <w:br/>
      </w:r>
      <w:r>
        <w:rPr>
          <w:rFonts w:ascii="Calibri" w:hAnsi="Calibri" w:cs="Calibri" w:eastAsia="Calibri"/>
          <w:color w:val="auto"/>
          <w:spacing w:val="0"/>
          <w:position w:val="0"/>
          <w:sz w:val="22"/>
          <w:shd w:fill="auto" w:val="clear"/>
        </w:rPr>
        <w:t xml:space="preserve">In this specific sample for the study included a total of 26 participants, both male and female who were recruited by University of Wales Trinity Saint David, all first year psychology students. The age range of the participants varied from 18-60 years of age. A study specific quality the participant must have to participate in this study is driving experience.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u w:val="single"/>
          <w:shd w:fill="auto" w:val="clear"/>
        </w:rPr>
        <w:t xml:space="preserve">Design</w:t>
        <w:br/>
      </w:r>
      <w:r>
        <w:rPr>
          <w:rFonts w:ascii="Calibri" w:hAnsi="Calibri" w:cs="Calibri" w:eastAsia="Calibri"/>
          <w:color w:val="auto"/>
          <w:spacing w:val="0"/>
          <w:position w:val="0"/>
          <w:sz w:val="22"/>
          <w:shd w:fill="auto" w:val="clear"/>
        </w:rPr>
        <w:t xml:space="preserve">The statistical analysis used in this study was Pearson’s Product Moment Correlation using SPSS. For this correlation study there were no independent or dependent variables as the study was not looking for whether sensation seeking causes risky driving behaviour, but whether or not there was a relationship between the two.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u w:val="single"/>
          <w:shd w:fill="auto" w:val="clear"/>
        </w:rPr>
        <w:t xml:space="preserve">Material</w:t>
        <w:br/>
      </w:r>
      <w:r>
        <w:rPr>
          <w:rFonts w:ascii="Calibri" w:hAnsi="Calibri" w:cs="Calibri" w:eastAsia="Calibri"/>
          <w:color w:val="auto"/>
          <w:spacing w:val="0"/>
          <w:position w:val="0"/>
          <w:sz w:val="22"/>
          <w:shd w:fill="auto" w:val="clear"/>
        </w:rPr>
        <w:t xml:space="preserve">Materials used for this study was two brief online questionnaires regarding sensation seeking and risky driving. The individual must read through each question and give their honest answer for both questionnaires, the inspiration for both questionnaires came from Stephenson, M. T., Hoyle, R. H., Slater, M.D., &amp; Palmgreen, P. (2003) and Ivers, R., Senserrick, T., Boufous, S., Stevenson, M., Chen, H-Y., Woodward, M., &amp; Norton, R. (2009).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u w:val="single"/>
          <w:shd w:fill="auto" w:val="clear"/>
        </w:rPr>
        <w:t xml:space="preserve">Procedure</w:t>
        <w:br/>
      </w:r>
      <w:r>
        <w:rPr>
          <w:rFonts w:ascii="Calibri" w:hAnsi="Calibri" w:cs="Calibri" w:eastAsia="Calibri"/>
          <w:color w:val="auto"/>
          <w:spacing w:val="0"/>
          <w:position w:val="0"/>
          <w:sz w:val="22"/>
          <w:shd w:fill="auto" w:val="clear"/>
        </w:rPr>
        <w:t xml:space="preserve">Before the study commenced the participants were presented with an information message on the computer screen along with consent to participate in the study, the participant was made aware that they had the right to withdraw from the study at any time without reason should they wish in the message. Then the participant had to complete a section of information stating their gender, age and their person driving license type along with a selection of questions such as “I drive fast just for the thrill of it” with the answer options “very often, often, sometimes, hardly ever, never”. Then the participant must complete the sensation seeking questionnaire with questions such as “I like wild parties” with the answer options “strongly disagree, disagree, neither agree nor disagree, agree and strongly agree”. Once completed the participants were provided with a debrief form thanking them for their participation in the study.</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Results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results from Pearson’s Product Moment Correlation show the relationship between impulsivity and risky driving behaviour having a negative correlation between the two. Displaying a value of</w:t>
      </w:r>
      <w:r>
        <w:rPr>
          <w:rFonts w:ascii="Calibri" w:hAnsi="Calibri" w:cs="Calibri" w:eastAsia="Calibri"/>
          <w:i/>
          <w:color w:val="auto"/>
          <w:spacing w:val="0"/>
          <w:position w:val="0"/>
          <w:sz w:val="22"/>
          <w:shd w:fill="auto" w:val="clear"/>
        </w:rPr>
        <w:t xml:space="preserve"> r= 0.76, n=26, p &lt; .05 </w:t>
      </w:r>
      <w:r>
        <w:rPr>
          <w:rFonts w:ascii="Calibri" w:hAnsi="Calibri" w:cs="Calibri" w:eastAsia="Calibri"/>
          <w:color w:val="auto"/>
          <w:spacing w:val="0"/>
          <w:position w:val="0"/>
          <w:sz w:val="22"/>
          <w:shd w:fill="auto" w:val="clear"/>
        </w:rPr>
        <w:t xml:space="preserve">this means the results are significant to accept the hypothesis as it is more than .05. There is nothing within these results to explain whether or not sensation seeking or impulsivity causes risky driving behaviour however there may be a relationship between the two as the scatterplot demonstrates a weak negative result. Also more results show </w:t>
      </w:r>
      <w:r>
        <w:rPr>
          <w:rFonts w:ascii="Calibri" w:hAnsi="Calibri" w:cs="Calibri" w:eastAsia="Calibri"/>
          <w:i/>
          <w:color w:val="auto"/>
          <w:spacing w:val="0"/>
          <w:position w:val="0"/>
          <w:sz w:val="22"/>
          <w:shd w:fill="auto" w:val="clear"/>
        </w:rPr>
        <w:t xml:space="preserve">SD=7.88, M=14.5, n=26</w:t>
      </w:r>
      <w:r>
        <w:rPr>
          <w:rFonts w:ascii="Calibri" w:hAnsi="Calibri" w:cs="Calibri" w:eastAsia="Calibri"/>
          <w:color w:val="auto"/>
          <w:spacing w:val="0"/>
          <w:position w:val="0"/>
          <w:sz w:val="22"/>
          <w:shd w:fill="auto" w:val="clear"/>
        </w:rPr>
        <w:t xml:space="preserve"> for the risky driving behaviour and </w:t>
      </w:r>
      <w:r>
        <w:rPr>
          <w:rFonts w:ascii="Calibri" w:hAnsi="Calibri" w:cs="Calibri" w:eastAsia="Calibri"/>
          <w:i/>
          <w:color w:val="auto"/>
          <w:spacing w:val="0"/>
          <w:position w:val="0"/>
          <w:sz w:val="22"/>
          <w:shd w:fill="auto" w:val="clear"/>
        </w:rPr>
        <w:t xml:space="preserve">SD=4.49, M=25.8, n=26 </w:t>
      </w:r>
      <w:r>
        <w:rPr>
          <w:rFonts w:ascii="Calibri" w:hAnsi="Calibri" w:cs="Calibri" w:eastAsia="Calibri"/>
          <w:color w:val="auto"/>
          <w:spacing w:val="0"/>
          <w:position w:val="0"/>
          <w:sz w:val="22"/>
          <w:shd w:fill="auto" w:val="clear"/>
        </w:rPr>
        <w:t xml:space="preserve">for the sensation seeking.</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Discussion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Overall, the hypothesis for this study was rejected as although it has a significant result the hypothesis that was aimed for was not achieved. The study outcomes still do not explain whether or not impulsivity and attitude can cause risky driving behaviour although they may have a relationship. Unlike Jonah A. B, (1997) the research contradicts his theory that sensation seeking can result in reckless behaviour such as tailgating and speeding as there was a negative correlation between the two in the study conducted by the university. The results could have been founded due to a lack of participants other factors may include experience, length of time driving, day or night driving as well as other individual factors that could cause an individual to drive more reckless. As well as this the sensation seeking questionnaire could not truly portray an individuals likelihood of risky driving due to the questions not being completely relatable such as "i like wild parties" would not necessarily mean an individual was more likely to drive dangerously. To conclude, the research explains that due to the weak negative correlation and the hypothesis being rejected that there simply was not enough support to gain a strong argument, in the future to re-attempt this study there should be a larger amount of male participants as this could greatly impact the scores as well as the ages as younger participants are more likely to engage in risky driving for the thrill.</w:t>
      </w: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Reference List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Dahlen R, E., Martin C, R., Ragan K, Kuhlman M, M (2005). Accident Analysis &amp; Prevention. </w:t>
      </w:r>
      <w:r>
        <w:rPr>
          <w:rFonts w:ascii="Calibri" w:hAnsi="Calibri" w:cs="Calibri" w:eastAsia="Calibri"/>
          <w:i/>
          <w:color w:val="auto"/>
          <w:spacing w:val="0"/>
          <w:position w:val="0"/>
          <w:sz w:val="22"/>
          <w:shd w:fill="auto" w:val="clear"/>
        </w:rPr>
        <w:t xml:space="preserve">Driving anger, sensation seeking, impulsiveness, and boredom proneness in the prediction of unsafe driving. </w:t>
      </w:r>
      <w:r>
        <w:rPr>
          <w:rFonts w:ascii="Calibri" w:hAnsi="Calibri" w:cs="Calibri" w:eastAsia="Calibri"/>
          <w:color w:val="auto"/>
          <w:spacing w:val="0"/>
          <w:position w:val="0"/>
          <w:sz w:val="22"/>
          <w:shd w:fill="auto" w:val="clear"/>
        </w:rPr>
        <w:t xml:space="preserve"> 341-348.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Jonah A, B (1997). Accident Analysis &amp; Prevention. </w:t>
      </w:r>
      <w:r>
        <w:rPr>
          <w:rFonts w:ascii="Calibri" w:hAnsi="Calibri" w:cs="Calibri" w:eastAsia="Calibri"/>
          <w:i/>
          <w:color w:val="auto"/>
          <w:spacing w:val="0"/>
          <w:position w:val="0"/>
          <w:sz w:val="22"/>
          <w:shd w:fill="auto" w:val="clear"/>
        </w:rPr>
        <w:t xml:space="preserve">Sensation Seeking and Risky Driving: A Review and Synthesis of the Literature. 29</w:t>
      </w:r>
      <w:r>
        <w:rPr>
          <w:rFonts w:ascii="Calibri" w:hAnsi="Calibri" w:cs="Calibri" w:eastAsia="Calibri"/>
          <w:color w:val="auto"/>
          <w:spacing w:val="0"/>
          <w:position w:val="0"/>
          <w:sz w:val="22"/>
          <w:shd w:fill="auto" w:val="clear"/>
        </w:rPr>
        <w:t xml:space="preserve">(5), pp. 651-665.</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Ulleberg P., Rundmo (2003). Safety Science. </w:t>
      </w:r>
      <w:r>
        <w:rPr>
          <w:rFonts w:ascii="Calibri" w:hAnsi="Calibri" w:cs="Calibri" w:eastAsia="Calibri"/>
          <w:i/>
          <w:color w:val="auto"/>
          <w:spacing w:val="0"/>
          <w:position w:val="0"/>
          <w:sz w:val="22"/>
          <w:shd w:fill="auto" w:val="clear"/>
        </w:rPr>
        <w:t xml:space="preserve">Personality, attitudes and risk perception as predictors of risky driving behaviour among young drivers. </w:t>
      </w:r>
      <w:r>
        <w:rPr>
          <w:rFonts w:ascii="Calibri" w:hAnsi="Calibri" w:cs="Calibri" w:eastAsia="Calibri"/>
          <w:color w:val="auto"/>
          <w:spacing w:val="0"/>
          <w:position w:val="0"/>
          <w:sz w:val="22"/>
          <w:shd w:fill="auto" w:val="clear"/>
        </w:rPr>
        <w:t xml:space="preserve">427-443.</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72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Appendices</w:t>
      </w: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Brief Sensation Seeking Scale (BSSS)</w:t>
      </w: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Stephenson,M. T., Hoyle, R. H., Slater, M. D., &amp; Palmgreen, P. (2003). Brief measures of sensation seeking for screening and large scale surveys. </w:t>
      </w:r>
      <w:r>
        <w:rPr>
          <w:rFonts w:ascii="Arial" w:hAnsi="Arial" w:cs="Arial" w:eastAsia="Arial"/>
          <w:b/>
          <w:i/>
          <w:color w:val="auto"/>
          <w:spacing w:val="0"/>
          <w:position w:val="0"/>
          <w:sz w:val="24"/>
          <w:shd w:fill="auto" w:val="clear"/>
        </w:rPr>
        <w:t xml:space="preserve">Drug and Alcohol Dependency, 72,</w:t>
      </w:r>
      <w:r>
        <w:rPr>
          <w:rFonts w:ascii="Arial" w:hAnsi="Arial" w:cs="Arial" w:eastAsia="Arial"/>
          <w:b/>
          <w:color w:val="auto"/>
          <w:spacing w:val="0"/>
          <w:position w:val="0"/>
          <w:sz w:val="24"/>
          <w:shd w:fill="auto" w:val="clear"/>
        </w:rPr>
        <w:t xml:space="preserve"> 279-286.</w:t>
      </w: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444444"/>
          <w:spacing w:val="0"/>
          <w:position w:val="0"/>
          <w:sz w:val="24"/>
          <w:shd w:fill="F9F9F9" w:val="clear"/>
        </w:rPr>
        <w:t xml:space="preserve">Please respond to the statements below about how you generally feel about yourself, using the rating scale as follows:</w:t>
      </w:r>
      <w:r>
        <w:rPr>
          <w:rFonts w:ascii="Arial" w:hAnsi="Arial" w:cs="Arial" w:eastAsia="Arial"/>
          <w:color w:val="444444"/>
          <w:spacing w:val="0"/>
          <w:position w:val="0"/>
          <w:sz w:val="20"/>
          <w:shd w:fill="auto" w:val="clear"/>
        </w:rPr>
        <w:br/>
        <w:br/>
      </w:r>
      <w:r>
        <w:rPr>
          <w:rFonts w:ascii="Arial" w:hAnsi="Arial" w:cs="Arial" w:eastAsia="Arial"/>
          <w:b/>
          <w:color w:val="444444"/>
          <w:spacing w:val="0"/>
          <w:position w:val="0"/>
          <w:sz w:val="20"/>
          <w:shd w:fill="F9F9F9" w:val="clear"/>
        </w:rPr>
        <w:t xml:space="preserve">Strongly disagree       Disagree       Neither disagree nor agree       Agree      Strongly agree</w:t>
      </w:r>
    </w:p>
    <w:p>
      <w:pPr>
        <w:spacing w:before="0" w:after="160" w:line="259"/>
        <w:ind w:right="0" w:left="0" w:firstLine="0"/>
        <w:jc w:val="left"/>
        <w:rPr>
          <w:rFonts w:ascii="Calibri" w:hAnsi="Calibri" w:cs="Calibri" w:eastAsia="Calibri"/>
          <w:color w:val="auto"/>
          <w:spacing w:val="0"/>
          <w:position w:val="0"/>
          <w:sz w:val="22"/>
          <w:shd w:fill="auto" w:val="clear"/>
        </w:rPr>
      </w:pPr>
    </w:p>
    <w:p>
      <w:pPr>
        <w:numPr>
          <w:ilvl w:val="0"/>
          <w:numId w:val="27"/>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would like to explore strange places</w:t>
      </w:r>
    </w:p>
    <w:p>
      <w:pPr>
        <w:numPr>
          <w:ilvl w:val="0"/>
          <w:numId w:val="27"/>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would like to take off on a trip with no pre-planned routes or timetables</w:t>
      </w:r>
    </w:p>
    <w:p>
      <w:pPr>
        <w:numPr>
          <w:ilvl w:val="0"/>
          <w:numId w:val="27"/>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like to do frightening things</w:t>
      </w:r>
    </w:p>
    <w:p>
      <w:pPr>
        <w:numPr>
          <w:ilvl w:val="0"/>
          <w:numId w:val="27"/>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would like to try parachute-jumping</w:t>
      </w:r>
    </w:p>
    <w:p>
      <w:pPr>
        <w:numPr>
          <w:ilvl w:val="0"/>
          <w:numId w:val="27"/>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like wild parties</w:t>
      </w:r>
    </w:p>
    <w:p>
      <w:pPr>
        <w:numPr>
          <w:ilvl w:val="0"/>
          <w:numId w:val="27"/>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like new and exciting experiences, even if I have to break the rules</w:t>
      </w:r>
    </w:p>
    <w:p>
      <w:pPr>
        <w:numPr>
          <w:ilvl w:val="0"/>
          <w:numId w:val="27"/>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get restless when I spend too much time at home</w:t>
      </w:r>
    </w:p>
    <w:p>
      <w:pPr>
        <w:numPr>
          <w:ilvl w:val="0"/>
          <w:numId w:val="27"/>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prefer friends who are excitingly unpredictable</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Scoring key:</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Strongly disagree = 1</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Disagree = 2</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Neither disagree nor agree = 3</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Agree = 4</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Strongly agree = 5</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Range of scores between 8 and 40. Higher scores indicated greater sensation seeking tendencies.</w:t>
      </w: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Risky Driving Behaviour</w:t>
      </w: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Ivers, R., Senserrick, T., Boufous, S., Stevenson, M., Chen, H-Y., Woodward, M., … &amp; Norton, R. (2009). Novice drivers’ risky driving behaviour, risk perception, and crash risk: Findings from the DRIVE study. </w:t>
      </w:r>
      <w:r>
        <w:rPr>
          <w:rFonts w:ascii="Arial" w:hAnsi="Arial" w:cs="Arial" w:eastAsia="Arial"/>
          <w:b/>
          <w:i/>
          <w:color w:val="auto"/>
          <w:spacing w:val="0"/>
          <w:position w:val="0"/>
          <w:sz w:val="24"/>
          <w:shd w:fill="auto" w:val="clear"/>
        </w:rPr>
        <w:t xml:space="preserve">American Journal of Public Health, 99</w:t>
      </w:r>
      <w:r>
        <w:rPr>
          <w:rFonts w:ascii="Arial" w:hAnsi="Arial" w:cs="Arial" w:eastAsia="Arial"/>
          <w:b/>
          <w:color w:val="auto"/>
          <w:spacing w:val="0"/>
          <w:position w:val="0"/>
          <w:sz w:val="24"/>
          <w:shd w:fill="auto" w:val="clear"/>
        </w:rPr>
        <w:t xml:space="preserve">(9), 1638-1644.</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b/>
          <w:color w:val="444444"/>
          <w:spacing w:val="0"/>
          <w:position w:val="0"/>
          <w:sz w:val="24"/>
          <w:shd w:fill="F9F9F9" w:val="clear"/>
        </w:rPr>
      </w:pPr>
      <w:r>
        <w:rPr>
          <w:rFonts w:ascii="Arial" w:hAnsi="Arial" w:cs="Arial" w:eastAsia="Arial"/>
          <w:color w:val="444444"/>
          <w:spacing w:val="0"/>
          <w:position w:val="0"/>
          <w:sz w:val="24"/>
          <w:shd w:fill="F9F9F9" w:val="clear"/>
        </w:rPr>
        <w:t xml:space="preserve">Please respond to the statements below as honestly as possible, using the rating scales as follows:</w:t>
      </w:r>
      <w:r>
        <w:rPr>
          <w:rFonts w:ascii="Arial" w:hAnsi="Arial" w:cs="Arial" w:eastAsia="Arial"/>
          <w:color w:val="444444"/>
          <w:spacing w:val="0"/>
          <w:position w:val="0"/>
          <w:sz w:val="24"/>
          <w:shd w:fill="auto" w:val="clear"/>
        </w:rPr>
        <w:br/>
        <w:br/>
      </w:r>
      <w:r>
        <w:rPr>
          <w:rFonts w:ascii="Arial" w:hAnsi="Arial" w:cs="Arial" w:eastAsia="Arial"/>
          <w:b/>
          <w:color w:val="444444"/>
          <w:spacing w:val="0"/>
          <w:position w:val="0"/>
          <w:sz w:val="24"/>
          <w:shd w:fill="F9F9F9" w:val="clear"/>
        </w:rPr>
        <w:t xml:space="preserve">Very Often         Often        Sometimes         Hardly Ever      Never</w:t>
      </w:r>
    </w:p>
    <w:p>
      <w:pPr>
        <w:spacing w:before="0" w:after="160" w:line="259"/>
        <w:ind w:right="0" w:left="0" w:firstLine="0"/>
        <w:jc w:val="left"/>
        <w:rPr>
          <w:rFonts w:ascii="Arial" w:hAnsi="Arial" w:cs="Arial" w:eastAsia="Arial"/>
          <w:b/>
          <w:color w:val="444444"/>
          <w:spacing w:val="0"/>
          <w:position w:val="0"/>
          <w:sz w:val="24"/>
          <w:shd w:fill="F9F9F9" w:val="clear"/>
        </w:rPr>
      </w:pPr>
    </w:p>
    <w:p>
      <w:pPr>
        <w:spacing w:before="0" w:after="160" w:line="259"/>
        <w:ind w:right="0" w:left="0" w:firstLine="0"/>
        <w:jc w:val="left"/>
        <w:rPr>
          <w:rFonts w:ascii="Arial" w:hAnsi="Arial" w:cs="Arial" w:eastAsia="Arial"/>
          <w:b/>
          <w:color w:val="444444"/>
          <w:spacing w:val="0"/>
          <w:position w:val="0"/>
          <w:sz w:val="24"/>
          <w:shd w:fill="F9F9F9"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w:t>
        <w:tab/>
        <w:t xml:space="preserve">Drive with 2 or more passengers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w:t>
        <w:tab/>
        <w:t xml:space="preserve">Drive while listening to loud music</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3.</w:t>
        <w:tab/>
        <w:t xml:space="preserve">Drive about 50mph in a 40mph zone</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4.</w:t>
        <w:tab/>
        <w:t xml:space="preserve">Drive fast just for the thrill of it</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5.</w:t>
        <w:tab/>
        <w:t xml:space="preserve">Follow very closely behind slow drivers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6.</w:t>
        <w:tab/>
        <w:t xml:space="preserve">Speed up if someone is trying to pass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7.</w:t>
        <w:tab/>
        <w:t xml:space="preserve">Take some risks when driving because it makes driving more fun</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8.</w:t>
        <w:tab/>
        <w:t xml:space="preserve">Make rude gestures at other drivers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9.</w:t>
        <w:tab/>
        <w:t xml:space="preserve">Honk your horn or flash your lights in anger at other drivers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10.</w:t>
        <w:tab/>
        <w:t xml:space="preserve">Do burnouts, donuts, or skids just for the fun of it</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11.</w:t>
        <w:tab/>
        <w:t xml:space="preserve">Race or drag race for the fun of it</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12.</w:t>
        <w:tab/>
        <w:t xml:space="preserve">Drive while using SMS on a mobile phone</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13.</w:t>
        <w:tab/>
        <w:t xml:space="preserve">Drive while talking on a mobile phone</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14.</w:t>
        <w:tab/>
        <w:t xml:space="preserve">Drive without wearing a seatbelt</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Scoring key:</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Very often = 4     Often = 3     Sometimes = 2     Hardly ever = 1    Never = 0</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Range 0-56 with higher scores indicating greater likelihood of engaging in risky driving behaviours</w:t>
      </w: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Study information and consent</w:t>
      </w: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understand that taking part in this research survey will involve me answering two short questionnaires regarding my driving behaviour. </w:t>
        <w:br/>
        <w:br/>
        <w:t xml:space="preserve">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br/>
        <w:br/>
        <w:t xml:space="preserve">I understand that the information provided by my will be used for the purpose of providing data for analysis, but that this data will be held confidentially and anonymously, with a code assigned in place of my name. These data will be stored in accordance with the Data Protection Act.</w:t>
        <w:br/>
        <w:br/>
        <w:t xml:space="preserve">I also understand that at the end of the study I will be provided with debrief information outlining the full nature of the study. I will also have the opportunity to contact the researcher with any questions I may have.</w:t>
      </w:r>
    </w:p>
    <w:p>
      <w:pPr>
        <w:spacing w:before="0" w:after="0" w:line="240"/>
        <w:ind w:right="0" w:left="0" w:firstLine="0"/>
        <w:jc w:val="center"/>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Researcher details:</w:t>
        <w:br/>
        <w:br/>
        <w:t xml:space="preserve">Miss Stacey Coleman</w:t>
        <w:br/>
        <w:t xml:space="preserve">stacey.coleman@uwtsd.ac.uk</w:t>
      </w: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read and understood the information provided above</w:t>
      </w:r>
    </w:p>
    <w:p>
      <w:pPr>
        <w:numPr>
          <w:ilvl w:val="0"/>
          <w:numId w:val="43"/>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Yes</w:t>
      </w:r>
    </w:p>
    <w:p>
      <w:pPr>
        <w:numPr>
          <w:ilvl w:val="0"/>
          <w:numId w:val="43"/>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consent to taking part in this study</w:t>
      </w:r>
    </w:p>
    <w:p>
      <w:pPr>
        <w:numPr>
          <w:ilvl w:val="0"/>
          <w:numId w:val="45"/>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Yes</w:t>
      </w:r>
    </w:p>
    <w:p>
      <w:pPr>
        <w:numPr>
          <w:ilvl w:val="0"/>
          <w:numId w:val="45"/>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 </w:t>
      </w: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Debrief information</w:t>
      </w: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Thank you for taking part in this study.</w:t>
        <w:br/>
        <w:br/>
        <w:t xml:space="preserve">The main aim of this study was to explore whether there is a relationship between levels of sensation seeking and the likelihood of engaging in risky driving behaviours. It was specifically hypothesised that higher levels of sensation seeking would be related to a greater likelihood of engagement in risky driving behaviours.</w:t>
        <w:br/>
        <w:br/>
      </w:r>
      <w:r>
        <w:rPr>
          <w:rFonts w:ascii="Arial" w:hAnsi="Arial" w:cs="Arial" w:eastAsia="Arial"/>
          <w:b/>
          <w:color w:val="auto"/>
          <w:spacing w:val="0"/>
          <w:position w:val="0"/>
          <w:sz w:val="22"/>
          <w:shd w:fill="auto" w:val="clear"/>
        </w:rPr>
        <w:t xml:space="preserve">If you wish to withdraw your data from the study you must email the researcher now.</w:t>
      </w:r>
      <w:r>
        <w:rPr>
          <w:rFonts w:ascii="Arial" w:hAnsi="Arial" w:cs="Arial" w:eastAsia="Arial"/>
          <w:color w:val="auto"/>
          <w:spacing w:val="0"/>
          <w:position w:val="0"/>
          <w:sz w:val="22"/>
          <w:shd w:fill="auto" w:val="clear"/>
        </w:rPr>
        <w:t xml:space="preserve"> Once you submit this form, all of your data will remain confidential and it will not be able to be traced back to you.</w:t>
        <w:br/>
        <w:br/>
        <w:t xml:space="preserve">Researcher details:</w:t>
        <w:br/>
        <w:br/>
        <w:t xml:space="preserve">Miss Stacey Coleman</w:t>
        <w:br/>
      </w:r>
      <w:hyperlink xmlns:r="http://schemas.openxmlformats.org/officeDocument/2006/relationships" r:id="docRId0">
        <w:r>
          <w:rPr>
            <w:rFonts w:ascii="Arial" w:hAnsi="Arial" w:cs="Arial" w:eastAsia="Arial"/>
            <w:color w:val="0563C1"/>
            <w:spacing w:val="0"/>
            <w:position w:val="0"/>
            <w:sz w:val="22"/>
            <w:u w:val="single"/>
            <w:shd w:fill="auto" w:val="clear"/>
          </w:rPr>
          <w:t xml:space="preserve">stacey.coleman@uwtsd.ac.uk</w:t>
        </w:r>
      </w:hyperlink>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Please click the button below to submit your answers</w:t>
      </w:r>
    </w:p>
    <w:p>
      <w:pPr>
        <w:spacing w:before="0" w:after="160" w:line="259"/>
        <w:ind w:right="0" w:left="0" w:firstLine="0"/>
        <w:jc w:val="left"/>
        <w:rPr>
          <w:rFonts w:ascii="Arial" w:hAnsi="Arial" w:cs="Arial" w:eastAsia="Arial"/>
          <w:color w:val="auto"/>
          <w:spacing w:val="0"/>
          <w:position w:val="0"/>
          <w:sz w:val="22"/>
          <w:shd w:fill="auto" w:val="clear"/>
        </w:rPr>
      </w:pPr>
    </w:p>
    <w:p>
      <w:pPr>
        <w:numPr>
          <w:ilvl w:val="0"/>
          <w:numId w:val="51"/>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2"/>
          <w:shd w:fill="auto" w:val="clear"/>
        </w:rPr>
        <w:t xml:space="preserve">SUBMIT</w:t>
      </w: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9028" w:dyaOrig="7228">
          <v:rect xmlns:o="urn:schemas-microsoft-com:office:office" xmlns:v="urn:schemas-microsoft-com:vml" id="rectole0000000000" style="width:451.400000pt;height:361.400000pt" o:preferrelative="t" o:ole="">
            <o:lock v:ext="edit"/>
            <v:imagedata xmlns:r="http://schemas.openxmlformats.org/officeDocument/2006/relationships" r:id="docRId2" o:title=""/>
          </v:rect>
          <o:OLEObject xmlns:r="http://schemas.openxmlformats.org/officeDocument/2006/relationships" xmlns:o="urn:schemas-microsoft-com:office:office" Type="Embed" ProgID="StaticMetafile" DrawAspect="Content" ObjectID="0000000000" ShapeID="rectole0000000000" r:id="docRId1"/>
        </w:objec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0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tbl>
      <w:tblPr/>
      <w:tblGrid>
        <w:gridCol w:w="1106"/>
        <w:gridCol w:w="1999"/>
        <w:gridCol w:w="1107"/>
        <w:gridCol w:w="1030"/>
      </w:tblGrid>
      <w:tr>
        <w:trPr>
          <w:trHeight w:val="1" w:hRule="atLeast"/>
          <w:jc w:val="left"/>
          <w:cantSplit w:val="1"/>
        </w:trPr>
        <w:tc>
          <w:tcPr>
            <w:tcW w:w="5242" w:type="dxa"/>
            <w:gridSpan w:val="4"/>
            <w:tcBorders>
              <w:top w:val="single" w:color="000000" w:sz="8"/>
              <w:left w:val="single" w:color="000000" w:sz="8"/>
              <w:bottom w:val="single" w:color="000000" w:sz="8"/>
              <w:right w:val="single" w:color="000000" w:sz="8"/>
            </w:tcBorders>
            <w:shd w:color="auto" w:fill="ffffff" w:val="clear"/>
            <w:tcMar>
              <w:left w:w="0" w:type="dxa"/>
              <w:right w:w="0" w:type="dxa"/>
            </w:tcMar>
            <w:vAlign w:val="center"/>
          </w:tcPr>
          <w:p>
            <w:pPr>
              <w:spacing w:before="0" w:after="0" w:line="320"/>
              <w:ind w:right="60" w:left="60" w:firstLine="0"/>
              <w:jc w:val="center"/>
              <w:rPr>
                <w:spacing w:val="0"/>
                <w:position w:val="0"/>
                <w:sz w:val="22"/>
                <w:shd w:fill="auto" w:val="clear"/>
              </w:rPr>
            </w:pPr>
            <w:r>
              <w:rPr>
                <w:rFonts w:ascii="Arial" w:hAnsi="Arial" w:cs="Arial" w:eastAsia="Arial"/>
                <w:b/>
                <w:color w:val="010205"/>
                <w:spacing w:val="0"/>
                <w:position w:val="0"/>
                <w:sz w:val="22"/>
                <w:shd w:fill="auto" w:val="clear"/>
              </w:rPr>
              <w:t xml:space="preserve">Correlations</w:t>
            </w:r>
          </w:p>
        </w:tc>
      </w:tr>
      <w:tr>
        <w:trPr>
          <w:trHeight w:val="1" w:hRule="atLeast"/>
          <w:jc w:val="left"/>
          <w:cantSplit w:val="1"/>
        </w:trPr>
        <w:tc>
          <w:tcPr>
            <w:tcW w:w="3105" w:type="dxa"/>
            <w:gridSpan w:val="2"/>
            <w:tcBorders>
              <w:top w:val="single" w:color="000000" w:sz="8"/>
              <w:left w:val="single" w:color="000000" w:sz="8"/>
              <w:bottom w:val="single" w:color="152935" w:sz="8"/>
              <w:right w:val="single" w:color="000000" w:sz="8"/>
            </w:tcBorders>
            <w:shd w:color="auto" w:fill="ffffff" w:val="clear"/>
            <w:tcMar>
              <w:left w:w="0" w:type="dxa"/>
              <w:right w:w="0" w:type="dxa"/>
            </w:tcMar>
            <w:vAlign w:val="bottom"/>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107" w:type="dxa"/>
            <w:tcBorders>
              <w:top w:val="single" w:color="000000" w:sz="8"/>
              <w:left w:val="single" w:color="000000" w:sz="8"/>
              <w:bottom w:val="single" w:color="152935" w:sz="8"/>
              <w:right w:val="single" w:color="e0e0e0" w:sz="8"/>
            </w:tcBorders>
            <w:shd w:color="auto" w:fill="ffffff" w:val="clear"/>
            <w:tcMar>
              <w:left w:w="0" w:type="dxa"/>
              <w:right w:w="0" w:type="dxa"/>
            </w:tcMar>
            <w:vAlign w:val="bottom"/>
          </w:tcPr>
          <w:p>
            <w:pPr>
              <w:spacing w:before="0" w:after="0" w:line="320"/>
              <w:ind w:right="60" w:left="60" w:firstLine="0"/>
              <w:jc w:val="center"/>
              <w:rPr>
                <w:spacing w:val="0"/>
                <w:position w:val="0"/>
                <w:shd w:fill="auto" w:val="clear"/>
              </w:rPr>
            </w:pPr>
            <w:r>
              <w:rPr>
                <w:rFonts w:ascii="Arial" w:hAnsi="Arial" w:cs="Arial" w:eastAsia="Arial"/>
                <w:color w:val="264A60"/>
                <w:spacing w:val="0"/>
                <w:position w:val="0"/>
                <w:sz w:val="18"/>
                <w:shd w:fill="auto" w:val="clear"/>
              </w:rPr>
              <w:t xml:space="preserve">TotalRDB</w:t>
            </w:r>
          </w:p>
        </w:tc>
        <w:tc>
          <w:tcPr>
            <w:tcW w:w="1030" w:type="dxa"/>
            <w:tcBorders>
              <w:top w:val="single" w:color="000000" w:sz="8"/>
              <w:left w:val="single" w:color="e0e0e0" w:sz="8"/>
              <w:bottom w:val="single" w:color="152935" w:sz="8"/>
              <w:right w:val="single" w:color="000000" w:sz="8"/>
            </w:tcBorders>
            <w:shd w:color="auto" w:fill="ffffff" w:val="clear"/>
            <w:tcMar>
              <w:left w:w="0" w:type="dxa"/>
              <w:right w:w="0" w:type="dxa"/>
            </w:tcMar>
            <w:vAlign w:val="bottom"/>
          </w:tcPr>
          <w:p>
            <w:pPr>
              <w:spacing w:before="0" w:after="0" w:line="320"/>
              <w:ind w:right="60" w:left="60" w:firstLine="0"/>
              <w:jc w:val="center"/>
              <w:rPr>
                <w:spacing w:val="0"/>
                <w:position w:val="0"/>
                <w:shd w:fill="auto" w:val="clear"/>
              </w:rPr>
            </w:pPr>
            <w:r>
              <w:rPr>
                <w:rFonts w:ascii="Arial" w:hAnsi="Arial" w:cs="Arial" w:eastAsia="Arial"/>
                <w:color w:val="264A60"/>
                <w:spacing w:val="0"/>
                <w:position w:val="0"/>
                <w:sz w:val="18"/>
                <w:shd w:fill="auto" w:val="clear"/>
              </w:rPr>
              <w:t xml:space="preserve">TotalSS</w:t>
            </w:r>
          </w:p>
        </w:tc>
      </w:tr>
      <w:tr>
        <w:trPr>
          <w:trHeight w:val="1" w:hRule="atLeast"/>
          <w:jc w:val="left"/>
          <w:cantSplit w:val="1"/>
        </w:trPr>
        <w:tc>
          <w:tcPr>
            <w:tcW w:w="1106" w:type="dxa"/>
            <w:vMerge w:val="restart"/>
            <w:tcBorders>
              <w:top w:val="single" w:color="152935" w:sz="8"/>
              <w:left w:val="single" w:color="000000" w:sz="8"/>
              <w:bottom w:val="single" w:color="000000" w:sz="8"/>
              <w:right w:val="single" w:color="000000" w:sz="8"/>
            </w:tcBorders>
            <w:shd w:color="auto" w:fill="e0e0e0" w:val="clear"/>
            <w:tcMar>
              <w:left w:w="0" w:type="dxa"/>
              <w:right w:w="0" w:type="dxa"/>
            </w:tcMar>
            <w:vAlign w:val="top"/>
          </w:tcPr>
          <w:p>
            <w:pPr>
              <w:spacing w:before="0" w:after="0" w:line="320"/>
              <w:ind w:right="60" w:left="60" w:firstLine="0"/>
              <w:jc w:val="left"/>
              <w:rPr>
                <w:spacing w:val="0"/>
                <w:position w:val="0"/>
                <w:shd w:fill="auto" w:val="clear"/>
              </w:rPr>
            </w:pPr>
            <w:r>
              <w:rPr>
                <w:rFonts w:ascii="Arial" w:hAnsi="Arial" w:cs="Arial" w:eastAsia="Arial"/>
                <w:color w:val="264A60"/>
                <w:spacing w:val="0"/>
                <w:position w:val="0"/>
                <w:sz w:val="18"/>
                <w:shd w:fill="auto" w:val="clear"/>
              </w:rPr>
              <w:t xml:space="preserve">TotalRDB</w:t>
            </w:r>
          </w:p>
        </w:tc>
        <w:tc>
          <w:tcPr>
            <w:tcW w:w="1999" w:type="dxa"/>
            <w:tcBorders>
              <w:top w:val="single" w:color="152935" w:sz="8"/>
              <w:left w:val="single" w:color="000000" w:sz="8"/>
              <w:bottom w:val="single" w:color="836967" w:sz="8"/>
              <w:right w:val="single" w:color="000000" w:sz="8"/>
            </w:tcBorders>
            <w:shd w:color="auto" w:fill="e0e0e0" w:val="clear"/>
            <w:tcMar>
              <w:left w:w="0" w:type="dxa"/>
              <w:right w:w="0" w:type="dxa"/>
            </w:tcMar>
            <w:vAlign w:val="top"/>
          </w:tcPr>
          <w:p>
            <w:pPr>
              <w:spacing w:before="0" w:after="0" w:line="320"/>
              <w:ind w:right="60" w:left="60" w:firstLine="0"/>
              <w:jc w:val="left"/>
              <w:rPr>
                <w:spacing w:val="0"/>
                <w:position w:val="0"/>
                <w:shd w:fill="auto" w:val="clear"/>
              </w:rPr>
            </w:pPr>
            <w:r>
              <w:rPr>
                <w:rFonts w:ascii="Arial" w:hAnsi="Arial" w:cs="Arial" w:eastAsia="Arial"/>
                <w:color w:val="264A60"/>
                <w:spacing w:val="0"/>
                <w:position w:val="0"/>
                <w:sz w:val="18"/>
                <w:shd w:fill="auto" w:val="clear"/>
              </w:rPr>
              <w:t xml:space="preserve">Pearson Correlation</w:t>
            </w:r>
          </w:p>
        </w:tc>
        <w:tc>
          <w:tcPr>
            <w:tcW w:w="1107" w:type="dxa"/>
            <w:tcBorders>
              <w:top w:val="single" w:color="152935" w:sz="8"/>
              <w:left w:val="single" w:color="000000" w:sz="8"/>
              <w:bottom w:val="single" w:color="836967" w:sz="8"/>
              <w:right w:val="single" w:color="e0e0e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1</w:t>
            </w:r>
          </w:p>
        </w:tc>
        <w:tc>
          <w:tcPr>
            <w:tcW w:w="1030" w:type="dxa"/>
            <w:tcBorders>
              <w:top w:val="single" w:color="152935" w:sz="8"/>
              <w:left w:val="single" w:color="e0e0e0" w:sz="8"/>
              <w:bottom w:val="single" w:color="836967" w:sz="8"/>
              <w:right w:val="single" w:color="00000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-.076</w:t>
            </w:r>
          </w:p>
        </w:tc>
      </w:tr>
      <w:tr>
        <w:trPr>
          <w:trHeight w:val="1" w:hRule="atLeast"/>
          <w:jc w:val="left"/>
          <w:cantSplit w:val="1"/>
        </w:trPr>
        <w:tc>
          <w:tcPr>
            <w:tcW w:w="1106" w:type="dxa"/>
            <w:vMerge/>
            <w:tcBorders>
              <w:top w:val="single" w:color="152935" w:sz="8"/>
              <w:left w:val="single" w:color="000000" w:sz="8"/>
              <w:bottom w:val="single" w:color="000000" w:sz="8"/>
              <w:right w:val="single" w:color="000000" w:sz="8"/>
            </w:tcBorders>
            <w:shd w:color="auto" w:fill="e0e0e0" w:val="clear"/>
            <w:tcMar>
              <w:left w:w="0" w:type="dxa"/>
              <w:right w:w="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999" w:type="dxa"/>
            <w:tcBorders>
              <w:top w:val="single" w:color="836967" w:sz="8"/>
              <w:left w:val="single" w:color="000000" w:sz="8"/>
              <w:bottom w:val="single" w:color="836967" w:sz="8"/>
              <w:right w:val="single" w:color="000000" w:sz="8"/>
            </w:tcBorders>
            <w:shd w:color="auto" w:fill="e0e0e0" w:val="clear"/>
            <w:tcMar>
              <w:left w:w="0" w:type="dxa"/>
              <w:right w:w="0" w:type="dxa"/>
            </w:tcMar>
            <w:vAlign w:val="top"/>
          </w:tcPr>
          <w:p>
            <w:pPr>
              <w:spacing w:before="0" w:after="0" w:line="320"/>
              <w:ind w:right="60" w:left="60" w:firstLine="0"/>
              <w:jc w:val="left"/>
              <w:rPr>
                <w:spacing w:val="0"/>
                <w:position w:val="0"/>
                <w:shd w:fill="auto" w:val="clear"/>
              </w:rPr>
            </w:pPr>
            <w:r>
              <w:rPr>
                <w:rFonts w:ascii="Arial" w:hAnsi="Arial" w:cs="Arial" w:eastAsia="Arial"/>
                <w:color w:val="264A60"/>
                <w:spacing w:val="0"/>
                <w:position w:val="0"/>
                <w:sz w:val="18"/>
                <w:shd w:fill="auto" w:val="clear"/>
              </w:rPr>
              <w:t xml:space="preserve">Sig. (2-tailed)</w:t>
            </w:r>
          </w:p>
        </w:tc>
        <w:tc>
          <w:tcPr>
            <w:tcW w:w="1107" w:type="dxa"/>
            <w:tcBorders>
              <w:top w:val="single" w:color="836967" w:sz="8"/>
              <w:left w:val="single" w:color="000000" w:sz="8"/>
              <w:bottom w:val="single" w:color="836967" w:sz="8"/>
              <w:right w:val="single" w:color="e0e0e0" w:sz="8"/>
            </w:tcBorders>
            <w:shd w:color="auto" w:fill="ffffff" w:val="clear"/>
            <w:tcMar>
              <w:left w:w="0" w:type="dxa"/>
              <w:right w:w="0"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030" w:type="dxa"/>
            <w:tcBorders>
              <w:top w:val="single" w:color="836967" w:sz="8"/>
              <w:left w:val="single" w:color="e0e0e0" w:sz="8"/>
              <w:bottom w:val="single" w:color="836967" w:sz="8"/>
              <w:right w:val="single" w:color="00000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.712</w:t>
            </w:r>
          </w:p>
        </w:tc>
      </w:tr>
      <w:tr>
        <w:trPr>
          <w:trHeight w:val="1" w:hRule="atLeast"/>
          <w:jc w:val="left"/>
          <w:cantSplit w:val="1"/>
        </w:trPr>
        <w:tc>
          <w:tcPr>
            <w:tcW w:w="1106" w:type="dxa"/>
            <w:vMerge/>
            <w:tcBorders>
              <w:top w:val="single" w:color="152935" w:sz="8"/>
              <w:left w:val="single" w:color="000000" w:sz="8"/>
              <w:bottom w:val="single" w:color="000000" w:sz="8"/>
              <w:right w:val="single" w:color="000000" w:sz="8"/>
            </w:tcBorders>
            <w:shd w:color="auto" w:fill="e0e0e0" w:val="clear"/>
            <w:tcMar>
              <w:left w:w="0" w:type="dxa"/>
              <w:right w:w="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999" w:type="dxa"/>
            <w:tcBorders>
              <w:top w:val="single" w:color="836967" w:sz="8"/>
              <w:left w:val="single" w:color="000000" w:sz="8"/>
              <w:bottom w:val="single" w:color="000000" w:sz="8"/>
              <w:right w:val="single" w:color="000000" w:sz="8"/>
            </w:tcBorders>
            <w:shd w:color="auto" w:fill="e0e0e0" w:val="clear"/>
            <w:tcMar>
              <w:left w:w="0" w:type="dxa"/>
              <w:right w:w="0" w:type="dxa"/>
            </w:tcMar>
            <w:vAlign w:val="top"/>
          </w:tcPr>
          <w:p>
            <w:pPr>
              <w:spacing w:before="0" w:after="0" w:line="320"/>
              <w:ind w:right="60" w:left="60" w:firstLine="0"/>
              <w:jc w:val="left"/>
              <w:rPr>
                <w:spacing w:val="0"/>
                <w:position w:val="0"/>
                <w:shd w:fill="auto" w:val="clear"/>
              </w:rPr>
            </w:pPr>
            <w:r>
              <w:rPr>
                <w:rFonts w:ascii="Arial" w:hAnsi="Arial" w:cs="Arial" w:eastAsia="Arial"/>
                <w:color w:val="264A60"/>
                <w:spacing w:val="0"/>
                <w:position w:val="0"/>
                <w:sz w:val="18"/>
                <w:shd w:fill="auto" w:val="clear"/>
              </w:rPr>
              <w:t xml:space="preserve">N</w:t>
            </w:r>
          </w:p>
        </w:tc>
        <w:tc>
          <w:tcPr>
            <w:tcW w:w="1107" w:type="dxa"/>
            <w:tcBorders>
              <w:top w:val="single" w:color="836967" w:sz="8"/>
              <w:left w:val="single" w:color="000000" w:sz="8"/>
              <w:bottom w:val="single" w:color="000000" w:sz="8"/>
              <w:right w:val="single" w:color="e0e0e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26</w:t>
            </w:r>
          </w:p>
        </w:tc>
        <w:tc>
          <w:tcPr>
            <w:tcW w:w="1030" w:type="dxa"/>
            <w:tcBorders>
              <w:top w:val="single" w:color="836967" w:sz="8"/>
              <w:left w:val="single" w:color="e0e0e0" w:sz="8"/>
              <w:bottom w:val="single" w:color="000000" w:sz="8"/>
              <w:right w:val="single" w:color="00000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26</w:t>
            </w:r>
          </w:p>
        </w:tc>
      </w:tr>
      <w:tr>
        <w:trPr>
          <w:trHeight w:val="1" w:hRule="atLeast"/>
          <w:jc w:val="left"/>
          <w:cantSplit w:val="1"/>
        </w:trPr>
        <w:tc>
          <w:tcPr>
            <w:tcW w:w="1106" w:type="dxa"/>
            <w:vMerge w:val="restart"/>
            <w:tcBorders>
              <w:top w:val="single" w:color="836967" w:sz="8"/>
              <w:left w:val="single" w:color="000000" w:sz="8"/>
              <w:bottom w:val="single" w:color="152935" w:sz="8"/>
              <w:right w:val="single" w:color="000000" w:sz="8"/>
            </w:tcBorders>
            <w:shd w:color="auto" w:fill="e0e0e0" w:val="clear"/>
            <w:tcMar>
              <w:left w:w="0" w:type="dxa"/>
              <w:right w:w="0" w:type="dxa"/>
            </w:tcMar>
            <w:vAlign w:val="top"/>
          </w:tcPr>
          <w:p>
            <w:pPr>
              <w:spacing w:before="0" w:after="0" w:line="320"/>
              <w:ind w:right="60" w:left="60" w:firstLine="0"/>
              <w:jc w:val="left"/>
              <w:rPr>
                <w:spacing w:val="0"/>
                <w:position w:val="0"/>
                <w:shd w:fill="auto" w:val="clear"/>
              </w:rPr>
            </w:pPr>
            <w:r>
              <w:rPr>
                <w:rFonts w:ascii="Arial" w:hAnsi="Arial" w:cs="Arial" w:eastAsia="Arial"/>
                <w:color w:val="264A60"/>
                <w:spacing w:val="0"/>
                <w:position w:val="0"/>
                <w:sz w:val="18"/>
                <w:shd w:fill="auto" w:val="clear"/>
              </w:rPr>
              <w:t xml:space="preserve">TotalSS</w:t>
            </w:r>
          </w:p>
        </w:tc>
        <w:tc>
          <w:tcPr>
            <w:tcW w:w="1999" w:type="dxa"/>
            <w:tcBorders>
              <w:top w:val="single" w:color="836967" w:sz="8"/>
              <w:left w:val="single" w:color="000000" w:sz="8"/>
              <w:bottom w:val="single" w:color="836967" w:sz="8"/>
              <w:right w:val="single" w:color="000000" w:sz="8"/>
            </w:tcBorders>
            <w:shd w:color="auto" w:fill="e0e0e0" w:val="clear"/>
            <w:tcMar>
              <w:left w:w="0" w:type="dxa"/>
              <w:right w:w="0" w:type="dxa"/>
            </w:tcMar>
            <w:vAlign w:val="top"/>
          </w:tcPr>
          <w:p>
            <w:pPr>
              <w:spacing w:before="0" w:after="0" w:line="320"/>
              <w:ind w:right="60" w:left="60" w:firstLine="0"/>
              <w:jc w:val="left"/>
              <w:rPr>
                <w:spacing w:val="0"/>
                <w:position w:val="0"/>
                <w:shd w:fill="auto" w:val="clear"/>
              </w:rPr>
            </w:pPr>
            <w:r>
              <w:rPr>
                <w:rFonts w:ascii="Arial" w:hAnsi="Arial" w:cs="Arial" w:eastAsia="Arial"/>
                <w:color w:val="264A60"/>
                <w:spacing w:val="0"/>
                <w:position w:val="0"/>
                <w:sz w:val="18"/>
                <w:shd w:fill="auto" w:val="clear"/>
              </w:rPr>
              <w:t xml:space="preserve">Pearson Correlation</w:t>
            </w:r>
          </w:p>
        </w:tc>
        <w:tc>
          <w:tcPr>
            <w:tcW w:w="1107" w:type="dxa"/>
            <w:tcBorders>
              <w:top w:val="single" w:color="836967" w:sz="8"/>
              <w:left w:val="single" w:color="000000" w:sz="8"/>
              <w:bottom w:val="single" w:color="836967" w:sz="8"/>
              <w:right w:val="single" w:color="e0e0e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-.076</w:t>
            </w:r>
          </w:p>
        </w:tc>
        <w:tc>
          <w:tcPr>
            <w:tcW w:w="1030" w:type="dxa"/>
            <w:tcBorders>
              <w:top w:val="single" w:color="836967" w:sz="8"/>
              <w:left w:val="single" w:color="e0e0e0" w:sz="8"/>
              <w:bottom w:val="single" w:color="836967" w:sz="8"/>
              <w:right w:val="single" w:color="00000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1</w:t>
            </w:r>
          </w:p>
        </w:tc>
      </w:tr>
      <w:tr>
        <w:trPr>
          <w:trHeight w:val="1" w:hRule="atLeast"/>
          <w:jc w:val="left"/>
          <w:cantSplit w:val="1"/>
        </w:trPr>
        <w:tc>
          <w:tcPr>
            <w:tcW w:w="1106" w:type="dxa"/>
            <w:vMerge/>
            <w:tcBorders>
              <w:top w:val="single" w:color="836967" w:sz="8"/>
              <w:left w:val="single" w:color="000000" w:sz="8"/>
              <w:bottom w:val="single" w:color="152935" w:sz="8"/>
              <w:right w:val="single" w:color="000000" w:sz="8"/>
            </w:tcBorders>
            <w:shd w:color="auto" w:fill="e0e0e0" w:val="clear"/>
            <w:tcMar>
              <w:left w:w="0" w:type="dxa"/>
              <w:right w:w="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999" w:type="dxa"/>
            <w:tcBorders>
              <w:top w:val="single" w:color="836967" w:sz="8"/>
              <w:left w:val="single" w:color="000000" w:sz="8"/>
              <w:bottom w:val="single" w:color="836967" w:sz="8"/>
              <w:right w:val="single" w:color="000000" w:sz="8"/>
            </w:tcBorders>
            <w:shd w:color="auto" w:fill="e0e0e0" w:val="clear"/>
            <w:tcMar>
              <w:left w:w="0" w:type="dxa"/>
              <w:right w:w="0" w:type="dxa"/>
            </w:tcMar>
            <w:vAlign w:val="top"/>
          </w:tcPr>
          <w:p>
            <w:pPr>
              <w:spacing w:before="0" w:after="0" w:line="320"/>
              <w:ind w:right="60" w:left="60" w:firstLine="0"/>
              <w:jc w:val="left"/>
              <w:rPr>
                <w:spacing w:val="0"/>
                <w:position w:val="0"/>
                <w:shd w:fill="auto" w:val="clear"/>
              </w:rPr>
            </w:pPr>
            <w:r>
              <w:rPr>
                <w:rFonts w:ascii="Arial" w:hAnsi="Arial" w:cs="Arial" w:eastAsia="Arial"/>
                <w:color w:val="264A60"/>
                <w:spacing w:val="0"/>
                <w:position w:val="0"/>
                <w:sz w:val="18"/>
                <w:shd w:fill="auto" w:val="clear"/>
              </w:rPr>
              <w:t xml:space="preserve">Sig. (2-tailed)</w:t>
            </w:r>
          </w:p>
        </w:tc>
        <w:tc>
          <w:tcPr>
            <w:tcW w:w="1107" w:type="dxa"/>
            <w:tcBorders>
              <w:top w:val="single" w:color="836967" w:sz="8"/>
              <w:left w:val="single" w:color="000000" w:sz="8"/>
              <w:bottom w:val="single" w:color="836967" w:sz="8"/>
              <w:right w:val="single" w:color="e0e0e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.712</w:t>
            </w:r>
          </w:p>
        </w:tc>
        <w:tc>
          <w:tcPr>
            <w:tcW w:w="1030" w:type="dxa"/>
            <w:tcBorders>
              <w:top w:val="single" w:color="836967" w:sz="8"/>
              <w:left w:val="single" w:color="e0e0e0" w:sz="8"/>
              <w:bottom w:val="single" w:color="836967" w:sz="8"/>
              <w:right w:val="single" w:color="000000" w:sz="8"/>
            </w:tcBorders>
            <w:shd w:color="auto" w:fill="ffffff" w:val="clear"/>
            <w:tcMar>
              <w:left w:w="0" w:type="dxa"/>
              <w:right w:w="0"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cantSplit w:val="1"/>
        </w:trPr>
        <w:tc>
          <w:tcPr>
            <w:tcW w:w="1106" w:type="dxa"/>
            <w:vMerge/>
            <w:tcBorders>
              <w:top w:val="single" w:color="836967" w:sz="8"/>
              <w:left w:val="single" w:color="000000" w:sz="8"/>
              <w:bottom w:val="single" w:color="152935" w:sz="8"/>
              <w:right w:val="single" w:color="000000" w:sz="8"/>
            </w:tcBorders>
            <w:shd w:color="auto" w:fill="e0e0e0" w:val="clear"/>
            <w:tcMar>
              <w:left w:w="0" w:type="dxa"/>
              <w:right w:w="0"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999" w:type="dxa"/>
            <w:tcBorders>
              <w:top w:val="single" w:color="836967" w:sz="8"/>
              <w:left w:val="single" w:color="000000" w:sz="8"/>
              <w:bottom w:val="single" w:color="152935" w:sz="8"/>
              <w:right w:val="single" w:color="000000" w:sz="8"/>
            </w:tcBorders>
            <w:shd w:color="auto" w:fill="e0e0e0" w:val="clear"/>
            <w:tcMar>
              <w:left w:w="0" w:type="dxa"/>
              <w:right w:w="0" w:type="dxa"/>
            </w:tcMar>
            <w:vAlign w:val="top"/>
          </w:tcPr>
          <w:p>
            <w:pPr>
              <w:spacing w:before="0" w:after="0" w:line="320"/>
              <w:ind w:right="60" w:left="60" w:firstLine="0"/>
              <w:jc w:val="left"/>
              <w:rPr>
                <w:spacing w:val="0"/>
                <w:position w:val="0"/>
                <w:shd w:fill="auto" w:val="clear"/>
              </w:rPr>
            </w:pPr>
            <w:r>
              <w:rPr>
                <w:rFonts w:ascii="Arial" w:hAnsi="Arial" w:cs="Arial" w:eastAsia="Arial"/>
                <w:color w:val="264A60"/>
                <w:spacing w:val="0"/>
                <w:position w:val="0"/>
                <w:sz w:val="18"/>
                <w:shd w:fill="auto" w:val="clear"/>
              </w:rPr>
              <w:t xml:space="preserve">N</w:t>
            </w:r>
          </w:p>
        </w:tc>
        <w:tc>
          <w:tcPr>
            <w:tcW w:w="1107" w:type="dxa"/>
            <w:tcBorders>
              <w:top w:val="single" w:color="836967" w:sz="8"/>
              <w:left w:val="single" w:color="000000" w:sz="8"/>
              <w:bottom w:val="single" w:color="152935" w:sz="8"/>
              <w:right w:val="single" w:color="e0e0e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26</w:t>
            </w:r>
          </w:p>
        </w:tc>
        <w:tc>
          <w:tcPr>
            <w:tcW w:w="1030" w:type="dxa"/>
            <w:tcBorders>
              <w:top w:val="single" w:color="836967" w:sz="8"/>
              <w:left w:val="single" w:color="e0e0e0" w:sz="8"/>
              <w:bottom w:val="single" w:color="152935" w:sz="8"/>
              <w:right w:val="single" w:color="000000" w:sz="8"/>
            </w:tcBorders>
            <w:shd w:color="auto" w:fill="ffffff" w:val="clear"/>
            <w:tcMar>
              <w:left w:w="0" w:type="dxa"/>
              <w:right w:w="0" w:type="dxa"/>
            </w:tcMar>
            <w:vAlign w:val="top"/>
          </w:tcPr>
          <w:p>
            <w:pPr>
              <w:spacing w:before="0" w:after="0" w:line="320"/>
              <w:ind w:right="60" w:left="60" w:firstLine="0"/>
              <w:jc w:val="right"/>
              <w:rPr>
                <w:spacing w:val="0"/>
                <w:position w:val="0"/>
                <w:shd w:fill="auto" w:val="clear"/>
              </w:rPr>
            </w:pPr>
            <w:r>
              <w:rPr>
                <w:rFonts w:ascii="Arial" w:hAnsi="Arial" w:cs="Arial" w:eastAsia="Arial"/>
                <w:color w:val="010205"/>
                <w:spacing w:val="0"/>
                <w:position w:val="0"/>
                <w:sz w:val="18"/>
                <w:shd w:fill="auto" w:val="clear"/>
              </w:rPr>
              <w:t xml:space="preserve">26</w:t>
            </w:r>
          </w:p>
        </w:tc>
      </w:tr>
    </w:tbl>
    <w:p>
      <w:pPr>
        <w:spacing w:before="0" w:after="0" w:line="40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27">
    <w:abstractNumId w:val="18"/>
  </w:num>
  <w:num w:numId="43">
    <w:abstractNumId w:val="12"/>
  </w:num>
  <w:num w:numId="45">
    <w:abstractNumId w:val="6"/>
  </w:num>
  <w:num w:numId="51">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embeddings/oleObject0.bin" Id="docRId1" Type="http://schemas.openxmlformats.org/officeDocument/2006/relationships/oleObject"/><Relationship Target="numbering.xml" Id="docRId3" Type="http://schemas.openxmlformats.org/officeDocument/2006/relationships/numbering"/><Relationship TargetMode="External" Target="mailto:stacey.coleman@uwtsd.ac.uk" Id="docRId0" Type="http://schemas.openxmlformats.org/officeDocument/2006/relationships/hyperlink"/><Relationship Target="media/image0.wmf" Id="docRId2" Type="http://schemas.openxmlformats.org/officeDocument/2006/relationships/image"/><Relationship Target="styles.xml" Id="docRId4" Type="http://schemas.openxmlformats.org/officeDocument/2006/relationships/styles"/></Relationships>
</file>