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CA4F70" w14:textId="357F8916" w:rsidR="000360A6" w:rsidRPr="00FF6917" w:rsidRDefault="000360A6" w:rsidP="000360A6">
      <w:pPr>
        <w:rPr>
          <w:rFonts w:cstheme="minorHAnsi"/>
          <w:sz w:val="24"/>
          <w:szCs w:val="24"/>
          <w:lang w:eastAsia="en-GB"/>
        </w:rPr>
      </w:pPr>
      <w:r w:rsidRPr="000360A6">
        <w:rPr>
          <w:b/>
          <w:bCs/>
          <w:sz w:val="28"/>
          <w:szCs w:val="28"/>
        </w:rPr>
        <w:t>Question 4.</w:t>
      </w:r>
      <w:r>
        <w:t xml:space="preserve"> </w:t>
      </w:r>
      <w:r w:rsidRPr="00FF6917">
        <w:rPr>
          <w:rFonts w:cstheme="minorHAnsi"/>
          <w:sz w:val="24"/>
          <w:szCs w:val="24"/>
          <w:lang w:eastAsia="en-GB"/>
        </w:rPr>
        <w:t>Critically consider the aetiology and treatment of one mood disorder.</w:t>
      </w:r>
    </w:p>
    <w:p w14:paraId="28B45E18" w14:textId="77777777" w:rsidR="00F60830" w:rsidRDefault="00F60830" w:rsidP="00F60830">
      <w:pPr>
        <w:spacing w:line="360" w:lineRule="auto"/>
        <w:rPr>
          <w:sz w:val="24"/>
          <w:szCs w:val="24"/>
        </w:rPr>
      </w:pPr>
    </w:p>
    <w:p w14:paraId="09217961" w14:textId="6DCF8711" w:rsidR="00F60830" w:rsidRDefault="00F60830" w:rsidP="00F60830">
      <w:pPr>
        <w:spacing w:line="360" w:lineRule="auto"/>
        <w:ind w:firstLine="720"/>
        <w:rPr>
          <w:sz w:val="24"/>
          <w:szCs w:val="24"/>
        </w:rPr>
      </w:pPr>
      <w:r w:rsidRPr="00150648">
        <w:rPr>
          <w:sz w:val="24"/>
          <w:szCs w:val="24"/>
        </w:rPr>
        <w:t>The peak developmental period for the onset of depression is during adolescence; it is relatively rare in childhood. However, early onset of depression, first occurrence during childhood or adolescence, posses a greater risk of severity upon recurrence compared with later onset that occurs firstly during adulthood (Zisook et al., 2007). Research on depression has focused on expanding the knowledge to gain a more comprehensive understanding of the mechanisms involved that underlie susceptibility to the condition. The gene x environment interaction looks at the relationship between environmental experiences and genetics and the influence it has on depression, in particular, the serotonin transporter gene (Karg, Burmeister, Shedden &amp; Sen, 2011; Sharpley et al., 2014; Hyde, 2015; Little, 2015).</w:t>
      </w:r>
    </w:p>
    <w:p w14:paraId="4D7D871E" w14:textId="63B5721F" w:rsidR="00DB7CE3" w:rsidRDefault="00DB7CE3" w:rsidP="00F60830">
      <w:pPr>
        <w:spacing w:line="360" w:lineRule="auto"/>
        <w:ind w:firstLine="720"/>
        <w:rPr>
          <w:sz w:val="24"/>
          <w:szCs w:val="24"/>
        </w:rPr>
      </w:pPr>
    </w:p>
    <w:p w14:paraId="094D4DD9" w14:textId="77777777" w:rsidR="00DB7CE3" w:rsidRPr="00150648" w:rsidRDefault="00DB7CE3" w:rsidP="00AE5899">
      <w:pPr>
        <w:spacing w:line="360" w:lineRule="auto"/>
        <w:ind w:firstLine="720"/>
        <w:rPr>
          <w:sz w:val="24"/>
          <w:szCs w:val="24"/>
        </w:rPr>
      </w:pPr>
      <w:r w:rsidRPr="00150648">
        <w:rPr>
          <w:sz w:val="24"/>
          <w:szCs w:val="24"/>
        </w:rPr>
        <w:t>Environmental experiences, such as stress or trauma, and the materialisation of responses to behaviour that have altered, such as psychopathology, is dependent on genetic polymorphisms based on our genetic makeup (Moffitt, Caspi &amp; Rutter, 2005). Therefore, the outcome of environmental experiences is moderated by an individual’s genotype (genetic background). This also works conversely. Stressful life events can influence the onset of depression (Kendler et al., 1995). Caspi et al. (2003) examined why some individuals who experience stressful life events lead to depression and not in others. They found a gene-linked functional polymorphism in the serotonin transporter gene (5-HTTLPR), this moderated the influence that the stressful life events experienced by an individual had on depression. The study provided evidence that gene x environment interaction is a predictor of major depression. This is explained by the long and short allele within the 5-HTTLPR region of the serotonin gene (5-HTT), suggesting that variations in the 5-HTTLPR mediate the stress response. The 5-HTTLPR regulates the serotonin transporter gene (5-HTT) expression (Canli &amp; Lesch, 2007), the short allele (s allele) is involved with lower function and expression in the 5-HTT, the serotonin transporter gene; it is also associated with negative mood (Lesch et al., 1996).</w:t>
      </w:r>
    </w:p>
    <w:p w14:paraId="42E80280" w14:textId="75B04503" w:rsidR="00DB7CE3" w:rsidRDefault="00DB7CE3" w:rsidP="00AE5899">
      <w:pPr>
        <w:spacing w:line="360" w:lineRule="auto"/>
        <w:ind w:firstLine="720"/>
        <w:rPr>
          <w:sz w:val="24"/>
          <w:szCs w:val="24"/>
        </w:rPr>
      </w:pPr>
    </w:p>
    <w:p w14:paraId="61694D41" w14:textId="77777777" w:rsidR="00E62CBC" w:rsidRPr="00150648" w:rsidRDefault="00E62CBC" w:rsidP="00AE5899">
      <w:pPr>
        <w:spacing w:line="360" w:lineRule="auto"/>
        <w:ind w:firstLine="720"/>
        <w:rPr>
          <w:sz w:val="24"/>
          <w:szCs w:val="24"/>
        </w:rPr>
      </w:pPr>
      <w:r w:rsidRPr="00150648">
        <w:rPr>
          <w:sz w:val="24"/>
          <w:szCs w:val="24"/>
        </w:rPr>
        <w:lastRenderedPageBreak/>
        <w:t xml:space="preserve">Hariri et al. (2002) found individuals who have one or two copies of the short allele display greater neural activity in the amygdala in comparison to those homozygous for the long allele (two identical copies of the l allele, e.g. l/l homozygotes). Kobiella et al. (2011) found individuals with the s allele had smaller amygdala than the l/l genotype; there was also an association with smaller amygdala volume and increased activity. Individuals with depression have been observed to have an increase in amygdala response when exposed to emotional stimuli (Hamilton, Siemer &amp; Gotib, 2008). This suggests that there is a positive relationship between individuals with the short allele and stressful life events and depressive phenotypes. In comparison, the relationship between life stress and depression in those who have the long allele, l/l homozygotes showed little susceptibility (Caspi et al., 2003). The study by Caspi et al. (2003) has been replicated, and results have been mixed. </w:t>
      </w:r>
    </w:p>
    <w:p w14:paraId="0654735D" w14:textId="46D8F8BB" w:rsidR="00DB7CE3" w:rsidRDefault="00DB7CE3" w:rsidP="00AE5899">
      <w:pPr>
        <w:spacing w:line="360" w:lineRule="auto"/>
        <w:ind w:firstLine="720"/>
        <w:rPr>
          <w:sz w:val="24"/>
          <w:szCs w:val="24"/>
        </w:rPr>
      </w:pPr>
    </w:p>
    <w:p w14:paraId="5D4DFD9E" w14:textId="77777777" w:rsidR="00E67A3F" w:rsidRPr="00150648" w:rsidRDefault="00E67A3F" w:rsidP="00AE5899">
      <w:pPr>
        <w:spacing w:line="360" w:lineRule="auto"/>
        <w:ind w:firstLine="720"/>
        <w:rPr>
          <w:sz w:val="24"/>
          <w:szCs w:val="24"/>
        </w:rPr>
      </w:pPr>
      <w:r w:rsidRPr="00150648">
        <w:rPr>
          <w:sz w:val="24"/>
          <w:szCs w:val="24"/>
        </w:rPr>
        <w:t>Gillespie, Whitfield, Williams, Heath &amp; Martin (2004) replicated the study of Caspi et al. (2003) and found contradictory outcomes. The sample in Gillespie et al. (2004) study cohort included 1206 participants with an age range of 19-78 years and consisted of three genotypes: s/s allele, s/l allele and l/l allele. The results did not support that of Caspi et al. (2003). Analysis revealed no interaction between the 5-HTTLPR genotype and an individual’s stressful life experiences on depression. One reason for this may have been the differences in age and the onset of depression. Caspi et al. (2003) subjects were below the age of 26yrs; furthermore, early</w:t>
      </w:r>
      <w:r>
        <w:rPr>
          <w:sz w:val="24"/>
          <w:szCs w:val="24"/>
        </w:rPr>
        <w:t>-</w:t>
      </w:r>
      <w:r w:rsidRPr="00150648">
        <w:rPr>
          <w:sz w:val="24"/>
          <w:szCs w:val="24"/>
        </w:rPr>
        <w:t>onset of depression opposed to late</w:t>
      </w:r>
      <w:r>
        <w:rPr>
          <w:sz w:val="24"/>
          <w:szCs w:val="24"/>
        </w:rPr>
        <w:t>-</w:t>
      </w:r>
      <w:r w:rsidRPr="00150648">
        <w:rPr>
          <w:sz w:val="24"/>
          <w:szCs w:val="24"/>
        </w:rPr>
        <w:t xml:space="preserve">onset may be influenced more significantly (Gillespie et al., 2004). </w:t>
      </w:r>
    </w:p>
    <w:p w14:paraId="0CCAFBE6" w14:textId="140786A5" w:rsidR="00E67A3F" w:rsidRDefault="00E67A3F" w:rsidP="00AE5899">
      <w:pPr>
        <w:spacing w:line="360" w:lineRule="auto"/>
        <w:ind w:firstLine="720"/>
        <w:rPr>
          <w:sz w:val="24"/>
          <w:szCs w:val="24"/>
        </w:rPr>
      </w:pPr>
    </w:p>
    <w:p w14:paraId="7F1A7C26" w14:textId="75787CFF" w:rsidR="008A3491" w:rsidRDefault="008A3491" w:rsidP="00AE5899">
      <w:pPr>
        <w:spacing w:line="360" w:lineRule="auto"/>
        <w:ind w:firstLine="720"/>
        <w:rPr>
          <w:sz w:val="24"/>
          <w:szCs w:val="24"/>
        </w:rPr>
      </w:pPr>
      <w:r w:rsidRPr="00D95CDB">
        <w:rPr>
          <w:sz w:val="24"/>
          <w:szCs w:val="24"/>
        </w:rPr>
        <w:t xml:space="preserve">Surtees et al. (2005) replication of Caspi et al. (2003) supported the findings of Gillespie et al. (2004) and found no interaction between the 5-HTTLPR genotype, environmental stress and major depression. However, this study like that of Gillespie et al. (2004) had a broad sample age, between 41-80yrs, this may have obscured the results. It further emphasises that the gene x environment interaction is more likely in the younger age group (Surtees et al., 2005). That said, Kendler, Kuhn, Vittum, Prescott &amp; Riely (2005) replication of Caspi et al. (2003) study, had subjects with a mean age of 35yrs. Their results indicate that individuals with s/s alleles were more sensitive to the effects of stressful life </w:t>
      </w:r>
      <w:r w:rsidRPr="00D95CDB">
        <w:rPr>
          <w:sz w:val="24"/>
          <w:szCs w:val="24"/>
        </w:rPr>
        <w:lastRenderedPageBreak/>
        <w:t xml:space="preserve">events on depression than those with long alleles, contradicting Gillespie et al. (2004) and Surtees et al. (2005). </w:t>
      </w:r>
    </w:p>
    <w:p w14:paraId="2A6030DC" w14:textId="77777777" w:rsidR="008A3491" w:rsidRPr="00D95CDB" w:rsidRDefault="008A3491" w:rsidP="00AE5899">
      <w:pPr>
        <w:spacing w:line="360" w:lineRule="auto"/>
        <w:ind w:firstLine="720"/>
        <w:rPr>
          <w:sz w:val="24"/>
          <w:szCs w:val="24"/>
        </w:rPr>
      </w:pPr>
    </w:p>
    <w:p w14:paraId="287040F3" w14:textId="7969976F" w:rsidR="008A3491" w:rsidRDefault="008A3491" w:rsidP="00AE5899">
      <w:pPr>
        <w:spacing w:line="360" w:lineRule="auto"/>
        <w:ind w:firstLine="720"/>
        <w:rPr>
          <w:sz w:val="24"/>
          <w:szCs w:val="24"/>
        </w:rPr>
      </w:pPr>
      <w:r w:rsidRPr="00150648">
        <w:rPr>
          <w:sz w:val="24"/>
          <w:szCs w:val="24"/>
        </w:rPr>
        <w:t>Further studies have supported the gene x environment interaction between the 5-HTTLPR genotype and depressogenic effects of stressful life experiences</w:t>
      </w:r>
      <w:r w:rsidRPr="00D95CDB">
        <w:rPr>
          <w:sz w:val="24"/>
          <w:szCs w:val="24"/>
        </w:rPr>
        <w:t>. Cervilla et al.</w:t>
      </w:r>
      <w:r w:rsidRPr="00150648">
        <w:rPr>
          <w:sz w:val="24"/>
          <w:szCs w:val="24"/>
        </w:rPr>
        <w:t xml:space="preserve"> (2007) found s/s/ homozygous individuals compared to l/s and l/l homozygous individuals only needed exposure to one traumatic life experience to become more susceptible to depression. One communality between the studies of Gillespie et al. (2004); Surtees et al. (2005); Kendler et al. (2005) and Cervilla et al. (2007) is each have a wide age cohort 18-80yrs, yet the results are contradictory. One explanation for the disparity may be individual differences in the environmental stress experienced. </w:t>
      </w:r>
      <w:r w:rsidRPr="00D95CDB">
        <w:rPr>
          <w:sz w:val="24"/>
          <w:szCs w:val="24"/>
        </w:rPr>
        <w:t>Wilhelm et al. (2006</w:t>
      </w:r>
      <w:r w:rsidRPr="00150648">
        <w:rPr>
          <w:sz w:val="24"/>
          <w:szCs w:val="24"/>
        </w:rPr>
        <w:t xml:space="preserve">) longitudinal study supported the findings of Kendler et al. (2005) and Surtees et al. (2005) </w:t>
      </w:r>
      <w:proofErr w:type="gramStart"/>
      <w:r w:rsidRPr="00150648">
        <w:rPr>
          <w:sz w:val="24"/>
          <w:szCs w:val="24"/>
        </w:rPr>
        <w:t>and also</w:t>
      </w:r>
      <w:proofErr w:type="gramEnd"/>
      <w:r w:rsidRPr="00150648">
        <w:rPr>
          <w:sz w:val="24"/>
          <w:szCs w:val="24"/>
        </w:rPr>
        <w:t xml:space="preserve"> found an interaction between the 5-HTTLPR and adverse life experiences in individuals was a predictor of major depression. Furthermore, s/s homozygous individuals were more susceptible to depression following multiple adverse li</w:t>
      </w:r>
      <w:r>
        <w:rPr>
          <w:sz w:val="24"/>
          <w:szCs w:val="24"/>
        </w:rPr>
        <w:t>f</w:t>
      </w:r>
      <w:r w:rsidRPr="00150648">
        <w:rPr>
          <w:sz w:val="24"/>
          <w:szCs w:val="24"/>
        </w:rPr>
        <w:t>e experiences.</w:t>
      </w:r>
    </w:p>
    <w:p w14:paraId="62E3732F" w14:textId="4AC6C7A3" w:rsidR="008A3491" w:rsidRDefault="008A3491" w:rsidP="00AE5899">
      <w:pPr>
        <w:spacing w:line="360" w:lineRule="auto"/>
        <w:ind w:firstLine="720"/>
        <w:rPr>
          <w:sz w:val="24"/>
          <w:szCs w:val="24"/>
        </w:rPr>
      </w:pPr>
    </w:p>
    <w:p w14:paraId="46E591D4" w14:textId="646767D6" w:rsidR="008A3491" w:rsidRDefault="008A3491" w:rsidP="00AE5899">
      <w:pPr>
        <w:spacing w:line="360" w:lineRule="auto"/>
        <w:ind w:firstLine="720"/>
        <w:rPr>
          <w:sz w:val="24"/>
          <w:szCs w:val="24"/>
        </w:rPr>
      </w:pPr>
      <w:r w:rsidRPr="00150648">
        <w:rPr>
          <w:sz w:val="24"/>
          <w:szCs w:val="24"/>
        </w:rPr>
        <w:t xml:space="preserve">Antidepressants such as noradrenaline reuptake inhibitors (SNRIs) and selective serotonin (5-HT) reuptake inhibitors (SSRIs) are a popular treatment for depression and are often the first antidepressant medication prescribed (Malhi et al., 2013). Research in the 90s on the brains of mice revealed that the combined antagonism of serotonin </w:t>
      </w:r>
      <w:bookmarkStart w:id="0" w:name="_Hlk39756477"/>
      <w:r w:rsidRPr="00150648">
        <w:rPr>
          <w:rFonts w:cstheme="minorHAnsi"/>
          <w:color w:val="2E2E2E"/>
          <w:sz w:val="24"/>
          <w:szCs w:val="24"/>
        </w:rPr>
        <w:t>5-</w:t>
      </w:r>
      <w:bookmarkStart w:id="1" w:name="_Hlk39846519"/>
      <w:r w:rsidRPr="00150648">
        <w:rPr>
          <w:rFonts w:cstheme="minorHAnsi"/>
          <w:color w:val="2E2E2E"/>
          <w:sz w:val="24"/>
          <w:szCs w:val="24"/>
        </w:rPr>
        <w:t>HT</w:t>
      </w:r>
      <w:r w:rsidRPr="00150648">
        <w:rPr>
          <w:rFonts w:cstheme="minorHAnsi"/>
          <w:color w:val="2E2E2E"/>
          <w:sz w:val="24"/>
          <w:szCs w:val="24"/>
          <w:vertAlign w:val="subscript"/>
        </w:rPr>
        <w:t>1A</w:t>
      </w:r>
      <w:bookmarkEnd w:id="1"/>
      <w:r w:rsidRPr="00150648">
        <w:rPr>
          <w:sz w:val="24"/>
          <w:szCs w:val="24"/>
        </w:rPr>
        <w:t xml:space="preserve"> </w:t>
      </w:r>
      <w:bookmarkEnd w:id="0"/>
      <w:r w:rsidRPr="00150648">
        <w:rPr>
          <w:sz w:val="24"/>
          <w:szCs w:val="24"/>
        </w:rPr>
        <w:t>and the serotonin transporter (SERT) inhibition significantly increased the level of extracellular 5-HT</w:t>
      </w:r>
      <w:r>
        <w:rPr>
          <w:sz w:val="24"/>
          <w:szCs w:val="24"/>
        </w:rPr>
        <w:t>.</w:t>
      </w:r>
      <w:r w:rsidRPr="00150648">
        <w:rPr>
          <w:sz w:val="24"/>
          <w:szCs w:val="24"/>
        </w:rPr>
        <w:t xml:space="preserve"> </w:t>
      </w:r>
      <w:r>
        <w:rPr>
          <w:sz w:val="24"/>
          <w:szCs w:val="24"/>
        </w:rPr>
        <w:t>This</w:t>
      </w:r>
      <w:r w:rsidRPr="00150648">
        <w:rPr>
          <w:sz w:val="24"/>
          <w:szCs w:val="24"/>
        </w:rPr>
        <w:t xml:space="preserve"> resulted in higher efficacy of the effects of antidepressants when compared to SSRIs </w:t>
      </w:r>
      <w:bookmarkStart w:id="2" w:name="_Hlk39844331"/>
      <w:r w:rsidRPr="00150648">
        <w:rPr>
          <w:sz w:val="24"/>
          <w:szCs w:val="24"/>
        </w:rPr>
        <w:t>(Sanchez, Asin &amp; Artigas, 2015)</w:t>
      </w:r>
      <w:bookmarkEnd w:id="2"/>
      <w:r w:rsidRPr="00150648">
        <w:rPr>
          <w:sz w:val="24"/>
          <w:szCs w:val="24"/>
        </w:rPr>
        <w:t>; therefore, a drug that obstructs serotonin transporter inhibition and enhances 5-HT neurotransmission would show an improvement in clinical response</w:t>
      </w:r>
      <w:r>
        <w:rPr>
          <w:sz w:val="24"/>
          <w:szCs w:val="24"/>
        </w:rPr>
        <w:t xml:space="preserve"> </w:t>
      </w:r>
      <w:r w:rsidRPr="00150648">
        <w:rPr>
          <w:sz w:val="24"/>
          <w:szCs w:val="24"/>
        </w:rPr>
        <w:t xml:space="preserve">(Sanchez, Asin &amp; Artigas, 2015). However, the negative feedback mechanism that involves the </w:t>
      </w:r>
      <w:bookmarkStart w:id="3" w:name="_Hlk39757279"/>
      <w:r w:rsidRPr="00150648">
        <w:rPr>
          <w:rFonts w:cstheme="minorHAnsi"/>
          <w:color w:val="2E2E2E"/>
          <w:sz w:val="24"/>
          <w:szCs w:val="24"/>
        </w:rPr>
        <w:t>5-HT</w:t>
      </w:r>
      <w:r w:rsidRPr="00150648">
        <w:rPr>
          <w:rFonts w:cstheme="minorHAnsi"/>
          <w:color w:val="2E2E2E"/>
          <w:sz w:val="24"/>
          <w:szCs w:val="24"/>
          <w:vertAlign w:val="subscript"/>
        </w:rPr>
        <w:t>1A</w:t>
      </w:r>
      <w:r w:rsidRPr="00150648">
        <w:rPr>
          <w:sz w:val="24"/>
          <w:szCs w:val="24"/>
        </w:rPr>
        <w:t xml:space="preserve"> </w:t>
      </w:r>
      <w:bookmarkEnd w:id="3"/>
      <w:r w:rsidRPr="00150648">
        <w:rPr>
          <w:sz w:val="24"/>
          <w:szCs w:val="24"/>
        </w:rPr>
        <w:t>compromises</w:t>
      </w:r>
      <w:r w:rsidRPr="00150648">
        <w:rPr>
          <w:color w:val="C00000"/>
          <w:sz w:val="24"/>
          <w:szCs w:val="24"/>
        </w:rPr>
        <w:t xml:space="preserve"> </w:t>
      </w:r>
      <w:r w:rsidRPr="00150648">
        <w:rPr>
          <w:sz w:val="24"/>
          <w:szCs w:val="24"/>
        </w:rPr>
        <w:t>the efficacy of antidepressants such as 5-HT enhancing drugs and selective serotonin reuptake inhibitors because of the excess in 5-HT that is produced in the neurones of the somatodendritic region by SSRIs (Scorza et al., 2012).</w:t>
      </w:r>
    </w:p>
    <w:p w14:paraId="6E075EE5" w14:textId="2BD07572" w:rsidR="008A3491" w:rsidRDefault="008A3491" w:rsidP="00AE5899">
      <w:pPr>
        <w:spacing w:line="360" w:lineRule="auto"/>
        <w:ind w:firstLine="720"/>
        <w:rPr>
          <w:sz w:val="24"/>
          <w:szCs w:val="24"/>
        </w:rPr>
      </w:pPr>
    </w:p>
    <w:p w14:paraId="7644205C" w14:textId="77777777" w:rsidR="008A3491" w:rsidRPr="00D95CDB" w:rsidRDefault="008A3491" w:rsidP="00AE5899">
      <w:pPr>
        <w:spacing w:line="360" w:lineRule="auto"/>
        <w:ind w:firstLine="720"/>
        <w:rPr>
          <w:sz w:val="24"/>
          <w:szCs w:val="24"/>
        </w:rPr>
      </w:pPr>
      <w:bookmarkStart w:id="4" w:name="_Hlk39838002"/>
      <w:r w:rsidRPr="00D95CDB">
        <w:rPr>
          <w:sz w:val="24"/>
          <w:szCs w:val="24"/>
        </w:rPr>
        <w:lastRenderedPageBreak/>
        <w:t>Vilazodone</w:t>
      </w:r>
      <w:bookmarkEnd w:id="4"/>
      <w:r w:rsidRPr="00D95CDB">
        <w:rPr>
          <w:sz w:val="24"/>
          <w:szCs w:val="24"/>
        </w:rPr>
        <w:t xml:space="preserve"> is an approved treatment for major depressive disorder; it is a serotonin </w:t>
      </w:r>
      <w:r w:rsidRPr="00D95CDB">
        <w:rPr>
          <w:rFonts w:cstheme="minorHAnsi"/>
          <w:sz w:val="24"/>
          <w:szCs w:val="24"/>
        </w:rPr>
        <w:t>5-HT</w:t>
      </w:r>
      <w:r w:rsidRPr="00D95CDB">
        <w:rPr>
          <w:rFonts w:cstheme="minorHAnsi"/>
          <w:sz w:val="24"/>
          <w:szCs w:val="24"/>
          <w:vertAlign w:val="subscript"/>
        </w:rPr>
        <w:t>1A</w:t>
      </w:r>
      <w:r w:rsidRPr="00D95CDB">
        <w:rPr>
          <w:sz w:val="24"/>
          <w:szCs w:val="24"/>
        </w:rPr>
        <w:t xml:space="preserve"> receptor partial antagonist and SSRI. A study by Khan, Sambunaris, Edwards, Ruth &amp; Robinson (2014) found improvements in depressive symptoms after one week and continued throughout the eight-week trial. In addition, the trial observed efficacy across a broad range of depressive symptoms and high remission. This trial supported Rickels et al. (2009) who found improvements in patients with major depressive disorder after one week; further to this, high tolerability was found among patients aged 18-65yrs; no clinically significant differences were found between gender at the end of the trial. Khan et al. (2011) also found significant improvement and high tolerance to the drug, remission rate, </w:t>
      </w:r>
      <w:proofErr w:type="gramStart"/>
      <w:r w:rsidRPr="00D95CDB">
        <w:rPr>
          <w:sz w:val="24"/>
          <w:szCs w:val="24"/>
        </w:rPr>
        <w:t>however</w:t>
      </w:r>
      <w:proofErr w:type="gramEnd"/>
      <w:r w:rsidRPr="00D95CDB">
        <w:rPr>
          <w:sz w:val="24"/>
          <w:szCs w:val="24"/>
        </w:rPr>
        <w:t xml:space="preserve"> was not significantly different to placebo groups. </w:t>
      </w:r>
    </w:p>
    <w:p w14:paraId="773672CC" w14:textId="2E9A673A" w:rsidR="008A3491" w:rsidRDefault="008A3491" w:rsidP="00AE5899">
      <w:pPr>
        <w:spacing w:line="360" w:lineRule="auto"/>
        <w:ind w:firstLine="720"/>
        <w:rPr>
          <w:sz w:val="24"/>
          <w:szCs w:val="24"/>
        </w:rPr>
      </w:pPr>
    </w:p>
    <w:p w14:paraId="553BB84F" w14:textId="77777777" w:rsidR="008A3491" w:rsidRPr="00150648" w:rsidRDefault="008A3491" w:rsidP="00AE5899">
      <w:pPr>
        <w:spacing w:line="360" w:lineRule="auto"/>
        <w:ind w:firstLine="720"/>
        <w:rPr>
          <w:sz w:val="24"/>
          <w:szCs w:val="24"/>
        </w:rPr>
      </w:pPr>
      <w:r w:rsidRPr="00150648">
        <w:rPr>
          <w:sz w:val="24"/>
          <w:szCs w:val="24"/>
        </w:rPr>
        <w:t>Vortioxetine comes under a new classification of psychotropic drugs known as serotonin partial agonist reuptake inhibitor (SPARI); it has a multimodal mechanism that modulates activity of the 5-HT receptor and inhibits SERT (Zohar et al., 2013). In a study by Inoue, Nishimura, Sasai &amp; Kitagawa (2018) looked at the efficacy of vortioxetine in a two</w:t>
      </w:r>
      <w:r>
        <w:rPr>
          <w:sz w:val="24"/>
          <w:szCs w:val="24"/>
        </w:rPr>
        <w:t>-</w:t>
      </w:r>
      <w:r w:rsidRPr="00150648">
        <w:rPr>
          <w:sz w:val="24"/>
          <w:szCs w:val="24"/>
        </w:rPr>
        <w:t xml:space="preserve">phase study; an </w:t>
      </w:r>
      <w:r>
        <w:rPr>
          <w:sz w:val="24"/>
          <w:szCs w:val="24"/>
        </w:rPr>
        <w:t>eight</w:t>
      </w:r>
      <w:r w:rsidRPr="00150648">
        <w:rPr>
          <w:sz w:val="24"/>
          <w:szCs w:val="24"/>
        </w:rPr>
        <w:t xml:space="preserve"> week and 52</w:t>
      </w:r>
      <w:r>
        <w:rPr>
          <w:sz w:val="24"/>
          <w:szCs w:val="24"/>
        </w:rPr>
        <w:t>-</w:t>
      </w:r>
      <w:r w:rsidRPr="00150648">
        <w:rPr>
          <w:sz w:val="24"/>
          <w:szCs w:val="24"/>
        </w:rPr>
        <w:t>week assessment on patients with major depression disorder. The short-term study showed non</w:t>
      </w:r>
      <w:r>
        <w:rPr>
          <w:sz w:val="24"/>
          <w:szCs w:val="24"/>
        </w:rPr>
        <w:t>-</w:t>
      </w:r>
      <w:r w:rsidRPr="00150648">
        <w:rPr>
          <w:sz w:val="24"/>
          <w:szCs w:val="24"/>
        </w:rPr>
        <w:t>statistical significance in changes on the Montgomery-Asberg Depression Scale (MARDS)</w:t>
      </w:r>
      <w:r w:rsidRPr="000D6BDC">
        <w:t xml:space="preserve"> </w:t>
      </w:r>
      <w:bookmarkStart w:id="5" w:name="_Hlk39836251"/>
      <w:r w:rsidRPr="000D6BDC">
        <w:rPr>
          <w:sz w:val="24"/>
          <w:szCs w:val="24"/>
        </w:rPr>
        <w:t>(Montgomery and Asberg, 1979)</w:t>
      </w:r>
      <w:bookmarkEnd w:id="5"/>
      <w:r w:rsidRPr="00150648">
        <w:rPr>
          <w:sz w:val="24"/>
          <w:szCs w:val="24"/>
        </w:rPr>
        <w:t>. This was the same measurement used in the studies by Khan et al. (2014); Khan et al. (2011) and Rickels et al. (2009). Long term, 86% of patients reported adverse effects including nausea and nasopharyngitis</w:t>
      </w:r>
      <w:r>
        <w:rPr>
          <w:sz w:val="24"/>
          <w:szCs w:val="24"/>
        </w:rPr>
        <w:t>,</w:t>
      </w:r>
      <w:r w:rsidRPr="00150648">
        <w:rPr>
          <w:sz w:val="24"/>
          <w:szCs w:val="24"/>
        </w:rPr>
        <w:t xml:space="preserve"> although the long-term study did indicate improvements in depressive symptoms</w:t>
      </w:r>
      <w:r>
        <w:rPr>
          <w:sz w:val="24"/>
          <w:szCs w:val="24"/>
        </w:rPr>
        <w:t>,</w:t>
      </w:r>
      <w:r w:rsidRPr="00150648">
        <w:rPr>
          <w:sz w:val="24"/>
          <w:szCs w:val="24"/>
        </w:rPr>
        <w:t xml:space="preserve"> efficacy of vortioxetine was not significant. </w:t>
      </w:r>
    </w:p>
    <w:p w14:paraId="7476F502" w14:textId="6F1A9A38" w:rsidR="008A3491" w:rsidRDefault="008A3491" w:rsidP="00AE5899">
      <w:pPr>
        <w:spacing w:line="360" w:lineRule="auto"/>
        <w:ind w:firstLine="720"/>
        <w:rPr>
          <w:sz w:val="24"/>
          <w:szCs w:val="24"/>
        </w:rPr>
      </w:pPr>
    </w:p>
    <w:p w14:paraId="15FC454F" w14:textId="77777777" w:rsidR="008A3491" w:rsidRPr="00D95CDB" w:rsidRDefault="008A3491" w:rsidP="00AE5899">
      <w:pPr>
        <w:spacing w:line="360" w:lineRule="auto"/>
        <w:ind w:firstLine="720"/>
        <w:rPr>
          <w:sz w:val="24"/>
          <w:szCs w:val="24"/>
        </w:rPr>
      </w:pPr>
      <w:r w:rsidRPr="00D95CDB">
        <w:rPr>
          <w:sz w:val="24"/>
          <w:szCs w:val="24"/>
        </w:rPr>
        <w:t xml:space="preserve">Trials on the efficacy of vortioxetine </w:t>
      </w:r>
      <w:r w:rsidRPr="00D95CDB">
        <w:rPr>
          <w:rFonts w:cstheme="minorHAnsi"/>
          <w:sz w:val="24"/>
          <w:szCs w:val="24"/>
        </w:rPr>
        <w:t>(</w:t>
      </w:r>
      <w:r w:rsidRPr="00D95CDB">
        <w:rPr>
          <w:rFonts w:cstheme="minorHAnsi"/>
          <w:sz w:val="24"/>
          <w:szCs w:val="24"/>
          <w:shd w:val="clear" w:color="auto" w:fill="FFFFFF"/>
        </w:rPr>
        <w:t>LU AA21004)</w:t>
      </w:r>
      <w:r w:rsidRPr="00D95CDB">
        <w:rPr>
          <w:sz w:val="24"/>
          <w:szCs w:val="24"/>
        </w:rPr>
        <w:t xml:space="preserve"> has been mixed. </w:t>
      </w:r>
      <w:bookmarkStart w:id="6" w:name="_Hlk39834759"/>
      <w:r w:rsidRPr="00D95CDB">
        <w:rPr>
          <w:sz w:val="24"/>
          <w:szCs w:val="24"/>
        </w:rPr>
        <w:t xml:space="preserve">Boulenger, Loft &amp; Olsen (2014) </w:t>
      </w:r>
      <w:bookmarkEnd w:id="6"/>
      <w:r w:rsidRPr="00D95CDB">
        <w:rPr>
          <w:sz w:val="24"/>
          <w:szCs w:val="24"/>
        </w:rPr>
        <w:t>randomised control study found vortioxetine to be significantly superior to placebo at doses of 15mg and 20mg at week eight in patients with major depression disorder, as measured by score change of the MARDS. They also found vortioxetine to be well tolerated with the occurrence of common adverse events in 5% of participants</w:t>
      </w:r>
      <w:bookmarkStart w:id="7" w:name="_Hlk39836175"/>
      <w:r w:rsidRPr="00D95CDB">
        <w:rPr>
          <w:sz w:val="24"/>
          <w:szCs w:val="24"/>
        </w:rPr>
        <w:t xml:space="preserve">. </w:t>
      </w:r>
      <w:bookmarkStart w:id="8" w:name="_Hlk39833931"/>
      <w:r w:rsidRPr="00D95CDB">
        <w:rPr>
          <w:sz w:val="24"/>
          <w:szCs w:val="24"/>
        </w:rPr>
        <w:t>Baldwin, Loft &amp; Dragheim (2011)</w:t>
      </w:r>
      <w:bookmarkEnd w:id="7"/>
      <w:r w:rsidRPr="00D95CDB">
        <w:rPr>
          <w:sz w:val="24"/>
          <w:szCs w:val="24"/>
        </w:rPr>
        <w:t xml:space="preserve"> </w:t>
      </w:r>
      <w:bookmarkEnd w:id="8"/>
      <w:r w:rsidRPr="00D95CDB">
        <w:rPr>
          <w:sz w:val="24"/>
          <w:szCs w:val="24"/>
        </w:rPr>
        <w:t xml:space="preserve">found no significant differences in efficacy at a dosage of 2.5mg, 5mg and 10mg. Conversely, </w:t>
      </w:r>
      <w:bookmarkStart w:id="9" w:name="_Hlk39834692"/>
      <w:r w:rsidRPr="00D95CDB">
        <w:rPr>
          <w:sz w:val="24"/>
          <w:szCs w:val="24"/>
        </w:rPr>
        <w:t xml:space="preserve">Katona, Hansen &amp; Olsen (2012) </w:t>
      </w:r>
      <w:bookmarkEnd w:id="9"/>
      <w:r w:rsidRPr="00D95CDB">
        <w:rPr>
          <w:sz w:val="24"/>
          <w:szCs w:val="24"/>
        </w:rPr>
        <w:t xml:space="preserve">found significant </w:t>
      </w:r>
      <w:r w:rsidRPr="00D95CDB">
        <w:rPr>
          <w:sz w:val="24"/>
          <w:szCs w:val="24"/>
        </w:rPr>
        <w:lastRenderedPageBreak/>
        <w:t xml:space="preserve">improvement in elderly patients, mean age 70yrs, at week eight as measured on the </w:t>
      </w:r>
      <w:bookmarkStart w:id="10" w:name="_Hlk39836109"/>
      <w:r w:rsidRPr="00D95CDB">
        <w:rPr>
          <w:sz w:val="24"/>
          <w:szCs w:val="24"/>
        </w:rPr>
        <w:t xml:space="preserve">Hamilton Depression scale (Williams, 2001), </w:t>
      </w:r>
      <w:bookmarkEnd w:id="10"/>
      <w:r w:rsidRPr="00D95CDB">
        <w:rPr>
          <w:sz w:val="24"/>
          <w:szCs w:val="24"/>
        </w:rPr>
        <w:t xml:space="preserve">with a dosage of 5mg. The withdrawal rate was 5.8% resultant of adverse events. The withdrawal rate in the trial of </w:t>
      </w:r>
      <w:bookmarkStart w:id="11" w:name="_Hlk39834649"/>
      <w:r w:rsidRPr="00D95CDB">
        <w:rPr>
          <w:sz w:val="24"/>
          <w:szCs w:val="24"/>
        </w:rPr>
        <w:t xml:space="preserve">Baldwin, Loft &amp; Dragheim (2011) </w:t>
      </w:r>
      <w:bookmarkEnd w:id="11"/>
      <w:r w:rsidRPr="00D95CDB">
        <w:rPr>
          <w:sz w:val="24"/>
          <w:szCs w:val="24"/>
        </w:rPr>
        <w:t xml:space="preserve">was much higher at 11% for the same dosage, 5mg. It was also higher at 2.5mg – 6%. </w:t>
      </w:r>
    </w:p>
    <w:p w14:paraId="6A9B4948" w14:textId="442B0EF7" w:rsidR="008A3491" w:rsidRDefault="008A3491" w:rsidP="00AE5899">
      <w:pPr>
        <w:spacing w:line="360" w:lineRule="auto"/>
        <w:ind w:firstLine="720"/>
        <w:rPr>
          <w:sz w:val="24"/>
          <w:szCs w:val="24"/>
        </w:rPr>
      </w:pPr>
    </w:p>
    <w:p w14:paraId="43D471E0" w14:textId="77777777" w:rsidR="00B21D49" w:rsidRDefault="00B21D49" w:rsidP="00AE5899">
      <w:pPr>
        <w:spacing w:line="360" w:lineRule="auto"/>
        <w:ind w:firstLine="720"/>
        <w:rPr>
          <w:sz w:val="24"/>
          <w:szCs w:val="24"/>
        </w:rPr>
      </w:pPr>
      <w:r>
        <w:rPr>
          <w:sz w:val="24"/>
          <w:szCs w:val="24"/>
        </w:rPr>
        <w:t xml:space="preserve">One reason for the differences in the efficacy outcome in the trials of </w:t>
      </w:r>
      <w:bookmarkStart w:id="12" w:name="_Hlk39835571"/>
      <w:r>
        <w:rPr>
          <w:sz w:val="24"/>
          <w:szCs w:val="24"/>
        </w:rPr>
        <w:t xml:space="preserve">(Baldwin, Loft &amp; Dragheim 2011; Katona, Hansen &amp; Olsen, 2012; </w:t>
      </w:r>
      <w:bookmarkStart w:id="13" w:name="_Hlk39835804"/>
      <w:bookmarkEnd w:id="12"/>
      <w:r>
        <w:rPr>
          <w:sz w:val="24"/>
          <w:szCs w:val="24"/>
        </w:rPr>
        <w:t xml:space="preserve">Boulenger, Loft &amp; Olsen, 2014) </w:t>
      </w:r>
      <w:bookmarkEnd w:id="13"/>
      <w:r>
        <w:rPr>
          <w:sz w:val="24"/>
          <w:szCs w:val="24"/>
        </w:rPr>
        <w:t xml:space="preserve">could be the dosage. Boulenger, Loft &amp; Olsen (2014) had a dosage of </w:t>
      </w:r>
      <w:r>
        <w:t xml:space="preserve">15mg and 20mg over </w:t>
      </w:r>
      <w:r w:rsidRPr="003B6C25">
        <w:rPr>
          <w:sz w:val="24"/>
          <w:szCs w:val="24"/>
        </w:rPr>
        <w:t xml:space="preserve">an </w:t>
      </w:r>
      <w:proofErr w:type="gramStart"/>
      <w:r w:rsidRPr="003B6C25">
        <w:rPr>
          <w:sz w:val="24"/>
          <w:szCs w:val="24"/>
        </w:rPr>
        <w:t>eight week</w:t>
      </w:r>
      <w:proofErr w:type="gramEnd"/>
      <w:r>
        <w:t xml:space="preserve"> period while </w:t>
      </w:r>
      <w:r>
        <w:rPr>
          <w:sz w:val="24"/>
          <w:szCs w:val="24"/>
        </w:rPr>
        <w:t xml:space="preserve">Baldwin, Loft &amp; Dragheim (2011) and </w:t>
      </w:r>
      <w:bookmarkStart w:id="14" w:name="_Hlk39835679"/>
      <w:r>
        <w:rPr>
          <w:sz w:val="24"/>
          <w:szCs w:val="24"/>
        </w:rPr>
        <w:t xml:space="preserve">Katona, Hansen &amp; Olsen (2012) </w:t>
      </w:r>
      <w:bookmarkEnd w:id="14"/>
      <w:r>
        <w:rPr>
          <w:sz w:val="24"/>
          <w:szCs w:val="24"/>
        </w:rPr>
        <w:t>both had a dosage of 5mg. However, Katona, Hansen &amp; Olsen (2012) only measured one dose, 5mg. Had they included a higher dosage comparative to Loft &amp; Dragheim (2011) and Boulenger, Loft &amp; Olsen (2014) results may have shown a similar outcome. In addition to the differences in dosage, Katona, Hansen &amp; Olsen (2012) used a different measurement for depression,</w:t>
      </w:r>
      <w:r w:rsidRPr="00204809">
        <w:rPr>
          <w:sz w:val="24"/>
          <w:szCs w:val="24"/>
        </w:rPr>
        <w:t xml:space="preserve"> </w:t>
      </w:r>
      <w:r>
        <w:rPr>
          <w:sz w:val="24"/>
          <w:szCs w:val="24"/>
        </w:rPr>
        <w:t xml:space="preserve">the Hamilton Depression scale </w:t>
      </w:r>
      <w:r w:rsidRPr="00C73310">
        <w:rPr>
          <w:sz w:val="24"/>
          <w:szCs w:val="24"/>
        </w:rPr>
        <w:t>(Williams, 2001)</w:t>
      </w:r>
      <w:r>
        <w:rPr>
          <w:sz w:val="24"/>
          <w:szCs w:val="24"/>
        </w:rPr>
        <w:t xml:space="preserve">, opposed to Baldwin, Loft &amp; Dragheim (2011) who used the MARDS </w:t>
      </w:r>
      <w:bookmarkStart w:id="15" w:name="_Hlk39836374"/>
      <w:r w:rsidRPr="000D6BDC">
        <w:rPr>
          <w:sz w:val="24"/>
          <w:szCs w:val="24"/>
        </w:rPr>
        <w:t>(Montgomery and Asberg, 1979)</w:t>
      </w:r>
      <w:r>
        <w:rPr>
          <w:sz w:val="24"/>
          <w:szCs w:val="24"/>
        </w:rPr>
        <w:t xml:space="preserve">. </w:t>
      </w:r>
      <w:bookmarkEnd w:id="15"/>
      <w:r>
        <w:rPr>
          <w:sz w:val="24"/>
          <w:szCs w:val="24"/>
        </w:rPr>
        <w:t xml:space="preserve">This was consistent with Boulenger, Loft &amp; Olsen (2014) who also used the MARDS </w:t>
      </w:r>
      <w:bookmarkStart w:id="16" w:name="_Hlk39837855"/>
      <w:r w:rsidRPr="000D6BDC">
        <w:rPr>
          <w:sz w:val="24"/>
          <w:szCs w:val="24"/>
        </w:rPr>
        <w:t>(Montgomery and Asberg, 1979)</w:t>
      </w:r>
      <w:bookmarkEnd w:id="16"/>
      <w:r>
        <w:rPr>
          <w:sz w:val="24"/>
          <w:szCs w:val="24"/>
        </w:rPr>
        <w:t xml:space="preserve">; however, the dosage in each trial was significantly different; </w:t>
      </w:r>
      <w:proofErr w:type="gramStart"/>
      <w:r>
        <w:rPr>
          <w:sz w:val="24"/>
          <w:szCs w:val="24"/>
        </w:rPr>
        <w:t>therefore</w:t>
      </w:r>
      <w:proofErr w:type="gramEnd"/>
      <w:r>
        <w:rPr>
          <w:sz w:val="24"/>
          <w:szCs w:val="24"/>
        </w:rPr>
        <w:t xml:space="preserve"> the two trials were not exact replications. That said, a randomised control trial by Mahableshwarkar, Jacobsen &amp; Chen (2013) found no significant differences between vortioxetine and placebo at week six as measured on the MARDS scores. This supported the findings of Baldwin, Loft &amp; Dragheim (2011), they also used the MARDS </w:t>
      </w:r>
      <w:r w:rsidRPr="000D6BDC">
        <w:rPr>
          <w:sz w:val="24"/>
          <w:szCs w:val="24"/>
        </w:rPr>
        <w:t>(Montgomery and Asberg, 1979)</w:t>
      </w:r>
      <w:r>
        <w:rPr>
          <w:sz w:val="24"/>
          <w:szCs w:val="24"/>
        </w:rPr>
        <w:t xml:space="preserve"> as a measurement of major depression disorder. </w:t>
      </w:r>
    </w:p>
    <w:p w14:paraId="42E9E961" w14:textId="48217CB6" w:rsidR="00B21D49" w:rsidRDefault="00B21D49" w:rsidP="00AE5899">
      <w:pPr>
        <w:spacing w:line="360" w:lineRule="auto"/>
        <w:ind w:firstLine="720"/>
        <w:rPr>
          <w:sz w:val="24"/>
          <w:szCs w:val="24"/>
        </w:rPr>
      </w:pPr>
    </w:p>
    <w:p w14:paraId="52E8A8AE" w14:textId="77777777" w:rsidR="00B21D49" w:rsidRPr="002B541D" w:rsidRDefault="00B21D49" w:rsidP="00AE5899">
      <w:pPr>
        <w:spacing w:line="360" w:lineRule="auto"/>
        <w:ind w:firstLine="720"/>
        <w:rPr>
          <w:color w:val="4472C4" w:themeColor="accent1"/>
          <w:sz w:val="24"/>
          <w:szCs w:val="24"/>
        </w:rPr>
      </w:pPr>
      <w:r>
        <w:rPr>
          <w:sz w:val="24"/>
          <w:szCs w:val="24"/>
        </w:rPr>
        <w:t xml:space="preserve">Randomised control trials of </w:t>
      </w:r>
      <w:r w:rsidRPr="00150648">
        <w:rPr>
          <w:sz w:val="24"/>
          <w:szCs w:val="24"/>
        </w:rPr>
        <w:t>Vilazodone</w:t>
      </w:r>
      <w:r>
        <w:rPr>
          <w:sz w:val="24"/>
          <w:szCs w:val="24"/>
        </w:rPr>
        <w:t xml:space="preserve"> showed consistency in the results and indicated promising outcomes in the treatment of major depression disorder. The trials of vortioxetine showed mixed results, and unlike vilazodone, which showed improvements after </w:t>
      </w:r>
      <w:proofErr w:type="gramStart"/>
      <w:r>
        <w:rPr>
          <w:sz w:val="24"/>
          <w:szCs w:val="24"/>
        </w:rPr>
        <w:t>one week</w:t>
      </w:r>
      <w:proofErr w:type="gramEnd"/>
      <w:r>
        <w:rPr>
          <w:sz w:val="24"/>
          <w:szCs w:val="24"/>
        </w:rPr>
        <w:t xml:space="preserve">, positive results were presented at six weeks and eight weeks. There are differences between the two drugs. Both drugs are partial antagonists of the </w:t>
      </w:r>
      <w:r w:rsidRPr="0010103B">
        <w:rPr>
          <w:sz w:val="24"/>
          <w:szCs w:val="24"/>
        </w:rPr>
        <w:t>5-</w:t>
      </w:r>
      <w:r w:rsidRPr="0010103B">
        <w:rPr>
          <w:rFonts w:cstheme="minorHAnsi"/>
          <w:color w:val="2E2E2E"/>
          <w:sz w:val="24"/>
          <w:szCs w:val="24"/>
        </w:rPr>
        <w:t xml:space="preserve"> </w:t>
      </w:r>
      <w:r w:rsidRPr="00150648">
        <w:rPr>
          <w:rFonts w:cstheme="minorHAnsi"/>
          <w:color w:val="2E2E2E"/>
          <w:sz w:val="24"/>
          <w:szCs w:val="24"/>
        </w:rPr>
        <w:t>HT</w:t>
      </w:r>
      <w:r w:rsidRPr="00150648">
        <w:rPr>
          <w:rFonts w:cstheme="minorHAnsi"/>
          <w:color w:val="2E2E2E"/>
          <w:sz w:val="24"/>
          <w:szCs w:val="24"/>
          <w:vertAlign w:val="subscript"/>
        </w:rPr>
        <w:t>1A</w:t>
      </w:r>
      <w:r>
        <w:rPr>
          <w:sz w:val="24"/>
          <w:szCs w:val="24"/>
        </w:rPr>
        <w:t xml:space="preserve"> receptor and serotonin reuptake inhibitor; however, vortioxetine is a multiple receptor </w:t>
      </w:r>
      <w:r w:rsidRPr="00102897">
        <w:rPr>
          <w:sz w:val="24"/>
          <w:szCs w:val="24"/>
        </w:rPr>
        <w:lastRenderedPageBreak/>
        <w:t>antagonist 5-</w:t>
      </w:r>
      <w:r w:rsidRPr="00102897">
        <w:rPr>
          <w:color w:val="2A2A2A"/>
          <w:sz w:val="24"/>
          <w:szCs w:val="24"/>
          <w:shd w:val="clear" w:color="auto" w:fill="FFFFFF"/>
        </w:rPr>
        <w:t xml:space="preserve"> HT</w:t>
      </w:r>
      <w:r w:rsidRPr="00102897">
        <w:rPr>
          <w:color w:val="2A2A2A"/>
          <w:sz w:val="24"/>
          <w:szCs w:val="24"/>
          <w:bdr w:val="none" w:sz="0" w:space="0" w:color="auto" w:frame="1"/>
          <w:shd w:val="clear" w:color="auto" w:fill="FFFFFF"/>
          <w:vertAlign w:val="subscript"/>
        </w:rPr>
        <w:t>3</w:t>
      </w:r>
      <w:r w:rsidRPr="00102897">
        <w:rPr>
          <w:sz w:val="24"/>
          <w:szCs w:val="24"/>
        </w:rPr>
        <w:t>, 5-</w:t>
      </w:r>
      <w:r w:rsidRPr="00102897">
        <w:rPr>
          <w:color w:val="2A2A2A"/>
          <w:sz w:val="24"/>
          <w:szCs w:val="24"/>
          <w:shd w:val="clear" w:color="auto" w:fill="FFFFFF"/>
        </w:rPr>
        <w:t xml:space="preserve"> HT</w:t>
      </w:r>
      <w:r w:rsidRPr="00102897">
        <w:rPr>
          <w:color w:val="2A2A2A"/>
          <w:sz w:val="24"/>
          <w:szCs w:val="24"/>
          <w:bdr w:val="none" w:sz="0" w:space="0" w:color="auto" w:frame="1"/>
          <w:shd w:val="clear" w:color="auto" w:fill="FFFFFF"/>
          <w:vertAlign w:val="subscript"/>
        </w:rPr>
        <w:t>7</w:t>
      </w:r>
      <w:r w:rsidRPr="00102897">
        <w:rPr>
          <w:sz w:val="24"/>
          <w:szCs w:val="24"/>
        </w:rPr>
        <w:t xml:space="preserve"> and receptor antagonist 5-</w:t>
      </w:r>
      <w:r w:rsidRPr="00102897">
        <w:rPr>
          <w:color w:val="2A2A2A"/>
          <w:sz w:val="24"/>
          <w:szCs w:val="24"/>
          <w:shd w:val="clear" w:color="auto" w:fill="FFFFFF"/>
        </w:rPr>
        <w:t xml:space="preserve"> HT</w:t>
      </w:r>
      <w:r w:rsidRPr="00102897">
        <w:rPr>
          <w:color w:val="2A2A2A"/>
          <w:sz w:val="24"/>
          <w:szCs w:val="24"/>
          <w:bdr w:val="none" w:sz="0" w:space="0" w:color="auto" w:frame="1"/>
          <w:shd w:val="clear" w:color="auto" w:fill="FFFFFF"/>
          <w:vertAlign w:val="subscript"/>
        </w:rPr>
        <w:t>1B</w:t>
      </w:r>
      <w:r>
        <w:rPr>
          <w:sz w:val="24"/>
          <w:szCs w:val="24"/>
        </w:rPr>
        <w:t xml:space="preserve"> (Mork et al. (2012). Therefore, individual differences may play a role in the outcome of the trials and vilazodone and vortioxetine may be suited to individuals based on differences in the severity of depression or genetic differences. More studies are needed to determine the efficacy of the </w:t>
      </w:r>
      <w:r w:rsidRPr="00D95CDB">
        <w:rPr>
          <w:sz w:val="24"/>
          <w:szCs w:val="24"/>
        </w:rPr>
        <w:t>drugs.</w:t>
      </w:r>
      <w:r>
        <w:rPr>
          <w:sz w:val="24"/>
          <w:szCs w:val="24"/>
        </w:rPr>
        <w:t xml:space="preserve"> </w:t>
      </w:r>
      <w:r w:rsidRPr="00B21D49">
        <w:rPr>
          <w:sz w:val="24"/>
          <w:szCs w:val="24"/>
        </w:rPr>
        <w:t>Based on the evidence of randomised trials presented in this essay vilazodone appears to be more efficacious in the treatment of major depression disorder.</w:t>
      </w:r>
    </w:p>
    <w:p w14:paraId="47BA1FE5" w14:textId="23633741" w:rsidR="00B21D49" w:rsidRDefault="00B21D49" w:rsidP="008A3491">
      <w:pPr>
        <w:spacing w:line="360" w:lineRule="auto"/>
        <w:rPr>
          <w:sz w:val="24"/>
          <w:szCs w:val="24"/>
        </w:rPr>
      </w:pPr>
      <w:r>
        <w:rPr>
          <w:sz w:val="24"/>
          <w:szCs w:val="24"/>
        </w:rPr>
        <w:t xml:space="preserve"> </w:t>
      </w:r>
    </w:p>
    <w:p w14:paraId="214AEA40" w14:textId="77777777" w:rsidR="00642A89" w:rsidRDefault="00642A89">
      <w:pPr>
        <w:rPr>
          <w:rFonts w:cstheme="minorHAnsi"/>
          <w:b/>
          <w:sz w:val="28"/>
          <w:szCs w:val="28"/>
          <w:lang w:eastAsia="en-GB"/>
        </w:rPr>
      </w:pPr>
      <w:r>
        <w:rPr>
          <w:rFonts w:cstheme="minorHAnsi"/>
          <w:b/>
          <w:sz w:val="28"/>
          <w:szCs w:val="28"/>
          <w:lang w:eastAsia="en-GB"/>
        </w:rPr>
        <w:br w:type="page"/>
      </w:r>
    </w:p>
    <w:p w14:paraId="07EA7209" w14:textId="12F377E3" w:rsidR="00642A89" w:rsidRPr="00642A89" w:rsidRDefault="00642A89" w:rsidP="00642A89">
      <w:pPr>
        <w:rPr>
          <w:rFonts w:cstheme="minorHAnsi"/>
          <w:bCs/>
          <w:sz w:val="24"/>
          <w:szCs w:val="24"/>
          <w:lang w:eastAsia="en-GB"/>
        </w:rPr>
      </w:pPr>
      <w:r w:rsidRPr="00642A89">
        <w:rPr>
          <w:rFonts w:cstheme="minorHAnsi"/>
          <w:b/>
          <w:sz w:val="28"/>
          <w:szCs w:val="28"/>
          <w:lang w:eastAsia="en-GB"/>
        </w:rPr>
        <w:lastRenderedPageBreak/>
        <w:t>Question 3.</w:t>
      </w:r>
      <w:r w:rsidRPr="00642A89">
        <w:rPr>
          <w:rFonts w:cstheme="minorHAnsi"/>
          <w:bCs/>
          <w:sz w:val="24"/>
          <w:szCs w:val="24"/>
          <w:lang w:eastAsia="en-GB"/>
        </w:rPr>
        <w:t xml:space="preserve"> Critically explore the factors that may contribute to the development of schizophrenia. </w:t>
      </w:r>
    </w:p>
    <w:p w14:paraId="304B8F62" w14:textId="77777777" w:rsidR="00AE5899" w:rsidRDefault="00AE5899" w:rsidP="008A3491">
      <w:pPr>
        <w:spacing w:line="360" w:lineRule="auto"/>
        <w:rPr>
          <w:sz w:val="24"/>
          <w:szCs w:val="24"/>
        </w:rPr>
      </w:pPr>
    </w:p>
    <w:p w14:paraId="6BCF5DF8" w14:textId="66FBFCDE" w:rsidR="00642A89" w:rsidRPr="00AA2A49" w:rsidRDefault="00642A89" w:rsidP="00AA2A49">
      <w:pPr>
        <w:spacing w:line="360" w:lineRule="auto"/>
        <w:ind w:firstLine="720"/>
        <w:rPr>
          <w:sz w:val="24"/>
          <w:szCs w:val="24"/>
        </w:rPr>
      </w:pPr>
      <w:r w:rsidRPr="00642A89">
        <w:rPr>
          <w:sz w:val="24"/>
          <w:szCs w:val="24"/>
        </w:rPr>
        <w:t xml:space="preserve">Schizophrenia is a psychotic disorder, and psychosis is a mental illness that manifests itself through disorganised behaviour, delusions and hallucinations. Schizophrenia is defined by the presence of psychotic symptoms that are persistent (Zwicker et al., 2018). Cognitive functions are affected by schizophrenia, for example, behaviour, thoughts and feelings (Kokurcan et al., 2019). Research on the etiology of schizophrenia has had much attention. It has raised considerable debate in the pursuit of knowledge to gain insight and reliable data on the causation of schizophrenia has proven to be challenging. </w:t>
      </w:r>
    </w:p>
    <w:p w14:paraId="6C20BBA5" w14:textId="77777777" w:rsidR="00642A89" w:rsidRPr="00642A89" w:rsidRDefault="00642A89" w:rsidP="00AA2A49">
      <w:pPr>
        <w:spacing w:line="360" w:lineRule="auto"/>
        <w:ind w:firstLine="720"/>
        <w:rPr>
          <w:sz w:val="24"/>
          <w:szCs w:val="24"/>
        </w:rPr>
      </w:pPr>
    </w:p>
    <w:p w14:paraId="18A0AC3A" w14:textId="3ECB9177" w:rsidR="00642A89" w:rsidRPr="00AA2A49" w:rsidRDefault="00642A89" w:rsidP="00AA2A49">
      <w:pPr>
        <w:spacing w:line="360" w:lineRule="auto"/>
        <w:ind w:firstLine="720"/>
        <w:rPr>
          <w:sz w:val="24"/>
          <w:szCs w:val="24"/>
        </w:rPr>
      </w:pPr>
      <w:r w:rsidRPr="00642A89">
        <w:rPr>
          <w:sz w:val="24"/>
          <w:szCs w:val="24"/>
        </w:rPr>
        <w:t>Gene x environment risk factors in the etiology of schizophrenia have had much attention</w:t>
      </w:r>
      <w:r w:rsidRPr="00642A89">
        <w:rPr>
          <w:strike/>
          <w:sz w:val="24"/>
          <w:szCs w:val="24"/>
        </w:rPr>
        <w:t xml:space="preserve">. </w:t>
      </w:r>
      <w:r w:rsidRPr="00642A89">
        <w:rPr>
          <w:sz w:val="24"/>
          <w:szCs w:val="24"/>
        </w:rPr>
        <w:t xml:space="preserve">An affected relative is common in people with schizophrenia (Gilmore, 2010). Family, adoption and twin studies have evidenced the genetic contribution (Gottesman, 1991). Early studies on family genetics such as Schulz, (1932) and later Zerbin-Rudin (1967) confirmed a higher prevalence of schizophrenia in the relatives of subjects who had schizophrenia than the samples of the general public. The degree of involvement in heritability of schizophrenia may be more than 80% (Sullivan et al., 2003). </w:t>
      </w:r>
    </w:p>
    <w:p w14:paraId="22986B0F" w14:textId="4C4FD658" w:rsidR="00642A89" w:rsidRPr="00AA2A49" w:rsidRDefault="00642A89" w:rsidP="00AA2A49">
      <w:pPr>
        <w:spacing w:line="360" w:lineRule="auto"/>
        <w:ind w:firstLine="720"/>
        <w:rPr>
          <w:sz w:val="24"/>
          <w:szCs w:val="24"/>
        </w:rPr>
      </w:pPr>
    </w:p>
    <w:p w14:paraId="7903FBFD" w14:textId="77777777" w:rsidR="00642A89" w:rsidRPr="00642A89" w:rsidRDefault="00642A89" w:rsidP="00AA2A49">
      <w:pPr>
        <w:spacing w:line="360" w:lineRule="auto"/>
        <w:ind w:firstLine="720"/>
        <w:rPr>
          <w:sz w:val="24"/>
          <w:szCs w:val="24"/>
        </w:rPr>
      </w:pPr>
      <w:r w:rsidRPr="00642A89">
        <w:rPr>
          <w:sz w:val="24"/>
          <w:szCs w:val="24"/>
        </w:rPr>
        <w:t xml:space="preserve">Studies have highlighted that gene and environment interact and this synergistic interaction contributes to the causation of schizophrenia. Maternal depression during pregnancy is one gene x environment interaction thought to increase the risk of schizophrenia in offspring. Follow-up studies of The Northern Finland 1966 Birth Cohort study (Rantakallio, 1969) have found that women with schizophrenia during pregnancy had higher maternal depression (Jones, Rantakallio, Hartikainen, Isohanni &amp; Sipla, 1998). Further to this, Maki et al. (2004) found a significantly increased risk of schizophrenia in the children of mothers with maternal depression during pregnancy who themselves have a parent with a psychotic disorder. Maki and colleagues discovered that an increased vulnerability to offspring having schizophrenia was not conducive to maternal depression during pregnancy alone. The complexity of a synergistic interaction of the genetic risk of a parent that has </w:t>
      </w:r>
      <w:r w:rsidRPr="00642A89">
        <w:rPr>
          <w:sz w:val="24"/>
          <w:szCs w:val="24"/>
        </w:rPr>
        <w:lastRenderedPageBreak/>
        <w:t>schizophrenia, conjoined with maternal depression during pregnancy that significantly increases the rate of schizophrenia among offspring.</w:t>
      </w:r>
    </w:p>
    <w:p w14:paraId="2DDEDB24" w14:textId="28E70F60" w:rsidR="00642A89" w:rsidRPr="00AA2A49" w:rsidRDefault="00642A89" w:rsidP="00AA2A49">
      <w:pPr>
        <w:spacing w:line="360" w:lineRule="auto"/>
        <w:ind w:firstLine="720"/>
        <w:rPr>
          <w:sz w:val="24"/>
          <w:szCs w:val="24"/>
        </w:rPr>
      </w:pPr>
    </w:p>
    <w:p w14:paraId="172FD99D" w14:textId="77777777" w:rsidR="00642A89" w:rsidRPr="00642A89" w:rsidRDefault="00642A89" w:rsidP="00AA2A49">
      <w:pPr>
        <w:spacing w:line="360" w:lineRule="auto"/>
        <w:ind w:firstLine="720"/>
        <w:rPr>
          <w:sz w:val="24"/>
          <w:szCs w:val="24"/>
        </w:rPr>
      </w:pPr>
      <w:r w:rsidRPr="00642A89">
        <w:rPr>
          <w:sz w:val="24"/>
          <w:szCs w:val="24"/>
        </w:rPr>
        <w:t xml:space="preserve">Obstetrical complications </w:t>
      </w:r>
      <w:proofErr w:type="gramStart"/>
      <w:r w:rsidRPr="00642A89">
        <w:rPr>
          <w:sz w:val="24"/>
          <w:szCs w:val="24"/>
        </w:rPr>
        <w:t>is</w:t>
      </w:r>
      <w:proofErr w:type="gramEnd"/>
      <w:r w:rsidRPr="00642A89">
        <w:rPr>
          <w:sz w:val="24"/>
          <w:szCs w:val="24"/>
        </w:rPr>
        <w:t xml:space="preserve"> a topic area that has been debated. Ballon, Dean &amp; Cadenhead (2008) examined obstetrical complications in individuals considered to be at risk of schizophrenia and found this group to be at increased risk of complications compared to normal controls. Conclusion of the study was that the risk of obstetrical complications should be taken into consideration as a risk factor when identifying vulnerabilities as a determinant in an individual developing schizophrenia. A study by Preti et al. (2000) demonstrated that experiences of at least one obstetric complication were more likely to occur in patients within the spectrum of schizophrenia. Obstetric complications linked to prenatal brain lesions appeared antecedent to schizophrenic diagnosis in adulthood. These findings support research that highlights obstetric complications are higher in mothers diagnosed with schizophrenia and that there is a heritable predisposition to schizophrenia in those who have close family members with schizophrenia (Bennedsen, 2001; Cannon et al., 2001). Interpretation of this connection could be that obstetrical complications are the sole cause of schizophrenia; conversely, the complex interaction between the environmental mediator and the genetic predisposition increased the risk of schizophrenia (McNeil, 1988; Cannon et al., 2002). More recent research in the gene x environment interaction has identified individual genes as potential predictors of genetic liability and obstetrical complications in developing schizophrenia. </w:t>
      </w:r>
    </w:p>
    <w:p w14:paraId="43459018" w14:textId="7CF1A1F2" w:rsidR="00642A89" w:rsidRPr="00AA2A49" w:rsidRDefault="00642A89" w:rsidP="00AA2A49">
      <w:pPr>
        <w:spacing w:line="360" w:lineRule="auto"/>
        <w:ind w:firstLine="720"/>
        <w:rPr>
          <w:sz w:val="24"/>
          <w:szCs w:val="24"/>
        </w:rPr>
      </w:pPr>
    </w:p>
    <w:p w14:paraId="6043C0EE" w14:textId="5BA01CA1" w:rsidR="00642A89" w:rsidRPr="00642A89" w:rsidRDefault="00642A89" w:rsidP="00AA2A49">
      <w:pPr>
        <w:spacing w:line="360" w:lineRule="auto"/>
        <w:ind w:firstLine="720"/>
        <w:rPr>
          <w:sz w:val="24"/>
          <w:szCs w:val="24"/>
        </w:rPr>
      </w:pPr>
      <w:r w:rsidRPr="00642A89">
        <w:rPr>
          <w:sz w:val="24"/>
          <w:szCs w:val="24"/>
        </w:rPr>
        <w:t xml:space="preserve">The ZNF8o4A is a zinc-finger protein and has been identified as a candidate in the risk of schizophrenia (Thalamuthu et al., 2018). Early brain development is thought to be associated with functions of ZNF8o4A (Deans et al., 2017) and the rs1344706 (A/C) is a single nucleotide polymorphism in the ZNF8o4A that has been found to be significant in the clinical symptoms of schizophrenia </w:t>
      </w:r>
      <w:bookmarkStart w:id="17" w:name="_Hlk40108857"/>
      <w:r w:rsidRPr="00642A89">
        <w:rPr>
          <w:sz w:val="24"/>
          <w:szCs w:val="24"/>
        </w:rPr>
        <w:t>(Steinberg et al., 2011; Wickramasingle et al;, 2015; Chen et al., 2017)</w:t>
      </w:r>
      <w:bookmarkEnd w:id="17"/>
      <w:r w:rsidRPr="00642A89">
        <w:rPr>
          <w:sz w:val="24"/>
          <w:szCs w:val="24"/>
        </w:rPr>
        <w:t xml:space="preserve">. The A allele has been suggested as the risk allele in the development of schizophrenia (Williams et al., 2011; Riley et al., 2010). Mossner et al. (2012) assessed the pharmacogenetic importance of the ZNF8o4A gene. They used The Positive and Negative </w:t>
      </w:r>
      <w:r w:rsidRPr="00642A89">
        <w:rPr>
          <w:sz w:val="24"/>
          <w:szCs w:val="24"/>
        </w:rPr>
        <w:lastRenderedPageBreak/>
        <w:t>Syndrome scale to assess the positive and negative symptoms of schizophrenia. The findings indicate weak improvement in patients with A/A homozygotes (rs1344706AA), therefore concluding that ZNF8o4A as a pharmacological intervention may be a novel approach due to the functional relevance the gene has to schizophrenia. Lezheiko, Gabaeva, Kolesina &amp; Golimbet (2019) studied the ZNF8o4A genotype and obstetrical complications. They found that patients with the AA genotype had the highest severity of schizophrenic symptoms than carriers of the CC genotype. This is consistent with previous research (Walters et al., 2010; Steinberg et al., 2011; Wickramasingle et al</w:t>
      </w:r>
      <w:r w:rsidR="00391B5F">
        <w:rPr>
          <w:sz w:val="24"/>
          <w:szCs w:val="24"/>
        </w:rPr>
        <w:t>.,</w:t>
      </w:r>
      <w:r w:rsidRPr="00642A89">
        <w:rPr>
          <w:sz w:val="24"/>
          <w:szCs w:val="24"/>
        </w:rPr>
        <w:t xml:space="preserve"> 2015; Chen et al., 2017). The study further revealed that patients with obstetrical complications and carriers of the AA genotype had a high severity of psychopathological symptoms. The study highlights the importance of gene x environment research in the manifestation of schizophrenia. </w:t>
      </w:r>
    </w:p>
    <w:p w14:paraId="5CDEC589" w14:textId="0EB85BF9" w:rsidR="00642A89" w:rsidRPr="00AA2A49" w:rsidRDefault="00642A89" w:rsidP="00AA2A49">
      <w:pPr>
        <w:spacing w:line="360" w:lineRule="auto"/>
        <w:ind w:firstLine="720"/>
        <w:rPr>
          <w:sz w:val="24"/>
          <w:szCs w:val="24"/>
        </w:rPr>
      </w:pPr>
    </w:p>
    <w:p w14:paraId="0F590BCD" w14:textId="77777777" w:rsidR="00642A89" w:rsidRPr="00642A89" w:rsidRDefault="00642A89" w:rsidP="00AA2A49">
      <w:pPr>
        <w:spacing w:line="360" w:lineRule="auto"/>
        <w:ind w:firstLine="720"/>
        <w:rPr>
          <w:sz w:val="24"/>
          <w:szCs w:val="24"/>
        </w:rPr>
      </w:pPr>
      <w:r w:rsidRPr="00642A89">
        <w:rPr>
          <w:sz w:val="24"/>
          <w:szCs w:val="24"/>
        </w:rPr>
        <w:t xml:space="preserve">Research on the causes of schizophrenia has also found the dopamine neurotransmitter to be a contributory factor in the development of schizophrenia. Although research began in the early to mid-part of the last century, current examinations of dopamine continue to find it relevant in the etiology of schizophrenia. The dopamine hypothesis materialised after the discovery of dopamine as a neurotransmitter (Carlsson 1969); it was thought that schizophrenic symptoms were resultant of hyperactive dopamine transmission. However, this association has been questioned (Moncrieff, 2009). Negative symptoms of schizophrenia as a result of a decrease in activity of the nucleus caudatus and a decrease of  D1 receptor activation include lack of motivation, inability to feel pleasure in activities that are usually pleasurable, penury of speech and social withdrawal (O’Donnell &amp; Grace, 1998: Shen, Liao &amp; Tseng, 2012; Owen et al., 2016). Negative symptoms may also be the result of deviations in D3 receptors (Simpson et al., 2013). The positive symptoms of schizophrenia resultant of an increase of dopamine in the sub-cortical region which amplifies D2 receptor activation, includes formal thought disorder (Owen et al., 2016) delusions and hallucinations (O’Donnell &amp; Grace, 1998: Shen, Liao &amp; Tseng, 2012). Variations in dopamine and serotonin have been found to be contributory to positive and negative symptoms associated with schizophrenia (Carlsson, Waters &amp; Carlsson, 1999). </w:t>
      </w:r>
    </w:p>
    <w:p w14:paraId="51AD1674" w14:textId="66267729" w:rsidR="00642A89" w:rsidRPr="00AA2A49" w:rsidRDefault="00642A89" w:rsidP="00AA2A49">
      <w:pPr>
        <w:spacing w:line="360" w:lineRule="auto"/>
        <w:ind w:firstLine="720"/>
        <w:rPr>
          <w:sz w:val="24"/>
          <w:szCs w:val="24"/>
        </w:rPr>
      </w:pPr>
    </w:p>
    <w:p w14:paraId="22BE05DF" w14:textId="77777777" w:rsidR="00642A89" w:rsidRPr="00642A89" w:rsidRDefault="00642A89" w:rsidP="00AA2A49">
      <w:pPr>
        <w:spacing w:line="360" w:lineRule="auto"/>
        <w:ind w:firstLine="720"/>
        <w:rPr>
          <w:sz w:val="24"/>
          <w:szCs w:val="24"/>
        </w:rPr>
      </w:pPr>
      <w:r w:rsidRPr="00642A89">
        <w:rPr>
          <w:sz w:val="24"/>
          <w:szCs w:val="24"/>
        </w:rPr>
        <w:lastRenderedPageBreak/>
        <w:t>Causation of clinical schizophrenic symptoms according to the revised dopamine hypothesis is triggered by an imbalance of the dopaminergic system (da Silva Alves et al., 2008). da Silva Alves et al. (2008) reviewed fMRI (functional magnetic resonance imaging) studies, that focused on pharmacological analysis of atypical antipsychotic drugs, that effect dopaminergic neurotransmission, and the effect they have on brain activity in the prefrontal and striatal regions in schizophrenic patients. They found evidence to support the revised dopamine hypothesis of schizophrenia. The review reported evidence that indicated enhanced prefrontal cortex activity and improvement of cognitive functions. Furthermore, regulation of striatal functioning after administration of atypical antipsychotic medications was recorded. The functional improvement of the subcortical and prefrontal cortex was reflective of an enhancement in dopaminergic activity in patients with schizophrenia.</w:t>
      </w:r>
    </w:p>
    <w:p w14:paraId="6CB648DE" w14:textId="63F66D35" w:rsidR="00642A89" w:rsidRPr="00AA2A49" w:rsidRDefault="00642A89" w:rsidP="00AA2A49">
      <w:pPr>
        <w:spacing w:line="360" w:lineRule="auto"/>
        <w:ind w:firstLine="720"/>
        <w:rPr>
          <w:sz w:val="24"/>
          <w:szCs w:val="24"/>
        </w:rPr>
      </w:pPr>
    </w:p>
    <w:p w14:paraId="379C9BBA" w14:textId="77777777" w:rsidR="00AA2A49" w:rsidRPr="00AA2A49" w:rsidRDefault="00AA2A49" w:rsidP="00AA2A49">
      <w:pPr>
        <w:spacing w:line="360" w:lineRule="auto"/>
        <w:ind w:firstLine="720"/>
        <w:rPr>
          <w:sz w:val="24"/>
          <w:szCs w:val="24"/>
        </w:rPr>
      </w:pPr>
      <w:r w:rsidRPr="00AA2A49">
        <w:rPr>
          <w:sz w:val="24"/>
          <w:szCs w:val="24"/>
        </w:rPr>
        <w:t xml:space="preserve">The effects and relationship of antipsychotic medications on negative symptoms and neurotransmitter systems have been polemical. Gagan et al. (2016) found no relationship between the use of antipsychotic medication that targets dopamine D receptors and the severity of negative schizophrenic symptoms. This finding goes against the dopamine hypothesis of schizophrenia. Moncrieff (2009) highlights that post-mortem brain tissue samples looking at dopamine concentrations in dopamine receptors in individuals with psychiatric conditions have been negative or inconclusive. Studies in drug free patients with schizophrenia have been contradictory. Grace, Bunney, Moore &amp; Todd (1997) found that a consequence to antipsychotic medication was the dopamine neuron inactivation was delayed. This is another negative finding against the dopamine hypothesis of schizophrenia. </w:t>
      </w:r>
    </w:p>
    <w:p w14:paraId="7FC878B2" w14:textId="0E0EF7B4" w:rsidR="00AA2A49" w:rsidRPr="00AA2A49" w:rsidRDefault="00AA2A49" w:rsidP="00AA2A49">
      <w:pPr>
        <w:spacing w:line="360" w:lineRule="auto"/>
        <w:ind w:firstLine="720"/>
        <w:rPr>
          <w:sz w:val="24"/>
          <w:szCs w:val="24"/>
        </w:rPr>
      </w:pPr>
    </w:p>
    <w:p w14:paraId="41B57A71" w14:textId="77777777" w:rsidR="00AA2A49" w:rsidRPr="00AA2A49" w:rsidRDefault="00AA2A49" w:rsidP="00AA2A49">
      <w:pPr>
        <w:spacing w:line="360" w:lineRule="auto"/>
        <w:ind w:firstLine="720"/>
        <w:rPr>
          <w:sz w:val="24"/>
          <w:szCs w:val="24"/>
        </w:rPr>
      </w:pPr>
      <w:r w:rsidRPr="00AA2A49">
        <w:rPr>
          <w:sz w:val="24"/>
          <w:szCs w:val="24"/>
        </w:rPr>
        <w:t xml:space="preserve">However, recent studies have evidenced more convincingly that the effects of antipsychotic medication are evident within two weeks with substantial effect on the reduction of positive symptoms and the onset of antipsychotic action is as early 24hrs (Kapur et al., 2005; Leucht, Busch, Hamann, Kissling &amp; Kane, 2005). Catafau et al. (2006) found that dopamine D2 receptor occupancy was a positive predictor of clinical response at week 2 when onset of antipsychotic action was evident at the beginning of medication treatment. Further to this, Agid et al. (2007) found evidence to suggest, within specific </w:t>
      </w:r>
      <w:r w:rsidRPr="00AA2A49">
        <w:rPr>
          <w:sz w:val="24"/>
          <w:szCs w:val="24"/>
        </w:rPr>
        <w:lastRenderedPageBreak/>
        <w:t>regions of the striatum, obstruction of the dopamine D2 receptor may be significant in order to ameliorate psychosis in schizophrenia. Therefore, it is necessary for antipsychotic treatment to target the dopamine D2 receptors; this is an indicator that the original dopamine hypothesis for schizophrenia is still tenable (Howes &amp; Kapur, 2009).</w:t>
      </w:r>
    </w:p>
    <w:p w14:paraId="6F4172A7" w14:textId="77777777" w:rsidR="00AA2A49" w:rsidRPr="00642A89" w:rsidRDefault="00AA2A49" w:rsidP="00642A89">
      <w:pPr>
        <w:spacing w:line="360" w:lineRule="auto"/>
        <w:rPr>
          <w:sz w:val="24"/>
          <w:szCs w:val="24"/>
        </w:rPr>
      </w:pPr>
    </w:p>
    <w:p w14:paraId="473B2D31" w14:textId="0D54EA75" w:rsidR="00B21D49" w:rsidRDefault="00B21D49" w:rsidP="008A3491">
      <w:pPr>
        <w:spacing w:line="360" w:lineRule="auto"/>
        <w:rPr>
          <w:sz w:val="24"/>
          <w:szCs w:val="24"/>
        </w:rPr>
      </w:pPr>
    </w:p>
    <w:p w14:paraId="0DB34B9F" w14:textId="77777777" w:rsidR="00642A89" w:rsidRPr="00150648" w:rsidRDefault="00642A89" w:rsidP="008A3491">
      <w:pPr>
        <w:spacing w:line="360" w:lineRule="auto"/>
        <w:rPr>
          <w:sz w:val="24"/>
          <w:szCs w:val="24"/>
        </w:rPr>
      </w:pPr>
    </w:p>
    <w:p w14:paraId="7FC51F29" w14:textId="3619AD60" w:rsidR="00E67A3F" w:rsidRDefault="00E67A3F" w:rsidP="00F60830">
      <w:pPr>
        <w:spacing w:line="360" w:lineRule="auto"/>
        <w:ind w:firstLine="720"/>
        <w:rPr>
          <w:sz w:val="24"/>
          <w:szCs w:val="24"/>
        </w:rPr>
      </w:pPr>
    </w:p>
    <w:p w14:paraId="121D0130" w14:textId="77777777" w:rsidR="008A3491" w:rsidRPr="00150648" w:rsidRDefault="008A3491" w:rsidP="00F60830">
      <w:pPr>
        <w:spacing w:line="360" w:lineRule="auto"/>
        <w:ind w:firstLine="720"/>
        <w:rPr>
          <w:sz w:val="24"/>
          <w:szCs w:val="24"/>
        </w:rPr>
      </w:pPr>
    </w:p>
    <w:p w14:paraId="09C4D55B" w14:textId="7C56646F" w:rsidR="006976D5" w:rsidRDefault="00391B5F"/>
    <w:sectPr w:rsidR="006976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60A6"/>
    <w:rsid w:val="000360A6"/>
    <w:rsid w:val="000713D6"/>
    <w:rsid w:val="000F7ED2"/>
    <w:rsid w:val="00391B5F"/>
    <w:rsid w:val="00642A89"/>
    <w:rsid w:val="008A3491"/>
    <w:rsid w:val="00926C8A"/>
    <w:rsid w:val="00AA2A49"/>
    <w:rsid w:val="00AE4B4F"/>
    <w:rsid w:val="00AE5899"/>
    <w:rsid w:val="00B21D49"/>
    <w:rsid w:val="00B633AD"/>
    <w:rsid w:val="00DB7CE3"/>
    <w:rsid w:val="00E0011A"/>
    <w:rsid w:val="00E62CBC"/>
    <w:rsid w:val="00E67A3F"/>
    <w:rsid w:val="00EB0BA6"/>
    <w:rsid w:val="00F5679A"/>
    <w:rsid w:val="00F608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C45A22"/>
  <w15:chartTrackingRefBased/>
  <w15:docId w15:val="{B20D3073-6CE7-4959-AF5C-A49C3EF61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60A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6083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083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TotalTime>
  <Pages>11</Pages>
  <Words>3295</Words>
  <Characters>18782</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Michaela Paterson</dc:creator>
  <cp:keywords/>
  <dc:description/>
  <cp:lastModifiedBy>Michaela Paterson</cp:lastModifiedBy>
  <cp:revision>10</cp:revision>
  <dcterms:created xsi:type="dcterms:W3CDTF">2020-05-11T10:34:00Z</dcterms:created>
  <dcterms:modified xsi:type="dcterms:W3CDTF">2020-05-11T17:28:00Z</dcterms:modified>
</cp:coreProperties>
</file>