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893F4" w14:textId="3F55B1CA" w:rsidR="00962A92" w:rsidRDefault="007A5E46">
      <w:pPr>
        <w:spacing w:after="320"/>
        <w:jc w:val="center"/>
      </w:pPr>
      <w:r>
        <w:rPr>
          <w:noProof/>
        </w:rPr>
        <w:drawing>
          <wp:inline distT="0" distB="0" distL="0" distR="0" wp14:anchorId="721D66C3" wp14:editId="6CFC2AF1">
            <wp:extent cx="1844040" cy="746760"/>
            <wp:effectExtent l="0" t="0" r="3810" b="0"/>
            <wp:docPr id="4" name="Picture 3" descr="Discover University of Wales Trinity Saint David">
              <a:extLst xmlns:a="http://schemas.openxmlformats.org/drawingml/2006/main">
                <a:ext uri="{FF2B5EF4-FFF2-40B4-BE49-F238E27FC236}">
                  <a16:creationId xmlns:a16="http://schemas.microsoft.com/office/drawing/2014/main" id="{45470922-A03D-4B7F-9C8E-5065DE73CD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p>
    <w:p w14:paraId="48E3F674" w14:textId="77777777" w:rsidR="000C7CC0" w:rsidRDefault="000C7CC0">
      <w:pPr>
        <w:pStyle w:val="Title"/>
        <w:spacing w:line="276" w:lineRule="auto"/>
        <w:jc w:val="center"/>
      </w:pPr>
    </w:p>
    <w:p w14:paraId="041C9D44" w14:textId="77777777" w:rsidR="000C7CC0" w:rsidRDefault="000C7CC0">
      <w:pPr>
        <w:pStyle w:val="Title"/>
        <w:spacing w:line="276" w:lineRule="auto"/>
        <w:jc w:val="center"/>
      </w:pPr>
    </w:p>
    <w:p w14:paraId="09E0F9FC" w14:textId="77777777" w:rsidR="000C7CC0" w:rsidRDefault="000C7CC0" w:rsidP="00797F70">
      <w:pPr>
        <w:pStyle w:val="Title"/>
        <w:spacing w:line="276" w:lineRule="auto"/>
      </w:pPr>
    </w:p>
    <w:p w14:paraId="5F80E077" w14:textId="6F4A2100" w:rsidR="00962A92" w:rsidRDefault="00980C14">
      <w:pPr>
        <w:pStyle w:val="Title"/>
        <w:spacing w:line="276" w:lineRule="auto"/>
        <w:jc w:val="center"/>
      </w:pPr>
      <w:r>
        <w:t>Stakeholder Management Plan for a Proposed New Public Park in Telford</w:t>
      </w:r>
    </w:p>
    <w:p w14:paraId="6E301390" w14:textId="77777777" w:rsidR="00962A92" w:rsidRDefault="00980C14">
      <w:pPr>
        <w:pStyle w:val="Subtitle"/>
        <w:jc w:val="center"/>
      </w:pPr>
      <w:r>
        <w:t>LCBB4013 Stakeholder Engagement</w:t>
      </w:r>
      <w:r>
        <w:br/>
        <w:t>Coursework portfolio</w:t>
      </w:r>
    </w:p>
    <w:p w14:paraId="33F14CC4" w14:textId="76A3D5F3" w:rsidR="00797F70" w:rsidRPr="00797F70" w:rsidRDefault="00980C14" w:rsidP="00AF7568">
      <w:pPr>
        <w:pStyle w:val="NoSpacing"/>
        <w:rPr>
          <w:color w:val="000000" w:themeColor="text1"/>
          <w:sz w:val="28"/>
          <w:szCs w:val="28"/>
        </w:rPr>
      </w:pPr>
      <w:r>
        <w:br/>
      </w:r>
      <w:r w:rsidR="00797F70">
        <w:rPr>
          <w:b/>
          <w:bCs/>
          <w:color w:val="000000" w:themeColor="text1"/>
          <w:sz w:val="28"/>
          <w:szCs w:val="28"/>
        </w:rPr>
        <w:t xml:space="preserve">   </w:t>
      </w:r>
      <w:r w:rsidR="00797F70" w:rsidRPr="00797F70">
        <w:rPr>
          <w:b/>
          <w:bCs/>
          <w:color w:val="000000" w:themeColor="text1"/>
          <w:sz w:val="28"/>
          <w:szCs w:val="28"/>
        </w:rPr>
        <w:t>Student Name:</w:t>
      </w:r>
      <w:r w:rsidR="00797F70" w:rsidRPr="00797F70">
        <w:rPr>
          <w:color w:val="000000" w:themeColor="text1"/>
          <w:sz w:val="28"/>
          <w:szCs w:val="28"/>
        </w:rPr>
        <w:t xml:space="preserve"> </w:t>
      </w:r>
      <w:r w:rsidR="0003153D">
        <w:rPr>
          <w:color w:val="000000" w:themeColor="text1"/>
          <w:sz w:val="28"/>
          <w:szCs w:val="28"/>
        </w:rPr>
        <w:t xml:space="preserve"> Lupu</w:t>
      </w:r>
      <w:r w:rsidR="00797F70" w:rsidRPr="00797F70">
        <w:rPr>
          <w:color w:val="000000" w:themeColor="text1"/>
          <w:sz w:val="28"/>
          <w:szCs w:val="28"/>
        </w:rPr>
        <w:t xml:space="preserve"> </w:t>
      </w:r>
      <w:r w:rsidR="00475870" w:rsidRPr="00797F70">
        <w:rPr>
          <w:color w:val="000000" w:themeColor="text1"/>
          <w:sz w:val="28"/>
          <w:szCs w:val="28"/>
        </w:rPr>
        <w:t>Florentine-Elena</w:t>
      </w:r>
    </w:p>
    <w:p w14:paraId="34CBC327" w14:textId="77777777" w:rsidR="00797F70" w:rsidRDefault="00797F70" w:rsidP="00797F70">
      <w:pPr>
        <w:spacing w:after="0" w:line="240" w:lineRule="auto"/>
        <w:rPr>
          <w:rFonts w:asciiTheme="minorHAnsi" w:hAnsiTheme="minorHAnsi"/>
          <w:color w:val="000000" w:themeColor="text1"/>
          <w:sz w:val="28"/>
          <w:szCs w:val="28"/>
        </w:rPr>
      </w:pPr>
      <w:r>
        <w:rPr>
          <w:rFonts w:asciiTheme="minorHAnsi" w:hAnsiTheme="minorHAnsi"/>
          <w:b/>
          <w:bCs/>
          <w:color w:val="000000" w:themeColor="text1"/>
          <w:sz w:val="28"/>
          <w:szCs w:val="28"/>
        </w:rPr>
        <w:t xml:space="preserve">   </w:t>
      </w:r>
      <w:r w:rsidRPr="00797F70">
        <w:rPr>
          <w:rFonts w:asciiTheme="minorHAnsi" w:hAnsiTheme="minorHAnsi"/>
          <w:b/>
          <w:bCs/>
          <w:color w:val="000000" w:themeColor="text1"/>
          <w:sz w:val="28"/>
          <w:szCs w:val="28"/>
        </w:rPr>
        <w:t>Student ID:</w:t>
      </w:r>
      <w:r w:rsidRPr="00797F70">
        <w:rPr>
          <w:rFonts w:asciiTheme="minorHAnsi" w:hAnsiTheme="minorHAnsi"/>
          <w:color w:val="000000" w:themeColor="text1"/>
          <w:sz w:val="28"/>
          <w:szCs w:val="28"/>
        </w:rPr>
        <w:t xml:space="preserve"> 2420426</w:t>
      </w:r>
      <w:r>
        <w:rPr>
          <w:rFonts w:asciiTheme="minorHAnsi" w:hAnsiTheme="minorHAnsi"/>
          <w:color w:val="000000" w:themeColor="text1"/>
          <w:sz w:val="28"/>
          <w:szCs w:val="28"/>
        </w:rPr>
        <w:t xml:space="preserve"> </w:t>
      </w:r>
    </w:p>
    <w:p w14:paraId="456B6F74" w14:textId="23FA6E89" w:rsidR="00962A92" w:rsidRPr="00831E18" w:rsidRDefault="00797F70" w:rsidP="00797F70">
      <w:pPr>
        <w:spacing w:after="0" w:line="240"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   </w:t>
      </w:r>
      <w:r w:rsidRPr="00797F70">
        <w:rPr>
          <w:rFonts w:ascii="Aptos" w:hAnsi="Aptos"/>
          <w:b/>
          <w:bCs/>
          <w:color w:val="000000" w:themeColor="text1"/>
          <w:sz w:val="28"/>
          <w:szCs w:val="28"/>
        </w:rPr>
        <w:t>Professor Name:</w:t>
      </w:r>
      <w:r w:rsidR="00B1006D">
        <w:rPr>
          <w:rFonts w:ascii="Aptos" w:hAnsi="Aptos"/>
          <w:b/>
          <w:bCs/>
          <w:color w:val="000000" w:themeColor="text1"/>
          <w:sz w:val="28"/>
          <w:szCs w:val="28"/>
        </w:rPr>
        <w:t xml:space="preserve"> </w:t>
      </w:r>
      <w:r w:rsidR="00831E18">
        <w:rPr>
          <w:rFonts w:ascii="Aptos" w:hAnsi="Aptos"/>
          <w:color w:val="000000" w:themeColor="text1"/>
          <w:sz w:val="28"/>
          <w:szCs w:val="28"/>
        </w:rPr>
        <w:t xml:space="preserve">Md </w:t>
      </w:r>
      <w:r w:rsidR="00727E40">
        <w:rPr>
          <w:rFonts w:ascii="Aptos" w:hAnsi="Aptos"/>
          <w:color w:val="000000" w:themeColor="text1"/>
          <w:sz w:val="28"/>
          <w:szCs w:val="28"/>
        </w:rPr>
        <w:t>Ashikul Khan</w:t>
      </w:r>
    </w:p>
    <w:p w14:paraId="459F7D72" w14:textId="77777777" w:rsidR="00962A92" w:rsidRDefault="00980C14">
      <w:r>
        <w:br w:type="page"/>
      </w:r>
    </w:p>
    <w:p w14:paraId="129C631F" w14:textId="77777777" w:rsidR="00962A92" w:rsidRDefault="00980C14">
      <w:pPr>
        <w:pStyle w:val="Heading1"/>
      </w:pPr>
      <w:r>
        <w:lastRenderedPageBreak/>
        <w:t>Contents</w:t>
      </w:r>
    </w:p>
    <w:p w14:paraId="14935489" w14:textId="77777777" w:rsidR="00962A92" w:rsidRDefault="00980C14">
      <w:pPr>
        <w:tabs>
          <w:tab w:val="right" w:pos="9360"/>
        </w:tabs>
      </w:pPr>
      <w:r>
        <w:t>1 Introduction</w:t>
      </w:r>
      <w:r>
        <w:tab/>
        <w:t>3</w:t>
      </w:r>
    </w:p>
    <w:p w14:paraId="731ECF0D" w14:textId="77777777" w:rsidR="00962A92" w:rsidRDefault="00980C14">
      <w:pPr>
        <w:tabs>
          <w:tab w:val="right" w:pos="9360"/>
        </w:tabs>
      </w:pPr>
      <w:r>
        <w:t>2 Stakeholder engagement strategies</w:t>
      </w:r>
      <w:r>
        <w:tab/>
        <w:t>4</w:t>
      </w:r>
    </w:p>
    <w:p w14:paraId="7FFA2A44" w14:textId="77777777" w:rsidR="00962A92" w:rsidRDefault="00980C14">
      <w:pPr>
        <w:tabs>
          <w:tab w:val="right" w:pos="9360"/>
        </w:tabs>
      </w:pPr>
      <w:r>
        <w:t>3 Ethical considerations</w:t>
      </w:r>
      <w:r>
        <w:tab/>
        <w:t>8</w:t>
      </w:r>
    </w:p>
    <w:p w14:paraId="3B347F58" w14:textId="77777777" w:rsidR="00962A92" w:rsidRDefault="00980C14">
      <w:pPr>
        <w:tabs>
          <w:tab w:val="right" w:pos="9360"/>
        </w:tabs>
      </w:pPr>
      <w:r>
        <w:t>4 Conclusion and reflection</w:t>
      </w:r>
      <w:r>
        <w:tab/>
        <w:t>10</w:t>
      </w:r>
    </w:p>
    <w:p w14:paraId="68062A8F" w14:textId="77777777" w:rsidR="00962A92" w:rsidRDefault="00980C14">
      <w:pPr>
        <w:tabs>
          <w:tab w:val="right" w:pos="9360"/>
        </w:tabs>
      </w:pPr>
      <w:r>
        <w:t>References</w:t>
      </w:r>
      <w:r>
        <w:tab/>
        <w:t>13</w:t>
      </w:r>
    </w:p>
    <w:p w14:paraId="7B35E195" w14:textId="77777777" w:rsidR="00962A92" w:rsidRDefault="00980C14">
      <w:r>
        <w:br w:type="page"/>
      </w:r>
    </w:p>
    <w:p w14:paraId="5D1BFCE0" w14:textId="77777777" w:rsidR="00962A92" w:rsidRDefault="00980C14">
      <w:pPr>
        <w:pStyle w:val="Heading1"/>
      </w:pPr>
      <w:r>
        <w:lastRenderedPageBreak/>
        <w:t>1 Introduction</w:t>
      </w:r>
    </w:p>
    <w:p w14:paraId="15C0FEDC" w14:textId="77777777" w:rsidR="00962A92" w:rsidRPr="00B1006D" w:rsidRDefault="00980C14">
      <w:pPr>
        <w:rPr>
          <w:sz w:val="32"/>
          <w:szCs w:val="32"/>
        </w:rPr>
      </w:pPr>
      <w:r w:rsidRPr="00B1006D">
        <w:rPr>
          <w:sz w:val="32"/>
          <w:szCs w:val="32"/>
        </w:rPr>
        <w:t xml:space="preserve">This portfolio develops a stakeholder management plan for a proposed new public park in Telford, Shropshire. Acting as a Junior Stakeholder Manager within a consultancy, my role is to identify stakeholders, assess their interests and influence, and propose appropriate engagement methods. The proposal is an academic planning exercise, not a confirmed council development. Its location, funding and detailed design require further investigation. My experience of Telford Town Park provides </w:t>
      </w:r>
      <w:proofErr w:type="gramStart"/>
      <w:r w:rsidRPr="00B1006D">
        <w:rPr>
          <w:sz w:val="32"/>
          <w:szCs w:val="32"/>
        </w:rPr>
        <w:t>the</w:t>
      </w:r>
      <w:proofErr w:type="gramEnd"/>
      <w:r w:rsidRPr="00B1006D">
        <w:rPr>
          <w:sz w:val="32"/>
          <w:szCs w:val="32"/>
        </w:rPr>
        <w:t xml:space="preserve"> personal starting point.</w:t>
      </w:r>
    </w:p>
    <w:p w14:paraId="27FDFD76" w14:textId="77777777" w:rsidR="00962A92" w:rsidRPr="00B1006D" w:rsidRDefault="00980C14">
      <w:pPr>
        <w:rPr>
          <w:sz w:val="32"/>
          <w:szCs w:val="32"/>
        </w:rPr>
      </w:pPr>
      <w:r w:rsidRPr="00B1006D">
        <w:rPr>
          <w:sz w:val="32"/>
          <w:szCs w:val="32"/>
        </w:rPr>
        <w:t>The proposed facilities include inclusive play areas, accessible walking routes, seating, toilets with baby-changing facilities, and quiet spaces. These reflect my preference for improvements across these aspects of the park experience. Telford Town Park already provides play areas and visitor facilities (Telford Town Park, n.d.). My preferences therefore offer questions for consultation rather than evidence that existing provision is inadequate or that residents share my views.</w:t>
      </w:r>
    </w:p>
    <w:p w14:paraId="55F172E7" w14:textId="77777777" w:rsidR="00962A92" w:rsidRPr="00B1006D" w:rsidRDefault="00980C14">
      <w:pPr>
        <w:rPr>
          <w:sz w:val="32"/>
          <w:szCs w:val="32"/>
        </w:rPr>
      </w:pPr>
      <w:r w:rsidRPr="00B1006D">
        <w:rPr>
          <w:sz w:val="32"/>
          <w:szCs w:val="32"/>
        </w:rPr>
        <w:t>Local evidence supports investigating demand, not assuming a new park is necessary. The Office for National Statistics (ONS, 2023) reports population growth of 11.3% between 2011 and 2021, compared with 6.6% across England. This 4.7-percentage-point difference suggests pressure on provision, but borough-wide data cannot identify a neighbourhood deficit. Natural England’s (2023) accessible greenspace framework would inform a walking-access audit before site selection.</w:t>
      </w:r>
    </w:p>
    <w:p w14:paraId="2AD1FC5C" w14:textId="77777777" w:rsidR="00962A92" w:rsidRPr="00B1006D" w:rsidRDefault="00980C14">
      <w:pPr>
        <w:rPr>
          <w:sz w:val="32"/>
          <w:szCs w:val="32"/>
        </w:rPr>
      </w:pPr>
      <w:r w:rsidRPr="00B1006D">
        <w:rPr>
          <w:sz w:val="32"/>
          <w:szCs w:val="32"/>
        </w:rPr>
        <w:t>Seven stakeholder groups are identified. Telford &amp; Wrekin Council, as a potential sponsor, could benefit from delivering community priorities. Nearby residents could gain recreational space but experience construction disturbance. Families could benefit from play facilities, while disabled people and representative organisations could help shape accessible amenities. Schools could use outdoor learning opportunities. Environmental organisations could support habitat protection, and businesses might benefit from visits, although economic effects require investigation.</w:t>
      </w:r>
    </w:p>
    <w:p w14:paraId="54CB133D" w14:textId="77777777" w:rsidR="00962A92" w:rsidRPr="00B1006D" w:rsidRDefault="00980C14">
      <w:pPr>
        <w:rPr>
          <w:sz w:val="32"/>
          <w:szCs w:val="32"/>
        </w:rPr>
      </w:pPr>
      <w:r w:rsidRPr="00B1006D">
        <w:rPr>
          <w:sz w:val="32"/>
          <w:szCs w:val="32"/>
        </w:rPr>
        <w:t>Real local comparators strengthen the proposal. Newdale’s 2021 park consultation sought residents’ views on community improvements (Lawley and Overdale Parish Council, 2021). Separately, the council’s 2025 Newdale pitches announcement allocated 46% of over 80 additional playing hours to women’s and girls’ football (Telford &amp; Wrekin Council, 2025). This illustrates measurable inclusion commitments, although an announcement does not demonstrate achieved outcomes.</w:t>
      </w:r>
    </w:p>
    <w:p w14:paraId="0DADDF62" w14:textId="77777777" w:rsidR="00962A92" w:rsidRPr="00B1006D" w:rsidRDefault="00980C14">
      <w:pPr>
        <w:rPr>
          <w:sz w:val="32"/>
          <w:szCs w:val="32"/>
        </w:rPr>
      </w:pPr>
      <w:r w:rsidRPr="00B1006D">
        <w:rPr>
          <w:sz w:val="32"/>
          <w:szCs w:val="32"/>
        </w:rPr>
        <w:t>The portfolio applies stakeholder analysis, consultation planning and ethical safeguards, then reflects using Gibbs’ cycle (University of Edinburgh, n.d.). It distinguishes documented local projects from this unapproved proposal. A new park should proceed only if local accessibility gaps and benefits justify its lifetime costs relative to upgrading existing facilities.</w:t>
      </w:r>
    </w:p>
    <w:p w14:paraId="625F6C5F" w14:textId="77777777" w:rsidR="00962A92" w:rsidRPr="00B1006D" w:rsidRDefault="00980C14">
      <w:pPr>
        <w:pStyle w:val="Heading1"/>
        <w:rPr>
          <w:szCs w:val="32"/>
        </w:rPr>
      </w:pPr>
      <w:r w:rsidRPr="00B1006D">
        <w:rPr>
          <w:szCs w:val="32"/>
        </w:rPr>
        <w:t>2 Stakeholder engagement strategies</w:t>
      </w:r>
    </w:p>
    <w:p w14:paraId="01CD5414" w14:textId="77777777" w:rsidR="00962A92" w:rsidRPr="00B1006D" w:rsidRDefault="00980C14">
      <w:pPr>
        <w:pStyle w:val="Heading2"/>
        <w:rPr>
          <w:sz w:val="32"/>
          <w:szCs w:val="32"/>
        </w:rPr>
      </w:pPr>
      <w:r w:rsidRPr="00B1006D">
        <w:rPr>
          <w:sz w:val="32"/>
          <w:szCs w:val="32"/>
        </w:rPr>
        <w:t>2.1 Stakeholder assessment</w:t>
      </w:r>
    </w:p>
    <w:p w14:paraId="3D1F3565" w14:textId="77777777" w:rsidR="00962A92" w:rsidRPr="00B1006D" w:rsidRDefault="00980C14">
      <w:pPr>
        <w:rPr>
          <w:sz w:val="32"/>
          <w:szCs w:val="32"/>
        </w:rPr>
      </w:pPr>
      <w:r w:rsidRPr="00B1006D">
        <w:rPr>
          <w:sz w:val="32"/>
          <w:szCs w:val="32"/>
        </w:rPr>
        <w:t>Freeman (2010) places stakeholder relationships at the centre of strategy, broadening attention beyond the sponsoring organisation. For this project, power means formal authority over decisions; influence means shaping choices through expertise or mobilisation; interest means the significance of outcomes. These dimensions guide interaction (Association for Project Management, n.d.), but they cannot alone determine whose needs deserve protection.</w:t>
      </w:r>
    </w:p>
    <w:p w14:paraId="71502B06" w14:textId="77777777" w:rsidR="00962A92" w:rsidRPr="00B1006D" w:rsidRDefault="00980C14">
      <w:pPr>
        <w:rPr>
          <w:sz w:val="32"/>
          <w:szCs w:val="32"/>
        </w:rPr>
      </w:pPr>
      <w:r w:rsidRPr="00B1006D">
        <w:rPr>
          <w:sz w:val="32"/>
          <w:szCs w:val="32"/>
        </w:rPr>
        <w:t>Table 1 contains provisional judgements, not consultation findings. High power indicates major decision authority; medium power concerns a limited resource or decision; low power indicates no identified formal control. Influence is assessed separately. The eventual register would separate council sponsor, planning and maintenance functions and add the confirmed landowner, funders and contractor. Their roles cannot responsibly be invented before a site is identified.</w:t>
      </w:r>
    </w:p>
    <w:p w14:paraId="2B8F7307" w14:textId="77777777" w:rsidR="00962A92" w:rsidRPr="00B1006D" w:rsidRDefault="00980C14">
      <w:pPr>
        <w:keepNext/>
        <w:rPr>
          <w:sz w:val="32"/>
          <w:szCs w:val="32"/>
        </w:rPr>
      </w:pPr>
      <w:r w:rsidRPr="00B1006D">
        <w:rPr>
          <w:b/>
          <w:sz w:val="32"/>
          <w:szCs w:val="32"/>
        </w:rPr>
        <w:t>Table 1 Stakeholder assessment</w:t>
      </w:r>
    </w:p>
    <w:tbl>
      <w:tblPr>
        <w:tblW w:w="0" w:type="auto"/>
        <w:jc w:val="center"/>
        <w:tblLayout w:type="fixed"/>
        <w:tblLook w:val="04A0" w:firstRow="1" w:lastRow="0" w:firstColumn="1" w:lastColumn="0" w:noHBand="0" w:noVBand="1"/>
      </w:tblPr>
      <w:tblGrid>
        <w:gridCol w:w="2304"/>
        <w:gridCol w:w="936"/>
        <w:gridCol w:w="1152"/>
        <w:gridCol w:w="1008"/>
        <w:gridCol w:w="4680"/>
      </w:tblGrid>
      <w:tr w:rsidR="00962A92" w:rsidRPr="00B1006D" w14:paraId="2244C8FA" w14:textId="77777777">
        <w:trPr>
          <w:cantSplit/>
          <w:tblHeader/>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393C91F5" w14:textId="77777777" w:rsidR="00962A92" w:rsidRPr="00B1006D" w:rsidRDefault="00980C14">
            <w:pPr>
              <w:spacing w:after="40"/>
              <w:rPr>
                <w:sz w:val="32"/>
                <w:szCs w:val="32"/>
              </w:rPr>
            </w:pPr>
            <w:r w:rsidRPr="00B1006D">
              <w:rPr>
                <w:b/>
                <w:sz w:val="32"/>
                <w:szCs w:val="32"/>
              </w:rPr>
              <w:t>Stakeholder</w:t>
            </w:r>
          </w:p>
        </w:tc>
        <w:tc>
          <w:tcPr>
            <w:tcW w:w="936"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63B8499B" w14:textId="77777777" w:rsidR="00962A92" w:rsidRPr="00B1006D" w:rsidRDefault="00980C14">
            <w:pPr>
              <w:spacing w:after="40"/>
              <w:rPr>
                <w:sz w:val="32"/>
                <w:szCs w:val="32"/>
              </w:rPr>
            </w:pPr>
            <w:r w:rsidRPr="00B1006D">
              <w:rPr>
                <w:b/>
                <w:sz w:val="32"/>
                <w:szCs w:val="32"/>
              </w:rPr>
              <w:t>Power</w:t>
            </w:r>
          </w:p>
        </w:tc>
        <w:tc>
          <w:tcPr>
            <w:tcW w:w="1152"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2FECA4D6" w14:textId="77777777" w:rsidR="00962A92" w:rsidRPr="00B1006D" w:rsidRDefault="00980C14">
            <w:pPr>
              <w:spacing w:after="40"/>
              <w:rPr>
                <w:sz w:val="32"/>
                <w:szCs w:val="32"/>
              </w:rPr>
            </w:pPr>
            <w:r w:rsidRPr="00B1006D">
              <w:rPr>
                <w:b/>
                <w:sz w:val="32"/>
                <w:szCs w:val="32"/>
              </w:rPr>
              <w:t>Influence</w:t>
            </w:r>
          </w:p>
        </w:tc>
        <w:tc>
          <w:tcPr>
            <w:tcW w:w="1008"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247C844E" w14:textId="77777777" w:rsidR="00962A92" w:rsidRPr="00B1006D" w:rsidRDefault="00980C14">
            <w:pPr>
              <w:spacing w:after="40"/>
              <w:rPr>
                <w:sz w:val="32"/>
                <w:szCs w:val="32"/>
              </w:rPr>
            </w:pPr>
            <w:r w:rsidRPr="00B1006D">
              <w:rPr>
                <w:b/>
                <w:sz w:val="32"/>
                <w:szCs w:val="32"/>
              </w:rPr>
              <w:t>Interest</w:t>
            </w:r>
          </w:p>
        </w:tc>
        <w:tc>
          <w:tcPr>
            <w:tcW w:w="4680" w:type="dxa"/>
            <w:tcBorders>
              <w:top w:val="single" w:sz="4" w:space="0" w:color="D9D9D9"/>
              <w:left w:val="single" w:sz="4" w:space="0" w:color="D9D9D9"/>
              <w:bottom w:val="single" w:sz="4" w:space="0" w:color="D9D9D9"/>
              <w:right w:val="single" w:sz="4" w:space="0" w:color="D9D9D9"/>
            </w:tcBorders>
            <w:shd w:val="clear" w:color="auto" w:fill="DCE6F1"/>
          </w:tcPr>
          <w:p w14:paraId="57EC60A7" w14:textId="77777777" w:rsidR="00962A92" w:rsidRPr="00B1006D" w:rsidRDefault="00980C14">
            <w:pPr>
              <w:spacing w:after="40"/>
              <w:rPr>
                <w:sz w:val="32"/>
                <w:szCs w:val="32"/>
              </w:rPr>
            </w:pPr>
            <w:r w:rsidRPr="00B1006D">
              <w:rPr>
                <w:b/>
                <w:sz w:val="32"/>
                <w:szCs w:val="32"/>
              </w:rPr>
              <w:t>Reason</w:t>
            </w:r>
          </w:p>
        </w:tc>
      </w:tr>
      <w:tr w:rsidR="00962A92" w:rsidRPr="00B1006D" w14:paraId="50A64665" w14:textId="77777777">
        <w:trPr>
          <w:cantSplit/>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3DEDE49" w14:textId="77777777" w:rsidR="00962A92" w:rsidRPr="00B1006D" w:rsidRDefault="00980C14">
            <w:pPr>
              <w:spacing w:after="40"/>
              <w:rPr>
                <w:sz w:val="32"/>
                <w:szCs w:val="32"/>
              </w:rPr>
            </w:pPr>
            <w:r w:rsidRPr="00B1006D">
              <w:rPr>
                <w:sz w:val="32"/>
                <w:szCs w:val="32"/>
              </w:rPr>
              <w:t>Council</w:t>
            </w:r>
          </w:p>
        </w:tc>
        <w:tc>
          <w:tcPr>
            <w:tcW w:w="93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8026A97" w14:textId="77777777" w:rsidR="00962A92" w:rsidRPr="00B1006D" w:rsidRDefault="00980C14">
            <w:pPr>
              <w:spacing w:after="40"/>
              <w:rPr>
                <w:sz w:val="32"/>
                <w:szCs w:val="32"/>
              </w:rPr>
            </w:pPr>
            <w:r w:rsidRPr="00B1006D">
              <w:rPr>
                <w:sz w:val="32"/>
                <w:szCs w:val="32"/>
              </w:rPr>
              <w:t>High</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FBFF50D" w14:textId="77777777" w:rsidR="00962A92" w:rsidRPr="00B1006D" w:rsidRDefault="00980C14">
            <w:pPr>
              <w:spacing w:after="40"/>
              <w:rPr>
                <w:sz w:val="32"/>
                <w:szCs w:val="32"/>
              </w:rPr>
            </w:pPr>
            <w:r w:rsidRPr="00B1006D">
              <w:rPr>
                <w:sz w:val="32"/>
                <w:szCs w:val="32"/>
              </w:rPr>
              <w:t>High</w:t>
            </w:r>
          </w:p>
        </w:tc>
        <w:tc>
          <w:tcPr>
            <w:tcW w:w="100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228D787" w14:textId="77777777" w:rsidR="00962A92" w:rsidRPr="00B1006D" w:rsidRDefault="00980C14">
            <w:pPr>
              <w:spacing w:after="40"/>
              <w:rPr>
                <w:sz w:val="32"/>
                <w:szCs w:val="32"/>
              </w:rPr>
            </w:pPr>
            <w:r w:rsidRPr="00B1006D">
              <w:rPr>
                <w:sz w:val="32"/>
                <w:szCs w:val="32"/>
              </w:rPr>
              <w:t>High</w:t>
            </w:r>
          </w:p>
        </w:tc>
        <w:tc>
          <w:tcPr>
            <w:tcW w:w="4680" w:type="dxa"/>
            <w:tcBorders>
              <w:top w:val="single" w:sz="4" w:space="0" w:color="D9D9D9"/>
              <w:left w:val="single" w:sz="4" w:space="0" w:color="D9D9D9"/>
              <w:bottom w:val="single" w:sz="4" w:space="0" w:color="D9D9D9"/>
              <w:right w:val="single" w:sz="4" w:space="0" w:color="D9D9D9"/>
            </w:tcBorders>
          </w:tcPr>
          <w:p w14:paraId="63E12DC8" w14:textId="77777777" w:rsidR="00962A92" w:rsidRPr="00B1006D" w:rsidRDefault="00980C14">
            <w:pPr>
              <w:spacing w:after="40"/>
              <w:rPr>
                <w:sz w:val="32"/>
                <w:szCs w:val="32"/>
              </w:rPr>
            </w:pPr>
            <w:r w:rsidRPr="00B1006D">
              <w:rPr>
                <w:sz w:val="32"/>
                <w:szCs w:val="32"/>
              </w:rPr>
              <w:t>Potential sponsor controlling resources and upkeep.</w:t>
            </w:r>
          </w:p>
        </w:tc>
      </w:tr>
      <w:tr w:rsidR="00962A92" w:rsidRPr="00B1006D" w14:paraId="7678EF18" w14:textId="77777777">
        <w:trPr>
          <w:cantSplit/>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5E76A62" w14:textId="77777777" w:rsidR="00962A92" w:rsidRPr="00B1006D" w:rsidRDefault="00980C14">
            <w:pPr>
              <w:spacing w:after="40"/>
              <w:rPr>
                <w:sz w:val="32"/>
                <w:szCs w:val="32"/>
              </w:rPr>
            </w:pPr>
            <w:r w:rsidRPr="00B1006D">
              <w:rPr>
                <w:sz w:val="32"/>
                <w:szCs w:val="32"/>
              </w:rPr>
              <w:t>Residents</w:t>
            </w:r>
          </w:p>
        </w:tc>
        <w:tc>
          <w:tcPr>
            <w:tcW w:w="93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9E8F556" w14:textId="77777777" w:rsidR="00962A92" w:rsidRPr="00B1006D" w:rsidRDefault="00980C14">
            <w:pPr>
              <w:spacing w:after="40"/>
              <w:rPr>
                <w:sz w:val="32"/>
                <w:szCs w:val="32"/>
              </w:rPr>
            </w:pPr>
            <w:r w:rsidRPr="00B1006D">
              <w:rPr>
                <w:sz w:val="32"/>
                <w:szCs w:val="32"/>
              </w:rPr>
              <w:t>Low</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918C5E0" w14:textId="77777777" w:rsidR="00962A92" w:rsidRPr="00B1006D" w:rsidRDefault="00980C14">
            <w:pPr>
              <w:spacing w:after="40"/>
              <w:rPr>
                <w:sz w:val="32"/>
                <w:szCs w:val="32"/>
              </w:rPr>
            </w:pPr>
            <w:r w:rsidRPr="00B1006D">
              <w:rPr>
                <w:sz w:val="32"/>
                <w:szCs w:val="32"/>
              </w:rPr>
              <w:t>Medium</w:t>
            </w:r>
          </w:p>
        </w:tc>
        <w:tc>
          <w:tcPr>
            <w:tcW w:w="100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66BEFDA" w14:textId="77777777" w:rsidR="00962A92" w:rsidRPr="00B1006D" w:rsidRDefault="00980C14">
            <w:pPr>
              <w:spacing w:after="40"/>
              <w:rPr>
                <w:sz w:val="32"/>
                <w:szCs w:val="32"/>
              </w:rPr>
            </w:pPr>
            <w:r w:rsidRPr="00B1006D">
              <w:rPr>
                <w:sz w:val="32"/>
                <w:szCs w:val="32"/>
              </w:rPr>
              <w:t>High</w:t>
            </w:r>
          </w:p>
        </w:tc>
        <w:tc>
          <w:tcPr>
            <w:tcW w:w="4680" w:type="dxa"/>
            <w:tcBorders>
              <w:top w:val="single" w:sz="4" w:space="0" w:color="D9D9D9"/>
              <w:left w:val="single" w:sz="4" w:space="0" w:color="D9D9D9"/>
              <w:bottom w:val="single" w:sz="4" w:space="0" w:color="D9D9D9"/>
              <w:right w:val="single" w:sz="4" w:space="0" w:color="D9D9D9"/>
            </w:tcBorders>
          </w:tcPr>
          <w:p w14:paraId="65DD50FD" w14:textId="77777777" w:rsidR="00962A92" w:rsidRPr="00B1006D" w:rsidRDefault="00980C14">
            <w:pPr>
              <w:spacing w:after="40"/>
              <w:rPr>
                <w:sz w:val="32"/>
                <w:szCs w:val="32"/>
              </w:rPr>
            </w:pPr>
            <w:r w:rsidRPr="00B1006D">
              <w:rPr>
                <w:sz w:val="32"/>
                <w:szCs w:val="32"/>
              </w:rPr>
              <w:t>Directly affected; collective objections can influence design.</w:t>
            </w:r>
          </w:p>
        </w:tc>
      </w:tr>
      <w:tr w:rsidR="00962A92" w:rsidRPr="00B1006D" w14:paraId="6FA285BD" w14:textId="77777777">
        <w:trPr>
          <w:cantSplit/>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8796F38" w14:textId="77777777" w:rsidR="00962A92" w:rsidRPr="00B1006D" w:rsidRDefault="00980C14">
            <w:pPr>
              <w:spacing w:after="40"/>
              <w:rPr>
                <w:sz w:val="32"/>
                <w:szCs w:val="32"/>
              </w:rPr>
            </w:pPr>
            <w:r w:rsidRPr="00B1006D">
              <w:rPr>
                <w:sz w:val="32"/>
                <w:szCs w:val="32"/>
              </w:rPr>
              <w:t>Families</w:t>
            </w:r>
          </w:p>
        </w:tc>
        <w:tc>
          <w:tcPr>
            <w:tcW w:w="93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5AC88CB" w14:textId="77777777" w:rsidR="00962A92" w:rsidRPr="00B1006D" w:rsidRDefault="00980C14">
            <w:pPr>
              <w:spacing w:after="40"/>
              <w:rPr>
                <w:sz w:val="32"/>
                <w:szCs w:val="32"/>
              </w:rPr>
            </w:pPr>
            <w:r w:rsidRPr="00B1006D">
              <w:rPr>
                <w:sz w:val="32"/>
                <w:szCs w:val="32"/>
              </w:rPr>
              <w:t>Low</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708983B" w14:textId="77777777" w:rsidR="00962A92" w:rsidRPr="00B1006D" w:rsidRDefault="00980C14">
            <w:pPr>
              <w:spacing w:after="40"/>
              <w:rPr>
                <w:sz w:val="32"/>
                <w:szCs w:val="32"/>
              </w:rPr>
            </w:pPr>
            <w:r w:rsidRPr="00B1006D">
              <w:rPr>
                <w:sz w:val="32"/>
                <w:szCs w:val="32"/>
              </w:rPr>
              <w:t>Medium</w:t>
            </w:r>
          </w:p>
        </w:tc>
        <w:tc>
          <w:tcPr>
            <w:tcW w:w="100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FC4EA06" w14:textId="77777777" w:rsidR="00962A92" w:rsidRPr="00B1006D" w:rsidRDefault="00980C14">
            <w:pPr>
              <w:spacing w:after="40"/>
              <w:rPr>
                <w:sz w:val="32"/>
                <w:szCs w:val="32"/>
              </w:rPr>
            </w:pPr>
            <w:r w:rsidRPr="00B1006D">
              <w:rPr>
                <w:sz w:val="32"/>
                <w:szCs w:val="32"/>
              </w:rPr>
              <w:t>High</w:t>
            </w:r>
          </w:p>
        </w:tc>
        <w:tc>
          <w:tcPr>
            <w:tcW w:w="4680" w:type="dxa"/>
            <w:tcBorders>
              <w:top w:val="single" w:sz="4" w:space="0" w:color="D9D9D9"/>
              <w:left w:val="single" w:sz="4" w:space="0" w:color="D9D9D9"/>
              <w:bottom w:val="single" w:sz="4" w:space="0" w:color="D9D9D9"/>
              <w:right w:val="single" w:sz="4" w:space="0" w:color="D9D9D9"/>
            </w:tcBorders>
          </w:tcPr>
          <w:p w14:paraId="3052B2CF" w14:textId="77777777" w:rsidR="00962A92" w:rsidRPr="00B1006D" w:rsidRDefault="00980C14">
            <w:pPr>
              <w:spacing w:after="40"/>
              <w:rPr>
                <w:sz w:val="32"/>
                <w:szCs w:val="32"/>
              </w:rPr>
            </w:pPr>
            <w:r w:rsidRPr="00B1006D">
              <w:rPr>
                <w:sz w:val="32"/>
                <w:szCs w:val="32"/>
              </w:rPr>
              <w:t>Play and amenities affect their use.</w:t>
            </w:r>
          </w:p>
        </w:tc>
      </w:tr>
      <w:tr w:rsidR="00962A92" w:rsidRPr="00B1006D" w14:paraId="24AB836E" w14:textId="77777777">
        <w:trPr>
          <w:cantSplit/>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8F19BFF" w14:textId="77777777" w:rsidR="00962A92" w:rsidRPr="00B1006D" w:rsidRDefault="00980C14">
            <w:pPr>
              <w:spacing w:after="40"/>
              <w:rPr>
                <w:sz w:val="32"/>
                <w:szCs w:val="32"/>
              </w:rPr>
            </w:pPr>
            <w:r w:rsidRPr="00B1006D">
              <w:rPr>
                <w:sz w:val="32"/>
                <w:szCs w:val="32"/>
              </w:rPr>
              <w:t>Disabled users and representatives</w:t>
            </w:r>
          </w:p>
        </w:tc>
        <w:tc>
          <w:tcPr>
            <w:tcW w:w="93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7FA5488" w14:textId="77777777" w:rsidR="00962A92" w:rsidRPr="00B1006D" w:rsidRDefault="00980C14">
            <w:pPr>
              <w:spacing w:after="40"/>
              <w:rPr>
                <w:sz w:val="32"/>
                <w:szCs w:val="32"/>
              </w:rPr>
            </w:pPr>
            <w:r w:rsidRPr="00B1006D">
              <w:rPr>
                <w:sz w:val="32"/>
                <w:szCs w:val="32"/>
              </w:rPr>
              <w:t>Low</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989EFDF" w14:textId="77777777" w:rsidR="00962A92" w:rsidRPr="00B1006D" w:rsidRDefault="00980C14">
            <w:pPr>
              <w:spacing w:after="40"/>
              <w:rPr>
                <w:sz w:val="32"/>
                <w:szCs w:val="32"/>
              </w:rPr>
            </w:pPr>
            <w:r w:rsidRPr="00B1006D">
              <w:rPr>
                <w:sz w:val="32"/>
                <w:szCs w:val="32"/>
              </w:rPr>
              <w:t>Medium</w:t>
            </w:r>
          </w:p>
        </w:tc>
        <w:tc>
          <w:tcPr>
            <w:tcW w:w="100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BC431A1" w14:textId="77777777" w:rsidR="00962A92" w:rsidRPr="00B1006D" w:rsidRDefault="00980C14">
            <w:pPr>
              <w:spacing w:after="40"/>
              <w:rPr>
                <w:sz w:val="32"/>
                <w:szCs w:val="32"/>
              </w:rPr>
            </w:pPr>
            <w:r w:rsidRPr="00B1006D">
              <w:rPr>
                <w:sz w:val="32"/>
                <w:szCs w:val="32"/>
              </w:rPr>
              <w:t>High</w:t>
            </w:r>
          </w:p>
        </w:tc>
        <w:tc>
          <w:tcPr>
            <w:tcW w:w="4680" w:type="dxa"/>
            <w:tcBorders>
              <w:top w:val="single" w:sz="4" w:space="0" w:color="D9D9D9"/>
              <w:left w:val="single" w:sz="4" w:space="0" w:color="D9D9D9"/>
              <w:bottom w:val="single" w:sz="4" w:space="0" w:color="D9D9D9"/>
              <w:right w:val="single" w:sz="4" w:space="0" w:color="D9D9D9"/>
            </w:tcBorders>
          </w:tcPr>
          <w:p w14:paraId="50B0AB61" w14:textId="77777777" w:rsidR="00962A92" w:rsidRPr="00B1006D" w:rsidRDefault="00980C14">
            <w:pPr>
              <w:spacing w:after="40"/>
              <w:rPr>
                <w:sz w:val="32"/>
                <w:szCs w:val="32"/>
              </w:rPr>
            </w:pPr>
            <w:r w:rsidRPr="00B1006D">
              <w:rPr>
                <w:sz w:val="32"/>
                <w:szCs w:val="32"/>
              </w:rPr>
              <w:t>Lived experience identifies barriers and legitimate access claims.</w:t>
            </w:r>
          </w:p>
        </w:tc>
      </w:tr>
      <w:tr w:rsidR="00962A92" w:rsidRPr="00B1006D" w14:paraId="461F5ED9" w14:textId="77777777">
        <w:trPr>
          <w:cantSplit/>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2DDC89C" w14:textId="77777777" w:rsidR="00962A92" w:rsidRPr="00B1006D" w:rsidRDefault="00980C14">
            <w:pPr>
              <w:spacing w:after="40"/>
              <w:rPr>
                <w:sz w:val="32"/>
                <w:szCs w:val="32"/>
              </w:rPr>
            </w:pPr>
            <w:r w:rsidRPr="00B1006D">
              <w:rPr>
                <w:sz w:val="32"/>
                <w:szCs w:val="32"/>
              </w:rPr>
              <w:t>Schools</w:t>
            </w:r>
          </w:p>
        </w:tc>
        <w:tc>
          <w:tcPr>
            <w:tcW w:w="93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165E49B" w14:textId="77777777" w:rsidR="00962A92" w:rsidRPr="00B1006D" w:rsidRDefault="00980C14">
            <w:pPr>
              <w:spacing w:after="40"/>
              <w:rPr>
                <w:sz w:val="32"/>
                <w:szCs w:val="32"/>
              </w:rPr>
            </w:pPr>
            <w:r w:rsidRPr="00B1006D">
              <w:rPr>
                <w:sz w:val="32"/>
                <w:szCs w:val="32"/>
              </w:rPr>
              <w:t>Low</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D0009A3" w14:textId="77777777" w:rsidR="00962A92" w:rsidRPr="00B1006D" w:rsidRDefault="00980C14">
            <w:pPr>
              <w:spacing w:after="40"/>
              <w:rPr>
                <w:sz w:val="32"/>
                <w:szCs w:val="32"/>
              </w:rPr>
            </w:pPr>
            <w:r w:rsidRPr="00B1006D">
              <w:rPr>
                <w:sz w:val="32"/>
                <w:szCs w:val="32"/>
              </w:rPr>
              <w:t>Medium</w:t>
            </w:r>
          </w:p>
        </w:tc>
        <w:tc>
          <w:tcPr>
            <w:tcW w:w="100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57EB1AB" w14:textId="77777777" w:rsidR="00962A92" w:rsidRPr="00B1006D" w:rsidRDefault="00980C14">
            <w:pPr>
              <w:spacing w:after="40"/>
              <w:rPr>
                <w:sz w:val="32"/>
                <w:szCs w:val="32"/>
              </w:rPr>
            </w:pPr>
            <w:r w:rsidRPr="00B1006D">
              <w:rPr>
                <w:sz w:val="32"/>
                <w:szCs w:val="32"/>
              </w:rPr>
              <w:t>Medium</w:t>
            </w:r>
          </w:p>
        </w:tc>
        <w:tc>
          <w:tcPr>
            <w:tcW w:w="4680" w:type="dxa"/>
            <w:tcBorders>
              <w:top w:val="single" w:sz="4" w:space="0" w:color="D9D9D9"/>
              <w:left w:val="single" w:sz="4" w:space="0" w:color="D9D9D9"/>
              <w:bottom w:val="single" w:sz="4" w:space="0" w:color="D9D9D9"/>
              <w:right w:val="single" w:sz="4" w:space="0" w:color="D9D9D9"/>
            </w:tcBorders>
          </w:tcPr>
          <w:p w14:paraId="5872C5E9" w14:textId="77777777" w:rsidR="00962A92" w:rsidRPr="00B1006D" w:rsidRDefault="00980C14">
            <w:pPr>
              <w:spacing w:after="40"/>
              <w:rPr>
                <w:sz w:val="32"/>
                <w:szCs w:val="32"/>
              </w:rPr>
            </w:pPr>
            <w:r w:rsidRPr="00B1006D">
              <w:rPr>
                <w:sz w:val="32"/>
                <w:szCs w:val="32"/>
              </w:rPr>
              <w:t>Learning benefits depend on proximity and intended use.</w:t>
            </w:r>
          </w:p>
        </w:tc>
      </w:tr>
      <w:tr w:rsidR="00962A92" w:rsidRPr="00B1006D" w14:paraId="4CE4F4A9" w14:textId="77777777">
        <w:trPr>
          <w:cantSplit/>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C86978E" w14:textId="77777777" w:rsidR="00962A92" w:rsidRPr="00B1006D" w:rsidRDefault="00980C14">
            <w:pPr>
              <w:spacing w:after="40"/>
              <w:rPr>
                <w:sz w:val="32"/>
                <w:szCs w:val="32"/>
              </w:rPr>
            </w:pPr>
            <w:r w:rsidRPr="00B1006D">
              <w:rPr>
                <w:sz w:val="32"/>
                <w:szCs w:val="32"/>
              </w:rPr>
              <w:t>Environmental groups</w:t>
            </w:r>
          </w:p>
        </w:tc>
        <w:tc>
          <w:tcPr>
            <w:tcW w:w="93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270EB92" w14:textId="77777777" w:rsidR="00962A92" w:rsidRPr="00B1006D" w:rsidRDefault="00980C14">
            <w:pPr>
              <w:spacing w:after="40"/>
              <w:rPr>
                <w:sz w:val="32"/>
                <w:szCs w:val="32"/>
              </w:rPr>
            </w:pPr>
            <w:r w:rsidRPr="00B1006D">
              <w:rPr>
                <w:sz w:val="32"/>
                <w:szCs w:val="32"/>
              </w:rPr>
              <w:t>Low</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109F05F" w14:textId="77777777" w:rsidR="00962A92" w:rsidRPr="00B1006D" w:rsidRDefault="00980C14">
            <w:pPr>
              <w:spacing w:after="40"/>
              <w:rPr>
                <w:sz w:val="32"/>
                <w:szCs w:val="32"/>
              </w:rPr>
            </w:pPr>
            <w:r w:rsidRPr="00B1006D">
              <w:rPr>
                <w:sz w:val="32"/>
                <w:szCs w:val="32"/>
              </w:rPr>
              <w:t>Medium</w:t>
            </w:r>
          </w:p>
        </w:tc>
        <w:tc>
          <w:tcPr>
            <w:tcW w:w="100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557260F" w14:textId="77777777" w:rsidR="00962A92" w:rsidRPr="00B1006D" w:rsidRDefault="00980C14">
            <w:pPr>
              <w:spacing w:after="40"/>
              <w:rPr>
                <w:sz w:val="32"/>
                <w:szCs w:val="32"/>
              </w:rPr>
            </w:pPr>
            <w:r w:rsidRPr="00B1006D">
              <w:rPr>
                <w:sz w:val="32"/>
                <w:szCs w:val="32"/>
              </w:rPr>
              <w:t>High</w:t>
            </w:r>
          </w:p>
        </w:tc>
        <w:tc>
          <w:tcPr>
            <w:tcW w:w="4680" w:type="dxa"/>
            <w:tcBorders>
              <w:top w:val="single" w:sz="4" w:space="0" w:color="D9D9D9"/>
              <w:left w:val="single" w:sz="4" w:space="0" w:color="D9D9D9"/>
              <w:bottom w:val="single" w:sz="4" w:space="0" w:color="D9D9D9"/>
              <w:right w:val="single" w:sz="4" w:space="0" w:color="D9D9D9"/>
            </w:tcBorders>
          </w:tcPr>
          <w:p w14:paraId="3B5BD41B" w14:textId="77777777" w:rsidR="00962A92" w:rsidRPr="00B1006D" w:rsidRDefault="00980C14">
            <w:pPr>
              <w:spacing w:after="40"/>
              <w:rPr>
                <w:sz w:val="32"/>
                <w:szCs w:val="32"/>
              </w:rPr>
            </w:pPr>
            <w:r w:rsidRPr="00B1006D">
              <w:rPr>
                <w:sz w:val="32"/>
                <w:szCs w:val="32"/>
              </w:rPr>
              <w:t>Ecological expertise informs habitat decisions.</w:t>
            </w:r>
          </w:p>
        </w:tc>
      </w:tr>
      <w:tr w:rsidR="00962A92" w:rsidRPr="00B1006D" w14:paraId="042D102A" w14:textId="77777777">
        <w:trPr>
          <w:cantSplit/>
          <w:jc w:val="center"/>
        </w:trPr>
        <w:tc>
          <w:tcPr>
            <w:tcW w:w="23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68AE3F8" w14:textId="77777777" w:rsidR="00962A92" w:rsidRPr="00B1006D" w:rsidRDefault="00980C14">
            <w:pPr>
              <w:spacing w:after="40"/>
              <w:rPr>
                <w:sz w:val="32"/>
                <w:szCs w:val="32"/>
              </w:rPr>
            </w:pPr>
            <w:r w:rsidRPr="00B1006D">
              <w:rPr>
                <w:sz w:val="32"/>
                <w:szCs w:val="32"/>
              </w:rPr>
              <w:t>Businesses</w:t>
            </w:r>
          </w:p>
        </w:tc>
        <w:tc>
          <w:tcPr>
            <w:tcW w:w="93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9585C24" w14:textId="77777777" w:rsidR="00962A92" w:rsidRPr="00B1006D" w:rsidRDefault="00980C14">
            <w:pPr>
              <w:spacing w:after="40"/>
              <w:rPr>
                <w:sz w:val="32"/>
                <w:szCs w:val="32"/>
              </w:rPr>
            </w:pPr>
            <w:r w:rsidRPr="00B1006D">
              <w:rPr>
                <w:sz w:val="32"/>
                <w:szCs w:val="32"/>
              </w:rPr>
              <w:t>Low</w:t>
            </w:r>
          </w:p>
        </w:tc>
        <w:tc>
          <w:tcPr>
            <w:tcW w:w="11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DD389A6" w14:textId="77777777" w:rsidR="00962A92" w:rsidRPr="00B1006D" w:rsidRDefault="00980C14">
            <w:pPr>
              <w:spacing w:after="40"/>
              <w:rPr>
                <w:sz w:val="32"/>
                <w:szCs w:val="32"/>
              </w:rPr>
            </w:pPr>
            <w:r w:rsidRPr="00B1006D">
              <w:rPr>
                <w:sz w:val="32"/>
                <w:szCs w:val="32"/>
              </w:rPr>
              <w:t>Medium</w:t>
            </w:r>
          </w:p>
        </w:tc>
        <w:tc>
          <w:tcPr>
            <w:tcW w:w="100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7548476" w14:textId="77777777" w:rsidR="00962A92" w:rsidRPr="00B1006D" w:rsidRDefault="00980C14">
            <w:pPr>
              <w:spacing w:after="40"/>
              <w:rPr>
                <w:sz w:val="32"/>
                <w:szCs w:val="32"/>
              </w:rPr>
            </w:pPr>
            <w:r w:rsidRPr="00B1006D">
              <w:rPr>
                <w:sz w:val="32"/>
                <w:szCs w:val="32"/>
              </w:rPr>
              <w:t>Medium</w:t>
            </w:r>
          </w:p>
        </w:tc>
        <w:tc>
          <w:tcPr>
            <w:tcW w:w="4680" w:type="dxa"/>
            <w:tcBorders>
              <w:top w:val="single" w:sz="4" w:space="0" w:color="D9D9D9"/>
              <w:left w:val="single" w:sz="4" w:space="0" w:color="D9D9D9"/>
              <w:bottom w:val="single" w:sz="4" w:space="0" w:color="D9D9D9"/>
              <w:right w:val="single" w:sz="4" w:space="0" w:color="D9D9D9"/>
            </w:tcBorders>
          </w:tcPr>
          <w:p w14:paraId="306A96EF" w14:textId="77777777" w:rsidR="00962A92" w:rsidRPr="00B1006D" w:rsidRDefault="00980C14">
            <w:pPr>
              <w:spacing w:after="40"/>
              <w:rPr>
                <w:sz w:val="32"/>
                <w:szCs w:val="32"/>
              </w:rPr>
            </w:pPr>
            <w:r w:rsidRPr="00B1006D">
              <w:rPr>
                <w:sz w:val="32"/>
                <w:szCs w:val="32"/>
              </w:rPr>
              <w:t>Visitor benefits and disruption depend on site.</w:t>
            </w:r>
          </w:p>
        </w:tc>
      </w:tr>
    </w:tbl>
    <w:p w14:paraId="4FD1DDB8" w14:textId="77777777" w:rsidR="00962A92" w:rsidRPr="00B1006D" w:rsidRDefault="00980C14">
      <w:pPr>
        <w:rPr>
          <w:sz w:val="32"/>
          <w:szCs w:val="32"/>
        </w:rPr>
      </w:pPr>
      <w:r w:rsidRPr="00B1006D">
        <w:rPr>
          <w:sz w:val="32"/>
          <w:szCs w:val="32"/>
        </w:rPr>
        <w:t>Source: author’s proposed assessment and plan.</w:t>
      </w:r>
    </w:p>
    <w:p w14:paraId="4133BA1B" w14:textId="77777777" w:rsidR="00962A92" w:rsidRPr="00B1006D" w:rsidRDefault="00980C14">
      <w:pPr>
        <w:pStyle w:val="Heading2"/>
        <w:rPr>
          <w:sz w:val="32"/>
          <w:szCs w:val="32"/>
        </w:rPr>
      </w:pPr>
      <w:r w:rsidRPr="00B1006D">
        <w:rPr>
          <w:sz w:val="32"/>
          <w:szCs w:val="32"/>
        </w:rPr>
        <w:t>2.2 Stakeholder map and its limitations</w:t>
      </w:r>
    </w:p>
    <w:p w14:paraId="7877649D" w14:textId="77777777" w:rsidR="00962A92" w:rsidRPr="00B1006D" w:rsidRDefault="00980C14">
      <w:pPr>
        <w:rPr>
          <w:sz w:val="32"/>
          <w:szCs w:val="32"/>
        </w:rPr>
      </w:pPr>
      <w:r w:rsidRPr="00B1006D">
        <w:rPr>
          <w:sz w:val="32"/>
          <w:szCs w:val="32"/>
        </w:rPr>
        <w:t xml:space="preserve">Table 2 maps formal power against interest. Schools and businesses have provisional medium interest, so appear towards the lower-interest side; a nearby school planning regular visits would move upwards. An empty quadrant is retained rather than assigning a stakeholder without evidence. Classifications would be reviewed </w:t>
      </w:r>
      <w:proofErr w:type="gramStart"/>
      <w:r w:rsidRPr="00B1006D">
        <w:rPr>
          <w:sz w:val="32"/>
          <w:szCs w:val="32"/>
        </w:rPr>
        <w:t>at</w:t>
      </w:r>
      <w:proofErr w:type="gramEnd"/>
      <w:r w:rsidRPr="00B1006D">
        <w:rPr>
          <w:sz w:val="32"/>
          <w:szCs w:val="32"/>
        </w:rPr>
        <w:t xml:space="preserve"> design milestones and after organised objections.</w:t>
      </w:r>
    </w:p>
    <w:p w14:paraId="175BCDD4" w14:textId="77777777" w:rsidR="00962A92" w:rsidRPr="00B1006D" w:rsidRDefault="00980C14">
      <w:pPr>
        <w:keepNext/>
        <w:rPr>
          <w:sz w:val="32"/>
          <w:szCs w:val="32"/>
        </w:rPr>
      </w:pPr>
      <w:r w:rsidRPr="00B1006D">
        <w:rPr>
          <w:b/>
          <w:sz w:val="32"/>
          <w:szCs w:val="32"/>
        </w:rPr>
        <w:t>Table 2 Power and interest matrix</w:t>
      </w:r>
    </w:p>
    <w:tbl>
      <w:tblPr>
        <w:tblW w:w="0" w:type="auto"/>
        <w:jc w:val="center"/>
        <w:tblLayout w:type="fixed"/>
        <w:tblLook w:val="04A0" w:firstRow="1" w:lastRow="0" w:firstColumn="1" w:lastColumn="0" w:noHBand="0" w:noVBand="1"/>
      </w:tblPr>
      <w:tblGrid>
        <w:gridCol w:w="1440"/>
        <w:gridCol w:w="3888"/>
        <w:gridCol w:w="4752"/>
      </w:tblGrid>
      <w:tr w:rsidR="00962A92" w:rsidRPr="00B1006D" w14:paraId="43313F73" w14:textId="77777777">
        <w:trPr>
          <w:cantSplit/>
          <w:tblHeader/>
          <w:jc w:val="center"/>
        </w:trPr>
        <w:tc>
          <w:tcPr>
            <w:tcW w:w="1440"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37F3FBFB" w14:textId="77777777" w:rsidR="00962A92" w:rsidRPr="00B1006D" w:rsidRDefault="00980C14">
            <w:pPr>
              <w:spacing w:after="40"/>
              <w:rPr>
                <w:sz w:val="32"/>
                <w:szCs w:val="32"/>
              </w:rPr>
            </w:pPr>
            <w:r w:rsidRPr="00B1006D">
              <w:rPr>
                <w:b/>
                <w:sz w:val="32"/>
                <w:szCs w:val="32"/>
              </w:rPr>
              <w:t>Formal power</w:t>
            </w:r>
          </w:p>
        </w:tc>
        <w:tc>
          <w:tcPr>
            <w:tcW w:w="3888"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2616AE57" w14:textId="77777777" w:rsidR="00962A92" w:rsidRPr="00B1006D" w:rsidRDefault="00980C14">
            <w:pPr>
              <w:spacing w:after="40"/>
              <w:rPr>
                <w:sz w:val="32"/>
                <w:szCs w:val="32"/>
              </w:rPr>
            </w:pPr>
            <w:r w:rsidRPr="00B1006D">
              <w:rPr>
                <w:b/>
                <w:sz w:val="32"/>
                <w:szCs w:val="32"/>
              </w:rPr>
              <w:t>Lower interest</w:t>
            </w:r>
          </w:p>
        </w:tc>
        <w:tc>
          <w:tcPr>
            <w:tcW w:w="4752"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4F2B177F" w14:textId="77777777" w:rsidR="00962A92" w:rsidRPr="00B1006D" w:rsidRDefault="00980C14">
            <w:pPr>
              <w:spacing w:after="40"/>
              <w:rPr>
                <w:sz w:val="32"/>
                <w:szCs w:val="32"/>
              </w:rPr>
            </w:pPr>
            <w:r w:rsidRPr="00B1006D">
              <w:rPr>
                <w:b/>
                <w:sz w:val="32"/>
                <w:szCs w:val="32"/>
              </w:rPr>
              <w:t>Higher interest</w:t>
            </w:r>
          </w:p>
        </w:tc>
      </w:tr>
      <w:tr w:rsidR="00962A92" w:rsidRPr="00B1006D" w14:paraId="320B6FFA" w14:textId="77777777">
        <w:trPr>
          <w:cantSplit/>
          <w:jc w:val="center"/>
        </w:trPr>
        <w:tc>
          <w:tcPr>
            <w:tcW w:w="144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35BF039" w14:textId="77777777" w:rsidR="00962A92" w:rsidRPr="00B1006D" w:rsidRDefault="00980C14">
            <w:pPr>
              <w:spacing w:after="40"/>
              <w:rPr>
                <w:sz w:val="32"/>
                <w:szCs w:val="32"/>
              </w:rPr>
            </w:pPr>
            <w:r w:rsidRPr="00B1006D">
              <w:rPr>
                <w:sz w:val="32"/>
                <w:szCs w:val="32"/>
              </w:rPr>
              <w:t>High</w:t>
            </w:r>
          </w:p>
        </w:tc>
        <w:tc>
          <w:tcPr>
            <w:tcW w:w="388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91BA58F" w14:textId="77777777" w:rsidR="00962A92" w:rsidRPr="00B1006D" w:rsidRDefault="00980C14">
            <w:pPr>
              <w:spacing w:after="40"/>
              <w:rPr>
                <w:sz w:val="32"/>
                <w:szCs w:val="32"/>
              </w:rPr>
            </w:pPr>
            <w:r w:rsidRPr="00B1006D">
              <w:rPr>
                <w:sz w:val="32"/>
                <w:szCs w:val="32"/>
              </w:rPr>
              <w:t>Keep satisfied</w:t>
            </w:r>
            <w:r w:rsidRPr="00B1006D">
              <w:rPr>
                <w:sz w:val="32"/>
                <w:szCs w:val="32"/>
              </w:rPr>
              <w:br/>
              <w:t>No group currently identified with sufficient evidence.</w:t>
            </w:r>
          </w:p>
        </w:tc>
        <w:tc>
          <w:tcPr>
            <w:tcW w:w="47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4AB132E" w14:textId="77777777" w:rsidR="00962A92" w:rsidRPr="00B1006D" w:rsidRDefault="00980C14">
            <w:pPr>
              <w:spacing w:after="40"/>
              <w:rPr>
                <w:sz w:val="32"/>
                <w:szCs w:val="32"/>
              </w:rPr>
            </w:pPr>
            <w:r w:rsidRPr="00B1006D">
              <w:rPr>
                <w:sz w:val="32"/>
                <w:szCs w:val="32"/>
              </w:rPr>
              <w:t>Manage closely</w:t>
            </w:r>
            <w:r w:rsidRPr="00B1006D">
              <w:rPr>
                <w:sz w:val="32"/>
                <w:szCs w:val="32"/>
              </w:rPr>
              <w:br/>
              <w:t>Council as potential sponsor.</w:t>
            </w:r>
          </w:p>
        </w:tc>
      </w:tr>
      <w:tr w:rsidR="00962A92" w:rsidRPr="00B1006D" w14:paraId="5858ACFB" w14:textId="77777777">
        <w:trPr>
          <w:cantSplit/>
          <w:jc w:val="center"/>
        </w:trPr>
        <w:tc>
          <w:tcPr>
            <w:tcW w:w="144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BD3A05C" w14:textId="77777777" w:rsidR="00962A92" w:rsidRPr="00B1006D" w:rsidRDefault="00980C14">
            <w:pPr>
              <w:spacing w:after="40"/>
              <w:rPr>
                <w:sz w:val="32"/>
                <w:szCs w:val="32"/>
              </w:rPr>
            </w:pPr>
            <w:r w:rsidRPr="00B1006D">
              <w:rPr>
                <w:sz w:val="32"/>
                <w:szCs w:val="32"/>
              </w:rPr>
              <w:t>Low</w:t>
            </w:r>
          </w:p>
        </w:tc>
        <w:tc>
          <w:tcPr>
            <w:tcW w:w="388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0BBE1C3" w14:textId="77777777" w:rsidR="00962A92" w:rsidRPr="00B1006D" w:rsidRDefault="00980C14">
            <w:pPr>
              <w:spacing w:after="40"/>
              <w:rPr>
                <w:sz w:val="32"/>
                <w:szCs w:val="32"/>
              </w:rPr>
            </w:pPr>
            <w:r w:rsidRPr="00B1006D">
              <w:rPr>
                <w:sz w:val="32"/>
                <w:szCs w:val="32"/>
              </w:rPr>
              <w:t>Monitor and offer participation</w:t>
            </w:r>
            <w:r w:rsidRPr="00B1006D">
              <w:rPr>
                <w:sz w:val="32"/>
                <w:szCs w:val="32"/>
              </w:rPr>
              <w:br/>
              <w:t>Schools and businesses, provisionally.</w:t>
            </w:r>
          </w:p>
        </w:tc>
        <w:tc>
          <w:tcPr>
            <w:tcW w:w="475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2D09E60" w14:textId="77777777" w:rsidR="00962A92" w:rsidRPr="00B1006D" w:rsidRDefault="00980C14">
            <w:pPr>
              <w:spacing w:after="40"/>
              <w:rPr>
                <w:sz w:val="32"/>
                <w:szCs w:val="32"/>
              </w:rPr>
            </w:pPr>
            <w:r w:rsidRPr="00B1006D">
              <w:rPr>
                <w:sz w:val="32"/>
                <w:szCs w:val="32"/>
              </w:rPr>
              <w:t>Keep informed and actively involve</w:t>
            </w:r>
            <w:r w:rsidRPr="00B1006D">
              <w:rPr>
                <w:sz w:val="32"/>
                <w:szCs w:val="32"/>
              </w:rPr>
              <w:br/>
              <w:t>Residents, families, disabled users and representatives, environmental organisations.</w:t>
            </w:r>
          </w:p>
        </w:tc>
      </w:tr>
    </w:tbl>
    <w:p w14:paraId="5CF0F1E6" w14:textId="77777777" w:rsidR="00962A92" w:rsidRPr="00B1006D" w:rsidRDefault="00980C14">
      <w:pPr>
        <w:rPr>
          <w:sz w:val="32"/>
          <w:szCs w:val="32"/>
        </w:rPr>
      </w:pPr>
      <w:r w:rsidRPr="00B1006D">
        <w:rPr>
          <w:sz w:val="32"/>
          <w:szCs w:val="32"/>
        </w:rPr>
        <w:t>Source: author’s proposed assessment and plan.</w:t>
      </w:r>
    </w:p>
    <w:p w14:paraId="227CE0CB" w14:textId="77777777" w:rsidR="00962A92" w:rsidRPr="00B1006D" w:rsidRDefault="00980C14">
      <w:pPr>
        <w:rPr>
          <w:sz w:val="32"/>
          <w:szCs w:val="32"/>
        </w:rPr>
      </w:pPr>
      <w:r w:rsidRPr="00B1006D">
        <w:rPr>
          <w:sz w:val="32"/>
          <w:szCs w:val="32"/>
        </w:rPr>
        <w:t xml:space="preserve">The council needs close engagement because funding and maintenance determine feasibility. However, following a power–interest grid mechanically could marginalise disabled users. Mitchell, Agle and Wood (1997) add legitimacy and urgency to power: an access barrier can create a legitimate, time-sensitive claim despite low formal authority. Therefore, accessibility concerns would receive </w:t>
      </w:r>
      <w:proofErr w:type="gramStart"/>
      <w:r w:rsidRPr="00B1006D">
        <w:rPr>
          <w:sz w:val="32"/>
          <w:szCs w:val="32"/>
        </w:rPr>
        <w:t>design-review priority</w:t>
      </w:r>
      <w:proofErr w:type="gramEnd"/>
      <w:r w:rsidRPr="00B1006D">
        <w:rPr>
          <w:sz w:val="32"/>
          <w:szCs w:val="32"/>
        </w:rPr>
        <w:t xml:space="preserve"> rather than merely information.</w:t>
      </w:r>
    </w:p>
    <w:p w14:paraId="2BC8963A" w14:textId="77777777" w:rsidR="00962A92" w:rsidRPr="00B1006D" w:rsidRDefault="00980C14">
      <w:pPr>
        <w:rPr>
          <w:sz w:val="32"/>
          <w:szCs w:val="32"/>
        </w:rPr>
      </w:pPr>
      <w:r w:rsidRPr="00B1006D">
        <w:rPr>
          <w:sz w:val="32"/>
          <w:szCs w:val="32"/>
        </w:rPr>
        <w:t xml:space="preserve">The models serve different purposes: the matrix schedules attention, whereas salience analysis challenges priorities. Neither </w:t>
      </w:r>
      <w:proofErr w:type="gramStart"/>
      <w:r w:rsidRPr="00B1006D">
        <w:rPr>
          <w:sz w:val="32"/>
          <w:szCs w:val="32"/>
        </w:rPr>
        <w:t>removes</w:t>
      </w:r>
      <w:proofErr w:type="gramEnd"/>
      <w:r w:rsidRPr="00B1006D">
        <w:rPr>
          <w:sz w:val="32"/>
          <w:szCs w:val="32"/>
        </w:rPr>
        <w:t xml:space="preserve"> managerial judgement; perceived urgency can favour vocal campaigners. The stakeholder manager would document reasons, seek missing perspectives and review disputed classifications. Reed (2008) supports context-sensitive participation. Groups also overlap, so a resident who is a parent and business owner must not be counted as three independent respondents.</w:t>
      </w:r>
    </w:p>
    <w:p w14:paraId="4937F7AD" w14:textId="77777777" w:rsidR="00962A92" w:rsidRPr="00B1006D" w:rsidRDefault="00980C14">
      <w:pPr>
        <w:pStyle w:val="Heading2"/>
        <w:rPr>
          <w:sz w:val="32"/>
          <w:szCs w:val="32"/>
        </w:rPr>
      </w:pPr>
      <w:r w:rsidRPr="00B1006D">
        <w:rPr>
          <w:sz w:val="32"/>
          <w:szCs w:val="32"/>
        </w:rPr>
        <w:t>2.3 Communication plan</w:t>
      </w:r>
    </w:p>
    <w:p w14:paraId="03258211" w14:textId="77777777" w:rsidR="00962A92" w:rsidRPr="00B1006D" w:rsidRDefault="00980C14">
      <w:pPr>
        <w:rPr>
          <w:sz w:val="32"/>
          <w:szCs w:val="32"/>
        </w:rPr>
      </w:pPr>
      <w:r w:rsidRPr="00B1006D">
        <w:rPr>
          <w:sz w:val="32"/>
          <w:szCs w:val="32"/>
        </w:rPr>
        <w:t>Communication would explain what is proposed, what remains undecided and how contributions affect decisions. The Junior Stakeholder Manager would coordinate the schedule in Table 3 with a project lead and relevant specialists. All responsibilities and timings are proposed rather than agreed council commitments.</w:t>
      </w:r>
    </w:p>
    <w:p w14:paraId="50FB6DF6" w14:textId="77777777" w:rsidR="00962A92" w:rsidRPr="00B1006D" w:rsidRDefault="00980C14">
      <w:pPr>
        <w:keepNext/>
        <w:rPr>
          <w:sz w:val="32"/>
          <w:szCs w:val="32"/>
        </w:rPr>
      </w:pPr>
      <w:r w:rsidRPr="00B1006D">
        <w:rPr>
          <w:b/>
          <w:sz w:val="32"/>
          <w:szCs w:val="32"/>
        </w:rPr>
        <w:t>Table 3 Proposed communication plan</w:t>
      </w:r>
    </w:p>
    <w:tbl>
      <w:tblPr>
        <w:tblW w:w="0" w:type="auto"/>
        <w:jc w:val="center"/>
        <w:tblLayout w:type="fixed"/>
        <w:tblLook w:val="04A0" w:firstRow="1" w:lastRow="0" w:firstColumn="1" w:lastColumn="0" w:noHBand="0" w:noVBand="1"/>
      </w:tblPr>
      <w:tblGrid>
        <w:gridCol w:w="1872"/>
        <w:gridCol w:w="3024"/>
        <w:gridCol w:w="3384"/>
        <w:gridCol w:w="1800"/>
      </w:tblGrid>
      <w:tr w:rsidR="00962A92" w:rsidRPr="00B1006D" w14:paraId="7037A174" w14:textId="77777777">
        <w:trPr>
          <w:cantSplit/>
          <w:tblHeader/>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58B66184" w14:textId="77777777" w:rsidR="00962A92" w:rsidRPr="00B1006D" w:rsidRDefault="00980C14">
            <w:pPr>
              <w:spacing w:after="40"/>
              <w:rPr>
                <w:sz w:val="32"/>
                <w:szCs w:val="32"/>
              </w:rPr>
            </w:pPr>
            <w:r w:rsidRPr="00B1006D">
              <w:rPr>
                <w:b/>
                <w:sz w:val="32"/>
                <w:szCs w:val="32"/>
              </w:rPr>
              <w:t>Stakeholder</w:t>
            </w:r>
          </w:p>
        </w:tc>
        <w:tc>
          <w:tcPr>
            <w:tcW w:w="3024"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67C7EC0D" w14:textId="77777777" w:rsidR="00962A92" w:rsidRPr="00B1006D" w:rsidRDefault="00980C14">
            <w:pPr>
              <w:spacing w:after="40"/>
              <w:rPr>
                <w:sz w:val="32"/>
                <w:szCs w:val="32"/>
              </w:rPr>
            </w:pPr>
            <w:r w:rsidRPr="00B1006D">
              <w:rPr>
                <w:b/>
                <w:sz w:val="32"/>
                <w:szCs w:val="32"/>
              </w:rPr>
              <w:t>Information and purpose</w:t>
            </w:r>
          </w:p>
        </w:tc>
        <w:tc>
          <w:tcPr>
            <w:tcW w:w="3384"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7BB7AC86" w14:textId="77777777" w:rsidR="00962A92" w:rsidRPr="00B1006D" w:rsidRDefault="00980C14">
            <w:pPr>
              <w:spacing w:after="40"/>
              <w:rPr>
                <w:sz w:val="32"/>
                <w:szCs w:val="32"/>
              </w:rPr>
            </w:pPr>
            <w:r w:rsidRPr="00B1006D">
              <w:rPr>
                <w:b/>
                <w:sz w:val="32"/>
                <w:szCs w:val="32"/>
              </w:rPr>
              <w:t>Timing and method</w:t>
            </w:r>
          </w:p>
        </w:tc>
        <w:tc>
          <w:tcPr>
            <w:tcW w:w="1800" w:type="dxa"/>
            <w:tcBorders>
              <w:top w:val="single" w:sz="4" w:space="0" w:color="D9D9D9"/>
              <w:left w:val="single" w:sz="4" w:space="0" w:color="D9D9D9"/>
              <w:bottom w:val="single" w:sz="4" w:space="0" w:color="D9D9D9"/>
              <w:right w:val="single" w:sz="4" w:space="0" w:color="D9D9D9"/>
            </w:tcBorders>
            <w:shd w:val="clear" w:color="auto" w:fill="DCE6F1"/>
            <w:tcMar>
              <w:top w:w="85" w:type="dxa"/>
              <w:left w:w="85" w:type="dxa"/>
              <w:bottom w:w="85" w:type="dxa"/>
              <w:right w:w="85" w:type="dxa"/>
            </w:tcMar>
            <w:vAlign w:val="center"/>
          </w:tcPr>
          <w:p w14:paraId="50628FE8" w14:textId="77777777" w:rsidR="00962A92" w:rsidRPr="00B1006D" w:rsidRDefault="00980C14">
            <w:pPr>
              <w:spacing w:after="40"/>
              <w:rPr>
                <w:sz w:val="32"/>
                <w:szCs w:val="32"/>
              </w:rPr>
            </w:pPr>
            <w:r w:rsidRPr="00B1006D">
              <w:rPr>
                <w:b/>
                <w:sz w:val="32"/>
                <w:szCs w:val="32"/>
              </w:rPr>
              <w:t>Proposed owner</w:t>
            </w:r>
          </w:p>
        </w:tc>
      </w:tr>
      <w:tr w:rsidR="00962A92" w:rsidRPr="00B1006D" w14:paraId="38870C4F" w14:textId="77777777">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139C7BE" w14:textId="77777777" w:rsidR="00962A92" w:rsidRPr="00B1006D" w:rsidRDefault="00980C14">
            <w:pPr>
              <w:spacing w:after="40"/>
              <w:rPr>
                <w:sz w:val="32"/>
                <w:szCs w:val="32"/>
              </w:rPr>
            </w:pPr>
            <w:r w:rsidRPr="00B1006D">
              <w:rPr>
                <w:sz w:val="32"/>
                <w:szCs w:val="32"/>
              </w:rPr>
              <w:t>Council teams</w:t>
            </w:r>
          </w:p>
        </w:tc>
        <w:tc>
          <w:tcPr>
            <w:tcW w:w="302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0B08D61" w14:textId="77777777" w:rsidR="00962A92" w:rsidRPr="00B1006D" w:rsidRDefault="00980C14">
            <w:pPr>
              <w:spacing w:after="40"/>
              <w:rPr>
                <w:sz w:val="32"/>
                <w:szCs w:val="32"/>
              </w:rPr>
            </w:pPr>
            <w:r w:rsidRPr="00B1006D">
              <w:rPr>
                <w:sz w:val="32"/>
                <w:szCs w:val="32"/>
              </w:rPr>
              <w:t>Feasibility, costs, risks, findings and decisions.</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02C9568" w14:textId="77777777" w:rsidR="00962A92" w:rsidRPr="00B1006D" w:rsidRDefault="00980C14">
            <w:pPr>
              <w:spacing w:after="40"/>
              <w:rPr>
                <w:sz w:val="32"/>
                <w:szCs w:val="32"/>
              </w:rPr>
            </w:pPr>
            <w:r w:rsidRPr="00B1006D">
              <w:rPr>
                <w:sz w:val="32"/>
                <w:szCs w:val="32"/>
              </w:rPr>
              <w:t>Monthly and before decisions; meetings and reports.</w:t>
            </w:r>
          </w:p>
        </w:tc>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96CA872" w14:textId="77777777" w:rsidR="00962A92" w:rsidRPr="00B1006D" w:rsidRDefault="00980C14">
            <w:pPr>
              <w:spacing w:after="40"/>
              <w:rPr>
                <w:sz w:val="32"/>
                <w:szCs w:val="32"/>
              </w:rPr>
            </w:pPr>
            <w:r w:rsidRPr="00B1006D">
              <w:rPr>
                <w:sz w:val="32"/>
                <w:szCs w:val="32"/>
              </w:rPr>
              <w:t>Project lead</w:t>
            </w:r>
          </w:p>
        </w:tc>
      </w:tr>
      <w:tr w:rsidR="00962A92" w:rsidRPr="00B1006D" w14:paraId="575008E4" w14:textId="77777777">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FF005F2" w14:textId="77777777" w:rsidR="00962A92" w:rsidRPr="00B1006D" w:rsidRDefault="00980C14">
            <w:pPr>
              <w:spacing w:after="40"/>
              <w:rPr>
                <w:sz w:val="32"/>
                <w:szCs w:val="32"/>
              </w:rPr>
            </w:pPr>
            <w:r w:rsidRPr="00B1006D">
              <w:rPr>
                <w:sz w:val="32"/>
                <w:szCs w:val="32"/>
              </w:rPr>
              <w:t>Residents</w:t>
            </w:r>
          </w:p>
        </w:tc>
        <w:tc>
          <w:tcPr>
            <w:tcW w:w="302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620E730" w14:textId="77777777" w:rsidR="00962A92" w:rsidRPr="00B1006D" w:rsidRDefault="00980C14">
            <w:pPr>
              <w:spacing w:after="40"/>
              <w:rPr>
                <w:sz w:val="32"/>
                <w:szCs w:val="32"/>
              </w:rPr>
            </w:pPr>
            <w:r w:rsidRPr="00B1006D">
              <w:rPr>
                <w:sz w:val="32"/>
                <w:szCs w:val="32"/>
              </w:rPr>
              <w:t>Options, impacts, revisions and responses to concerns.</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751E0D9" w14:textId="77777777" w:rsidR="00962A92" w:rsidRPr="00B1006D" w:rsidRDefault="00980C14">
            <w:pPr>
              <w:spacing w:after="40"/>
              <w:rPr>
                <w:sz w:val="32"/>
                <w:szCs w:val="32"/>
              </w:rPr>
            </w:pPr>
            <w:r w:rsidRPr="00B1006D">
              <w:rPr>
                <w:sz w:val="32"/>
                <w:szCs w:val="32"/>
              </w:rPr>
              <w:t>Before selection and at revisions; letters, drop-ins, email.</w:t>
            </w:r>
          </w:p>
        </w:tc>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B2BB873" w14:textId="77777777" w:rsidR="00962A92" w:rsidRPr="00B1006D" w:rsidRDefault="00980C14">
            <w:pPr>
              <w:spacing w:after="40"/>
              <w:rPr>
                <w:sz w:val="32"/>
                <w:szCs w:val="32"/>
              </w:rPr>
            </w:pPr>
            <w:r w:rsidRPr="00B1006D">
              <w:rPr>
                <w:sz w:val="32"/>
                <w:szCs w:val="32"/>
              </w:rPr>
              <w:t>Stakeholder manager</w:t>
            </w:r>
          </w:p>
        </w:tc>
      </w:tr>
      <w:tr w:rsidR="00962A92" w:rsidRPr="00B1006D" w14:paraId="7C46F197" w14:textId="77777777">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471E912" w14:textId="77777777" w:rsidR="00962A92" w:rsidRPr="00B1006D" w:rsidRDefault="00980C14">
            <w:pPr>
              <w:spacing w:after="40"/>
              <w:rPr>
                <w:sz w:val="32"/>
                <w:szCs w:val="32"/>
              </w:rPr>
            </w:pPr>
            <w:r w:rsidRPr="00B1006D">
              <w:rPr>
                <w:sz w:val="32"/>
                <w:szCs w:val="32"/>
              </w:rPr>
              <w:t>Families</w:t>
            </w:r>
          </w:p>
        </w:tc>
        <w:tc>
          <w:tcPr>
            <w:tcW w:w="302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1073401" w14:textId="77777777" w:rsidR="00962A92" w:rsidRPr="00B1006D" w:rsidRDefault="00980C14">
            <w:pPr>
              <w:spacing w:after="40"/>
              <w:rPr>
                <w:sz w:val="32"/>
                <w:szCs w:val="32"/>
              </w:rPr>
            </w:pPr>
            <w:r w:rsidRPr="00B1006D">
              <w:rPr>
                <w:sz w:val="32"/>
                <w:szCs w:val="32"/>
              </w:rPr>
              <w:t>Play, toilets, seating and safety priorities.</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C62C362" w14:textId="77777777" w:rsidR="00962A92" w:rsidRPr="00B1006D" w:rsidRDefault="00980C14">
            <w:pPr>
              <w:spacing w:after="40"/>
              <w:rPr>
                <w:sz w:val="32"/>
                <w:szCs w:val="32"/>
              </w:rPr>
            </w:pPr>
            <w:r w:rsidRPr="00B1006D">
              <w:rPr>
                <w:sz w:val="32"/>
                <w:szCs w:val="32"/>
              </w:rPr>
              <w:t>Initial consultation and review; paper and online surveys, family sessions.</w:t>
            </w:r>
          </w:p>
        </w:tc>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3EE6935" w14:textId="77777777" w:rsidR="00962A92" w:rsidRPr="00B1006D" w:rsidRDefault="00980C14">
            <w:pPr>
              <w:spacing w:after="40"/>
              <w:rPr>
                <w:sz w:val="32"/>
                <w:szCs w:val="32"/>
              </w:rPr>
            </w:pPr>
            <w:r w:rsidRPr="00B1006D">
              <w:rPr>
                <w:sz w:val="32"/>
                <w:szCs w:val="32"/>
              </w:rPr>
              <w:t>Stakeholder manager</w:t>
            </w:r>
          </w:p>
        </w:tc>
      </w:tr>
      <w:tr w:rsidR="00962A92" w:rsidRPr="00B1006D" w14:paraId="73A723A9" w14:textId="77777777">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8AF17CE" w14:textId="77777777" w:rsidR="00962A92" w:rsidRPr="00B1006D" w:rsidRDefault="00980C14">
            <w:pPr>
              <w:spacing w:after="40"/>
              <w:rPr>
                <w:sz w:val="32"/>
                <w:szCs w:val="32"/>
              </w:rPr>
            </w:pPr>
            <w:r w:rsidRPr="00B1006D">
              <w:rPr>
                <w:sz w:val="32"/>
                <w:szCs w:val="32"/>
              </w:rPr>
              <w:t>Disabled users and representatives</w:t>
            </w:r>
          </w:p>
        </w:tc>
        <w:tc>
          <w:tcPr>
            <w:tcW w:w="302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0310D89" w14:textId="77777777" w:rsidR="00962A92" w:rsidRPr="00B1006D" w:rsidRDefault="00980C14">
            <w:pPr>
              <w:spacing w:after="40"/>
              <w:rPr>
                <w:sz w:val="32"/>
                <w:szCs w:val="32"/>
              </w:rPr>
            </w:pPr>
            <w:r w:rsidRPr="00B1006D">
              <w:rPr>
                <w:sz w:val="32"/>
                <w:szCs w:val="32"/>
              </w:rPr>
              <w:t>Routes, surfaces, toilets and inclusive equipment.</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4E0F01F" w14:textId="77777777" w:rsidR="00962A92" w:rsidRPr="00B1006D" w:rsidRDefault="00980C14">
            <w:pPr>
              <w:spacing w:after="40"/>
              <w:rPr>
                <w:sz w:val="32"/>
                <w:szCs w:val="32"/>
              </w:rPr>
            </w:pPr>
            <w:r w:rsidRPr="00B1006D">
              <w:rPr>
                <w:sz w:val="32"/>
                <w:szCs w:val="32"/>
              </w:rPr>
              <w:t>Before design and at revisions; accessible workshops and plan reviews.</w:t>
            </w:r>
          </w:p>
        </w:tc>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468CDAC" w14:textId="77777777" w:rsidR="00962A92" w:rsidRPr="00B1006D" w:rsidRDefault="00980C14">
            <w:pPr>
              <w:spacing w:after="40"/>
              <w:rPr>
                <w:sz w:val="32"/>
                <w:szCs w:val="32"/>
              </w:rPr>
            </w:pPr>
            <w:r w:rsidRPr="00B1006D">
              <w:rPr>
                <w:sz w:val="32"/>
                <w:szCs w:val="32"/>
              </w:rPr>
              <w:t>Design lead</w:t>
            </w:r>
          </w:p>
        </w:tc>
      </w:tr>
      <w:tr w:rsidR="00962A92" w:rsidRPr="00B1006D" w14:paraId="6E67DD44" w14:textId="77777777">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E10050D" w14:textId="77777777" w:rsidR="00962A92" w:rsidRPr="00B1006D" w:rsidRDefault="00980C14">
            <w:pPr>
              <w:spacing w:after="40"/>
              <w:rPr>
                <w:sz w:val="32"/>
                <w:szCs w:val="32"/>
              </w:rPr>
            </w:pPr>
            <w:r w:rsidRPr="00B1006D">
              <w:rPr>
                <w:sz w:val="32"/>
                <w:szCs w:val="32"/>
              </w:rPr>
              <w:t>Schools</w:t>
            </w:r>
          </w:p>
        </w:tc>
        <w:tc>
          <w:tcPr>
            <w:tcW w:w="302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79EAAE5" w14:textId="77777777" w:rsidR="00962A92" w:rsidRPr="00B1006D" w:rsidRDefault="00980C14">
            <w:pPr>
              <w:spacing w:after="40"/>
              <w:rPr>
                <w:sz w:val="32"/>
                <w:szCs w:val="32"/>
              </w:rPr>
            </w:pPr>
            <w:r w:rsidRPr="00B1006D">
              <w:rPr>
                <w:sz w:val="32"/>
                <w:szCs w:val="32"/>
              </w:rPr>
              <w:t>Learning opportunities and access needs.</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D0F180B" w14:textId="77777777" w:rsidR="00962A92" w:rsidRPr="00B1006D" w:rsidRDefault="00980C14">
            <w:pPr>
              <w:spacing w:after="40"/>
              <w:rPr>
                <w:sz w:val="32"/>
                <w:szCs w:val="32"/>
              </w:rPr>
            </w:pPr>
            <w:r w:rsidRPr="00B1006D">
              <w:rPr>
                <w:sz w:val="32"/>
                <w:szCs w:val="32"/>
              </w:rPr>
              <w:t>Early planning and final review; email and meetings.</w:t>
            </w:r>
          </w:p>
        </w:tc>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71A136B" w14:textId="77777777" w:rsidR="00962A92" w:rsidRPr="00B1006D" w:rsidRDefault="00980C14">
            <w:pPr>
              <w:spacing w:after="40"/>
              <w:rPr>
                <w:sz w:val="32"/>
                <w:szCs w:val="32"/>
              </w:rPr>
            </w:pPr>
            <w:r w:rsidRPr="00B1006D">
              <w:rPr>
                <w:sz w:val="32"/>
                <w:szCs w:val="32"/>
              </w:rPr>
              <w:t>Stakeholder manager</w:t>
            </w:r>
          </w:p>
        </w:tc>
      </w:tr>
      <w:tr w:rsidR="00962A92" w:rsidRPr="00B1006D" w14:paraId="6ED5E147" w14:textId="77777777">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1A05B0A" w14:textId="77777777" w:rsidR="00962A92" w:rsidRPr="00B1006D" w:rsidRDefault="00980C14">
            <w:pPr>
              <w:spacing w:after="40"/>
              <w:rPr>
                <w:sz w:val="32"/>
                <w:szCs w:val="32"/>
              </w:rPr>
            </w:pPr>
            <w:r w:rsidRPr="00B1006D">
              <w:rPr>
                <w:sz w:val="32"/>
                <w:szCs w:val="32"/>
              </w:rPr>
              <w:t>Environmental groups</w:t>
            </w:r>
          </w:p>
        </w:tc>
        <w:tc>
          <w:tcPr>
            <w:tcW w:w="302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FD14050" w14:textId="77777777" w:rsidR="00962A92" w:rsidRPr="00B1006D" w:rsidRDefault="00980C14">
            <w:pPr>
              <w:spacing w:after="40"/>
              <w:rPr>
                <w:sz w:val="32"/>
                <w:szCs w:val="32"/>
              </w:rPr>
            </w:pPr>
            <w:r w:rsidRPr="00B1006D">
              <w:rPr>
                <w:sz w:val="32"/>
                <w:szCs w:val="32"/>
              </w:rPr>
              <w:t>Habitats, planting, impacts and upkeep.</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99D00F3" w14:textId="77777777" w:rsidR="00962A92" w:rsidRPr="00B1006D" w:rsidRDefault="00980C14">
            <w:pPr>
              <w:spacing w:after="40"/>
              <w:rPr>
                <w:sz w:val="32"/>
                <w:szCs w:val="32"/>
              </w:rPr>
            </w:pPr>
            <w:r w:rsidRPr="00B1006D">
              <w:rPr>
                <w:sz w:val="32"/>
                <w:szCs w:val="32"/>
              </w:rPr>
              <w:t>Before site selection and during design; technical discussion.</w:t>
            </w:r>
          </w:p>
        </w:tc>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73A337B" w14:textId="77777777" w:rsidR="00962A92" w:rsidRPr="00B1006D" w:rsidRDefault="00980C14">
            <w:pPr>
              <w:spacing w:after="40"/>
              <w:rPr>
                <w:sz w:val="32"/>
                <w:szCs w:val="32"/>
              </w:rPr>
            </w:pPr>
            <w:r w:rsidRPr="00B1006D">
              <w:rPr>
                <w:sz w:val="32"/>
                <w:szCs w:val="32"/>
              </w:rPr>
              <w:t>Environmental adviser</w:t>
            </w:r>
          </w:p>
        </w:tc>
      </w:tr>
      <w:tr w:rsidR="00962A92" w:rsidRPr="00B1006D" w14:paraId="1ABFBD2B" w14:textId="77777777">
        <w:trPr>
          <w:cantSplit/>
          <w:jc w:val="center"/>
        </w:trPr>
        <w:tc>
          <w:tcPr>
            <w:tcW w:w="1872"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E305AB4" w14:textId="77777777" w:rsidR="00962A92" w:rsidRPr="00B1006D" w:rsidRDefault="00980C14">
            <w:pPr>
              <w:spacing w:after="40"/>
              <w:rPr>
                <w:sz w:val="32"/>
                <w:szCs w:val="32"/>
              </w:rPr>
            </w:pPr>
            <w:r w:rsidRPr="00B1006D">
              <w:rPr>
                <w:sz w:val="32"/>
                <w:szCs w:val="32"/>
              </w:rPr>
              <w:t>Businesses</w:t>
            </w:r>
          </w:p>
        </w:tc>
        <w:tc>
          <w:tcPr>
            <w:tcW w:w="302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014733F" w14:textId="77777777" w:rsidR="00962A92" w:rsidRPr="00B1006D" w:rsidRDefault="00980C14">
            <w:pPr>
              <w:spacing w:after="40"/>
              <w:rPr>
                <w:sz w:val="32"/>
                <w:szCs w:val="32"/>
              </w:rPr>
            </w:pPr>
            <w:r w:rsidRPr="00B1006D">
              <w:rPr>
                <w:sz w:val="32"/>
                <w:szCs w:val="32"/>
              </w:rPr>
              <w:t>Access, construction and opportunities.</w:t>
            </w:r>
          </w:p>
        </w:tc>
        <w:tc>
          <w:tcPr>
            <w:tcW w:w="338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B961924" w14:textId="77777777" w:rsidR="00962A92" w:rsidRPr="00B1006D" w:rsidRDefault="00980C14">
            <w:pPr>
              <w:spacing w:after="40"/>
              <w:rPr>
                <w:sz w:val="32"/>
                <w:szCs w:val="32"/>
              </w:rPr>
            </w:pPr>
            <w:r w:rsidRPr="00B1006D">
              <w:rPr>
                <w:sz w:val="32"/>
                <w:szCs w:val="32"/>
              </w:rPr>
              <w:t>Early planning and before disruption; meetings and notices.</w:t>
            </w:r>
          </w:p>
        </w:tc>
        <w:tc>
          <w:tcPr>
            <w:tcW w:w="180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84F7170" w14:textId="77777777" w:rsidR="00962A92" w:rsidRPr="00B1006D" w:rsidRDefault="00980C14">
            <w:pPr>
              <w:spacing w:after="40"/>
              <w:rPr>
                <w:sz w:val="32"/>
                <w:szCs w:val="32"/>
              </w:rPr>
            </w:pPr>
            <w:r w:rsidRPr="00B1006D">
              <w:rPr>
                <w:sz w:val="32"/>
                <w:szCs w:val="32"/>
              </w:rPr>
              <w:t>Project lead</w:t>
            </w:r>
          </w:p>
        </w:tc>
      </w:tr>
    </w:tbl>
    <w:p w14:paraId="48C8C841" w14:textId="77777777" w:rsidR="00962A92" w:rsidRPr="00B1006D" w:rsidRDefault="00980C14">
      <w:pPr>
        <w:rPr>
          <w:sz w:val="32"/>
          <w:szCs w:val="32"/>
        </w:rPr>
      </w:pPr>
      <w:r w:rsidRPr="00B1006D">
        <w:rPr>
          <w:sz w:val="32"/>
          <w:szCs w:val="32"/>
        </w:rPr>
        <w:t>Source: author’s proposed assessment and plan.</w:t>
      </w:r>
    </w:p>
    <w:p w14:paraId="59B730D7" w14:textId="77777777" w:rsidR="00962A92" w:rsidRPr="00B1006D" w:rsidRDefault="00980C14">
      <w:pPr>
        <w:rPr>
          <w:sz w:val="32"/>
          <w:szCs w:val="32"/>
        </w:rPr>
      </w:pPr>
      <w:r w:rsidRPr="00B1006D">
        <w:rPr>
          <w:sz w:val="32"/>
          <w:szCs w:val="32"/>
        </w:rPr>
        <w:t>Shin, Woo and Choi (2022) studied engagement for a long-term park project in Seoul and identified a need for hybrid methods to reach different age groups. This supports combining digital and face-to-face opportunities here, although their large urban redevelopment context cannot establish which channels Telford residents prefer. A pilot would test local preferences before wider recruitment.</w:t>
      </w:r>
    </w:p>
    <w:p w14:paraId="63D99007" w14:textId="77777777" w:rsidR="00962A92" w:rsidRPr="00B1006D" w:rsidRDefault="00980C14">
      <w:pPr>
        <w:rPr>
          <w:sz w:val="32"/>
          <w:szCs w:val="32"/>
        </w:rPr>
      </w:pPr>
      <w:r w:rsidRPr="00B1006D">
        <w:rPr>
          <w:sz w:val="32"/>
          <w:szCs w:val="32"/>
        </w:rPr>
        <w:t>For an initial pilot, an illustrative engagement budget is £900: 20 staff hours at £20 (£400), two venue sessions at £75 (£150), communication support (£200), printing (£100) and travel (£50). These are planning assumptions, not quotations or council funding. Support requirements would be checked before approval; if insufficient, reduce event scope or seek resources rather than exclude participants.</w:t>
      </w:r>
    </w:p>
    <w:p w14:paraId="2C775A46" w14:textId="77777777" w:rsidR="00962A92" w:rsidRPr="00B1006D" w:rsidRDefault="00980C14">
      <w:pPr>
        <w:pStyle w:val="Heading2"/>
        <w:rPr>
          <w:sz w:val="32"/>
          <w:szCs w:val="32"/>
        </w:rPr>
      </w:pPr>
      <w:r w:rsidRPr="00B1006D">
        <w:rPr>
          <w:sz w:val="32"/>
          <w:szCs w:val="32"/>
        </w:rPr>
        <w:t>2.4 Consultation and competing priorities</w:t>
      </w:r>
    </w:p>
    <w:p w14:paraId="79CF0153" w14:textId="77777777" w:rsidR="00962A92" w:rsidRPr="00B1006D" w:rsidRDefault="00980C14">
      <w:pPr>
        <w:rPr>
          <w:sz w:val="32"/>
          <w:szCs w:val="32"/>
        </w:rPr>
      </w:pPr>
      <w:r w:rsidRPr="00B1006D">
        <w:rPr>
          <w:sz w:val="32"/>
          <w:szCs w:val="32"/>
        </w:rPr>
        <w:t>IAP2’s spectrum clarifies whether participants are informed, consulted, involved, collaborating or empowered (IAP2 Australasia, n.d.). Arnstein (1969) challenges consultation that leaves power unchanged. Together, they suggest that inviting comments is insufficient: participants need visible influence. This proposal offers involvement in option development and a published response, while retaining accountable approval by authorised decision-makers. Calling it empowerment would overstate the public’s authority.</w:t>
      </w:r>
    </w:p>
    <w:p w14:paraId="1572BB73" w14:textId="77777777" w:rsidR="00962A92" w:rsidRPr="00B1006D" w:rsidRDefault="00980C14">
      <w:pPr>
        <w:rPr>
          <w:sz w:val="32"/>
          <w:szCs w:val="32"/>
        </w:rPr>
      </w:pPr>
      <w:r w:rsidRPr="00B1006D">
        <w:rPr>
          <w:sz w:val="32"/>
          <w:szCs w:val="32"/>
        </w:rPr>
        <w:t>A proposed eight-week sequence allocates weeks 1–2 to stakeholder recruitment and piloting, weeks 3–6 to consultation, and weeks 7–8 to analysis and a response report. These are indicative, not statutory deadlines. Paper and online questionnaires would establish priorities; workshops would test trade-offs. Combining them provides breadth and discussion, although additional staff time is required.</w:t>
      </w:r>
    </w:p>
    <w:p w14:paraId="6D8DECA3" w14:textId="77777777" w:rsidR="00962A92" w:rsidRPr="00B1006D" w:rsidRDefault="00980C14">
      <w:pPr>
        <w:rPr>
          <w:sz w:val="32"/>
          <w:szCs w:val="32"/>
        </w:rPr>
      </w:pPr>
      <w:r w:rsidRPr="00B1006D">
        <w:rPr>
          <w:sz w:val="32"/>
          <w:szCs w:val="32"/>
        </w:rPr>
        <w:t xml:space="preserve">Three options require comparison: minimum maintenance, targeted upgrades and a new park. Minimum maintenance preserves resources but may leave access barriers; upgrades use existing infrastructure but face site constraints; new provision offers design flexibility but requires land and sustained funding. Accessibility and safety should be minimum conditions, followed by comparison of community benefit, biodiversity and lifetime cost. Without site evidence or </w:t>
      </w:r>
      <w:proofErr w:type="gramStart"/>
      <w:r w:rsidRPr="00B1006D">
        <w:rPr>
          <w:sz w:val="32"/>
          <w:szCs w:val="32"/>
        </w:rPr>
        <w:t>costings</w:t>
      </w:r>
      <w:proofErr w:type="gramEnd"/>
      <w:r w:rsidRPr="00B1006D">
        <w:rPr>
          <w:sz w:val="32"/>
          <w:szCs w:val="32"/>
        </w:rPr>
        <w:t>, selecting the new park as best value would be premature.</w:t>
      </w:r>
    </w:p>
    <w:p w14:paraId="78BC1C74" w14:textId="77777777" w:rsidR="00962A92" w:rsidRPr="00B1006D" w:rsidRDefault="00980C14">
      <w:pPr>
        <w:rPr>
          <w:sz w:val="32"/>
          <w:szCs w:val="32"/>
        </w:rPr>
      </w:pPr>
      <w:r w:rsidRPr="00B1006D">
        <w:rPr>
          <w:sz w:val="32"/>
          <w:szCs w:val="32"/>
        </w:rPr>
        <w:t>Willis and Gupta (2023) found improved nature awareness following school activities in a Plymouth park. This supports piloting supervised environmental participation, not assuming lasting stewardship. Smith, Osborn and Vodicka (2024) also show that programming affects inclusion. Separate active and quiet areas could address competing uses, but design workshops must test whether spatial separation is feasible.</w:t>
      </w:r>
    </w:p>
    <w:p w14:paraId="639C75EA" w14:textId="77777777" w:rsidR="00962A92" w:rsidRPr="00B1006D" w:rsidRDefault="00980C14">
      <w:pPr>
        <w:pStyle w:val="Heading2"/>
        <w:rPr>
          <w:sz w:val="32"/>
          <w:szCs w:val="32"/>
        </w:rPr>
      </w:pPr>
      <w:r w:rsidRPr="00B1006D">
        <w:rPr>
          <w:sz w:val="32"/>
          <w:szCs w:val="32"/>
        </w:rPr>
        <w:t>2.5 Feedback evaluation and responsibility</w:t>
      </w:r>
    </w:p>
    <w:p w14:paraId="046481E1" w14:textId="77777777" w:rsidR="00962A92" w:rsidRPr="00B1006D" w:rsidRDefault="00980C14">
      <w:pPr>
        <w:rPr>
          <w:sz w:val="32"/>
          <w:szCs w:val="32"/>
        </w:rPr>
      </w:pPr>
      <w:r w:rsidRPr="00B1006D">
        <w:rPr>
          <w:sz w:val="32"/>
          <w:szCs w:val="32"/>
        </w:rPr>
        <w:t xml:space="preserve">A decision log would link each feedback theme to </w:t>
      </w:r>
      <w:proofErr w:type="gramStart"/>
      <w:r w:rsidRPr="00B1006D">
        <w:rPr>
          <w:sz w:val="32"/>
          <w:szCs w:val="32"/>
        </w:rPr>
        <w:t>an</w:t>
      </w:r>
      <w:proofErr w:type="gramEnd"/>
      <w:r w:rsidRPr="00B1006D">
        <w:rPr>
          <w:sz w:val="32"/>
          <w:szCs w:val="32"/>
        </w:rPr>
        <w:t xml:space="preserve"> owner, action and reason. Conflicts between play, tranquillity and habitat protection would be assessed openly against agreed criteria. Unresolved access or safety concerns would reach the project lead before design approval; popularity alone would not settle them.</w:t>
      </w:r>
    </w:p>
    <w:p w14:paraId="1ED74F7C" w14:textId="77777777" w:rsidR="00962A92" w:rsidRPr="00B1006D" w:rsidRDefault="00980C14">
      <w:pPr>
        <w:rPr>
          <w:sz w:val="32"/>
          <w:szCs w:val="32"/>
        </w:rPr>
      </w:pPr>
      <w:r w:rsidRPr="00B1006D">
        <w:rPr>
          <w:sz w:val="32"/>
          <w:szCs w:val="32"/>
        </w:rPr>
        <w:t xml:space="preserve">Proposed indicators are participation opportunities offered to all seven stakeholder groups, acknowledgement within five working days, and a published response to every substantive theme by week eight. At week four, missing groups would trigger targeted outreach. After opening, accessibility complaints and maintenance performance would be reviewed </w:t>
      </w:r>
      <w:proofErr w:type="gramStart"/>
      <w:r w:rsidRPr="00B1006D">
        <w:rPr>
          <w:sz w:val="32"/>
          <w:szCs w:val="32"/>
        </w:rPr>
        <w:t>at</w:t>
      </w:r>
      <w:proofErr w:type="gramEnd"/>
      <w:r w:rsidRPr="00B1006D">
        <w:rPr>
          <w:sz w:val="32"/>
          <w:szCs w:val="32"/>
        </w:rPr>
        <w:t xml:space="preserve"> three and twelve months. These are proposed targets, not reported achievements.</w:t>
      </w:r>
    </w:p>
    <w:p w14:paraId="45110B1C" w14:textId="77777777" w:rsidR="00962A92" w:rsidRPr="00B1006D" w:rsidRDefault="00980C14">
      <w:pPr>
        <w:rPr>
          <w:sz w:val="32"/>
          <w:szCs w:val="32"/>
        </w:rPr>
      </w:pPr>
      <w:r w:rsidRPr="00B1006D">
        <w:rPr>
          <w:sz w:val="32"/>
          <w:szCs w:val="32"/>
        </w:rPr>
        <w:t>Corporate social responsibility requires the consultancy to align inclusion and environmental promises with delivery (Freeman, 2010). Any sponsorship would disclose conditions and preserve public access. Volunteer stewardship could supplement maintenance but should not replace funded responsibilities. This approach measures success through usable, sustainable provision rather than favourable publicity.</w:t>
      </w:r>
    </w:p>
    <w:p w14:paraId="39E3FA74" w14:textId="77777777" w:rsidR="00962A92" w:rsidRPr="00B1006D" w:rsidRDefault="00980C14">
      <w:pPr>
        <w:pStyle w:val="Heading1"/>
        <w:rPr>
          <w:szCs w:val="32"/>
        </w:rPr>
      </w:pPr>
      <w:r w:rsidRPr="00B1006D">
        <w:rPr>
          <w:szCs w:val="32"/>
        </w:rPr>
        <w:t>3 Ethical considerations</w:t>
      </w:r>
    </w:p>
    <w:p w14:paraId="7A0C0057" w14:textId="77777777" w:rsidR="00962A92" w:rsidRPr="00B1006D" w:rsidRDefault="00980C14">
      <w:pPr>
        <w:pStyle w:val="Heading2"/>
        <w:rPr>
          <w:sz w:val="32"/>
          <w:szCs w:val="32"/>
        </w:rPr>
      </w:pPr>
      <w:r w:rsidRPr="00B1006D">
        <w:rPr>
          <w:sz w:val="32"/>
          <w:szCs w:val="32"/>
        </w:rPr>
        <w:t>3.1 Ethical consultation</w:t>
      </w:r>
    </w:p>
    <w:p w14:paraId="3975FF65" w14:textId="77777777" w:rsidR="00962A92" w:rsidRPr="00B1006D" w:rsidRDefault="00980C14">
      <w:pPr>
        <w:rPr>
          <w:sz w:val="32"/>
          <w:szCs w:val="32"/>
        </w:rPr>
      </w:pPr>
      <w:r w:rsidRPr="00B1006D">
        <w:rPr>
          <w:sz w:val="32"/>
          <w:szCs w:val="32"/>
        </w:rPr>
        <w:t>Consultation should provide influence before decisions become fixed. The OECD (2022) emphasises transparency, inclusion and accountability. Participants would receive accessible information about alternatives, costs still unknown and decisions open to change. Arnstein’s (1969) critique warns against collecting views solely to legitimise a preferred design; the response report must demonstrate how evidence affected choices.</w:t>
      </w:r>
    </w:p>
    <w:p w14:paraId="7ED38DD8" w14:textId="77777777" w:rsidR="00962A92" w:rsidRPr="00B1006D" w:rsidRDefault="00980C14">
      <w:pPr>
        <w:rPr>
          <w:sz w:val="32"/>
          <w:szCs w:val="32"/>
        </w:rPr>
      </w:pPr>
      <w:r w:rsidRPr="00B1006D">
        <w:rPr>
          <w:sz w:val="32"/>
          <w:szCs w:val="32"/>
        </w:rPr>
        <w:t>Participation would be voluntary, with critical and supportive comments treated respectfully. Facilitators would explain that contributions cannot guarantee a particular outcome, but decisions will be accompanied by reasons. No participant should be pressured to endorse the park to obtain access to future activities. Any relationship between facilitators and potential suppliers would be disclosed so that commercial interests do not silently shape consultation.</w:t>
      </w:r>
    </w:p>
    <w:p w14:paraId="14F5949A" w14:textId="77777777" w:rsidR="00962A92" w:rsidRPr="00B1006D" w:rsidRDefault="00980C14">
      <w:pPr>
        <w:pStyle w:val="Heading2"/>
        <w:rPr>
          <w:sz w:val="32"/>
          <w:szCs w:val="32"/>
        </w:rPr>
      </w:pPr>
      <w:r w:rsidRPr="00B1006D">
        <w:rPr>
          <w:sz w:val="32"/>
          <w:szCs w:val="32"/>
        </w:rPr>
        <w:t>3.2 Data protection</w:t>
      </w:r>
    </w:p>
    <w:p w14:paraId="2C529876" w14:textId="77777777" w:rsidR="00962A92" w:rsidRPr="00B1006D" w:rsidRDefault="00980C14">
      <w:pPr>
        <w:rPr>
          <w:sz w:val="32"/>
          <w:szCs w:val="32"/>
        </w:rPr>
      </w:pPr>
      <w:r w:rsidRPr="00B1006D">
        <w:rPr>
          <w:sz w:val="32"/>
          <w:szCs w:val="32"/>
        </w:rPr>
        <w:t>The Information Commissioner’s Office (ICO, n.d.a) identifies fairness, transparency, purpose limitation and security among the principles governing personal data. Before collection, the responsible organisation would identify the controller, document an appropriate lawful basis and provide privacy information. Voluntary participation does not automatically mean consent is the correct legal basis for every processing activity.</w:t>
      </w:r>
    </w:p>
    <w:p w14:paraId="77AFA967" w14:textId="77777777" w:rsidR="00962A92" w:rsidRPr="00B1006D" w:rsidRDefault="00980C14">
      <w:pPr>
        <w:rPr>
          <w:sz w:val="32"/>
          <w:szCs w:val="32"/>
        </w:rPr>
      </w:pPr>
      <w:r w:rsidRPr="00B1006D">
        <w:rPr>
          <w:sz w:val="32"/>
          <w:szCs w:val="32"/>
        </w:rPr>
        <w:t>Forms would avoid names, full addresses or medical details unless necessary for a defined purpose. Contact details for updates would be separated from responses where practicable. This reflects data minimisation (ICO, n.d.b). Participants could describe access requirements without giving diagnoses. Any necessary sensitive information would require specialist review of applicable conditions and safeguards before collection.</w:t>
      </w:r>
    </w:p>
    <w:p w14:paraId="2902B9A6" w14:textId="77777777" w:rsidR="00962A92" w:rsidRPr="00B1006D" w:rsidRDefault="00980C14">
      <w:pPr>
        <w:rPr>
          <w:sz w:val="32"/>
          <w:szCs w:val="32"/>
        </w:rPr>
      </w:pPr>
      <w:r w:rsidRPr="00B1006D">
        <w:rPr>
          <w:sz w:val="32"/>
          <w:szCs w:val="32"/>
        </w:rPr>
        <w:t>Electronic records would have restricted access, and paper forms would be secured. Published reports would exclude identifying information. A justified retention schedule would provide for deletion or anonymisation when identification is no longer necessary (ICO, n.d.c). Participants would be told how to raise privacy concerns. Truly anonymous responses could not subsequently be located for individual withdrawal, and this limitation would be explained.</w:t>
      </w:r>
    </w:p>
    <w:p w14:paraId="6898D810" w14:textId="77777777" w:rsidR="00962A92" w:rsidRPr="00B1006D" w:rsidRDefault="00980C14">
      <w:pPr>
        <w:pStyle w:val="Heading2"/>
        <w:rPr>
          <w:sz w:val="32"/>
          <w:szCs w:val="32"/>
        </w:rPr>
      </w:pPr>
      <w:r w:rsidRPr="00B1006D">
        <w:rPr>
          <w:sz w:val="32"/>
          <w:szCs w:val="32"/>
        </w:rPr>
        <w:t>3.3 Bias and fair representation</w:t>
      </w:r>
    </w:p>
    <w:p w14:paraId="4AA5D7F2" w14:textId="77777777" w:rsidR="00962A92" w:rsidRPr="00B1006D" w:rsidRDefault="00980C14">
      <w:pPr>
        <w:rPr>
          <w:sz w:val="32"/>
          <w:szCs w:val="32"/>
        </w:rPr>
      </w:pPr>
      <w:r w:rsidRPr="00B1006D">
        <w:rPr>
          <w:sz w:val="32"/>
          <w:szCs w:val="32"/>
        </w:rPr>
        <w:t>Self-selection may overrepresent committed supporters and opponents. Recruitment would combine open invitations with targeted contacts, while monitoring coverage by stakeholder group and broad age band. The ONS (2023) reports a rise in the local median age from 38 to 39 between censuses; this supports checking older residents’ representation, not assuming their preferences. Demographic questions would be optional and proportionate.</w:t>
      </w:r>
    </w:p>
    <w:p w14:paraId="575A3B99" w14:textId="77777777" w:rsidR="00962A92" w:rsidRPr="00B1006D" w:rsidRDefault="00980C14">
      <w:pPr>
        <w:rPr>
          <w:sz w:val="32"/>
          <w:szCs w:val="32"/>
        </w:rPr>
      </w:pPr>
      <w:r w:rsidRPr="00B1006D">
        <w:rPr>
          <w:sz w:val="32"/>
          <w:szCs w:val="32"/>
        </w:rPr>
        <w:t>Neutral questions would ask respondents to compare alternatives and explain barriers. A pilot would identify leading wording or missing options. Independent written responses before workshop discussion would reduce conformity, while facilitators would manage dominant speakers. My preference for improving all facilities creates confirmation-bias risk; a second reviewer would challenge coding and preserve dissenting comments.</w:t>
      </w:r>
    </w:p>
    <w:p w14:paraId="3BAD50DF" w14:textId="77777777" w:rsidR="00962A92" w:rsidRPr="00B1006D" w:rsidRDefault="00980C14">
      <w:pPr>
        <w:pStyle w:val="Heading2"/>
        <w:rPr>
          <w:sz w:val="32"/>
          <w:szCs w:val="32"/>
        </w:rPr>
      </w:pPr>
      <w:r w:rsidRPr="00B1006D">
        <w:rPr>
          <w:sz w:val="32"/>
          <w:szCs w:val="32"/>
        </w:rPr>
        <w:t>3.4 Diversity equity and inclusion</w:t>
      </w:r>
    </w:p>
    <w:p w14:paraId="03045142" w14:textId="77777777" w:rsidR="00962A92" w:rsidRPr="00B1006D" w:rsidRDefault="00980C14">
      <w:pPr>
        <w:rPr>
          <w:sz w:val="32"/>
          <w:szCs w:val="32"/>
        </w:rPr>
      </w:pPr>
      <w:r w:rsidRPr="00B1006D">
        <w:rPr>
          <w:sz w:val="32"/>
          <w:szCs w:val="32"/>
        </w:rPr>
        <w:t>Diversity concerns whose perspectives are present; equity concerns addressing unequal barriers; inclusion concerns meaningful participation. Paper forms, telephone responses and accessible venues would supplement online options. Sessions at different times would accommodate work and caring responsibilities. Plain language, large print and communication support would be planned according to identified requirements, with resources allocated before recruitment.</w:t>
      </w:r>
    </w:p>
    <w:p w14:paraId="57AE0713" w14:textId="77777777" w:rsidR="00962A92" w:rsidRPr="00B1006D" w:rsidRDefault="00980C14">
      <w:pPr>
        <w:rPr>
          <w:sz w:val="32"/>
          <w:szCs w:val="32"/>
        </w:rPr>
      </w:pPr>
      <w:r w:rsidRPr="00B1006D">
        <w:rPr>
          <w:sz w:val="32"/>
          <w:szCs w:val="32"/>
        </w:rPr>
        <w:t>Children’s views could be gathered through age-appropriate activities with schools, appropriate permissions and safeguarding arrangements. Adults should not automatically be assumed to represent their preferences. Smith, Osborn and Vodicka (2024) show why inclusion also concerns activities and how spaces are used. Consultation should therefore explore affordable opportunities to participate after opening, alongside physical access to facilities.</w:t>
      </w:r>
    </w:p>
    <w:p w14:paraId="4A52434A" w14:textId="77777777" w:rsidR="00962A92" w:rsidRPr="00B1006D" w:rsidRDefault="00980C14">
      <w:pPr>
        <w:pStyle w:val="Heading2"/>
        <w:rPr>
          <w:sz w:val="32"/>
          <w:szCs w:val="32"/>
        </w:rPr>
      </w:pPr>
      <w:r w:rsidRPr="00B1006D">
        <w:rPr>
          <w:sz w:val="32"/>
          <w:szCs w:val="32"/>
        </w:rPr>
        <w:t>3.5 Reviewing feedback</w:t>
      </w:r>
    </w:p>
    <w:p w14:paraId="50EC4121" w14:textId="77777777" w:rsidR="00962A92" w:rsidRPr="00B1006D" w:rsidRDefault="00980C14">
      <w:pPr>
        <w:rPr>
          <w:sz w:val="32"/>
          <w:szCs w:val="32"/>
        </w:rPr>
      </w:pPr>
      <w:r w:rsidRPr="00B1006D">
        <w:rPr>
          <w:sz w:val="32"/>
          <w:szCs w:val="32"/>
        </w:rPr>
        <w:t xml:space="preserve">Closed questions would be reported as counts and percentages with denominators; missing answers would be stated. Written comments would be coded into themes, with ambiguous cases reviewed by a second person. Frequency indicates how often an issue </w:t>
      </w:r>
      <w:proofErr w:type="gramStart"/>
      <w:r w:rsidRPr="00B1006D">
        <w:rPr>
          <w:sz w:val="32"/>
          <w:szCs w:val="32"/>
        </w:rPr>
        <w:t>was</w:t>
      </w:r>
      <w:proofErr w:type="gramEnd"/>
      <w:r w:rsidRPr="00B1006D">
        <w:rPr>
          <w:sz w:val="32"/>
          <w:szCs w:val="32"/>
        </w:rPr>
        <w:t xml:space="preserve"> raised, not its ethical importance. Minority access concerns would remain visible, and reports would avoid claiming population representativeness.</w:t>
      </w:r>
    </w:p>
    <w:p w14:paraId="128B6143" w14:textId="77777777" w:rsidR="00962A92" w:rsidRPr="00B1006D" w:rsidRDefault="00980C14">
      <w:pPr>
        <w:rPr>
          <w:sz w:val="32"/>
          <w:szCs w:val="32"/>
        </w:rPr>
      </w:pPr>
      <w:r w:rsidRPr="00B1006D">
        <w:rPr>
          <w:sz w:val="32"/>
          <w:szCs w:val="32"/>
        </w:rPr>
        <w:t>A report would connect feedback to decisions and explain resource constraints. Stakeholders could identify inaccuracies in the summary through an accessible correction channel. This closes the feedback loop and allows participants to judge whether their views were understood (OECD, 2022). The ethical aim is informed, fair consideration, rather than manufacturing agreement with the consultancy’s preferred outcome.</w:t>
      </w:r>
    </w:p>
    <w:p w14:paraId="081F0BC1" w14:textId="77777777" w:rsidR="00962A92" w:rsidRPr="00B1006D" w:rsidRDefault="00980C14">
      <w:pPr>
        <w:pStyle w:val="Heading1"/>
        <w:rPr>
          <w:szCs w:val="32"/>
        </w:rPr>
      </w:pPr>
      <w:r w:rsidRPr="00B1006D">
        <w:rPr>
          <w:szCs w:val="32"/>
        </w:rPr>
        <w:t>4 Conclusion and reflection</w:t>
      </w:r>
    </w:p>
    <w:p w14:paraId="2A12985F" w14:textId="77777777" w:rsidR="00962A92" w:rsidRPr="00B1006D" w:rsidRDefault="00980C14">
      <w:pPr>
        <w:pStyle w:val="Heading2"/>
        <w:rPr>
          <w:sz w:val="32"/>
          <w:szCs w:val="32"/>
        </w:rPr>
      </w:pPr>
      <w:r w:rsidRPr="00B1006D">
        <w:rPr>
          <w:sz w:val="32"/>
          <w:szCs w:val="32"/>
        </w:rPr>
        <w:t>4.1 Conclusion</w:t>
      </w:r>
    </w:p>
    <w:p w14:paraId="266C4343" w14:textId="77777777" w:rsidR="00962A92" w:rsidRPr="00B1006D" w:rsidRDefault="00980C14">
      <w:pPr>
        <w:rPr>
          <w:sz w:val="32"/>
          <w:szCs w:val="32"/>
        </w:rPr>
      </w:pPr>
      <w:r w:rsidRPr="00B1006D">
        <w:rPr>
          <w:sz w:val="32"/>
          <w:szCs w:val="32"/>
        </w:rPr>
        <w:t xml:space="preserve">The strongest conclusion is conditional: a new </w:t>
      </w:r>
      <w:proofErr w:type="gramStart"/>
      <w:r w:rsidRPr="00B1006D">
        <w:rPr>
          <w:sz w:val="32"/>
          <w:szCs w:val="32"/>
        </w:rPr>
        <w:t>Telford park</w:t>
      </w:r>
      <w:proofErr w:type="gramEnd"/>
      <w:r w:rsidRPr="00B1006D">
        <w:rPr>
          <w:sz w:val="32"/>
          <w:szCs w:val="32"/>
        </w:rPr>
        <w:t xml:space="preserve"> merits investigation, but population growth and personal preferences do not establish its location or value. Evidence from Newdale demonstrates relevant local engagement and inclusion commitments; it does not provide approval for this proposal. The plan therefore combines practical engagement with a test of whether new provision is preferable to upgrading existing facilities.</w:t>
      </w:r>
    </w:p>
    <w:p w14:paraId="225D3782" w14:textId="77777777" w:rsidR="00962A92" w:rsidRPr="00B1006D" w:rsidRDefault="00980C14">
      <w:pPr>
        <w:rPr>
          <w:sz w:val="32"/>
          <w:szCs w:val="32"/>
        </w:rPr>
      </w:pPr>
      <w:r w:rsidRPr="00B1006D">
        <w:rPr>
          <w:sz w:val="32"/>
          <w:szCs w:val="32"/>
        </w:rPr>
        <w:t xml:space="preserve">First, the project </w:t>
      </w:r>
      <w:proofErr w:type="gramStart"/>
      <w:r w:rsidRPr="00B1006D">
        <w:rPr>
          <w:sz w:val="32"/>
          <w:szCs w:val="32"/>
        </w:rPr>
        <w:t>lead</w:t>
      </w:r>
      <w:proofErr w:type="gramEnd"/>
      <w:r w:rsidRPr="00B1006D">
        <w:rPr>
          <w:sz w:val="32"/>
          <w:szCs w:val="32"/>
        </w:rPr>
        <w:t xml:space="preserve"> should commission a local access and provision audit before site selection. Second, the stakeholder manager should pilot and deliver the eight-week consultation, checking participation gaps at week four. Third, the sponsor should compare options using access, biodiversity and lifetime-cost criteria, publishing reasons before committing resources. Design approval should require identified maintenance responsibility and resolution of significant accessibility concerns.</w:t>
      </w:r>
    </w:p>
    <w:p w14:paraId="6D274BB8" w14:textId="77777777" w:rsidR="00962A92" w:rsidRPr="00B1006D" w:rsidRDefault="00980C14">
      <w:pPr>
        <w:rPr>
          <w:sz w:val="32"/>
          <w:szCs w:val="32"/>
        </w:rPr>
      </w:pPr>
      <w:r w:rsidRPr="00B1006D">
        <w:rPr>
          <w:sz w:val="32"/>
          <w:szCs w:val="32"/>
        </w:rPr>
        <w:t xml:space="preserve">Combining power–interest mapping with salience analysis protects against prioritising authority over legitimate need (Mitchell, Agle and Wood, 1997). The IAP2 spectrum defines the participation promise, while Arnstein (1969) provides a test against tokenism. Together, these approaches support transparent decisions rather than </w:t>
      </w:r>
      <w:proofErr w:type="gramStart"/>
      <w:r w:rsidRPr="00B1006D">
        <w:rPr>
          <w:sz w:val="32"/>
          <w:szCs w:val="32"/>
        </w:rPr>
        <w:t>assuming that</w:t>
      </w:r>
      <w:proofErr w:type="gramEnd"/>
      <w:r w:rsidRPr="00B1006D">
        <w:rPr>
          <w:sz w:val="32"/>
          <w:szCs w:val="32"/>
        </w:rPr>
        <w:t xml:space="preserve"> consultation guarantees consensus. Long-term success requires follow-up on use and upkeep, not simply completion of construction.</w:t>
      </w:r>
    </w:p>
    <w:p w14:paraId="1790B55A" w14:textId="77777777" w:rsidR="00962A92" w:rsidRPr="00B1006D" w:rsidRDefault="00980C14">
      <w:pPr>
        <w:pStyle w:val="Heading2"/>
        <w:rPr>
          <w:sz w:val="32"/>
          <w:szCs w:val="32"/>
        </w:rPr>
      </w:pPr>
      <w:r w:rsidRPr="00B1006D">
        <w:rPr>
          <w:sz w:val="32"/>
          <w:szCs w:val="32"/>
        </w:rPr>
        <w:t>4.2 Reflection using Gibbs cycle</w:t>
      </w:r>
    </w:p>
    <w:p w14:paraId="2589F991" w14:textId="77777777" w:rsidR="00962A92" w:rsidRPr="00B1006D" w:rsidRDefault="00980C14">
      <w:pPr>
        <w:rPr>
          <w:sz w:val="32"/>
          <w:szCs w:val="32"/>
        </w:rPr>
      </w:pPr>
      <w:r w:rsidRPr="00B1006D">
        <w:rPr>
          <w:sz w:val="32"/>
          <w:szCs w:val="32"/>
        </w:rPr>
        <w:t xml:space="preserve">This account uses Gibbs’ six stages, as explained by the University of Edinburgh (n.d.), to reflect on preparing a plan. It does not describe </w:t>
      </w:r>
      <w:proofErr w:type="gramStart"/>
      <w:r w:rsidRPr="00B1006D">
        <w:rPr>
          <w:sz w:val="32"/>
          <w:szCs w:val="32"/>
        </w:rPr>
        <w:t>completed</w:t>
      </w:r>
      <w:proofErr w:type="gramEnd"/>
      <w:r w:rsidRPr="00B1006D">
        <w:rPr>
          <w:sz w:val="32"/>
          <w:szCs w:val="32"/>
        </w:rPr>
        <w:t xml:space="preserve"> public consultation. The model structures consideration of the experience, its limitations and future action.</w:t>
      </w:r>
    </w:p>
    <w:p w14:paraId="3937E82C" w14:textId="77777777" w:rsidR="00962A92" w:rsidRPr="00B1006D" w:rsidRDefault="00980C14">
      <w:pPr>
        <w:pStyle w:val="Heading3"/>
        <w:rPr>
          <w:sz w:val="32"/>
          <w:szCs w:val="32"/>
        </w:rPr>
      </w:pPr>
      <w:r w:rsidRPr="00B1006D">
        <w:rPr>
          <w:sz w:val="32"/>
          <w:szCs w:val="32"/>
        </w:rPr>
        <w:t>Description</w:t>
      </w:r>
    </w:p>
    <w:p w14:paraId="30D2B82D" w14:textId="77777777" w:rsidR="00962A92" w:rsidRPr="00B1006D" w:rsidRDefault="00980C14">
      <w:pPr>
        <w:rPr>
          <w:sz w:val="32"/>
          <w:szCs w:val="32"/>
        </w:rPr>
      </w:pPr>
      <w:r w:rsidRPr="00B1006D">
        <w:rPr>
          <w:sz w:val="32"/>
          <w:szCs w:val="32"/>
        </w:rPr>
        <w:t>My starting point was Telford Town Park. When asked what I would improve, I selected all five areas: play, benches, toilets, pushchair access and quiet spaces. This is a genuine personal preference, not a recorded inspection or consultation result. Developing the portfolio required translating that broad wish into questions about whose needs count, competing priorities and limited resources.</w:t>
      </w:r>
    </w:p>
    <w:p w14:paraId="1EF0682C" w14:textId="77777777" w:rsidR="00962A92" w:rsidRPr="00B1006D" w:rsidRDefault="00980C14">
      <w:pPr>
        <w:pStyle w:val="Heading3"/>
        <w:rPr>
          <w:sz w:val="32"/>
          <w:szCs w:val="32"/>
        </w:rPr>
      </w:pPr>
      <w:r w:rsidRPr="00B1006D">
        <w:rPr>
          <w:sz w:val="32"/>
          <w:szCs w:val="32"/>
        </w:rPr>
        <w:t>Thoughts and feelings</w:t>
      </w:r>
    </w:p>
    <w:p w14:paraId="07D920F3" w14:textId="77777777" w:rsidR="00962A92" w:rsidRPr="00B1006D" w:rsidRDefault="00980C14">
      <w:pPr>
        <w:rPr>
          <w:sz w:val="32"/>
          <w:szCs w:val="32"/>
        </w:rPr>
      </w:pPr>
      <w:r w:rsidRPr="00B1006D">
        <w:rPr>
          <w:sz w:val="32"/>
          <w:szCs w:val="32"/>
        </w:rPr>
        <w:t xml:space="preserve">Initially, practical facilities were easier for me to discuss than decision-making processes. Wanting improvements everywhere avoided a difficult choice about priorities. The budget and option comparison expose that limitation: I cannot assume that every desirable feature is affordable or that others agree. I would need to remain open to </w:t>
      </w:r>
      <w:proofErr w:type="gramStart"/>
      <w:r w:rsidRPr="00B1006D">
        <w:rPr>
          <w:sz w:val="32"/>
          <w:szCs w:val="32"/>
        </w:rPr>
        <w:t>residents</w:t>
      </w:r>
      <w:proofErr w:type="gramEnd"/>
      <w:r w:rsidRPr="00B1006D">
        <w:rPr>
          <w:sz w:val="32"/>
          <w:szCs w:val="32"/>
        </w:rPr>
        <w:t xml:space="preserve"> preferring improvements to an existing park rather than a new development.</w:t>
      </w:r>
    </w:p>
    <w:p w14:paraId="2FD1D043" w14:textId="77777777" w:rsidR="00962A92" w:rsidRPr="00B1006D" w:rsidRDefault="00980C14">
      <w:pPr>
        <w:pStyle w:val="Heading3"/>
        <w:rPr>
          <w:sz w:val="32"/>
          <w:szCs w:val="32"/>
        </w:rPr>
      </w:pPr>
      <w:r w:rsidRPr="00B1006D">
        <w:rPr>
          <w:sz w:val="32"/>
          <w:szCs w:val="32"/>
        </w:rPr>
        <w:t>Evaluation</w:t>
      </w:r>
    </w:p>
    <w:p w14:paraId="1F2F66D8" w14:textId="77777777" w:rsidR="00962A92" w:rsidRPr="00B1006D" w:rsidRDefault="00980C14">
      <w:pPr>
        <w:rPr>
          <w:sz w:val="32"/>
          <w:szCs w:val="32"/>
        </w:rPr>
      </w:pPr>
      <w:r w:rsidRPr="00B1006D">
        <w:rPr>
          <w:sz w:val="32"/>
          <w:szCs w:val="32"/>
        </w:rPr>
        <w:t>Connecting the proposal to a familiar place made the task concrete. However, the early approach relied too heavily on general benefits and my preferences. Adding census evidence and documented local comparators makes the reasoning more defensible, while also showing its limits. Borough-wide growth cannot identify a specific site, and published consultation announcements do not prove that residents influenced the outcome.</w:t>
      </w:r>
    </w:p>
    <w:p w14:paraId="78893166" w14:textId="77777777" w:rsidR="00962A92" w:rsidRPr="00B1006D" w:rsidRDefault="00980C14">
      <w:pPr>
        <w:pStyle w:val="Heading3"/>
        <w:rPr>
          <w:sz w:val="32"/>
          <w:szCs w:val="32"/>
        </w:rPr>
      </w:pPr>
      <w:r w:rsidRPr="00B1006D">
        <w:rPr>
          <w:sz w:val="32"/>
          <w:szCs w:val="32"/>
        </w:rPr>
        <w:t>Analysis</w:t>
      </w:r>
    </w:p>
    <w:p w14:paraId="42391A74" w14:textId="77777777" w:rsidR="00962A92" w:rsidRPr="00B1006D" w:rsidRDefault="00980C14">
      <w:pPr>
        <w:rPr>
          <w:sz w:val="32"/>
          <w:szCs w:val="32"/>
        </w:rPr>
      </w:pPr>
      <w:r w:rsidRPr="00B1006D">
        <w:rPr>
          <w:sz w:val="32"/>
          <w:szCs w:val="32"/>
        </w:rPr>
        <w:t>The comparison of models changes how I would allocate attention. A power–interest grid initially appears sufficient, but it could leave low-power users receiving information about decisions already made. Mitchell, Agle and Wood’s (1997) legitimacy and urgency dimensions provide a reason to involve disabled users before design choices close. My practical response would be to record access concerns as decisions requiring action, not simply comments.</w:t>
      </w:r>
    </w:p>
    <w:p w14:paraId="23B8AC7C" w14:textId="77777777" w:rsidR="00962A92" w:rsidRPr="00B1006D" w:rsidRDefault="00980C14">
      <w:pPr>
        <w:rPr>
          <w:sz w:val="32"/>
          <w:szCs w:val="32"/>
        </w:rPr>
      </w:pPr>
      <w:r w:rsidRPr="00B1006D">
        <w:rPr>
          <w:sz w:val="32"/>
          <w:szCs w:val="32"/>
        </w:rPr>
        <w:t xml:space="preserve">Arnstein’s (1969) distinction between consultation and meaningful power also challenges my assumption that asking questions is enough. A survey can collect views without changing anything. I would therefore evaluate whether decisions can be traced back to feedback, including explanations for rejection. This develops my critical judgement: </w:t>
      </w:r>
      <w:proofErr w:type="gramStart"/>
      <w:r w:rsidRPr="00B1006D">
        <w:rPr>
          <w:sz w:val="32"/>
          <w:szCs w:val="32"/>
        </w:rPr>
        <w:t>process</w:t>
      </w:r>
      <w:proofErr w:type="gramEnd"/>
      <w:r w:rsidRPr="00B1006D">
        <w:rPr>
          <w:sz w:val="32"/>
          <w:szCs w:val="32"/>
        </w:rPr>
        <w:t xml:space="preserve"> activity and beneficial outcomes are different measures, and neither should be claimed without evidence.</w:t>
      </w:r>
    </w:p>
    <w:p w14:paraId="7EBDCA70" w14:textId="77777777" w:rsidR="00962A92" w:rsidRPr="00B1006D" w:rsidRDefault="00980C14">
      <w:pPr>
        <w:pStyle w:val="Heading3"/>
        <w:rPr>
          <w:sz w:val="32"/>
          <w:szCs w:val="32"/>
        </w:rPr>
      </w:pPr>
      <w:r w:rsidRPr="00B1006D">
        <w:rPr>
          <w:sz w:val="32"/>
          <w:szCs w:val="32"/>
        </w:rPr>
        <w:t>Learning conclusion</w:t>
      </w:r>
    </w:p>
    <w:p w14:paraId="520C3022" w14:textId="77777777" w:rsidR="00962A92" w:rsidRPr="00B1006D" w:rsidRDefault="00980C14">
      <w:pPr>
        <w:rPr>
          <w:sz w:val="32"/>
          <w:szCs w:val="32"/>
        </w:rPr>
      </w:pPr>
      <w:r w:rsidRPr="00B1006D">
        <w:rPr>
          <w:sz w:val="32"/>
          <w:szCs w:val="32"/>
        </w:rPr>
        <w:t>The main lesson is to separate personal preference, secondary evidence and a justified recommendation. I can now identify the questions a stakeholder manager must address, but this planning exercise does not demonstrate proven facilitation skills. Gibbs’ cycle helps connect evaluation with future action (University of Edinburgh, n.d.); its limitation here is that reflection concerns preparation, not a completed community project.</w:t>
      </w:r>
    </w:p>
    <w:p w14:paraId="389F7586" w14:textId="77777777" w:rsidR="00962A92" w:rsidRPr="00B1006D" w:rsidRDefault="00980C14">
      <w:pPr>
        <w:pStyle w:val="Heading3"/>
        <w:rPr>
          <w:sz w:val="32"/>
          <w:szCs w:val="32"/>
        </w:rPr>
      </w:pPr>
      <w:r w:rsidRPr="00B1006D">
        <w:rPr>
          <w:sz w:val="32"/>
          <w:szCs w:val="32"/>
        </w:rPr>
        <w:t>Action plan</w:t>
      </w:r>
    </w:p>
    <w:p w14:paraId="586C621B" w14:textId="77777777" w:rsidR="00962A92" w:rsidRPr="00B1006D" w:rsidRDefault="00980C14">
      <w:pPr>
        <w:rPr>
          <w:sz w:val="32"/>
          <w:szCs w:val="32"/>
        </w:rPr>
      </w:pPr>
      <w:r w:rsidRPr="00B1006D">
        <w:rPr>
          <w:sz w:val="32"/>
          <w:szCs w:val="32"/>
        </w:rPr>
        <w:t xml:space="preserve">Within two weeks, I would ask my tutor to confirm project scope and review a five-question draft for neutrality. Before any authorised consultation, I would pilot it with three willing adults, record misunderstandings and revise it. After each future session, I would complete a brief Gibbs reflection and seek feedback on listening and clarity. Progress would be evidenced by revisions, participation gaps </w:t>
      </w:r>
      <w:proofErr w:type="gramStart"/>
      <w:r w:rsidRPr="00B1006D">
        <w:rPr>
          <w:sz w:val="32"/>
          <w:szCs w:val="32"/>
        </w:rPr>
        <w:t>addressed</w:t>
      </w:r>
      <w:proofErr w:type="gramEnd"/>
      <w:r w:rsidRPr="00B1006D">
        <w:rPr>
          <w:sz w:val="32"/>
          <w:szCs w:val="32"/>
        </w:rPr>
        <w:t xml:space="preserve"> and decisions justified, rather than confidence alone.</w:t>
      </w:r>
    </w:p>
    <w:p w14:paraId="50FC8A23" w14:textId="77777777" w:rsidR="00962A92" w:rsidRPr="00B1006D" w:rsidRDefault="00980C14">
      <w:pPr>
        <w:rPr>
          <w:sz w:val="32"/>
          <w:szCs w:val="32"/>
        </w:rPr>
      </w:pPr>
      <w:r w:rsidRPr="00B1006D">
        <w:rPr>
          <w:sz w:val="32"/>
          <w:szCs w:val="32"/>
        </w:rPr>
        <w:br w:type="page"/>
      </w:r>
    </w:p>
    <w:p w14:paraId="034C42E0" w14:textId="77777777" w:rsidR="00962A92" w:rsidRPr="00B1006D" w:rsidRDefault="00980C14">
      <w:pPr>
        <w:pStyle w:val="Heading1"/>
        <w:rPr>
          <w:szCs w:val="32"/>
        </w:rPr>
      </w:pPr>
      <w:r w:rsidRPr="00B1006D">
        <w:rPr>
          <w:szCs w:val="32"/>
        </w:rPr>
        <w:t>References</w:t>
      </w:r>
    </w:p>
    <w:p w14:paraId="1FAE3CE8" w14:textId="77777777" w:rsidR="00962A92" w:rsidRPr="00B1006D" w:rsidRDefault="00980C14">
      <w:pPr>
        <w:ind w:left="360" w:hanging="360"/>
        <w:rPr>
          <w:sz w:val="32"/>
          <w:szCs w:val="32"/>
        </w:rPr>
      </w:pPr>
      <w:r w:rsidRPr="00B1006D">
        <w:rPr>
          <w:sz w:val="32"/>
          <w:szCs w:val="32"/>
        </w:rPr>
        <w:t xml:space="preserve">Arnstein, S.R. (1969) ‘A ladder of citizen participation’, </w:t>
      </w:r>
      <w:r w:rsidRPr="00B1006D">
        <w:rPr>
          <w:i/>
          <w:sz w:val="32"/>
          <w:szCs w:val="32"/>
        </w:rPr>
        <w:t>Journal of the American Institute of Planners</w:t>
      </w:r>
      <w:r w:rsidRPr="00B1006D">
        <w:rPr>
          <w:sz w:val="32"/>
          <w:szCs w:val="32"/>
        </w:rPr>
        <w:t>, 35(4), pp. 216–224. Available at: https://doi.org/10.1080/01944366908977225.</w:t>
      </w:r>
    </w:p>
    <w:p w14:paraId="7A63463B" w14:textId="56862B92" w:rsidR="00962A92" w:rsidRPr="00B1006D" w:rsidRDefault="00980C14">
      <w:pPr>
        <w:ind w:left="360" w:hanging="360"/>
        <w:rPr>
          <w:sz w:val="32"/>
          <w:szCs w:val="32"/>
        </w:rPr>
      </w:pPr>
      <w:r w:rsidRPr="00B1006D">
        <w:rPr>
          <w:sz w:val="32"/>
          <w:szCs w:val="32"/>
        </w:rPr>
        <w:t xml:space="preserve">Association for Project Management (n.d.) </w:t>
      </w:r>
      <w:r w:rsidRPr="00B1006D">
        <w:rPr>
          <w:i/>
          <w:sz w:val="32"/>
          <w:szCs w:val="32"/>
        </w:rPr>
        <w:t>Stakeholder engagement</w:t>
      </w:r>
      <w:r w:rsidRPr="00B1006D">
        <w:rPr>
          <w:sz w:val="32"/>
          <w:szCs w:val="32"/>
        </w:rPr>
        <w:t xml:space="preserve">. Available at: https://www.apm.org.uk/resources/find-a-resource/stakeholder-engagement/ </w:t>
      </w:r>
    </w:p>
    <w:p w14:paraId="4D8A2DE2" w14:textId="77777777" w:rsidR="00962A92" w:rsidRPr="00B1006D" w:rsidRDefault="00980C14">
      <w:pPr>
        <w:ind w:left="360" w:hanging="360"/>
        <w:rPr>
          <w:sz w:val="32"/>
          <w:szCs w:val="32"/>
        </w:rPr>
      </w:pPr>
      <w:r w:rsidRPr="00B1006D">
        <w:rPr>
          <w:sz w:val="32"/>
          <w:szCs w:val="32"/>
        </w:rPr>
        <w:t xml:space="preserve">Freeman, R.E. (2010) </w:t>
      </w:r>
      <w:r w:rsidRPr="00B1006D">
        <w:rPr>
          <w:i/>
          <w:sz w:val="32"/>
          <w:szCs w:val="32"/>
        </w:rPr>
        <w:t>Strategic Management: A Stakeholder Approach</w:t>
      </w:r>
      <w:r w:rsidRPr="00B1006D">
        <w:rPr>
          <w:sz w:val="32"/>
          <w:szCs w:val="32"/>
        </w:rPr>
        <w:t>. Cambridge: Cambridge University Press. Available at: https://doi.org/10.1017/CBO9781139192675.</w:t>
      </w:r>
    </w:p>
    <w:p w14:paraId="490F18E2" w14:textId="7442517C" w:rsidR="00962A92" w:rsidRPr="00B1006D" w:rsidRDefault="00980C14">
      <w:pPr>
        <w:ind w:left="360" w:hanging="360"/>
        <w:rPr>
          <w:sz w:val="32"/>
          <w:szCs w:val="32"/>
        </w:rPr>
      </w:pPr>
      <w:r w:rsidRPr="00B1006D">
        <w:rPr>
          <w:sz w:val="32"/>
          <w:szCs w:val="32"/>
        </w:rPr>
        <w:t xml:space="preserve">IAP2 Australasia (n.d.) </w:t>
      </w:r>
      <w:r w:rsidRPr="00B1006D">
        <w:rPr>
          <w:i/>
          <w:sz w:val="32"/>
          <w:szCs w:val="32"/>
        </w:rPr>
        <w:t>IAP2 Public Participation Spectrum</w:t>
      </w:r>
      <w:r w:rsidRPr="00B1006D">
        <w:rPr>
          <w:sz w:val="32"/>
          <w:szCs w:val="32"/>
        </w:rPr>
        <w:t xml:space="preserve">. Available at: https://iap2.org.au/resources/spectrum/ </w:t>
      </w:r>
    </w:p>
    <w:p w14:paraId="633A7183" w14:textId="2F3CECE5" w:rsidR="00962A92" w:rsidRPr="00B1006D" w:rsidRDefault="00980C14">
      <w:pPr>
        <w:ind w:left="360" w:hanging="360"/>
        <w:rPr>
          <w:sz w:val="32"/>
          <w:szCs w:val="32"/>
        </w:rPr>
      </w:pPr>
      <w:r w:rsidRPr="00B1006D">
        <w:rPr>
          <w:sz w:val="32"/>
          <w:szCs w:val="32"/>
        </w:rPr>
        <w:t xml:space="preserve">Information Commissioner’s Office (n.d.a) </w:t>
      </w:r>
      <w:r w:rsidRPr="00B1006D">
        <w:rPr>
          <w:i/>
          <w:sz w:val="32"/>
          <w:szCs w:val="32"/>
        </w:rPr>
        <w:t>A guide to the data protection principles</w:t>
      </w:r>
      <w:r w:rsidRPr="00B1006D">
        <w:rPr>
          <w:sz w:val="32"/>
          <w:szCs w:val="32"/>
        </w:rPr>
        <w:t xml:space="preserve">. Available at: https://ico.org.uk/for-organisations/uk-gdpr-guidance-and-resources/data-protection-principles/a-guide-to-the-data-protection-principles/ </w:t>
      </w:r>
    </w:p>
    <w:p w14:paraId="54219F82" w14:textId="4F58E7EE" w:rsidR="00962A92" w:rsidRPr="00B1006D" w:rsidRDefault="00980C14">
      <w:pPr>
        <w:ind w:left="360" w:hanging="360"/>
        <w:rPr>
          <w:sz w:val="32"/>
          <w:szCs w:val="32"/>
        </w:rPr>
      </w:pPr>
      <w:r w:rsidRPr="00B1006D">
        <w:rPr>
          <w:sz w:val="32"/>
          <w:szCs w:val="32"/>
        </w:rPr>
        <w:t xml:space="preserve">Information Commissioner’s Office (n.d.b) </w:t>
      </w:r>
      <w:r w:rsidRPr="00B1006D">
        <w:rPr>
          <w:i/>
          <w:sz w:val="32"/>
          <w:szCs w:val="32"/>
        </w:rPr>
        <w:t>Principle (c) Data minimisation</w:t>
      </w:r>
      <w:r w:rsidRPr="00B1006D">
        <w:rPr>
          <w:sz w:val="32"/>
          <w:szCs w:val="32"/>
        </w:rPr>
        <w:t xml:space="preserve">. Available at: https://ico.org.uk/for-organisations/uk-gdpr-guidance-and-resources/data-protection-principles/a-guide-to-the-data-protection-principles/data-minimisation/ </w:t>
      </w:r>
    </w:p>
    <w:p w14:paraId="28F10DCD" w14:textId="20C66E07" w:rsidR="00962A92" w:rsidRPr="00B1006D" w:rsidRDefault="00980C14">
      <w:pPr>
        <w:ind w:left="360" w:hanging="360"/>
        <w:rPr>
          <w:sz w:val="32"/>
          <w:szCs w:val="32"/>
        </w:rPr>
      </w:pPr>
      <w:r w:rsidRPr="00B1006D">
        <w:rPr>
          <w:sz w:val="32"/>
          <w:szCs w:val="32"/>
        </w:rPr>
        <w:t xml:space="preserve">Information Commissioner’s Office (n.d.c) </w:t>
      </w:r>
      <w:r w:rsidRPr="00B1006D">
        <w:rPr>
          <w:i/>
          <w:sz w:val="32"/>
          <w:szCs w:val="32"/>
        </w:rPr>
        <w:t>Principle (e) Storage limitation</w:t>
      </w:r>
      <w:r w:rsidRPr="00B1006D">
        <w:rPr>
          <w:sz w:val="32"/>
          <w:szCs w:val="32"/>
        </w:rPr>
        <w:t xml:space="preserve">. Available at: https://ico.org.uk/for-organisations/uk-gdpr-guidance-and-resources/data-protection-principles/a-guide-to-the-data-protection-principles/storage-limitation/ </w:t>
      </w:r>
    </w:p>
    <w:p w14:paraId="42AB4791" w14:textId="2CE7CFDC" w:rsidR="00962A92" w:rsidRPr="00B1006D" w:rsidRDefault="00980C14">
      <w:pPr>
        <w:ind w:left="360" w:hanging="360"/>
        <w:rPr>
          <w:sz w:val="32"/>
          <w:szCs w:val="32"/>
        </w:rPr>
      </w:pPr>
      <w:r w:rsidRPr="00B1006D">
        <w:rPr>
          <w:sz w:val="32"/>
          <w:szCs w:val="32"/>
        </w:rPr>
        <w:t xml:space="preserve">Lawley and Overdale Parish Council (2021) </w:t>
      </w:r>
      <w:r w:rsidRPr="00B1006D">
        <w:rPr>
          <w:i/>
          <w:sz w:val="32"/>
          <w:szCs w:val="32"/>
        </w:rPr>
        <w:t>Newdale Public Park consultation</w:t>
      </w:r>
      <w:r w:rsidRPr="00B1006D">
        <w:rPr>
          <w:sz w:val="32"/>
          <w:szCs w:val="32"/>
        </w:rPr>
        <w:t xml:space="preserve">, 8 November. Available at: https://lawleyoverdale-pc.gov.uk/2021/11/08/newdale-public-park-consultation/ </w:t>
      </w:r>
    </w:p>
    <w:p w14:paraId="3FE55433" w14:textId="77777777" w:rsidR="00962A92" w:rsidRPr="00B1006D" w:rsidRDefault="00980C14">
      <w:pPr>
        <w:ind w:left="360" w:hanging="360"/>
        <w:rPr>
          <w:sz w:val="32"/>
          <w:szCs w:val="32"/>
        </w:rPr>
      </w:pPr>
      <w:r w:rsidRPr="00B1006D">
        <w:rPr>
          <w:sz w:val="32"/>
          <w:szCs w:val="32"/>
        </w:rPr>
        <w:t xml:space="preserve">Mitchell, R.K., Agle, B.R. and Wood, D.J. (1997) ‘Toward a theory of stakeholder identification and salience: Defining the principle of who and what really counts’, </w:t>
      </w:r>
      <w:r w:rsidRPr="00B1006D">
        <w:rPr>
          <w:i/>
          <w:sz w:val="32"/>
          <w:szCs w:val="32"/>
        </w:rPr>
        <w:t>Academy of Management Review</w:t>
      </w:r>
      <w:r w:rsidRPr="00B1006D">
        <w:rPr>
          <w:sz w:val="32"/>
          <w:szCs w:val="32"/>
        </w:rPr>
        <w:t>, 22(4), pp. 853–886. Available at: https://doi.org/10.5465/amr.1997.9711022105.</w:t>
      </w:r>
    </w:p>
    <w:p w14:paraId="5BDC1027" w14:textId="30B0F1E9" w:rsidR="00962A92" w:rsidRPr="00B1006D" w:rsidRDefault="00980C14">
      <w:pPr>
        <w:ind w:left="360" w:hanging="360"/>
        <w:rPr>
          <w:sz w:val="32"/>
          <w:szCs w:val="32"/>
        </w:rPr>
      </w:pPr>
      <w:r w:rsidRPr="00B1006D">
        <w:rPr>
          <w:sz w:val="32"/>
          <w:szCs w:val="32"/>
        </w:rPr>
        <w:t xml:space="preserve">Natural England (2023) </w:t>
      </w:r>
      <w:r w:rsidRPr="00B1006D">
        <w:rPr>
          <w:i/>
          <w:sz w:val="32"/>
          <w:szCs w:val="32"/>
        </w:rPr>
        <w:t>Natural England unveils new Green Infrastructure Framework</w:t>
      </w:r>
      <w:r w:rsidRPr="00B1006D">
        <w:rPr>
          <w:sz w:val="32"/>
          <w:szCs w:val="32"/>
        </w:rPr>
        <w:t xml:space="preserve">, 31 January. Available at: https://www.gov.uk/government/news/natural-england-unveils-new-green-infrastructure-framework </w:t>
      </w:r>
    </w:p>
    <w:p w14:paraId="24648A07" w14:textId="77777777" w:rsidR="00962A92" w:rsidRPr="00B1006D" w:rsidRDefault="00980C14">
      <w:pPr>
        <w:ind w:left="360" w:hanging="360"/>
        <w:rPr>
          <w:sz w:val="32"/>
          <w:szCs w:val="32"/>
        </w:rPr>
      </w:pPr>
      <w:r w:rsidRPr="00B1006D">
        <w:rPr>
          <w:sz w:val="32"/>
          <w:szCs w:val="32"/>
        </w:rPr>
        <w:t xml:space="preserve">OECD (2022) </w:t>
      </w:r>
      <w:r w:rsidRPr="00B1006D">
        <w:rPr>
          <w:i/>
          <w:sz w:val="32"/>
          <w:szCs w:val="32"/>
        </w:rPr>
        <w:t>OECD Guidelines for Citizen Participation Processes</w:t>
      </w:r>
      <w:r w:rsidRPr="00B1006D">
        <w:rPr>
          <w:sz w:val="32"/>
          <w:szCs w:val="32"/>
        </w:rPr>
        <w:t>. Paris: OECD Publishing. Available at: https://doi.org/10.1787/f765caf6-en.</w:t>
      </w:r>
    </w:p>
    <w:p w14:paraId="400FEA90" w14:textId="0F3D3D2E" w:rsidR="00962A92" w:rsidRPr="00B1006D" w:rsidRDefault="00980C14">
      <w:pPr>
        <w:ind w:left="360" w:hanging="360"/>
        <w:rPr>
          <w:sz w:val="32"/>
          <w:szCs w:val="32"/>
        </w:rPr>
      </w:pPr>
      <w:r w:rsidRPr="00B1006D">
        <w:rPr>
          <w:sz w:val="32"/>
          <w:szCs w:val="32"/>
        </w:rPr>
        <w:t xml:space="preserve">Office for National Statistics (2023) </w:t>
      </w:r>
      <w:r w:rsidRPr="00B1006D">
        <w:rPr>
          <w:i/>
          <w:sz w:val="32"/>
          <w:szCs w:val="32"/>
        </w:rPr>
        <w:t>How life has changed in Telford and Wrekin: Census 2021</w:t>
      </w:r>
      <w:r w:rsidRPr="00B1006D">
        <w:rPr>
          <w:sz w:val="32"/>
          <w:szCs w:val="32"/>
        </w:rPr>
        <w:t xml:space="preserve">, 19 January. Available at: https://www.ons.gov.uk/visualisations/censusareachanges/E06000020/ </w:t>
      </w:r>
    </w:p>
    <w:p w14:paraId="3DA65CBF" w14:textId="77777777" w:rsidR="00962A92" w:rsidRPr="00B1006D" w:rsidRDefault="00980C14">
      <w:pPr>
        <w:ind w:left="360" w:hanging="360"/>
        <w:rPr>
          <w:sz w:val="32"/>
          <w:szCs w:val="32"/>
        </w:rPr>
      </w:pPr>
      <w:r w:rsidRPr="00B1006D">
        <w:rPr>
          <w:sz w:val="32"/>
          <w:szCs w:val="32"/>
        </w:rPr>
        <w:t xml:space="preserve">Reed, M.S. (2008) ‘Stakeholder participation for environmental management: A literature review’, </w:t>
      </w:r>
      <w:r w:rsidRPr="00B1006D">
        <w:rPr>
          <w:i/>
          <w:sz w:val="32"/>
          <w:szCs w:val="32"/>
        </w:rPr>
        <w:t>Biological Conservation</w:t>
      </w:r>
      <w:r w:rsidRPr="00B1006D">
        <w:rPr>
          <w:sz w:val="32"/>
          <w:szCs w:val="32"/>
        </w:rPr>
        <w:t>, 141(10), pp. 2417–2431. Available at: https://doi.org/10.1016/j.biocon.2008.07.014.</w:t>
      </w:r>
    </w:p>
    <w:p w14:paraId="3240DB56" w14:textId="77777777" w:rsidR="00962A92" w:rsidRPr="00B1006D" w:rsidRDefault="00980C14">
      <w:pPr>
        <w:ind w:left="360" w:hanging="360"/>
        <w:rPr>
          <w:sz w:val="32"/>
          <w:szCs w:val="32"/>
        </w:rPr>
      </w:pPr>
      <w:r w:rsidRPr="00B1006D">
        <w:rPr>
          <w:sz w:val="32"/>
          <w:szCs w:val="32"/>
        </w:rPr>
        <w:t>Shin, M., Woo, J.H. and Choi, H. (</w:t>
      </w:r>
      <w:proofErr w:type="gramStart"/>
      <w:r w:rsidRPr="00B1006D">
        <w:rPr>
          <w:sz w:val="32"/>
          <w:szCs w:val="32"/>
        </w:rPr>
        <w:t>2022) ‘</w:t>
      </w:r>
      <w:proofErr w:type="gramEnd"/>
      <w:r w:rsidRPr="00B1006D">
        <w:rPr>
          <w:sz w:val="32"/>
          <w:szCs w:val="32"/>
        </w:rPr>
        <w:t xml:space="preserve">Designing a public engagement process for long-term urban park development project’, </w:t>
      </w:r>
      <w:r w:rsidRPr="00B1006D">
        <w:rPr>
          <w:i/>
          <w:sz w:val="32"/>
          <w:szCs w:val="32"/>
        </w:rPr>
        <w:t>PLOS ONE</w:t>
      </w:r>
      <w:r w:rsidRPr="00B1006D">
        <w:rPr>
          <w:sz w:val="32"/>
          <w:szCs w:val="32"/>
        </w:rPr>
        <w:t>, 17(5), e0268804. Available at: https://doi.org/10.1371/journal.pone.0268804.</w:t>
      </w:r>
    </w:p>
    <w:p w14:paraId="7D2B44CF" w14:textId="77777777" w:rsidR="00962A92" w:rsidRPr="00B1006D" w:rsidRDefault="00980C14">
      <w:pPr>
        <w:ind w:left="360" w:hanging="360"/>
        <w:rPr>
          <w:sz w:val="32"/>
          <w:szCs w:val="32"/>
        </w:rPr>
      </w:pPr>
      <w:r w:rsidRPr="00B1006D">
        <w:rPr>
          <w:sz w:val="32"/>
          <w:szCs w:val="32"/>
        </w:rPr>
        <w:t>Smith, A., Osborn, G. and Vodicka, G. (</w:t>
      </w:r>
      <w:proofErr w:type="gramStart"/>
      <w:r w:rsidRPr="00B1006D">
        <w:rPr>
          <w:sz w:val="32"/>
          <w:szCs w:val="32"/>
        </w:rPr>
        <w:t>2024) ‘</w:t>
      </w:r>
      <w:proofErr w:type="gramEnd"/>
      <w:r w:rsidRPr="00B1006D">
        <w:rPr>
          <w:sz w:val="32"/>
          <w:szCs w:val="32"/>
        </w:rPr>
        <w:t xml:space="preserve">Programming parks. How do organized events and activities affect the inclusivity of urban green spaces?’, </w:t>
      </w:r>
      <w:r w:rsidRPr="00B1006D">
        <w:rPr>
          <w:i/>
          <w:sz w:val="32"/>
          <w:szCs w:val="32"/>
        </w:rPr>
        <w:t>Journal of Leisure Research</w:t>
      </w:r>
      <w:r w:rsidRPr="00B1006D">
        <w:rPr>
          <w:sz w:val="32"/>
          <w:szCs w:val="32"/>
        </w:rPr>
        <w:t>, 55(3), pp. 344–362. Available at: https://doi.org/10.1080/00222216.2023.2210563.</w:t>
      </w:r>
    </w:p>
    <w:p w14:paraId="7FFBBFD7" w14:textId="3B60D6C4" w:rsidR="00962A92" w:rsidRPr="00B1006D" w:rsidRDefault="00980C14">
      <w:pPr>
        <w:ind w:left="360" w:hanging="360"/>
        <w:rPr>
          <w:sz w:val="32"/>
          <w:szCs w:val="32"/>
        </w:rPr>
      </w:pPr>
      <w:r w:rsidRPr="00B1006D">
        <w:rPr>
          <w:sz w:val="32"/>
          <w:szCs w:val="32"/>
        </w:rPr>
        <w:t xml:space="preserve">Telford &amp; Wrekin Council (2025) </w:t>
      </w:r>
      <w:r w:rsidRPr="00B1006D">
        <w:rPr>
          <w:i/>
          <w:sz w:val="32"/>
          <w:szCs w:val="32"/>
        </w:rPr>
        <w:t>Work to deliver much needed new leisure facilities for Newdale is set to kick off early next month</w:t>
      </w:r>
      <w:r w:rsidRPr="00B1006D">
        <w:rPr>
          <w:sz w:val="32"/>
          <w:szCs w:val="32"/>
        </w:rPr>
        <w:t xml:space="preserve">, 3 June. Available at: https://newsroom.telford.gov.uk/news/work-to-deliver-much-needed-new-leisure-facilities-for-newdale-is-set-to-kick-off-early-next-month </w:t>
      </w:r>
    </w:p>
    <w:p w14:paraId="77FBAB0A" w14:textId="0D1BFADE" w:rsidR="00962A92" w:rsidRPr="00B1006D" w:rsidRDefault="00980C14">
      <w:pPr>
        <w:ind w:left="360" w:hanging="360"/>
        <w:rPr>
          <w:sz w:val="32"/>
          <w:szCs w:val="32"/>
        </w:rPr>
      </w:pPr>
      <w:r w:rsidRPr="00B1006D">
        <w:rPr>
          <w:sz w:val="32"/>
          <w:szCs w:val="32"/>
        </w:rPr>
        <w:t xml:space="preserve">Telford Town Park (n.d.) </w:t>
      </w:r>
      <w:r w:rsidRPr="00B1006D">
        <w:rPr>
          <w:i/>
          <w:sz w:val="32"/>
          <w:szCs w:val="32"/>
        </w:rPr>
        <w:t>Facilities</w:t>
      </w:r>
      <w:r w:rsidRPr="00B1006D">
        <w:rPr>
          <w:sz w:val="32"/>
          <w:szCs w:val="32"/>
        </w:rPr>
        <w:t xml:space="preserve">. Available at: https://www.telfordtownpark.co.uk/info/37/facilities </w:t>
      </w:r>
    </w:p>
    <w:p w14:paraId="0CDD9C4A" w14:textId="771A71A9" w:rsidR="00962A92" w:rsidRPr="00B1006D" w:rsidRDefault="00980C14">
      <w:pPr>
        <w:ind w:left="360" w:hanging="360"/>
        <w:rPr>
          <w:sz w:val="32"/>
          <w:szCs w:val="32"/>
        </w:rPr>
      </w:pPr>
      <w:r w:rsidRPr="00B1006D">
        <w:rPr>
          <w:sz w:val="32"/>
          <w:szCs w:val="32"/>
        </w:rPr>
        <w:t xml:space="preserve">University of Edinburgh (n.d.) </w:t>
      </w:r>
      <w:r w:rsidRPr="00B1006D">
        <w:rPr>
          <w:i/>
          <w:sz w:val="32"/>
          <w:szCs w:val="32"/>
        </w:rPr>
        <w:t>Gibbs’ Reflective Cycle</w:t>
      </w:r>
      <w:r w:rsidRPr="00B1006D">
        <w:rPr>
          <w:sz w:val="32"/>
          <w:szCs w:val="32"/>
        </w:rPr>
        <w:t xml:space="preserve">. Reflection Toolkit. Available at: https://reflection.ed.ac.uk/reflectors-toolkit/reflecting-on-experience/gibbs-reflective-cycle </w:t>
      </w:r>
    </w:p>
    <w:p w14:paraId="2CC18DE3" w14:textId="77777777" w:rsidR="00962A92" w:rsidRPr="00B1006D" w:rsidRDefault="00980C14">
      <w:pPr>
        <w:ind w:left="360" w:hanging="360"/>
        <w:rPr>
          <w:sz w:val="32"/>
          <w:szCs w:val="32"/>
        </w:rPr>
      </w:pPr>
      <w:r w:rsidRPr="00B1006D">
        <w:rPr>
          <w:sz w:val="32"/>
          <w:szCs w:val="32"/>
        </w:rPr>
        <w:t>Willis, K. and Gupta, A. (</w:t>
      </w:r>
      <w:proofErr w:type="gramStart"/>
      <w:r w:rsidRPr="00B1006D">
        <w:rPr>
          <w:sz w:val="32"/>
          <w:szCs w:val="32"/>
        </w:rPr>
        <w:t>2023) ‘</w:t>
      </w:r>
      <w:proofErr w:type="gramEnd"/>
      <w:r w:rsidRPr="00B1006D">
        <w:rPr>
          <w:sz w:val="32"/>
          <w:szCs w:val="32"/>
        </w:rPr>
        <w:t xml:space="preserve">Place-Keeping in the Park: Testing a Living Lab Approach to Facilitate Nature Connectedness in Urban Greenspaces’, </w:t>
      </w:r>
      <w:r w:rsidRPr="00B1006D">
        <w:rPr>
          <w:i/>
          <w:sz w:val="32"/>
          <w:szCs w:val="32"/>
        </w:rPr>
        <w:t>Sustainability</w:t>
      </w:r>
      <w:r w:rsidRPr="00B1006D">
        <w:rPr>
          <w:sz w:val="32"/>
          <w:szCs w:val="32"/>
        </w:rPr>
        <w:t>, 15(13), 9930. Available at: https://doi.org/10.3390/su15139930.</w:t>
      </w:r>
    </w:p>
    <w:sectPr w:rsidR="00962A92" w:rsidRPr="00B1006D" w:rsidSect="00034616">
      <w:headerReference w:type="default" r:id="rId9"/>
      <w:footerReference w:type="even" r:id="rId10"/>
      <w:footerReference w:type="default" r:id="rId11"/>
      <w:footerReference w:type="first" r:id="rId12"/>
      <w:pgSz w:w="12240" w:h="15840"/>
      <w:pgMar w:top="1008" w:right="1080" w:bottom="1008"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C1419" w14:textId="77777777" w:rsidR="00BC7728" w:rsidRDefault="00BC7728">
      <w:pPr>
        <w:spacing w:after="0" w:line="240" w:lineRule="auto"/>
      </w:pPr>
      <w:r>
        <w:separator/>
      </w:r>
    </w:p>
  </w:endnote>
  <w:endnote w:type="continuationSeparator" w:id="0">
    <w:p w14:paraId="0610EB98" w14:textId="77777777" w:rsidR="00BC7728" w:rsidRDefault="00BC7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E26A2" w14:textId="77777777" w:rsidR="00962A92" w:rsidRDefault="00980C14">
    <w:pPr>
      <w:spacing w:line="240" w:lineRule="auto"/>
      <w:jc w:val="center"/>
    </w:pPr>
    <w:r>
      <w:t xml:space="preserve">Page </w:t>
    </w:r>
    <w:r>
      <w:fldChar w:fldCharType="begin"/>
    </w:r>
    <w:r>
      <w:instrText>PAGE</w:instrText>
    </w:r>
    <w:r>
      <w:fldChar w:fldCharType="separate"/>
    </w:r>
    <w:r>
      <w:fldChar w:fldCharType="end"/>
    </w:r>
    <w:r>
      <w:t xml:space="preserve"> of </w:t>
    </w:r>
    <w:r>
      <w:fldChar w:fldCharType="begin"/>
    </w:r>
    <w:r>
      <w:instrText>NUMPAGES</w:instrText>
    </w:r>
    <w:r>
      <w:fldChar w:fldCharType="separate"/>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94934" w14:textId="3176BD82" w:rsidR="00962A92" w:rsidRDefault="00980C14">
    <w:pPr>
      <w:spacing w:line="240" w:lineRule="auto"/>
      <w:jc w:val="center"/>
    </w:pPr>
    <w:r>
      <w:t xml:space="preserve">Page </w:t>
    </w:r>
    <w:r>
      <w:fldChar w:fldCharType="begin"/>
    </w:r>
    <w:r>
      <w:instrText>PAGE</w:instrText>
    </w:r>
    <w:r>
      <w:fldChar w:fldCharType="separate"/>
    </w:r>
    <w:r w:rsidR="009F633B">
      <w:rPr>
        <w:noProof/>
      </w:rPr>
      <w:t>2</w:t>
    </w:r>
    <w:r>
      <w:fldChar w:fldCharType="end"/>
    </w:r>
    <w:r>
      <w:t xml:space="preserve"> of </w:t>
    </w:r>
    <w:r>
      <w:fldChar w:fldCharType="begin"/>
    </w:r>
    <w:r>
      <w:instrText>NUMPAGES</w:instrText>
    </w:r>
    <w:r>
      <w:fldChar w:fldCharType="separate"/>
    </w:r>
    <w:r w:rsidR="009F633B">
      <w:rPr>
        <w:noProof/>
      </w:rPr>
      <w:t>3</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43B031" w14:textId="702B1E45" w:rsidR="00962A92" w:rsidRDefault="00980C14">
    <w:pPr>
      <w:spacing w:line="240" w:lineRule="auto"/>
      <w:jc w:val="center"/>
    </w:pPr>
    <w:r>
      <w:t xml:space="preserve">Page </w:t>
    </w:r>
    <w:r>
      <w:fldChar w:fldCharType="begin"/>
    </w:r>
    <w:r>
      <w:instrText>PAGE</w:instrText>
    </w:r>
    <w:r>
      <w:fldChar w:fldCharType="separate"/>
    </w:r>
    <w:r w:rsidR="009F633B">
      <w:rPr>
        <w:noProof/>
      </w:rPr>
      <w:t>1</w:t>
    </w:r>
    <w:r>
      <w:fldChar w:fldCharType="end"/>
    </w:r>
    <w:r>
      <w:t xml:space="preserve"> of </w:t>
    </w:r>
    <w:r>
      <w:fldChar w:fldCharType="begin"/>
    </w:r>
    <w:r>
      <w:instrText>NUMPAGES</w:instrText>
    </w:r>
    <w:r>
      <w:fldChar w:fldCharType="separate"/>
    </w:r>
    <w:r w:rsidR="009F633B">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7BD0C" w14:textId="77777777" w:rsidR="00BC7728" w:rsidRDefault="00BC7728">
      <w:pPr>
        <w:spacing w:after="0" w:line="240" w:lineRule="auto"/>
      </w:pPr>
      <w:r>
        <w:separator/>
      </w:r>
    </w:p>
  </w:footnote>
  <w:footnote w:type="continuationSeparator" w:id="0">
    <w:p w14:paraId="48DD822D" w14:textId="77777777" w:rsidR="00BC7728" w:rsidRDefault="00BC7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036284" w14:textId="77777777" w:rsidR="00962A92" w:rsidRDefault="00980C14">
    <w:pPr>
      <w:pStyle w:val="Header"/>
    </w:pPr>
    <w:r>
      <w:rPr>
        <w:sz w:val="20"/>
      </w:rPr>
      <w:t>Stakeholder Engagement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18690613">
    <w:abstractNumId w:val="8"/>
  </w:num>
  <w:num w:numId="2" w16cid:durableId="1751999719">
    <w:abstractNumId w:val="6"/>
  </w:num>
  <w:num w:numId="3" w16cid:durableId="1869827074">
    <w:abstractNumId w:val="5"/>
  </w:num>
  <w:num w:numId="4" w16cid:durableId="476723395">
    <w:abstractNumId w:val="4"/>
  </w:num>
  <w:num w:numId="5" w16cid:durableId="150294988">
    <w:abstractNumId w:val="7"/>
  </w:num>
  <w:num w:numId="6" w16cid:durableId="246310119">
    <w:abstractNumId w:val="3"/>
  </w:num>
  <w:num w:numId="7" w16cid:durableId="2044554852">
    <w:abstractNumId w:val="2"/>
  </w:num>
  <w:num w:numId="8" w16cid:durableId="663436135">
    <w:abstractNumId w:val="1"/>
  </w:num>
  <w:num w:numId="9" w16cid:durableId="1491023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153D"/>
    <w:rsid w:val="00034616"/>
    <w:rsid w:val="0006063C"/>
    <w:rsid w:val="000C7CC0"/>
    <w:rsid w:val="00122F9A"/>
    <w:rsid w:val="0015074B"/>
    <w:rsid w:val="001562AA"/>
    <w:rsid w:val="001D1C19"/>
    <w:rsid w:val="0029639D"/>
    <w:rsid w:val="00326F90"/>
    <w:rsid w:val="003C3B26"/>
    <w:rsid w:val="00475870"/>
    <w:rsid w:val="004D1B0B"/>
    <w:rsid w:val="00724B1C"/>
    <w:rsid w:val="00724B7E"/>
    <w:rsid w:val="00727E40"/>
    <w:rsid w:val="00797F70"/>
    <w:rsid w:val="007A5E46"/>
    <w:rsid w:val="00831E18"/>
    <w:rsid w:val="00962A92"/>
    <w:rsid w:val="00980C14"/>
    <w:rsid w:val="009F633B"/>
    <w:rsid w:val="00AA1D8D"/>
    <w:rsid w:val="00B1006D"/>
    <w:rsid w:val="00B47730"/>
    <w:rsid w:val="00BC7728"/>
    <w:rsid w:val="00C65178"/>
    <w:rsid w:val="00CB0664"/>
    <w:rsid w:val="00E809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341EC4"/>
  <w14:defaultImageDpi w14:val="300"/>
  <w15:docId w15:val="{629A7218-3210-F541-AD70-61604ED2E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Times New Roman" w:hAnsi="Times New Roman"/>
      <w:color w:val="000000"/>
      <w:sz w:val="24"/>
    </w:rPr>
  </w:style>
  <w:style w:type="paragraph" w:styleId="Heading1">
    <w:name w:val="heading 1"/>
    <w:basedOn w:val="Normal"/>
    <w:next w:val="Normal"/>
    <w:link w:val="Heading1Char"/>
    <w:uiPriority w:val="9"/>
    <w:qFormat/>
    <w:rsid w:val="00FC693F"/>
    <w:pPr>
      <w:keepNext/>
      <w:keepLines/>
      <w:spacing w:before="200"/>
      <w:outlineLvl w:val="0"/>
    </w:pPr>
    <w:rPr>
      <w:b/>
      <w:bCs/>
      <w:sz w:val="32"/>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b/>
      <w:bCs/>
      <w:sz w:val="26"/>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contextualSpacing/>
    </w:pPr>
    <w:rPr>
      <w:b/>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797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3855</Words>
  <Characters>21979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25783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Nina Saibel</cp:lastModifiedBy>
  <cp:revision>8</cp:revision>
  <dcterms:created xsi:type="dcterms:W3CDTF">2026-10-12T05:17:00Z</dcterms:created>
  <dcterms:modified xsi:type="dcterms:W3CDTF">2026-10-15T20:17:00Z</dcterms:modified>
  <cp:category/>
</cp:coreProperties>
</file>