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55991" w14:textId="77777777" w:rsidR="00AC5955" w:rsidRDefault="00AC5955" w:rsidP="00AC5955">
      <w:pPr>
        <w:jc w:val="center"/>
        <w:rPr>
          <w:rFonts w:ascii="Times New Roman" w:hAnsi="Times New Roman" w:cs="Times New Roman"/>
          <w:b/>
          <w:bCs/>
          <w:i/>
          <w:iCs/>
          <w:sz w:val="48"/>
          <w:szCs w:val="48"/>
        </w:rPr>
      </w:pPr>
      <w:r>
        <w:rPr>
          <w:rFonts w:ascii="Times New Roman" w:hAnsi="Times New Roman" w:cs="Times New Roman"/>
          <w:b/>
          <w:bCs/>
          <w:i/>
          <w:iCs/>
          <w:sz w:val="48"/>
          <w:szCs w:val="48"/>
        </w:rPr>
        <w:t xml:space="preserve">University of Wales </w:t>
      </w:r>
    </w:p>
    <w:p w14:paraId="7029FA39" w14:textId="77777777" w:rsidR="00AC5955" w:rsidRDefault="00AC5955" w:rsidP="00AC5955">
      <w:pPr>
        <w:jc w:val="center"/>
        <w:rPr>
          <w:rFonts w:ascii="Times New Roman" w:hAnsi="Times New Roman" w:cs="Times New Roman"/>
          <w:b/>
          <w:bCs/>
          <w:i/>
          <w:iCs/>
          <w:sz w:val="48"/>
          <w:szCs w:val="48"/>
        </w:rPr>
      </w:pPr>
      <w:r>
        <w:rPr>
          <w:rFonts w:ascii="Times New Roman" w:hAnsi="Times New Roman" w:cs="Times New Roman"/>
          <w:b/>
          <w:bCs/>
          <w:i/>
          <w:iCs/>
          <w:sz w:val="48"/>
          <w:szCs w:val="48"/>
        </w:rPr>
        <w:t>Trinity Saint David, London</w:t>
      </w:r>
    </w:p>
    <w:p w14:paraId="157141CA" w14:textId="77777777" w:rsidR="00AC5955" w:rsidRDefault="00AC5955" w:rsidP="00AC5955">
      <w:pPr>
        <w:jc w:val="center"/>
        <w:rPr>
          <w:rFonts w:ascii="Times New Roman" w:hAnsi="Times New Roman" w:cs="Times New Roman"/>
          <w:b/>
          <w:bCs/>
          <w:i/>
          <w:iCs/>
          <w:sz w:val="48"/>
          <w:szCs w:val="48"/>
        </w:rPr>
      </w:pPr>
    </w:p>
    <w:p w14:paraId="34F59735" w14:textId="77777777" w:rsidR="00AC5955" w:rsidRDefault="00AC5955" w:rsidP="00AC5955">
      <w:pPr>
        <w:jc w:val="center"/>
        <w:rPr>
          <w:rFonts w:ascii="Times New Roman" w:hAnsi="Times New Roman" w:cs="Times New Roman"/>
          <w:b/>
          <w:bCs/>
          <w:i/>
          <w:iCs/>
          <w:sz w:val="48"/>
          <w:szCs w:val="48"/>
        </w:rPr>
      </w:pPr>
    </w:p>
    <w:p w14:paraId="4CB6A844" w14:textId="77777777" w:rsidR="00AC5955" w:rsidRDefault="00AC5955" w:rsidP="00AC5955">
      <w:pPr>
        <w:jc w:val="center"/>
        <w:rPr>
          <w:rFonts w:ascii="Times New Roman" w:hAnsi="Times New Roman" w:cs="Times New Roman"/>
          <w:b/>
          <w:bCs/>
          <w:i/>
          <w:iCs/>
          <w:sz w:val="48"/>
          <w:szCs w:val="48"/>
        </w:rPr>
      </w:pPr>
    </w:p>
    <w:p w14:paraId="166214A5" w14:textId="77777777" w:rsidR="00AC5955" w:rsidRDefault="00AC5955" w:rsidP="00AC5955">
      <w:pPr>
        <w:jc w:val="center"/>
        <w:rPr>
          <w:rFonts w:ascii="Times New Roman" w:hAnsi="Times New Roman" w:cs="Times New Roman"/>
          <w:b/>
          <w:bCs/>
          <w:i/>
          <w:iCs/>
          <w:sz w:val="48"/>
          <w:szCs w:val="48"/>
        </w:rPr>
      </w:pPr>
    </w:p>
    <w:p w14:paraId="4BBEAC8C" w14:textId="1061FBF9" w:rsidR="00AC5955" w:rsidRDefault="00AC5955" w:rsidP="00AC5955">
      <w:pPr>
        <w:jc w:val="center"/>
        <w:rPr>
          <w:rFonts w:ascii="Times New Roman" w:hAnsi="Times New Roman" w:cs="Times New Roman"/>
          <w:sz w:val="48"/>
          <w:szCs w:val="48"/>
        </w:rPr>
      </w:pPr>
      <w:r>
        <w:rPr>
          <w:rFonts w:ascii="Times New Roman" w:hAnsi="Times New Roman" w:cs="Times New Roman"/>
          <w:b/>
          <w:bCs/>
          <w:sz w:val="48"/>
          <w:szCs w:val="48"/>
        </w:rPr>
        <w:t xml:space="preserve">Accounting Fundamentals – </w:t>
      </w:r>
      <w:r>
        <w:rPr>
          <w:rFonts w:ascii="Times New Roman" w:hAnsi="Times New Roman" w:cs="Times New Roman"/>
          <w:sz w:val="48"/>
          <w:szCs w:val="48"/>
        </w:rPr>
        <w:t>Assessment 2</w:t>
      </w:r>
    </w:p>
    <w:p w14:paraId="6CEE4FF2" w14:textId="77777777" w:rsidR="00AC5955" w:rsidRDefault="00AC5955" w:rsidP="00AC5955">
      <w:pPr>
        <w:jc w:val="center"/>
        <w:rPr>
          <w:rFonts w:ascii="Times New Roman" w:hAnsi="Times New Roman" w:cs="Times New Roman"/>
          <w:sz w:val="48"/>
          <w:szCs w:val="48"/>
        </w:rPr>
      </w:pPr>
      <w:r>
        <w:rPr>
          <w:rFonts w:ascii="Times New Roman" w:hAnsi="Times New Roman" w:cs="Times New Roman"/>
          <w:sz w:val="48"/>
          <w:szCs w:val="48"/>
        </w:rPr>
        <w:t>(LCBB4001)</w:t>
      </w:r>
    </w:p>
    <w:p w14:paraId="0D7DF5FF" w14:textId="77777777" w:rsidR="00AC5955" w:rsidRDefault="00AC5955" w:rsidP="00AC5955">
      <w:pPr>
        <w:jc w:val="center"/>
        <w:rPr>
          <w:rFonts w:ascii="Times New Roman" w:hAnsi="Times New Roman" w:cs="Times New Roman"/>
          <w:sz w:val="48"/>
          <w:szCs w:val="48"/>
        </w:rPr>
      </w:pPr>
    </w:p>
    <w:p w14:paraId="3452ED83" w14:textId="77777777" w:rsidR="00AC5955" w:rsidRDefault="00AC5955" w:rsidP="00AC5955">
      <w:pPr>
        <w:jc w:val="center"/>
        <w:rPr>
          <w:rFonts w:ascii="Times New Roman" w:hAnsi="Times New Roman" w:cs="Times New Roman"/>
          <w:sz w:val="48"/>
          <w:szCs w:val="48"/>
        </w:rPr>
      </w:pPr>
    </w:p>
    <w:p w14:paraId="6C6E8511" w14:textId="77777777" w:rsidR="00AC5955" w:rsidRDefault="00AC5955" w:rsidP="00AC5955">
      <w:pPr>
        <w:jc w:val="center"/>
        <w:rPr>
          <w:rFonts w:ascii="Times New Roman" w:hAnsi="Times New Roman" w:cs="Times New Roman"/>
          <w:sz w:val="48"/>
          <w:szCs w:val="48"/>
        </w:rPr>
      </w:pPr>
    </w:p>
    <w:p w14:paraId="66F3CC24" w14:textId="77777777" w:rsidR="00AC5955" w:rsidRDefault="00AC5955" w:rsidP="00AC5955">
      <w:pPr>
        <w:rPr>
          <w:rFonts w:ascii="Times New Roman" w:hAnsi="Times New Roman" w:cs="Times New Roman"/>
          <w:sz w:val="36"/>
          <w:szCs w:val="36"/>
        </w:rPr>
      </w:pPr>
      <w:r>
        <w:rPr>
          <w:rFonts w:ascii="Times New Roman" w:hAnsi="Times New Roman" w:cs="Times New Roman"/>
          <w:sz w:val="36"/>
          <w:szCs w:val="36"/>
        </w:rPr>
        <w:t>Submitted to:                                                        Submitted by:</w:t>
      </w:r>
    </w:p>
    <w:p w14:paraId="31EB81BB" w14:textId="77777777" w:rsidR="00AC5955" w:rsidRDefault="00AC5955" w:rsidP="00AC5955">
      <w:pPr>
        <w:rPr>
          <w:rFonts w:ascii="Times New Roman" w:hAnsi="Times New Roman" w:cs="Times New Roman"/>
          <w:sz w:val="36"/>
          <w:szCs w:val="36"/>
        </w:rPr>
      </w:pPr>
      <w:r>
        <w:rPr>
          <w:rFonts w:ascii="Times New Roman" w:hAnsi="Times New Roman" w:cs="Times New Roman"/>
          <w:sz w:val="36"/>
          <w:szCs w:val="36"/>
        </w:rPr>
        <w:t>Emad Elkhashen                                           Rumyan Zarankov</w:t>
      </w:r>
    </w:p>
    <w:p w14:paraId="07888856" w14:textId="1A0C2EE4" w:rsidR="003B5A30" w:rsidRDefault="00AC5955" w:rsidP="00AC5955">
      <w:pPr>
        <w:jc w:val="right"/>
        <w:rPr>
          <w:rFonts w:ascii="Times New Roman" w:hAnsi="Times New Roman" w:cs="Times New Roman"/>
          <w:sz w:val="36"/>
          <w:szCs w:val="36"/>
        </w:rPr>
      </w:pPr>
      <w:r>
        <w:rPr>
          <w:rFonts w:ascii="Times New Roman" w:hAnsi="Times New Roman" w:cs="Times New Roman"/>
          <w:sz w:val="36"/>
          <w:szCs w:val="36"/>
        </w:rPr>
        <w:t>1913489</w:t>
      </w:r>
    </w:p>
    <w:p w14:paraId="065974CD" w14:textId="77777777" w:rsidR="007D2916" w:rsidRDefault="00AC5955" w:rsidP="007D2916">
      <w:pPr>
        <w:pStyle w:val="Default"/>
      </w:pPr>
      <w:r>
        <w:rPr>
          <w:rFonts w:ascii="Times New Roman" w:hAnsi="Times New Roman" w:cs="Times New Roman"/>
          <w:sz w:val="36"/>
          <w:szCs w:val="36"/>
        </w:rPr>
        <w:br w:type="page"/>
      </w:r>
    </w:p>
    <w:p w14:paraId="606F937A" w14:textId="415798CB" w:rsidR="007D2916" w:rsidRPr="007D2916" w:rsidRDefault="007D2916" w:rsidP="007D2916">
      <w:pPr>
        <w:rPr>
          <w:rFonts w:ascii="Times New Roman" w:hAnsi="Times New Roman" w:cs="Times New Roman"/>
          <w:sz w:val="28"/>
          <w:szCs w:val="28"/>
        </w:rPr>
      </w:pPr>
      <w:r w:rsidRPr="007D2916">
        <w:rPr>
          <w:rFonts w:ascii="Times New Roman" w:hAnsi="Times New Roman" w:cs="Times New Roman"/>
          <w:sz w:val="28"/>
          <w:szCs w:val="28"/>
        </w:rPr>
        <w:lastRenderedPageBreak/>
        <w:t xml:space="preserve"> “In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 </w:t>
      </w:r>
    </w:p>
    <w:p w14:paraId="588D7275" w14:textId="456CD868" w:rsidR="007D2916" w:rsidRDefault="007D2916" w:rsidP="007D2916">
      <w:pPr>
        <w:rPr>
          <w:sz w:val="23"/>
          <w:szCs w:val="23"/>
        </w:rPr>
      </w:pPr>
    </w:p>
    <w:p w14:paraId="7BB6E8D1" w14:textId="330E8E5E" w:rsidR="007D2916" w:rsidRDefault="007D2916" w:rsidP="007D2916">
      <w:pPr>
        <w:rPr>
          <w:sz w:val="23"/>
          <w:szCs w:val="23"/>
        </w:rPr>
      </w:pPr>
    </w:p>
    <w:p w14:paraId="50786A1D" w14:textId="368BBCB1" w:rsidR="007D2916" w:rsidRDefault="007D2916" w:rsidP="007D2916">
      <w:pPr>
        <w:rPr>
          <w:sz w:val="23"/>
          <w:szCs w:val="23"/>
        </w:rPr>
      </w:pPr>
    </w:p>
    <w:p w14:paraId="29D2AA31" w14:textId="11D7F61E" w:rsidR="007D2916" w:rsidRDefault="007D2916" w:rsidP="007D2916">
      <w:pPr>
        <w:rPr>
          <w:sz w:val="23"/>
          <w:szCs w:val="23"/>
        </w:rPr>
      </w:pPr>
    </w:p>
    <w:p w14:paraId="250987FC" w14:textId="79B29307" w:rsidR="007D2916" w:rsidRDefault="007D2916" w:rsidP="007D2916">
      <w:pPr>
        <w:rPr>
          <w:sz w:val="23"/>
          <w:szCs w:val="23"/>
        </w:rPr>
      </w:pPr>
    </w:p>
    <w:p w14:paraId="52BF747E" w14:textId="15E4F6D8" w:rsidR="007D2916" w:rsidRDefault="007D2916" w:rsidP="007D2916">
      <w:pPr>
        <w:rPr>
          <w:sz w:val="23"/>
          <w:szCs w:val="23"/>
        </w:rPr>
      </w:pPr>
    </w:p>
    <w:p w14:paraId="0BDE739F" w14:textId="7006423F" w:rsidR="007D2916" w:rsidRDefault="007D2916" w:rsidP="007D2916">
      <w:pPr>
        <w:rPr>
          <w:sz w:val="23"/>
          <w:szCs w:val="23"/>
        </w:rPr>
      </w:pPr>
    </w:p>
    <w:p w14:paraId="3B286086" w14:textId="170BD56A" w:rsidR="007D2916" w:rsidRDefault="007D2916" w:rsidP="007D2916">
      <w:pPr>
        <w:rPr>
          <w:sz w:val="23"/>
          <w:szCs w:val="23"/>
        </w:rPr>
      </w:pPr>
    </w:p>
    <w:p w14:paraId="3C070A17" w14:textId="751AF23D" w:rsidR="007D2916" w:rsidRDefault="007D2916" w:rsidP="007D2916">
      <w:pPr>
        <w:rPr>
          <w:sz w:val="23"/>
          <w:szCs w:val="23"/>
        </w:rPr>
      </w:pPr>
    </w:p>
    <w:p w14:paraId="25CBFEDB" w14:textId="1DFCD23B" w:rsidR="007D2916" w:rsidRDefault="007D2916" w:rsidP="007D2916">
      <w:pPr>
        <w:rPr>
          <w:sz w:val="23"/>
          <w:szCs w:val="23"/>
        </w:rPr>
      </w:pPr>
    </w:p>
    <w:p w14:paraId="0719DD88" w14:textId="06545173" w:rsidR="007D2916" w:rsidRDefault="007D2916" w:rsidP="007D2916">
      <w:pPr>
        <w:rPr>
          <w:sz w:val="23"/>
          <w:szCs w:val="23"/>
        </w:rPr>
      </w:pPr>
    </w:p>
    <w:p w14:paraId="6BC54E3D" w14:textId="0B577379" w:rsidR="007D2916" w:rsidRDefault="007D2916" w:rsidP="007D2916">
      <w:pPr>
        <w:rPr>
          <w:sz w:val="23"/>
          <w:szCs w:val="23"/>
        </w:rPr>
      </w:pPr>
    </w:p>
    <w:p w14:paraId="34F59F6E" w14:textId="4DF21AD3" w:rsidR="007D2916" w:rsidRDefault="007D2916" w:rsidP="007D2916">
      <w:pPr>
        <w:rPr>
          <w:sz w:val="23"/>
          <w:szCs w:val="23"/>
        </w:rPr>
      </w:pPr>
    </w:p>
    <w:p w14:paraId="5BFBDEA7" w14:textId="689989E0" w:rsidR="007D2916" w:rsidRDefault="007D2916" w:rsidP="007D2916">
      <w:pPr>
        <w:rPr>
          <w:sz w:val="23"/>
          <w:szCs w:val="23"/>
        </w:rPr>
      </w:pPr>
    </w:p>
    <w:p w14:paraId="654B5514" w14:textId="160BC007" w:rsidR="007D2916" w:rsidRDefault="007D2916" w:rsidP="007D2916">
      <w:pPr>
        <w:rPr>
          <w:sz w:val="23"/>
          <w:szCs w:val="23"/>
        </w:rPr>
      </w:pPr>
    </w:p>
    <w:p w14:paraId="5BD28543" w14:textId="364F4870" w:rsidR="007D2916" w:rsidRDefault="007D2916" w:rsidP="007D2916">
      <w:pPr>
        <w:rPr>
          <w:sz w:val="23"/>
          <w:szCs w:val="23"/>
        </w:rPr>
      </w:pPr>
    </w:p>
    <w:p w14:paraId="1A9AB626" w14:textId="3C4A91E4" w:rsidR="007D2916" w:rsidRDefault="007D2916" w:rsidP="007D2916">
      <w:pPr>
        <w:rPr>
          <w:sz w:val="23"/>
          <w:szCs w:val="23"/>
        </w:rPr>
      </w:pPr>
    </w:p>
    <w:p w14:paraId="13CBB99D" w14:textId="099C7117" w:rsidR="007D2916" w:rsidRDefault="007D2916" w:rsidP="007D2916">
      <w:pPr>
        <w:rPr>
          <w:sz w:val="23"/>
          <w:szCs w:val="23"/>
        </w:rPr>
      </w:pPr>
    </w:p>
    <w:p w14:paraId="51AB238C" w14:textId="2D7F816F" w:rsidR="007D2916" w:rsidRDefault="007D2916" w:rsidP="007D2916">
      <w:pPr>
        <w:rPr>
          <w:sz w:val="23"/>
          <w:szCs w:val="23"/>
        </w:rPr>
      </w:pPr>
    </w:p>
    <w:p w14:paraId="0F95556C" w14:textId="6EFAB865" w:rsidR="007D2916" w:rsidRDefault="007D2916" w:rsidP="007D2916">
      <w:pPr>
        <w:rPr>
          <w:sz w:val="23"/>
          <w:szCs w:val="23"/>
        </w:rPr>
      </w:pPr>
    </w:p>
    <w:p w14:paraId="2380E252" w14:textId="22771F5C" w:rsidR="007D2916" w:rsidRDefault="007D2916" w:rsidP="007D2916">
      <w:pPr>
        <w:rPr>
          <w:sz w:val="23"/>
          <w:szCs w:val="23"/>
        </w:rPr>
      </w:pPr>
    </w:p>
    <w:p w14:paraId="4EFACF68" w14:textId="06F3B176" w:rsidR="007D2916" w:rsidRDefault="007D2916" w:rsidP="007D2916">
      <w:pPr>
        <w:rPr>
          <w:sz w:val="23"/>
          <w:szCs w:val="23"/>
        </w:rPr>
      </w:pPr>
    </w:p>
    <w:p w14:paraId="4DEBA5D4" w14:textId="64458510" w:rsidR="007D2916" w:rsidRDefault="007D2916" w:rsidP="007D2916">
      <w:pPr>
        <w:rPr>
          <w:sz w:val="23"/>
          <w:szCs w:val="23"/>
        </w:rPr>
      </w:pPr>
    </w:p>
    <w:p w14:paraId="698BBC26" w14:textId="77777777" w:rsidR="00AC5955" w:rsidRDefault="00AC5955">
      <w:pPr>
        <w:rPr>
          <w:rFonts w:ascii="Times New Roman" w:hAnsi="Times New Roman" w:cs="Times New Roman"/>
          <w:sz w:val="36"/>
          <w:szCs w:val="36"/>
        </w:rPr>
      </w:pPr>
    </w:p>
    <w:p w14:paraId="5D190751" w14:textId="24704F3E" w:rsidR="00AC5955" w:rsidRDefault="00122212" w:rsidP="00AC5955">
      <w:pPr>
        <w:jc w:val="both"/>
        <w:rPr>
          <w:rFonts w:ascii="Times New Roman" w:hAnsi="Times New Roman" w:cs="Times New Roman"/>
          <w:b/>
          <w:bCs/>
          <w:sz w:val="24"/>
          <w:szCs w:val="24"/>
        </w:rPr>
      </w:pPr>
      <w:r>
        <w:rPr>
          <w:rFonts w:ascii="Times New Roman" w:hAnsi="Times New Roman" w:cs="Times New Roman"/>
          <w:b/>
          <w:bCs/>
          <w:sz w:val="24"/>
          <w:szCs w:val="24"/>
        </w:rPr>
        <w:lastRenderedPageBreak/>
        <w:t>QUESTION 1</w:t>
      </w:r>
    </w:p>
    <w:p w14:paraId="039CD378" w14:textId="6CBB9EA1" w:rsidR="00122212" w:rsidRDefault="00122212" w:rsidP="00AC5955">
      <w:pPr>
        <w:jc w:val="both"/>
        <w:rPr>
          <w:rFonts w:ascii="Times New Roman" w:hAnsi="Times New Roman" w:cs="Times New Roman"/>
          <w:sz w:val="24"/>
          <w:szCs w:val="24"/>
        </w:rPr>
      </w:pPr>
      <w:r>
        <w:rPr>
          <w:rFonts w:ascii="Times New Roman" w:hAnsi="Times New Roman" w:cs="Times New Roman"/>
          <w:sz w:val="24"/>
          <w:szCs w:val="24"/>
        </w:rPr>
        <w:t>Variable cost:</w:t>
      </w:r>
    </w:p>
    <w:p w14:paraId="74C188B7" w14:textId="3855FD2F" w:rsidR="00122212" w:rsidRDefault="00122212" w:rsidP="00AC5955">
      <w:pPr>
        <w:jc w:val="both"/>
        <w:rPr>
          <w:rFonts w:ascii="Times New Roman" w:hAnsi="Times New Roman" w:cs="Times New Roman"/>
          <w:sz w:val="24"/>
          <w:szCs w:val="24"/>
        </w:rPr>
      </w:pPr>
      <w:r>
        <w:rPr>
          <w:rFonts w:ascii="Times New Roman" w:hAnsi="Times New Roman" w:cs="Times New Roman"/>
          <w:sz w:val="24"/>
          <w:szCs w:val="24"/>
        </w:rPr>
        <w:t>1.35 + 1.75 + 0.40 = 3.5</w:t>
      </w:r>
    </w:p>
    <w:p w14:paraId="55DED601" w14:textId="72CDBBAD" w:rsidR="00122212" w:rsidRDefault="00122212" w:rsidP="00AC5955">
      <w:pPr>
        <w:jc w:val="both"/>
        <w:rPr>
          <w:rFonts w:ascii="Times New Roman" w:hAnsi="Times New Roman" w:cs="Times New Roman"/>
          <w:sz w:val="24"/>
          <w:szCs w:val="24"/>
        </w:rPr>
      </w:pPr>
      <w:r>
        <w:rPr>
          <w:rFonts w:ascii="Times New Roman" w:hAnsi="Times New Roman" w:cs="Times New Roman"/>
          <w:sz w:val="24"/>
          <w:szCs w:val="24"/>
        </w:rPr>
        <w:t xml:space="preserve">Contribution per unit: </w:t>
      </w:r>
    </w:p>
    <w:p w14:paraId="59A5CEF0" w14:textId="78671BB7" w:rsidR="00122212" w:rsidRDefault="00122212" w:rsidP="00AC5955">
      <w:pPr>
        <w:jc w:val="both"/>
        <w:rPr>
          <w:rFonts w:ascii="Times New Roman" w:hAnsi="Times New Roman" w:cs="Times New Roman"/>
          <w:sz w:val="24"/>
          <w:szCs w:val="24"/>
        </w:rPr>
      </w:pPr>
      <w:r>
        <w:rPr>
          <w:rFonts w:ascii="Times New Roman" w:hAnsi="Times New Roman" w:cs="Times New Roman"/>
          <w:sz w:val="24"/>
          <w:szCs w:val="24"/>
        </w:rPr>
        <w:t xml:space="preserve">Sales price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5.75</w:t>
      </w:r>
    </w:p>
    <w:p w14:paraId="269F2236" w14:textId="5DF498A7" w:rsidR="00122212" w:rsidRDefault="00122212" w:rsidP="00AC5955">
      <w:pPr>
        <w:jc w:val="both"/>
        <w:rPr>
          <w:rFonts w:ascii="Times New Roman" w:hAnsi="Times New Roman" w:cs="Times New Roman"/>
          <w:sz w:val="24"/>
          <w:szCs w:val="24"/>
          <w:u w:val="single"/>
        </w:rPr>
      </w:pPr>
      <w:r>
        <w:rPr>
          <w:rFonts w:ascii="Times New Roman" w:hAnsi="Times New Roman" w:cs="Times New Roman"/>
          <w:sz w:val="24"/>
          <w:szCs w:val="24"/>
        </w:rPr>
        <w:t>Variable costs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u w:val="single"/>
        </w:rPr>
        <w:t>3.5)</w:t>
      </w:r>
    </w:p>
    <w:p w14:paraId="0B91332F" w14:textId="682FB85C" w:rsidR="00122212" w:rsidRDefault="00122212" w:rsidP="00AC5955">
      <w:pPr>
        <w:jc w:val="both"/>
        <w:rPr>
          <w:rFonts w:ascii="Times New Roman" w:hAnsi="Times New Roman" w:cs="Times New Roman"/>
          <w:sz w:val="24"/>
          <w:szCs w:val="24"/>
        </w:rPr>
      </w:pPr>
      <w:r>
        <w:rPr>
          <w:rFonts w:ascii="Times New Roman" w:hAnsi="Times New Roman" w:cs="Times New Roman"/>
          <w:sz w:val="24"/>
          <w:szCs w:val="24"/>
        </w:rPr>
        <w:t>Contribution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double"/>
        </w:rPr>
        <w:t>2.25</w:t>
      </w:r>
    </w:p>
    <w:p w14:paraId="09C0A05B" w14:textId="4D65EBEC" w:rsidR="00122212" w:rsidRDefault="00122212" w:rsidP="00122212">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Break-even point in units: 180,000/2.25 = 80,000</w:t>
      </w:r>
    </w:p>
    <w:p w14:paraId="5A18A8DB" w14:textId="5038C50B" w:rsidR="00122212" w:rsidRDefault="00122212" w:rsidP="00122212">
      <w:pPr>
        <w:pStyle w:val="ListParagraph"/>
        <w:jc w:val="both"/>
        <w:rPr>
          <w:rFonts w:ascii="Times New Roman" w:hAnsi="Times New Roman" w:cs="Times New Roman"/>
          <w:sz w:val="24"/>
          <w:szCs w:val="24"/>
        </w:rPr>
      </w:pPr>
      <w:r>
        <w:rPr>
          <w:rFonts w:ascii="Times New Roman" w:hAnsi="Times New Roman" w:cs="Times New Roman"/>
          <w:sz w:val="24"/>
          <w:szCs w:val="24"/>
        </w:rPr>
        <w:t>Break-even point in revenue: 180,000/0.0025 = 72,000,000</w:t>
      </w:r>
    </w:p>
    <w:p w14:paraId="2CEC1781" w14:textId="2EBF19ED" w:rsidR="00122212" w:rsidRDefault="00122212" w:rsidP="00122212">
      <w:pPr>
        <w:jc w:val="both"/>
        <w:rPr>
          <w:rFonts w:ascii="Times New Roman" w:hAnsi="Times New Roman" w:cs="Times New Roman"/>
          <w:sz w:val="24"/>
          <w:szCs w:val="24"/>
        </w:rPr>
      </w:pPr>
      <w:r>
        <w:rPr>
          <w:rFonts w:ascii="Times New Roman" w:hAnsi="Times New Roman" w:cs="Times New Roman"/>
          <w:sz w:val="24"/>
          <w:szCs w:val="24"/>
        </w:rPr>
        <w:t>Working: 2.25/90,000 x 100 = 0.0025</w:t>
      </w:r>
    </w:p>
    <w:p w14:paraId="745254E3" w14:textId="1DEE6BB4" w:rsidR="00122212" w:rsidRDefault="00122212" w:rsidP="00122212">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w:t>
      </w:r>
    </w:p>
    <w:p w14:paraId="5EA68D5D" w14:textId="5AE74D0E" w:rsidR="00122212" w:rsidRDefault="00122212" w:rsidP="00122212">
      <w:pPr>
        <w:pStyle w:val="ListParagraph"/>
        <w:jc w:val="both"/>
        <w:rPr>
          <w:rFonts w:ascii="Times New Roman" w:hAnsi="Times New Roman" w:cs="Times New Roman"/>
          <w:sz w:val="24"/>
          <w:szCs w:val="24"/>
        </w:rPr>
      </w:pPr>
      <w:r>
        <w:rPr>
          <w:rFonts w:ascii="Times New Roman" w:hAnsi="Times New Roman" w:cs="Times New Roman"/>
          <w:sz w:val="24"/>
          <w:szCs w:val="24"/>
        </w:rPr>
        <w:t>Revenue (90,000 x 5.75)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517,500</w:t>
      </w:r>
    </w:p>
    <w:p w14:paraId="7683EE52" w14:textId="75178128" w:rsidR="00122212" w:rsidRDefault="00122212" w:rsidP="00122212">
      <w:pPr>
        <w:pStyle w:val="ListParagraph"/>
        <w:jc w:val="both"/>
        <w:rPr>
          <w:rFonts w:ascii="Times New Roman" w:hAnsi="Times New Roman" w:cs="Times New Roman"/>
          <w:sz w:val="24"/>
          <w:szCs w:val="24"/>
        </w:rPr>
      </w:pPr>
      <w:r>
        <w:rPr>
          <w:rFonts w:ascii="Times New Roman" w:hAnsi="Times New Roman" w:cs="Times New Roman"/>
          <w:sz w:val="24"/>
          <w:szCs w:val="24"/>
        </w:rPr>
        <w:t>Variable costs (90,000 x 3.5)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22212">
        <w:rPr>
          <w:rFonts w:ascii="Times New Roman" w:hAnsi="Times New Roman" w:cs="Times New Roman"/>
          <w:sz w:val="24"/>
          <w:szCs w:val="24"/>
          <w:u w:val="single"/>
        </w:rPr>
        <w:t>315,000</w:t>
      </w:r>
    </w:p>
    <w:p w14:paraId="21C2C3AF" w14:textId="53340239" w:rsidR="00122212" w:rsidRDefault="00122212" w:rsidP="00122212">
      <w:pPr>
        <w:pStyle w:val="ListParagraph"/>
        <w:jc w:val="both"/>
        <w:rPr>
          <w:rFonts w:ascii="Times New Roman" w:hAnsi="Times New Roman" w:cs="Times New Roman"/>
          <w:sz w:val="24"/>
          <w:szCs w:val="24"/>
        </w:rPr>
      </w:pPr>
      <w:r>
        <w:rPr>
          <w:rFonts w:ascii="Times New Roman" w:hAnsi="Times New Roman" w:cs="Times New Roman"/>
          <w:sz w:val="24"/>
          <w:szCs w:val="24"/>
        </w:rPr>
        <w:t>Contribution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202,500</w:t>
      </w:r>
    </w:p>
    <w:p w14:paraId="0D4636FA" w14:textId="528CBCB5" w:rsidR="00122212" w:rsidRDefault="00122212" w:rsidP="00122212">
      <w:pPr>
        <w:pStyle w:val="ListParagraph"/>
        <w:jc w:val="both"/>
        <w:rPr>
          <w:rFonts w:ascii="Times New Roman" w:hAnsi="Times New Roman" w:cs="Times New Roman"/>
          <w:sz w:val="24"/>
          <w:szCs w:val="24"/>
          <w:u w:val="single"/>
        </w:rPr>
      </w:pPr>
      <w:r>
        <w:rPr>
          <w:rFonts w:ascii="Times New Roman" w:hAnsi="Times New Roman" w:cs="Times New Roman"/>
          <w:sz w:val="24"/>
          <w:szCs w:val="24"/>
        </w:rPr>
        <w:t>Fixed costs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22212">
        <w:rPr>
          <w:rFonts w:ascii="Times New Roman" w:hAnsi="Times New Roman" w:cs="Times New Roman"/>
          <w:sz w:val="24"/>
          <w:szCs w:val="24"/>
          <w:u w:val="single"/>
        </w:rPr>
        <w:t>180,000</w:t>
      </w:r>
    </w:p>
    <w:p w14:paraId="7C303E52" w14:textId="3D0F3281" w:rsidR="00122212" w:rsidRDefault="00122212" w:rsidP="00122212">
      <w:pPr>
        <w:pStyle w:val="ListParagraph"/>
        <w:jc w:val="both"/>
        <w:rPr>
          <w:rFonts w:ascii="Times New Roman" w:hAnsi="Times New Roman" w:cs="Times New Roman"/>
          <w:sz w:val="24"/>
          <w:szCs w:val="24"/>
        </w:rPr>
      </w:pPr>
      <w:r w:rsidRPr="00122212">
        <w:rPr>
          <w:rFonts w:ascii="Times New Roman" w:hAnsi="Times New Roman" w:cs="Times New Roman"/>
          <w:sz w:val="24"/>
          <w:szCs w:val="24"/>
        </w:rPr>
        <w:t>Operating prof</w:t>
      </w:r>
      <w:r>
        <w:rPr>
          <w:rFonts w:ascii="Times New Roman" w:hAnsi="Times New Roman" w:cs="Times New Roman"/>
          <w:sz w:val="24"/>
          <w:szCs w:val="24"/>
        </w:rPr>
        <w:t>it/(loss)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22,500</w:t>
      </w:r>
    </w:p>
    <w:p w14:paraId="5C4C76D5" w14:textId="4D372A03" w:rsidR="00122212" w:rsidRDefault="00122212" w:rsidP="00122212">
      <w:pPr>
        <w:pStyle w:val="ListParagraph"/>
        <w:jc w:val="both"/>
        <w:rPr>
          <w:rFonts w:ascii="Times New Roman" w:hAnsi="Times New Roman" w:cs="Times New Roman"/>
          <w:sz w:val="24"/>
          <w:szCs w:val="24"/>
        </w:rPr>
      </w:pPr>
    </w:p>
    <w:p w14:paraId="76419D79" w14:textId="722A83AA" w:rsidR="00122212" w:rsidRDefault="00122212" w:rsidP="00122212">
      <w:pPr>
        <w:pStyle w:val="ListParagraph"/>
        <w:numPr>
          <w:ilvl w:val="0"/>
          <w:numId w:val="1"/>
        </w:numPr>
        <w:tabs>
          <w:tab w:val="left" w:pos="720"/>
        </w:tabs>
        <w:jc w:val="both"/>
        <w:rPr>
          <w:rFonts w:ascii="Times New Roman" w:hAnsi="Times New Roman" w:cs="Times New Roman"/>
          <w:sz w:val="24"/>
          <w:szCs w:val="24"/>
        </w:rPr>
      </w:pPr>
      <w:r>
        <w:rPr>
          <w:rFonts w:ascii="Times New Roman" w:hAnsi="Times New Roman" w:cs="Times New Roman"/>
          <w:sz w:val="24"/>
          <w:szCs w:val="24"/>
        </w:rPr>
        <w:t xml:space="preserve">   </w:t>
      </w:r>
    </w:p>
    <w:p w14:paraId="6409FDED" w14:textId="0562C097" w:rsidR="00420F91" w:rsidRPr="00420F91" w:rsidRDefault="00420F91" w:rsidP="00420F91">
      <w:pPr>
        <w:tabs>
          <w:tab w:val="left" w:pos="720"/>
        </w:tabs>
        <w:jc w:val="both"/>
        <w:rPr>
          <w:rFonts w:ascii="Times New Roman" w:hAnsi="Times New Roman" w:cs="Times New Roman"/>
          <w:sz w:val="24"/>
          <w:szCs w:val="24"/>
        </w:rPr>
      </w:pPr>
      <w:r>
        <w:rPr>
          <w:rFonts w:ascii="Times New Roman" w:hAnsi="Times New Roman" w:cs="Times New Roman"/>
          <w:sz w:val="24"/>
          <w:szCs w:val="24"/>
        </w:rPr>
        <w:t>Contribution: 6 – (1.40+1.90+0.40) = 6 – 3.7 = 2.3</w:t>
      </w:r>
    </w:p>
    <w:tbl>
      <w:tblPr>
        <w:tblStyle w:val="TableGrid"/>
        <w:tblW w:w="8654" w:type="dxa"/>
        <w:tblInd w:w="910" w:type="dxa"/>
        <w:tblLook w:val="04A0" w:firstRow="1" w:lastRow="0" w:firstColumn="1" w:lastColumn="0" w:noHBand="0" w:noVBand="1"/>
      </w:tblPr>
      <w:tblGrid>
        <w:gridCol w:w="4327"/>
        <w:gridCol w:w="4327"/>
      </w:tblGrid>
      <w:tr w:rsidR="003B1E46" w14:paraId="6438083B" w14:textId="77777777" w:rsidTr="00AA1EB2">
        <w:trPr>
          <w:trHeight w:val="477"/>
        </w:trPr>
        <w:tc>
          <w:tcPr>
            <w:tcW w:w="4327" w:type="dxa"/>
          </w:tcPr>
          <w:p w14:paraId="367A86EE" w14:textId="5F252B15" w:rsidR="003B1E46" w:rsidRDefault="003B1E46" w:rsidP="00122212">
            <w:pPr>
              <w:pStyle w:val="ListParagraph"/>
              <w:tabs>
                <w:tab w:val="left" w:pos="720"/>
              </w:tabs>
              <w:ind w:left="0"/>
              <w:jc w:val="center"/>
              <w:rPr>
                <w:rFonts w:ascii="Times New Roman" w:hAnsi="Times New Roman" w:cs="Times New Roman"/>
                <w:sz w:val="24"/>
                <w:szCs w:val="24"/>
              </w:rPr>
            </w:pPr>
            <w:r>
              <w:rPr>
                <w:rFonts w:ascii="Times New Roman" w:hAnsi="Times New Roman" w:cs="Times New Roman"/>
                <w:sz w:val="24"/>
                <w:szCs w:val="24"/>
              </w:rPr>
              <w:t>Direct Labour</w:t>
            </w:r>
          </w:p>
        </w:tc>
        <w:tc>
          <w:tcPr>
            <w:tcW w:w="4327" w:type="dxa"/>
          </w:tcPr>
          <w:p w14:paraId="159730CE" w14:textId="0D97BBB2" w:rsidR="003B1E46" w:rsidRDefault="003B1E46" w:rsidP="00122212">
            <w:pPr>
              <w:pStyle w:val="ListParagraph"/>
              <w:tabs>
                <w:tab w:val="left" w:pos="720"/>
              </w:tabs>
              <w:ind w:left="0"/>
              <w:jc w:val="center"/>
              <w:rPr>
                <w:rFonts w:ascii="Times New Roman" w:hAnsi="Times New Roman" w:cs="Times New Roman"/>
                <w:sz w:val="24"/>
                <w:szCs w:val="24"/>
              </w:rPr>
            </w:pPr>
            <w:r>
              <w:rPr>
                <w:rFonts w:ascii="Times New Roman" w:hAnsi="Times New Roman" w:cs="Times New Roman"/>
                <w:sz w:val="24"/>
                <w:szCs w:val="24"/>
              </w:rPr>
              <w:t>1.35+0.05= £1.40</w:t>
            </w:r>
          </w:p>
        </w:tc>
      </w:tr>
      <w:tr w:rsidR="003B1E46" w14:paraId="3990872F" w14:textId="77777777" w:rsidTr="00AA1EB2">
        <w:trPr>
          <w:trHeight w:val="477"/>
        </w:trPr>
        <w:tc>
          <w:tcPr>
            <w:tcW w:w="4327" w:type="dxa"/>
          </w:tcPr>
          <w:p w14:paraId="54A09E84" w14:textId="421D1672" w:rsidR="003B1E46" w:rsidRDefault="003B1E46" w:rsidP="00122212">
            <w:pPr>
              <w:pStyle w:val="ListParagraph"/>
              <w:tabs>
                <w:tab w:val="left" w:pos="720"/>
              </w:tabs>
              <w:ind w:left="0"/>
              <w:jc w:val="center"/>
              <w:rPr>
                <w:rFonts w:ascii="Times New Roman" w:hAnsi="Times New Roman" w:cs="Times New Roman"/>
                <w:sz w:val="24"/>
                <w:szCs w:val="24"/>
              </w:rPr>
            </w:pPr>
            <w:r>
              <w:rPr>
                <w:rFonts w:ascii="Times New Roman" w:hAnsi="Times New Roman" w:cs="Times New Roman"/>
                <w:sz w:val="24"/>
                <w:szCs w:val="24"/>
              </w:rPr>
              <w:t>Direct Materials</w:t>
            </w:r>
          </w:p>
        </w:tc>
        <w:tc>
          <w:tcPr>
            <w:tcW w:w="4327" w:type="dxa"/>
          </w:tcPr>
          <w:p w14:paraId="30EE1B0D" w14:textId="5B9AC81C" w:rsidR="003B1E46" w:rsidRDefault="003B1E46" w:rsidP="00122212">
            <w:pPr>
              <w:pStyle w:val="ListParagraph"/>
              <w:tabs>
                <w:tab w:val="left" w:pos="720"/>
              </w:tabs>
              <w:ind w:left="0"/>
              <w:jc w:val="center"/>
              <w:rPr>
                <w:rFonts w:ascii="Times New Roman" w:hAnsi="Times New Roman" w:cs="Times New Roman"/>
                <w:sz w:val="24"/>
                <w:szCs w:val="24"/>
              </w:rPr>
            </w:pPr>
            <w:r>
              <w:rPr>
                <w:rFonts w:ascii="Times New Roman" w:hAnsi="Times New Roman" w:cs="Times New Roman"/>
                <w:sz w:val="24"/>
                <w:szCs w:val="24"/>
              </w:rPr>
              <w:t>1.75+0.15 = £1.90</w:t>
            </w:r>
          </w:p>
        </w:tc>
      </w:tr>
      <w:tr w:rsidR="003B1E46" w14:paraId="66238E55" w14:textId="77777777" w:rsidTr="00AA1EB2">
        <w:trPr>
          <w:trHeight w:val="477"/>
        </w:trPr>
        <w:tc>
          <w:tcPr>
            <w:tcW w:w="4327" w:type="dxa"/>
          </w:tcPr>
          <w:p w14:paraId="789ED828" w14:textId="56E9265A" w:rsidR="003B1E46" w:rsidRDefault="003B1E46" w:rsidP="00122212">
            <w:pPr>
              <w:pStyle w:val="ListParagraph"/>
              <w:tabs>
                <w:tab w:val="left" w:pos="720"/>
              </w:tabs>
              <w:ind w:left="0"/>
              <w:jc w:val="center"/>
              <w:rPr>
                <w:rFonts w:ascii="Times New Roman" w:hAnsi="Times New Roman" w:cs="Times New Roman"/>
                <w:sz w:val="24"/>
                <w:szCs w:val="24"/>
              </w:rPr>
            </w:pPr>
            <w:r>
              <w:rPr>
                <w:rFonts w:ascii="Times New Roman" w:hAnsi="Times New Roman" w:cs="Times New Roman"/>
                <w:sz w:val="24"/>
                <w:szCs w:val="24"/>
              </w:rPr>
              <w:t>Other Direct costs</w:t>
            </w:r>
          </w:p>
        </w:tc>
        <w:tc>
          <w:tcPr>
            <w:tcW w:w="4327" w:type="dxa"/>
          </w:tcPr>
          <w:p w14:paraId="00D77EAE" w14:textId="59761379" w:rsidR="003B1E46" w:rsidRDefault="003B1E46" w:rsidP="00122212">
            <w:pPr>
              <w:pStyle w:val="ListParagraph"/>
              <w:tabs>
                <w:tab w:val="left" w:pos="720"/>
              </w:tabs>
              <w:ind w:left="0"/>
              <w:jc w:val="center"/>
              <w:rPr>
                <w:rFonts w:ascii="Times New Roman" w:hAnsi="Times New Roman" w:cs="Times New Roman"/>
                <w:sz w:val="24"/>
                <w:szCs w:val="24"/>
              </w:rPr>
            </w:pPr>
            <w:r>
              <w:rPr>
                <w:rFonts w:ascii="Times New Roman" w:hAnsi="Times New Roman" w:cs="Times New Roman"/>
                <w:sz w:val="24"/>
                <w:szCs w:val="24"/>
              </w:rPr>
              <w:t>0.40</w:t>
            </w:r>
          </w:p>
        </w:tc>
      </w:tr>
    </w:tbl>
    <w:p w14:paraId="00D67A9E" w14:textId="7427BD70" w:rsidR="00122212" w:rsidRDefault="00122212" w:rsidP="00122212">
      <w:pPr>
        <w:pStyle w:val="ListParagraph"/>
        <w:tabs>
          <w:tab w:val="left" w:pos="720"/>
        </w:tabs>
        <w:jc w:val="center"/>
        <w:rPr>
          <w:rFonts w:ascii="Times New Roman" w:hAnsi="Times New Roman" w:cs="Times New Roman"/>
          <w:sz w:val="24"/>
          <w:szCs w:val="24"/>
        </w:rPr>
      </w:pPr>
    </w:p>
    <w:p w14:paraId="339B6C59" w14:textId="5E6F188C" w:rsidR="003B1E46" w:rsidRDefault="003B1E46" w:rsidP="003B1E46">
      <w:pPr>
        <w:pStyle w:val="ListParagraph"/>
        <w:tabs>
          <w:tab w:val="left" w:pos="720"/>
        </w:tabs>
        <w:ind w:hanging="720"/>
        <w:jc w:val="both"/>
        <w:rPr>
          <w:rFonts w:ascii="Times New Roman" w:hAnsi="Times New Roman" w:cs="Times New Roman"/>
          <w:sz w:val="24"/>
          <w:szCs w:val="24"/>
        </w:rPr>
      </w:pPr>
      <w:r>
        <w:rPr>
          <w:rFonts w:ascii="Times New Roman" w:hAnsi="Times New Roman" w:cs="Times New Roman"/>
          <w:sz w:val="24"/>
          <w:szCs w:val="24"/>
        </w:rPr>
        <w:t>90,000 x 5% = 4,500</w:t>
      </w:r>
    </w:p>
    <w:p w14:paraId="670D9577" w14:textId="1BD4A7FB" w:rsidR="003B1E46" w:rsidRDefault="003B1E46" w:rsidP="003B1E46">
      <w:pPr>
        <w:pStyle w:val="ListParagraph"/>
        <w:tabs>
          <w:tab w:val="left" w:pos="720"/>
        </w:tabs>
        <w:ind w:hanging="720"/>
        <w:jc w:val="both"/>
        <w:rPr>
          <w:rFonts w:ascii="Times New Roman" w:hAnsi="Times New Roman" w:cs="Times New Roman"/>
          <w:sz w:val="24"/>
          <w:szCs w:val="24"/>
        </w:rPr>
      </w:pPr>
      <w:r>
        <w:rPr>
          <w:rFonts w:ascii="Times New Roman" w:hAnsi="Times New Roman" w:cs="Times New Roman"/>
          <w:sz w:val="24"/>
          <w:szCs w:val="24"/>
        </w:rPr>
        <w:t>90,00 + 4,500 = 94,500 units</w:t>
      </w:r>
    </w:p>
    <w:p w14:paraId="483CFCC8" w14:textId="66BA7220" w:rsidR="003B1E46" w:rsidRDefault="003B1E46" w:rsidP="003B1E46">
      <w:pPr>
        <w:pStyle w:val="ListParagraph"/>
        <w:tabs>
          <w:tab w:val="left" w:pos="720"/>
        </w:tabs>
        <w:ind w:hanging="720"/>
        <w:jc w:val="both"/>
        <w:rPr>
          <w:rFonts w:ascii="Times New Roman" w:hAnsi="Times New Roman" w:cs="Times New Roman"/>
          <w:sz w:val="24"/>
          <w:szCs w:val="24"/>
        </w:rPr>
      </w:pPr>
    </w:p>
    <w:p w14:paraId="19B91DEE" w14:textId="2F545119" w:rsidR="003B1E46" w:rsidRDefault="003B1E46" w:rsidP="003B1E46">
      <w:pPr>
        <w:pStyle w:val="ListParagraph"/>
        <w:tabs>
          <w:tab w:val="left" w:pos="720"/>
        </w:tabs>
        <w:ind w:hanging="720"/>
        <w:jc w:val="both"/>
        <w:rPr>
          <w:rFonts w:ascii="Times New Roman" w:hAnsi="Times New Roman" w:cs="Times New Roman"/>
          <w:sz w:val="24"/>
          <w:szCs w:val="24"/>
        </w:rPr>
      </w:pPr>
      <w:r>
        <w:rPr>
          <w:rFonts w:ascii="Times New Roman" w:hAnsi="Times New Roman" w:cs="Times New Roman"/>
          <w:sz w:val="24"/>
          <w:szCs w:val="24"/>
        </w:rPr>
        <w:t>Selling price: 5.75 + 0.25 = £6</w:t>
      </w:r>
    </w:p>
    <w:p w14:paraId="50B7F0DE" w14:textId="3BA044BF" w:rsidR="003B1E46" w:rsidRDefault="003B1E46" w:rsidP="003B1E46">
      <w:pPr>
        <w:pStyle w:val="ListParagraph"/>
        <w:tabs>
          <w:tab w:val="left" w:pos="720"/>
        </w:tabs>
        <w:jc w:val="both"/>
        <w:rPr>
          <w:rFonts w:ascii="Times New Roman" w:hAnsi="Times New Roman" w:cs="Times New Roman"/>
          <w:sz w:val="24"/>
          <w:szCs w:val="24"/>
        </w:rPr>
      </w:pPr>
    </w:p>
    <w:p w14:paraId="0E7A33E6" w14:textId="1BFBCE6F" w:rsidR="003B1E46" w:rsidRDefault="003B1E46" w:rsidP="003B1E46">
      <w:pPr>
        <w:pStyle w:val="ListParagraph"/>
        <w:tabs>
          <w:tab w:val="left" w:pos="0"/>
        </w:tabs>
        <w:ind w:left="0"/>
        <w:jc w:val="both"/>
        <w:rPr>
          <w:rFonts w:ascii="Times New Roman" w:hAnsi="Times New Roman" w:cs="Times New Roman"/>
          <w:sz w:val="24"/>
          <w:szCs w:val="24"/>
        </w:rPr>
      </w:pPr>
      <w:r>
        <w:rPr>
          <w:rFonts w:ascii="Times New Roman" w:hAnsi="Times New Roman" w:cs="Times New Roman"/>
          <w:sz w:val="24"/>
          <w:szCs w:val="24"/>
        </w:rPr>
        <w:t>Variable cost: 1.40 + 1.90 + 0.40 = 3.70</w:t>
      </w:r>
    </w:p>
    <w:p w14:paraId="262B2F19" w14:textId="61BAA374" w:rsidR="0057571C" w:rsidRDefault="0057571C" w:rsidP="003B1E46">
      <w:pPr>
        <w:pStyle w:val="ListParagraph"/>
        <w:tabs>
          <w:tab w:val="left" w:pos="0"/>
        </w:tabs>
        <w:ind w:left="0"/>
        <w:jc w:val="both"/>
        <w:rPr>
          <w:rFonts w:ascii="Times New Roman" w:hAnsi="Times New Roman" w:cs="Times New Roman"/>
          <w:sz w:val="24"/>
          <w:szCs w:val="24"/>
        </w:rPr>
      </w:pPr>
    </w:p>
    <w:p w14:paraId="501D7D05" w14:textId="19984459" w:rsidR="0057571C" w:rsidRDefault="0057571C" w:rsidP="003B1E46">
      <w:pPr>
        <w:pStyle w:val="ListParagraph"/>
        <w:tabs>
          <w:tab w:val="left" w:pos="0"/>
        </w:tabs>
        <w:ind w:left="0"/>
        <w:jc w:val="both"/>
        <w:rPr>
          <w:rFonts w:ascii="Times New Roman" w:hAnsi="Times New Roman" w:cs="Times New Roman"/>
          <w:sz w:val="24"/>
          <w:szCs w:val="24"/>
        </w:rPr>
      </w:pPr>
      <w:r>
        <w:rPr>
          <w:rFonts w:ascii="Times New Roman" w:hAnsi="Times New Roman" w:cs="Times New Roman"/>
          <w:sz w:val="24"/>
          <w:szCs w:val="24"/>
        </w:rPr>
        <w:t>Fixed costs: 180,000 +12,500 = 192,500</w:t>
      </w:r>
    </w:p>
    <w:p w14:paraId="1E1E8185" w14:textId="135B9679" w:rsidR="003B1E46" w:rsidRDefault="003B1E46" w:rsidP="003B1E46">
      <w:pPr>
        <w:pStyle w:val="ListParagraph"/>
        <w:tabs>
          <w:tab w:val="left" w:pos="0"/>
        </w:tabs>
        <w:ind w:left="0"/>
        <w:jc w:val="both"/>
        <w:rPr>
          <w:rFonts w:ascii="Times New Roman" w:hAnsi="Times New Roman" w:cs="Times New Roman"/>
          <w:sz w:val="24"/>
          <w:szCs w:val="24"/>
        </w:rPr>
      </w:pPr>
    </w:p>
    <w:p w14:paraId="3BA85A8D" w14:textId="7827767E" w:rsidR="003B1E46" w:rsidRDefault="003B1E46" w:rsidP="003B1E46">
      <w:pPr>
        <w:pStyle w:val="ListParagraph"/>
        <w:tabs>
          <w:tab w:val="left" w:pos="0"/>
        </w:tabs>
        <w:ind w:left="0"/>
        <w:jc w:val="both"/>
        <w:rPr>
          <w:rFonts w:ascii="Times New Roman" w:hAnsi="Times New Roman" w:cs="Times New Roman"/>
          <w:sz w:val="24"/>
          <w:szCs w:val="24"/>
        </w:rPr>
      </w:pPr>
      <w:r>
        <w:rPr>
          <w:rFonts w:ascii="Times New Roman" w:hAnsi="Times New Roman" w:cs="Times New Roman"/>
          <w:sz w:val="24"/>
          <w:szCs w:val="24"/>
        </w:rPr>
        <w:t>Revenue</w:t>
      </w:r>
      <w:r w:rsidR="0057200D">
        <w:rPr>
          <w:rFonts w:ascii="Times New Roman" w:hAnsi="Times New Roman" w:cs="Times New Roman"/>
          <w:sz w:val="24"/>
          <w:szCs w:val="24"/>
        </w:rPr>
        <w:t xml:space="preserve"> (9</w:t>
      </w:r>
      <w:r w:rsidR="0057571C">
        <w:rPr>
          <w:rFonts w:ascii="Times New Roman" w:hAnsi="Times New Roman" w:cs="Times New Roman"/>
          <w:sz w:val="24"/>
          <w:szCs w:val="24"/>
        </w:rPr>
        <w:t>4</w:t>
      </w:r>
      <w:r w:rsidR="0057200D">
        <w:rPr>
          <w:rFonts w:ascii="Times New Roman" w:hAnsi="Times New Roman" w:cs="Times New Roman"/>
          <w:sz w:val="24"/>
          <w:szCs w:val="24"/>
        </w:rPr>
        <w:t>,</w:t>
      </w:r>
      <w:r w:rsidR="0057571C">
        <w:rPr>
          <w:rFonts w:ascii="Times New Roman" w:hAnsi="Times New Roman" w:cs="Times New Roman"/>
          <w:sz w:val="24"/>
          <w:szCs w:val="24"/>
        </w:rPr>
        <w:t>5</w:t>
      </w:r>
      <w:r w:rsidR="0057200D">
        <w:rPr>
          <w:rFonts w:ascii="Times New Roman" w:hAnsi="Times New Roman" w:cs="Times New Roman"/>
          <w:sz w:val="24"/>
          <w:szCs w:val="24"/>
        </w:rPr>
        <w:t>00 x 6)</w:t>
      </w:r>
      <w:r w:rsidR="0057200D">
        <w:rPr>
          <w:rFonts w:ascii="Times New Roman" w:hAnsi="Times New Roman" w:cs="Times New Roman"/>
          <w:sz w:val="24"/>
          <w:szCs w:val="24"/>
        </w:rPr>
        <w:tab/>
      </w:r>
      <w:r w:rsidR="0057200D">
        <w:rPr>
          <w:rFonts w:ascii="Times New Roman" w:hAnsi="Times New Roman" w:cs="Times New Roman"/>
          <w:sz w:val="24"/>
          <w:szCs w:val="24"/>
        </w:rPr>
        <w:tab/>
      </w:r>
      <w:r w:rsidR="0057200D">
        <w:rPr>
          <w:rFonts w:ascii="Times New Roman" w:hAnsi="Times New Roman" w:cs="Times New Roman"/>
          <w:sz w:val="24"/>
          <w:szCs w:val="24"/>
        </w:rPr>
        <w:tab/>
      </w:r>
      <w:r w:rsidR="0057200D">
        <w:rPr>
          <w:rFonts w:ascii="Times New Roman" w:hAnsi="Times New Roman" w:cs="Times New Roman"/>
          <w:sz w:val="24"/>
          <w:szCs w:val="24"/>
        </w:rPr>
        <w:tab/>
      </w:r>
      <w:r w:rsidR="0057200D">
        <w:rPr>
          <w:rFonts w:ascii="Times New Roman" w:hAnsi="Times New Roman" w:cs="Times New Roman"/>
          <w:sz w:val="24"/>
          <w:szCs w:val="24"/>
        </w:rPr>
        <w:tab/>
      </w:r>
      <w:r w:rsidR="0057200D">
        <w:rPr>
          <w:rFonts w:ascii="Times New Roman" w:hAnsi="Times New Roman" w:cs="Times New Roman"/>
          <w:sz w:val="24"/>
          <w:szCs w:val="24"/>
        </w:rPr>
        <w:tab/>
        <w:t>5</w:t>
      </w:r>
      <w:r w:rsidR="0057571C">
        <w:rPr>
          <w:rFonts w:ascii="Times New Roman" w:hAnsi="Times New Roman" w:cs="Times New Roman"/>
          <w:sz w:val="24"/>
          <w:szCs w:val="24"/>
        </w:rPr>
        <w:t>67</w:t>
      </w:r>
      <w:r w:rsidR="0057200D">
        <w:rPr>
          <w:rFonts w:ascii="Times New Roman" w:hAnsi="Times New Roman" w:cs="Times New Roman"/>
          <w:sz w:val="24"/>
          <w:szCs w:val="24"/>
        </w:rPr>
        <w:t>,000</w:t>
      </w:r>
    </w:p>
    <w:p w14:paraId="56A72E3C" w14:textId="3E55525D" w:rsidR="0057200D" w:rsidRDefault="0057200D" w:rsidP="003B1E46">
      <w:pPr>
        <w:pStyle w:val="ListParagraph"/>
        <w:tabs>
          <w:tab w:val="left" w:pos="0"/>
        </w:tabs>
        <w:ind w:left="0"/>
        <w:jc w:val="both"/>
        <w:rPr>
          <w:rFonts w:ascii="Times New Roman" w:hAnsi="Times New Roman" w:cs="Times New Roman"/>
          <w:sz w:val="24"/>
          <w:szCs w:val="24"/>
          <w:u w:val="single"/>
        </w:rPr>
      </w:pPr>
      <w:r>
        <w:rPr>
          <w:rFonts w:ascii="Times New Roman" w:hAnsi="Times New Roman" w:cs="Times New Roman"/>
          <w:sz w:val="24"/>
          <w:szCs w:val="24"/>
        </w:rPr>
        <w:t>Variable costs (9</w:t>
      </w:r>
      <w:r w:rsidR="0057571C">
        <w:rPr>
          <w:rFonts w:ascii="Times New Roman" w:hAnsi="Times New Roman" w:cs="Times New Roman"/>
          <w:sz w:val="24"/>
          <w:szCs w:val="24"/>
        </w:rPr>
        <w:t>4</w:t>
      </w:r>
      <w:r>
        <w:rPr>
          <w:rFonts w:ascii="Times New Roman" w:hAnsi="Times New Roman" w:cs="Times New Roman"/>
          <w:sz w:val="24"/>
          <w:szCs w:val="24"/>
        </w:rPr>
        <w:t>,</w:t>
      </w:r>
      <w:r w:rsidR="0057571C">
        <w:rPr>
          <w:rFonts w:ascii="Times New Roman" w:hAnsi="Times New Roman" w:cs="Times New Roman"/>
          <w:sz w:val="24"/>
          <w:szCs w:val="24"/>
        </w:rPr>
        <w:t>5</w:t>
      </w:r>
      <w:r>
        <w:rPr>
          <w:rFonts w:ascii="Times New Roman" w:hAnsi="Times New Roman" w:cs="Times New Roman"/>
          <w:sz w:val="24"/>
          <w:szCs w:val="24"/>
        </w:rPr>
        <w:t>00 x 3.70)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7200D">
        <w:rPr>
          <w:rFonts w:ascii="Times New Roman" w:hAnsi="Times New Roman" w:cs="Times New Roman"/>
          <w:sz w:val="24"/>
          <w:szCs w:val="24"/>
          <w:u w:val="single"/>
        </w:rPr>
        <w:t>3</w:t>
      </w:r>
      <w:r w:rsidR="0057571C">
        <w:rPr>
          <w:rFonts w:ascii="Times New Roman" w:hAnsi="Times New Roman" w:cs="Times New Roman"/>
          <w:sz w:val="24"/>
          <w:szCs w:val="24"/>
          <w:u w:val="single"/>
        </w:rPr>
        <w:t>49</w:t>
      </w:r>
      <w:r w:rsidR="00171082">
        <w:rPr>
          <w:rFonts w:ascii="Times New Roman" w:hAnsi="Times New Roman" w:cs="Times New Roman"/>
          <w:sz w:val="24"/>
          <w:szCs w:val="24"/>
          <w:u w:val="single"/>
        </w:rPr>
        <w:t>,</w:t>
      </w:r>
      <w:r w:rsidR="0057571C">
        <w:rPr>
          <w:rFonts w:ascii="Times New Roman" w:hAnsi="Times New Roman" w:cs="Times New Roman"/>
          <w:sz w:val="24"/>
          <w:szCs w:val="24"/>
          <w:u w:val="single"/>
        </w:rPr>
        <w:t>65</w:t>
      </w:r>
      <w:r w:rsidRPr="0057200D">
        <w:rPr>
          <w:rFonts w:ascii="Times New Roman" w:hAnsi="Times New Roman" w:cs="Times New Roman"/>
          <w:sz w:val="24"/>
          <w:szCs w:val="24"/>
          <w:u w:val="single"/>
        </w:rPr>
        <w:t>0</w:t>
      </w:r>
    </w:p>
    <w:p w14:paraId="1EC4140A" w14:textId="434A3C74" w:rsidR="0057200D" w:rsidRDefault="0057200D" w:rsidP="003B1E46">
      <w:pPr>
        <w:pStyle w:val="ListParagraph"/>
        <w:tabs>
          <w:tab w:val="left" w:pos="0"/>
        </w:tabs>
        <w:ind w:left="0"/>
        <w:jc w:val="both"/>
        <w:rPr>
          <w:rFonts w:ascii="Times New Roman" w:hAnsi="Times New Roman" w:cs="Times New Roman"/>
          <w:sz w:val="24"/>
          <w:szCs w:val="24"/>
        </w:rPr>
      </w:pPr>
      <w:r>
        <w:rPr>
          <w:rFonts w:ascii="Times New Roman" w:hAnsi="Times New Roman" w:cs="Times New Roman"/>
          <w:sz w:val="24"/>
          <w:szCs w:val="24"/>
        </w:rPr>
        <w:t xml:space="preserve">Contribution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57571C">
        <w:rPr>
          <w:rFonts w:ascii="Times New Roman" w:hAnsi="Times New Roman" w:cs="Times New Roman"/>
          <w:sz w:val="24"/>
          <w:szCs w:val="24"/>
        </w:rPr>
        <w:t>1</w:t>
      </w:r>
      <w:r>
        <w:rPr>
          <w:rFonts w:ascii="Times New Roman" w:hAnsi="Times New Roman" w:cs="Times New Roman"/>
          <w:sz w:val="24"/>
          <w:szCs w:val="24"/>
        </w:rPr>
        <w:t>7,</w:t>
      </w:r>
      <w:r w:rsidR="0057571C">
        <w:rPr>
          <w:rFonts w:ascii="Times New Roman" w:hAnsi="Times New Roman" w:cs="Times New Roman"/>
          <w:sz w:val="24"/>
          <w:szCs w:val="24"/>
        </w:rPr>
        <w:t>35</w:t>
      </w:r>
      <w:r>
        <w:rPr>
          <w:rFonts w:ascii="Times New Roman" w:hAnsi="Times New Roman" w:cs="Times New Roman"/>
          <w:sz w:val="24"/>
          <w:szCs w:val="24"/>
        </w:rPr>
        <w:t>0</w:t>
      </w:r>
    </w:p>
    <w:p w14:paraId="676D9273" w14:textId="0AB25E50" w:rsidR="0057200D" w:rsidRDefault="0057200D" w:rsidP="003B1E46">
      <w:pPr>
        <w:pStyle w:val="ListParagraph"/>
        <w:tabs>
          <w:tab w:val="left" w:pos="0"/>
        </w:tabs>
        <w:ind w:left="0"/>
        <w:jc w:val="both"/>
        <w:rPr>
          <w:rFonts w:ascii="Times New Roman" w:hAnsi="Times New Roman" w:cs="Times New Roman"/>
          <w:sz w:val="24"/>
          <w:szCs w:val="24"/>
          <w:u w:val="single"/>
        </w:rPr>
      </w:pPr>
      <w:r>
        <w:rPr>
          <w:rFonts w:ascii="Times New Roman" w:hAnsi="Times New Roman" w:cs="Times New Roman"/>
          <w:sz w:val="24"/>
          <w:szCs w:val="24"/>
        </w:rPr>
        <w:t>Fixed cost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1</w:t>
      </w:r>
      <w:r w:rsidR="0057571C">
        <w:rPr>
          <w:rFonts w:ascii="Times New Roman" w:hAnsi="Times New Roman" w:cs="Times New Roman"/>
          <w:sz w:val="24"/>
          <w:szCs w:val="24"/>
          <w:u w:val="single"/>
        </w:rPr>
        <w:t>92</w:t>
      </w:r>
      <w:r>
        <w:rPr>
          <w:rFonts w:ascii="Times New Roman" w:hAnsi="Times New Roman" w:cs="Times New Roman"/>
          <w:sz w:val="24"/>
          <w:szCs w:val="24"/>
          <w:u w:val="single"/>
        </w:rPr>
        <w:t>,</w:t>
      </w:r>
      <w:r w:rsidR="0057571C">
        <w:rPr>
          <w:rFonts w:ascii="Times New Roman" w:hAnsi="Times New Roman" w:cs="Times New Roman"/>
          <w:sz w:val="24"/>
          <w:szCs w:val="24"/>
          <w:u w:val="single"/>
        </w:rPr>
        <w:t>5</w:t>
      </w:r>
      <w:r>
        <w:rPr>
          <w:rFonts w:ascii="Times New Roman" w:hAnsi="Times New Roman" w:cs="Times New Roman"/>
          <w:sz w:val="24"/>
          <w:szCs w:val="24"/>
          <w:u w:val="single"/>
        </w:rPr>
        <w:t>00</w:t>
      </w:r>
    </w:p>
    <w:p w14:paraId="047B340D" w14:textId="42403579" w:rsidR="0057200D" w:rsidRDefault="0057200D" w:rsidP="003B1E46">
      <w:pPr>
        <w:pStyle w:val="ListParagraph"/>
        <w:tabs>
          <w:tab w:val="left" w:pos="0"/>
        </w:tabs>
        <w:ind w:left="0"/>
        <w:jc w:val="both"/>
        <w:rPr>
          <w:rFonts w:ascii="Times New Roman" w:hAnsi="Times New Roman" w:cs="Times New Roman"/>
          <w:sz w:val="24"/>
          <w:szCs w:val="24"/>
        </w:rPr>
      </w:pPr>
      <w:r w:rsidRPr="0057200D">
        <w:rPr>
          <w:rFonts w:ascii="Times New Roman" w:hAnsi="Times New Roman" w:cs="Times New Roman"/>
          <w:sz w:val="24"/>
          <w:szCs w:val="24"/>
        </w:rPr>
        <w:t>Operating</w:t>
      </w:r>
      <w:r>
        <w:rPr>
          <w:rFonts w:ascii="Times New Roman" w:hAnsi="Times New Roman" w:cs="Times New Roman"/>
          <w:sz w:val="24"/>
          <w:szCs w:val="24"/>
        </w:rPr>
        <w:t xml:space="preserve"> profit/(loss)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C50CA">
        <w:rPr>
          <w:rFonts w:ascii="Times New Roman" w:hAnsi="Times New Roman" w:cs="Times New Roman"/>
          <w:sz w:val="24"/>
          <w:szCs w:val="24"/>
        </w:rPr>
        <w:tab/>
        <w:t xml:space="preserve"> 24,850</w:t>
      </w:r>
    </w:p>
    <w:p w14:paraId="3450384D" w14:textId="4BF0E309" w:rsidR="005C50CA" w:rsidRDefault="005C50CA" w:rsidP="003B1E46">
      <w:pPr>
        <w:pStyle w:val="ListParagraph"/>
        <w:tabs>
          <w:tab w:val="left" w:pos="0"/>
        </w:tabs>
        <w:ind w:left="0"/>
        <w:jc w:val="both"/>
        <w:rPr>
          <w:rFonts w:ascii="Times New Roman" w:hAnsi="Times New Roman" w:cs="Times New Roman"/>
          <w:sz w:val="24"/>
          <w:szCs w:val="24"/>
        </w:rPr>
      </w:pPr>
    </w:p>
    <w:p w14:paraId="7342B44C" w14:textId="610BB441" w:rsidR="005C50CA" w:rsidRDefault="005C50CA" w:rsidP="003B1E46">
      <w:pPr>
        <w:pStyle w:val="ListParagraph"/>
        <w:tabs>
          <w:tab w:val="left" w:pos="0"/>
        </w:tabs>
        <w:ind w:left="0"/>
        <w:jc w:val="both"/>
        <w:rPr>
          <w:rFonts w:ascii="Times New Roman" w:hAnsi="Times New Roman" w:cs="Times New Roman"/>
          <w:sz w:val="24"/>
          <w:szCs w:val="24"/>
        </w:rPr>
      </w:pPr>
    </w:p>
    <w:p w14:paraId="190F0A24" w14:textId="7104C976" w:rsidR="005C50CA" w:rsidRDefault="005C50CA" w:rsidP="003B1E46">
      <w:pPr>
        <w:pStyle w:val="ListParagraph"/>
        <w:tabs>
          <w:tab w:val="left" w:pos="0"/>
        </w:tabs>
        <w:ind w:left="0"/>
        <w:jc w:val="both"/>
        <w:rPr>
          <w:rFonts w:ascii="Times New Roman" w:hAnsi="Times New Roman" w:cs="Times New Roman"/>
          <w:sz w:val="24"/>
          <w:szCs w:val="24"/>
        </w:rPr>
      </w:pPr>
    </w:p>
    <w:p w14:paraId="5FB1B185" w14:textId="77777777" w:rsidR="005C50CA" w:rsidRDefault="005C50CA" w:rsidP="003B1E46">
      <w:pPr>
        <w:pStyle w:val="ListParagraph"/>
        <w:tabs>
          <w:tab w:val="left" w:pos="0"/>
        </w:tabs>
        <w:ind w:left="0"/>
        <w:jc w:val="both"/>
        <w:rPr>
          <w:rFonts w:ascii="Times New Roman" w:hAnsi="Times New Roman" w:cs="Times New Roman"/>
          <w:sz w:val="24"/>
          <w:szCs w:val="24"/>
        </w:rPr>
      </w:pPr>
    </w:p>
    <w:p w14:paraId="256A139C" w14:textId="680944D0" w:rsidR="005C50CA" w:rsidRPr="0057200D" w:rsidRDefault="005C50CA" w:rsidP="003B1E46">
      <w:pPr>
        <w:pStyle w:val="ListParagraph"/>
        <w:tabs>
          <w:tab w:val="left" w:pos="0"/>
        </w:tabs>
        <w:ind w:left="0"/>
        <w:jc w:val="both"/>
        <w:rPr>
          <w:rFonts w:ascii="Times New Roman" w:hAnsi="Times New Roman" w:cs="Times New Roman"/>
          <w:sz w:val="24"/>
          <w:szCs w:val="24"/>
        </w:rPr>
      </w:pPr>
      <w:r>
        <w:rPr>
          <w:rFonts w:ascii="Times New Roman" w:hAnsi="Times New Roman" w:cs="Times New Roman"/>
          <w:sz w:val="24"/>
          <w:szCs w:val="24"/>
        </w:rPr>
        <w:t>(d)</w:t>
      </w:r>
    </w:p>
    <w:p w14:paraId="46A1CED5" w14:textId="77777777" w:rsidR="005C50CA" w:rsidRPr="00E55AEC"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With the breakeven analysis the organization is able to determine the sweet spot of no profit and no loss using which the organization is able to determine its safety margin and the extent to which it needs to earn in order to generate revenue and what is the extent after which the business will be in loss (Topazio et al., 2020)</w:t>
      </w:r>
    </w:p>
    <w:p w14:paraId="4888911A" w14:textId="77777777" w:rsidR="005C50CA" w:rsidRPr="00E55AEC" w:rsidRDefault="005C50CA" w:rsidP="005C50CA">
      <w:pPr>
        <w:spacing w:after="240" w:line="360" w:lineRule="auto"/>
        <w:jc w:val="center"/>
        <w:rPr>
          <w:rFonts w:asciiTheme="majorBidi" w:hAnsiTheme="majorBidi" w:cstheme="majorBidi"/>
          <w:szCs w:val="24"/>
          <w:lang w:val="en-US"/>
        </w:rPr>
      </w:pPr>
      <w:r w:rsidRPr="00E55AEC">
        <w:rPr>
          <w:rFonts w:asciiTheme="majorBidi" w:hAnsiTheme="majorBidi" w:cstheme="majorBidi"/>
          <w:noProof/>
          <w:szCs w:val="24"/>
          <w:lang w:val="en-US"/>
        </w:rPr>
        <w:drawing>
          <wp:inline distT="0" distB="0" distL="0" distR="0" wp14:anchorId="597A8AD7" wp14:editId="4D2D2CFA">
            <wp:extent cx="4723130" cy="2950210"/>
            <wp:effectExtent l="0" t="0" r="1270" b="2540"/>
            <wp:docPr id="6" name="Picture 6" descr="An example of a break-eve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ample of a break-even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3130" cy="2950210"/>
                    </a:xfrm>
                    <a:prstGeom prst="rect">
                      <a:avLst/>
                    </a:prstGeom>
                    <a:noFill/>
                    <a:ln>
                      <a:noFill/>
                    </a:ln>
                  </pic:spPr>
                </pic:pic>
              </a:graphicData>
            </a:graphic>
          </wp:inline>
        </w:drawing>
      </w:r>
    </w:p>
    <w:p w14:paraId="3A33767A" w14:textId="38630898" w:rsidR="005C50CA" w:rsidRPr="00E55AEC"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 xml:space="preserve">The </w:t>
      </w:r>
      <w:r w:rsidRPr="00E55AEC">
        <w:rPr>
          <w:rFonts w:asciiTheme="majorBidi" w:hAnsiTheme="majorBidi" w:cstheme="majorBidi"/>
          <w:szCs w:val="24"/>
          <w:lang w:val="en-US"/>
        </w:rPr>
        <w:t>break-even</w:t>
      </w:r>
      <w:r w:rsidRPr="00E55AEC">
        <w:rPr>
          <w:rFonts w:asciiTheme="majorBidi" w:hAnsiTheme="majorBidi" w:cstheme="majorBidi"/>
          <w:szCs w:val="24"/>
          <w:lang w:val="en-US"/>
        </w:rPr>
        <w:t xml:space="preserve"> analysis comes with some limitations:</w:t>
      </w:r>
    </w:p>
    <w:p w14:paraId="6354EC9A" w14:textId="77777777" w:rsidR="005C50CA" w:rsidRPr="00E55AEC" w:rsidRDefault="005C50CA" w:rsidP="005C50CA">
      <w:pPr>
        <w:pStyle w:val="ListParagraph"/>
        <w:numPr>
          <w:ilvl w:val="0"/>
          <w:numId w:val="2"/>
        </w:num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In breakeven analysis the semi-variable costs are also include which makes it difficult to properly separate the fixed cost and the variable cost from the total cost.</w:t>
      </w:r>
    </w:p>
    <w:p w14:paraId="4C05B852" w14:textId="77777777" w:rsidR="005C50CA" w:rsidRPr="00E55AEC" w:rsidRDefault="005C50CA" w:rsidP="005C50CA">
      <w:pPr>
        <w:pStyle w:val="ListParagraph"/>
        <w:numPr>
          <w:ilvl w:val="0"/>
          <w:numId w:val="2"/>
        </w:num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The sales revenue does not increase at the exact same rate as that of product and output</w:t>
      </w:r>
    </w:p>
    <w:p w14:paraId="127CFC9B" w14:textId="77777777" w:rsidR="005C50CA" w:rsidRPr="00E55AEC" w:rsidRDefault="005C50CA" w:rsidP="005C50CA">
      <w:pPr>
        <w:pStyle w:val="ListParagraph"/>
        <w:numPr>
          <w:ilvl w:val="0"/>
          <w:numId w:val="2"/>
        </w:num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The breakeven analysis also ignores the time factor which makes it not possible to compare the costs over a longer period of time (Topazio et al., 2020)</w:t>
      </w:r>
    </w:p>
    <w:p w14:paraId="5FF37F7A" w14:textId="77777777" w:rsidR="005C50CA" w:rsidRPr="00E55AEC" w:rsidRDefault="005C50CA" w:rsidP="005C50CA">
      <w:pPr>
        <w:pStyle w:val="ListParagraph"/>
        <w:numPr>
          <w:ilvl w:val="0"/>
          <w:numId w:val="2"/>
        </w:num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Unrealistic assumptions – the fixed does not changes with the change in output, hence the products and services are sold at varying cost as per the output level.</w:t>
      </w:r>
    </w:p>
    <w:p w14:paraId="1B6E5BDD" w14:textId="77777777" w:rsidR="005C50CA" w:rsidRPr="00E55AEC" w:rsidRDefault="005C50CA" w:rsidP="005C50CA">
      <w:pPr>
        <w:pStyle w:val="ListParagraph"/>
        <w:numPr>
          <w:ilvl w:val="0"/>
          <w:numId w:val="2"/>
        </w:num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 xml:space="preserve">The sales remain the same as per the output level </w:t>
      </w:r>
    </w:p>
    <w:p w14:paraId="73C70061" w14:textId="77777777" w:rsidR="005C50CA" w:rsidRPr="00E55AEC" w:rsidRDefault="005C50CA" w:rsidP="005C50CA">
      <w:pPr>
        <w:pStyle w:val="ListParagraph"/>
        <w:numPr>
          <w:ilvl w:val="0"/>
          <w:numId w:val="2"/>
        </w:num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It does not effectively calculate the sales of multiple products.</w:t>
      </w:r>
    </w:p>
    <w:p w14:paraId="2E206CB0" w14:textId="04D7E4E3" w:rsidR="003B1E46"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 xml:space="preserve">The above discussed limitations </w:t>
      </w:r>
      <w:r w:rsidRPr="00E55AEC">
        <w:rPr>
          <w:rFonts w:asciiTheme="majorBidi" w:hAnsiTheme="majorBidi" w:cstheme="majorBidi"/>
          <w:szCs w:val="24"/>
          <w:lang w:val="en-US"/>
        </w:rPr>
        <w:t>make</w:t>
      </w:r>
      <w:r w:rsidRPr="00E55AEC">
        <w:rPr>
          <w:rFonts w:asciiTheme="majorBidi" w:hAnsiTheme="majorBidi" w:cstheme="majorBidi"/>
          <w:szCs w:val="24"/>
          <w:lang w:val="en-US"/>
        </w:rPr>
        <w:t xml:space="preserve"> it clear that breakeven analysis is merely a planning tool rather than a </w:t>
      </w:r>
      <w:r w:rsidRPr="00E55AEC">
        <w:rPr>
          <w:rFonts w:asciiTheme="majorBidi" w:hAnsiTheme="majorBidi" w:cstheme="majorBidi"/>
          <w:szCs w:val="24"/>
          <w:lang w:val="en-US"/>
        </w:rPr>
        <w:t>decision-making</w:t>
      </w:r>
      <w:r w:rsidRPr="00E55AEC">
        <w:rPr>
          <w:rFonts w:asciiTheme="majorBidi" w:hAnsiTheme="majorBidi" w:cstheme="majorBidi"/>
          <w:szCs w:val="24"/>
          <w:lang w:val="en-US"/>
        </w:rPr>
        <w:t xml:space="preserve"> tool for any business (Walsh, 2019).</w:t>
      </w:r>
    </w:p>
    <w:p w14:paraId="69748E90" w14:textId="378E09B2" w:rsidR="005C50CA" w:rsidRDefault="005C50CA" w:rsidP="005C50CA">
      <w:pPr>
        <w:spacing w:after="240" w:line="360" w:lineRule="auto"/>
        <w:jc w:val="both"/>
        <w:rPr>
          <w:rFonts w:asciiTheme="majorBidi" w:hAnsiTheme="majorBidi" w:cstheme="majorBidi"/>
          <w:szCs w:val="24"/>
          <w:lang w:val="en-US"/>
        </w:rPr>
      </w:pPr>
    </w:p>
    <w:p w14:paraId="5F16D445" w14:textId="77777777" w:rsidR="005C50CA" w:rsidRDefault="005C50CA" w:rsidP="005C50CA">
      <w:pPr>
        <w:spacing w:after="240" w:line="360" w:lineRule="auto"/>
        <w:jc w:val="both"/>
        <w:rPr>
          <w:rFonts w:asciiTheme="majorBidi" w:hAnsiTheme="majorBidi" w:cstheme="majorBidi"/>
          <w:szCs w:val="24"/>
          <w:lang w:val="en-US"/>
        </w:rPr>
      </w:pPr>
    </w:p>
    <w:p w14:paraId="0C3FAF41" w14:textId="41AAF4EB" w:rsidR="005C50CA" w:rsidRDefault="005C50CA" w:rsidP="005C50CA">
      <w:pPr>
        <w:spacing w:after="240"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QUESTION 2</w:t>
      </w:r>
    </w:p>
    <w:p w14:paraId="5682A22D" w14:textId="23D9BB7F" w:rsidR="005C50CA" w:rsidRDefault="005C50CA" w:rsidP="005C50CA">
      <w:pPr>
        <w:spacing w:after="240"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w:t>
      </w:r>
    </w:p>
    <w:p w14:paraId="175E8477" w14:textId="1365F75F" w:rsidR="005C50CA" w:rsidRPr="00E55AEC" w:rsidRDefault="005C50CA" w:rsidP="005C50CA">
      <w:pPr>
        <w:spacing w:line="360" w:lineRule="auto"/>
        <w:jc w:val="both"/>
        <w:rPr>
          <w:rFonts w:asciiTheme="majorBidi" w:hAnsiTheme="majorBidi" w:cstheme="majorBidi"/>
          <w:szCs w:val="24"/>
          <w:lang w:val="en-US"/>
        </w:rPr>
      </w:pPr>
      <w:r w:rsidRPr="00E55AEC">
        <w:rPr>
          <w:rFonts w:asciiTheme="majorBidi" w:hAnsiTheme="majorBidi" w:cstheme="majorBidi"/>
          <w:szCs w:val="24"/>
          <w:lang w:val="en-US"/>
        </w:rPr>
        <w:t xml:space="preserve">Management accounting is in some ways different than financial accounting, but both the tools are important to undertake important finance related business decisions. With management accounting, the internal data is collected which </w:t>
      </w:r>
      <w:r w:rsidRPr="00E55AEC">
        <w:rPr>
          <w:rFonts w:asciiTheme="majorBidi" w:hAnsiTheme="majorBidi" w:cstheme="majorBidi"/>
          <w:szCs w:val="24"/>
          <w:lang w:val="en-US"/>
        </w:rPr>
        <w:t>helps in</w:t>
      </w:r>
      <w:r w:rsidRPr="00E55AEC">
        <w:rPr>
          <w:rFonts w:asciiTheme="majorBidi" w:hAnsiTheme="majorBidi" w:cstheme="majorBidi"/>
          <w:szCs w:val="24"/>
          <w:lang w:val="en-US"/>
        </w:rPr>
        <w:t xml:space="preserve"> processes the accounts for the transactions of the business, while with financial accounting, such data is collected that helps formulate the financial statements of the business (Topazio et al., 2020)</w:t>
      </w:r>
    </w:p>
    <w:p w14:paraId="200C907D" w14:textId="77777777" w:rsidR="005C50CA" w:rsidRPr="00E55AEC" w:rsidRDefault="005C50CA" w:rsidP="005C50CA">
      <w:pPr>
        <w:spacing w:line="360" w:lineRule="auto"/>
        <w:jc w:val="both"/>
        <w:rPr>
          <w:rFonts w:asciiTheme="majorBidi" w:hAnsiTheme="majorBidi" w:cstheme="majorBidi"/>
          <w:szCs w:val="24"/>
          <w:lang w:val="en-US"/>
        </w:rPr>
      </w:pPr>
      <w:r w:rsidRPr="00E55AEC">
        <w:rPr>
          <w:rFonts w:asciiTheme="majorBidi" w:hAnsiTheme="majorBidi" w:cstheme="majorBidi"/>
          <w:szCs w:val="24"/>
          <w:lang w:val="en-US"/>
        </w:rPr>
        <w:t>The financial accounting is more concerned with profit maximization whereas the management accounting is concerned with the bottleneck operations and functions that also helps enhance the profitability by removing those bottlenecks.</w:t>
      </w:r>
    </w:p>
    <w:p w14:paraId="1D0FDB49" w14:textId="77777777" w:rsidR="005C50CA" w:rsidRPr="00E55AEC" w:rsidRDefault="005C50CA" w:rsidP="005C50CA">
      <w:pPr>
        <w:spacing w:line="360" w:lineRule="auto"/>
        <w:jc w:val="both"/>
        <w:rPr>
          <w:rFonts w:asciiTheme="majorBidi" w:hAnsiTheme="majorBidi" w:cstheme="majorBidi"/>
          <w:szCs w:val="24"/>
          <w:lang w:val="en-US"/>
        </w:rPr>
      </w:pPr>
      <w:r w:rsidRPr="00E55AEC">
        <w:rPr>
          <w:rFonts w:asciiTheme="majorBidi" w:hAnsiTheme="majorBidi" w:cstheme="majorBidi"/>
          <w:szCs w:val="24"/>
          <w:lang w:val="en-US"/>
        </w:rPr>
        <w:t>Management accounting formulates the operational reports which is shared with the organization in order to base their decisions on it. The reports undertaken by management accounting are more focused and more in detailed.</w:t>
      </w:r>
    </w:p>
    <w:p w14:paraId="045C4B20" w14:textId="77777777" w:rsidR="005C50CA" w:rsidRPr="00E55AEC" w:rsidRDefault="005C50CA" w:rsidP="005C50CA">
      <w:pPr>
        <w:spacing w:line="360" w:lineRule="auto"/>
        <w:jc w:val="both"/>
        <w:rPr>
          <w:rFonts w:asciiTheme="majorBidi" w:hAnsiTheme="majorBidi" w:cstheme="majorBidi"/>
          <w:szCs w:val="24"/>
          <w:lang w:val="en-US"/>
        </w:rPr>
      </w:pPr>
      <w:r w:rsidRPr="00E55AEC">
        <w:rPr>
          <w:rFonts w:asciiTheme="majorBidi" w:hAnsiTheme="majorBidi" w:cstheme="majorBidi"/>
          <w:szCs w:val="24"/>
          <w:lang w:val="en-US"/>
        </w:rPr>
        <w:t>The management accounting helps identify the business problems and outline the ways with which the problem can be effectively fixed. However, the financial accounting helps reports and outline the overall profitability and efficiency of the business (Walsh, 2019).</w:t>
      </w:r>
    </w:p>
    <w:p w14:paraId="63BAC8AA" w14:textId="77777777" w:rsidR="005C50CA" w:rsidRPr="00E55AEC" w:rsidRDefault="005C50CA" w:rsidP="005C50CA">
      <w:pPr>
        <w:spacing w:line="360" w:lineRule="auto"/>
        <w:jc w:val="both"/>
        <w:rPr>
          <w:rFonts w:asciiTheme="majorBidi" w:hAnsiTheme="majorBidi" w:cstheme="majorBidi"/>
          <w:szCs w:val="24"/>
          <w:lang w:val="en-US"/>
        </w:rPr>
      </w:pPr>
      <w:r w:rsidRPr="00E55AEC">
        <w:rPr>
          <w:rFonts w:asciiTheme="majorBidi" w:hAnsiTheme="majorBidi" w:cstheme="majorBidi"/>
          <w:szCs w:val="24"/>
          <w:lang w:val="en-US"/>
        </w:rPr>
        <w:t>Financial accounting considers the past trends to examine the current financial results and base their decisions on it, while managerial accounting looks future trends.</w:t>
      </w:r>
    </w:p>
    <w:p w14:paraId="72FAB77F" w14:textId="49CFA4D8" w:rsidR="005C50CA"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Financial accounting helps in performance analysis of the organization. With financial accounting the profitability of the business is analyzed over a period. Considering the importance of both it can be concluded that both financial and management accounting are important for the business.</w:t>
      </w:r>
    </w:p>
    <w:p w14:paraId="3DF3C830" w14:textId="6745B5FD" w:rsidR="005C50CA" w:rsidRPr="005C50CA" w:rsidRDefault="005C50CA" w:rsidP="005C50CA">
      <w:pPr>
        <w:spacing w:after="240" w:line="360" w:lineRule="auto"/>
        <w:jc w:val="both"/>
        <w:rPr>
          <w:rFonts w:asciiTheme="majorBidi" w:hAnsiTheme="majorBidi" w:cstheme="majorBidi"/>
          <w:szCs w:val="24"/>
          <w:lang w:val="en-US"/>
        </w:rPr>
      </w:pPr>
      <w:r>
        <w:rPr>
          <w:rFonts w:asciiTheme="majorBidi" w:hAnsiTheme="majorBidi" w:cstheme="majorBidi"/>
          <w:szCs w:val="24"/>
          <w:lang w:val="en-US"/>
        </w:rPr>
        <w:t>(b)</w:t>
      </w:r>
    </w:p>
    <w:p w14:paraId="336EF2A2" w14:textId="77777777" w:rsidR="005C50CA" w:rsidRPr="00E55AEC"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There are certain financial tools using which the business is able to effectively meet its objectives. These are:</w:t>
      </w:r>
    </w:p>
    <w:p w14:paraId="425EF782" w14:textId="77777777" w:rsidR="005C50CA" w:rsidRPr="00E55AEC" w:rsidRDefault="005C50CA" w:rsidP="005C50CA">
      <w:pPr>
        <w:spacing w:after="240" w:line="360" w:lineRule="auto"/>
        <w:jc w:val="both"/>
        <w:rPr>
          <w:rFonts w:asciiTheme="majorBidi" w:hAnsiTheme="majorBidi" w:cstheme="majorBidi"/>
          <w:b/>
          <w:bCs/>
          <w:i/>
          <w:iCs/>
          <w:szCs w:val="24"/>
          <w:lang w:val="en-US"/>
        </w:rPr>
      </w:pPr>
      <w:r w:rsidRPr="00E55AEC">
        <w:rPr>
          <w:rFonts w:asciiTheme="majorBidi" w:hAnsiTheme="majorBidi" w:cstheme="majorBidi"/>
          <w:b/>
          <w:bCs/>
          <w:i/>
          <w:iCs/>
          <w:szCs w:val="24"/>
          <w:lang w:val="en-US"/>
        </w:rPr>
        <w:t>Variance Analysis</w:t>
      </w:r>
    </w:p>
    <w:p w14:paraId="504A1B14" w14:textId="77777777" w:rsidR="005C50CA" w:rsidRPr="00E55AEC"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The actual budget is compared with the planned budget as it is the study of deviations. The businesses are able to determine the performance level.</w:t>
      </w:r>
    </w:p>
    <w:p w14:paraId="45FDBAD6" w14:textId="77777777" w:rsidR="005C50CA" w:rsidRPr="00E55AEC" w:rsidRDefault="005C50CA" w:rsidP="005C50CA">
      <w:pPr>
        <w:spacing w:after="240" w:line="360" w:lineRule="auto"/>
        <w:jc w:val="both"/>
        <w:rPr>
          <w:rFonts w:asciiTheme="majorBidi" w:hAnsiTheme="majorBidi" w:cstheme="majorBidi"/>
          <w:b/>
          <w:bCs/>
          <w:i/>
          <w:iCs/>
          <w:szCs w:val="24"/>
          <w:lang w:val="en-US"/>
        </w:rPr>
      </w:pPr>
      <w:r w:rsidRPr="00E55AEC">
        <w:rPr>
          <w:rFonts w:asciiTheme="majorBidi" w:hAnsiTheme="majorBidi" w:cstheme="majorBidi"/>
          <w:b/>
          <w:bCs/>
          <w:i/>
          <w:iCs/>
          <w:szCs w:val="24"/>
          <w:lang w:val="en-US"/>
        </w:rPr>
        <w:t>Inventory Valuation</w:t>
      </w:r>
    </w:p>
    <w:p w14:paraId="31F58526" w14:textId="77777777" w:rsidR="005C50CA" w:rsidRPr="00E55AEC"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lastRenderedPageBreak/>
        <w:t>The inventory allocation is done using this technique which helps the business is effective inventory allocation (Walsh, 2019)</w:t>
      </w:r>
    </w:p>
    <w:p w14:paraId="3301E1BD" w14:textId="77777777" w:rsidR="005C50CA" w:rsidRPr="00E55AEC" w:rsidRDefault="005C50CA" w:rsidP="005C50CA">
      <w:pPr>
        <w:spacing w:after="240" w:line="360" w:lineRule="auto"/>
        <w:jc w:val="both"/>
        <w:rPr>
          <w:rFonts w:asciiTheme="majorBidi" w:hAnsiTheme="majorBidi" w:cstheme="majorBidi"/>
          <w:b/>
          <w:bCs/>
          <w:i/>
          <w:iCs/>
          <w:szCs w:val="24"/>
          <w:lang w:val="en-US"/>
        </w:rPr>
      </w:pPr>
      <w:r w:rsidRPr="00E55AEC">
        <w:rPr>
          <w:rFonts w:asciiTheme="majorBidi" w:hAnsiTheme="majorBidi" w:cstheme="majorBidi"/>
          <w:b/>
          <w:bCs/>
          <w:i/>
          <w:iCs/>
          <w:szCs w:val="24"/>
          <w:lang w:val="en-US"/>
        </w:rPr>
        <w:t>Capital Budgeting</w:t>
      </w:r>
    </w:p>
    <w:p w14:paraId="060E4519" w14:textId="0C6E2B66" w:rsidR="003B1E46" w:rsidRDefault="005C50CA" w:rsidP="005C50CA">
      <w:pPr>
        <w:spacing w:after="240" w:line="360" w:lineRule="auto"/>
        <w:jc w:val="both"/>
        <w:rPr>
          <w:rFonts w:asciiTheme="majorBidi" w:hAnsiTheme="majorBidi" w:cstheme="majorBidi"/>
          <w:szCs w:val="24"/>
          <w:lang w:val="en-US"/>
        </w:rPr>
      </w:pPr>
      <w:r w:rsidRPr="00E55AEC">
        <w:rPr>
          <w:rFonts w:asciiTheme="majorBidi" w:hAnsiTheme="majorBidi" w:cstheme="majorBidi"/>
          <w:szCs w:val="24"/>
          <w:lang w:val="en-US"/>
        </w:rPr>
        <w:t>It takes in view the purchase process and allocates the budget and its usage only to a limited required purchase (Dekker et al., 2019)</w:t>
      </w:r>
    </w:p>
    <w:p w14:paraId="7983AEDC" w14:textId="4BD820B6" w:rsidR="005C50CA" w:rsidRDefault="005C50CA">
      <w:pPr>
        <w:rPr>
          <w:rFonts w:asciiTheme="majorBidi" w:hAnsiTheme="majorBidi" w:cstheme="majorBidi"/>
          <w:szCs w:val="24"/>
          <w:lang w:val="en-US"/>
        </w:rPr>
      </w:pPr>
      <w:r>
        <w:rPr>
          <w:rFonts w:asciiTheme="majorBidi" w:hAnsiTheme="majorBidi" w:cstheme="majorBidi"/>
          <w:szCs w:val="24"/>
          <w:lang w:val="en-US"/>
        </w:rPr>
        <w:br w:type="page"/>
      </w:r>
    </w:p>
    <w:p w14:paraId="40818079" w14:textId="240C95D8" w:rsidR="005C50CA" w:rsidRDefault="005C50CA" w:rsidP="005C50CA">
      <w:pPr>
        <w:spacing w:after="240" w:line="360" w:lineRule="auto"/>
        <w:jc w:val="both"/>
        <w:rPr>
          <w:rFonts w:asciiTheme="majorBidi" w:hAnsiTheme="majorBidi" w:cstheme="majorBidi"/>
          <w:szCs w:val="24"/>
          <w:lang w:val="en-US"/>
        </w:rPr>
      </w:pPr>
      <w:r>
        <w:rPr>
          <w:rFonts w:asciiTheme="majorBidi" w:hAnsiTheme="majorBidi" w:cstheme="majorBidi"/>
          <w:szCs w:val="24"/>
          <w:lang w:val="en-US"/>
        </w:rPr>
        <w:lastRenderedPageBreak/>
        <w:t>References</w:t>
      </w:r>
    </w:p>
    <w:p w14:paraId="4FEE42F8" w14:textId="00432E7D" w:rsidR="005C50CA" w:rsidRDefault="005C50CA" w:rsidP="005C50CA">
      <w:pPr>
        <w:spacing w:after="240" w:line="360" w:lineRule="auto"/>
        <w:jc w:val="both"/>
        <w:rPr>
          <w:rFonts w:asciiTheme="majorBidi" w:hAnsiTheme="majorBidi" w:cstheme="majorBidi"/>
          <w:i/>
          <w:iCs/>
          <w:szCs w:val="24"/>
          <w:lang w:val="en-US"/>
        </w:rPr>
      </w:pPr>
      <w:r>
        <w:rPr>
          <w:rFonts w:asciiTheme="majorBidi" w:hAnsiTheme="majorBidi" w:cstheme="majorBidi"/>
          <w:szCs w:val="24"/>
          <w:lang w:val="en-US"/>
        </w:rPr>
        <w:t xml:space="preserve">Dekker, H.C., Kawai, T., and Sakaguchi, J. (2019) “The interfirm contracting value of management accounting information” </w:t>
      </w:r>
      <w:r>
        <w:rPr>
          <w:rFonts w:asciiTheme="majorBidi" w:hAnsiTheme="majorBidi" w:cstheme="majorBidi"/>
          <w:i/>
          <w:iCs/>
          <w:szCs w:val="24"/>
          <w:lang w:val="en-US"/>
        </w:rPr>
        <w:t xml:space="preserve">Journal of Management Accounting Research, 31(2), </w:t>
      </w:r>
      <w:r w:rsidRPr="005C50CA">
        <w:rPr>
          <w:rFonts w:asciiTheme="majorBidi" w:hAnsiTheme="majorBidi" w:cstheme="majorBidi"/>
          <w:szCs w:val="24"/>
          <w:lang w:val="en-US"/>
        </w:rPr>
        <w:t>pp.59-74</w:t>
      </w:r>
      <w:r>
        <w:rPr>
          <w:rFonts w:asciiTheme="majorBidi" w:hAnsiTheme="majorBidi" w:cstheme="majorBidi"/>
          <w:i/>
          <w:iCs/>
          <w:szCs w:val="24"/>
          <w:lang w:val="en-US"/>
        </w:rPr>
        <w:t>.</w:t>
      </w:r>
    </w:p>
    <w:p w14:paraId="2C5B0F62" w14:textId="598554AF" w:rsidR="005C50CA" w:rsidRDefault="005C50CA" w:rsidP="005C50CA">
      <w:pPr>
        <w:spacing w:after="240" w:line="360" w:lineRule="auto"/>
        <w:jc w:val="both"/>
        <w:rPr>
          <w:rFonts w:asciiTheme="majorBidi" w:hAnsiTheme="majorBidi" w:cstheme="majorBidi"/>
          <w:szCs w:val="24"/>
          <w:lang w:val="en-US"/>
        </w:rPr>
      </w:pPr>
      <w:r>
        <w:rPr>
          <w:rFonts w:asciiTheme="majorBidi" w:hAnsiTheme="majorBidi" w:cstheme="majorBidi"/>
          <w:szCs w:val="24"/>
          <w:lang w:val="en-US"/>
        </w:rPr>
        <w:t xml:space="preserve">Walsh, E. (2019) “Management Accounting and the Measurement of Business Performance: Some Dilemmas”. In </w:t>
      </w:r>
      <w:r>
        <w:rPr>
          <w:rFonts w:asciiTheme="majorBidi" w:hAnsiTheme="majorBidi" w:cstheme="majorBidi"/>
          <w:i/>
          <w:iCs/>
          <w:szCs w:val="24"/>
          <w:lang w:val="en-US"/>
        </w:rPr>
        <w:t xml:space="preserve">Human Resource Management </w:t>
      </w:r>
      <w:r>
        <w:rPr>
          <w:rFonts w:asciiTheme="majorBidi" w:hAnsiTheme="majorBidi" w:cstheme="majorBidi"/>
          <w:szCs w:val="24"/>
          <w:lang w:val="en-US"/>
        </w:rPr>
        <w:t>(pp.104-112). Routledge.</w:t>
      </w:r>
    </w:p>
    <w:p w14:paraId="6B0EB036" w14:textId="1A2E5630" w:rsidR="005C50CA" w:rsidRDefault="005C50CA" w:rsidP="005C50CA">
      <w:pPr>
        <w:spacing w:after="240" w:line="360" w:lineRule="auto"/>
        <w:jc w:val="both"/>
        <w:rPr>
          <w:rFonts w:asciiTheme="majorBidi" w:hAnsiTheme="majorBidi" w:cstheme="majorBidi"/>
          <w:szCs w:val="24"/>
          <w:lang w:val="en-US"/>
        </w:rPr>
      </w:pPr>
      <w:r>
        <w:rPr>
          <w:rFonts w:asciiTheme="majorBidi" w:hAnsiTheme="majorBidi" w:cstheme="majorBidi"/>
          <w:szCs w:val="24"/>
          <w:lang w:val="en-US"/>
        </w:rPr>
        <w:t>Topazio, N., McCaffry, R., Farrar, M., Spence, P., Simons, P., and Selby, I. (2020) “Integrated reporting</w:t>
      </w:r>
      <w:r w:rsidR="00134A91">
        <w:rPr>
          <w:rFonts w:asciiTheme="majorBidi" w:hAnsiTheme="majorBidi" w:cstheme="majorBidi"/>
          <w:szCs w:val="24"/>
          <w:lang w:val="en-US"/>
        </w:rPr>
        <w:t>: The management accounting perspective of a professional accounting body” In</w:t>
      </w:r>
      <w:r w:rsidR="00C7728A">
        <w:rPr>
          <w:rFonts w:asciiTheme="majorBidi" w:hAnsiTheme="majorBidi" w:cstheme="majorBidi"/>
          <w:szCs w:val="24"/>
          <w:lang w:val="en-US"/>
        </w:rPr>
        <w:t xml:space="preserve"> </w:t>
      </w:r>
      <w:r w:rsidR="00134A91">
        <w:rPr>
          <w:rFonts w:asciiTheme="majorBidi" w:hAnsiTheme="majorBidi" w:cstheme="majorBidi"/>
          <w:i/>
          <w:iCs/>
          <w:szCs w:val="24"/>
          <w:lang w:val="en-US"/>
        </w:rPr>
        <w:t xml:space="preserve">The Routledge Handbook of Integrated Reporting </w:t>
      </w:r>
      <w:r w:rsidR="00134A91" w:rsidRPr="00134A91">
        <w:rPr>
          <w:rFonts w:asciiTheme="majorBidi" w:hAnsiTheme="majorBidi" w:cstheme="majorBidi"/>
          <w:szCs w:val="24"/>
          <w:lang w:val="en-US"/>
        </w:rPr>
        <w:t>(pp. 84-92).</w:t>
      </w:r>
      <w:r w:rsidR="00134A91">
        <w:rPr>
          <w:rFonts w:asciiTheme="majorBidi" w:hAnsiTheme="majorBidi" w:cstheme="majorBidi"/>
          <w:i/>
          <w:iCs/>
          <w:szCs w:val="24"/>
          <w:lang w:val="en-US"/>
        </w:rPr>
        <w:t xml:space="preserve"> </w:t>
      </w:r>
      <w:r>
        <w:rPr>
          <w:rFonts w:asciiTheme="majorBidi" w:hAnsiTheme="majorBidi" w:cstheme="majorBidi"/>
          <w:szCs w:val="24"/>
          <w:lang w:val="en-US"/>
        </w:rPr>
        <w:t xml:space="preserve"> </w:t>
      </w:r>
      <w:r w:rsidR="00134A91">
        <w:rPr>
          <w:rFonts w:asciiTheme="majorBidi" w:hAnsiTheme="majorBidi" w:cstheme="majorBidi"/>
          <w:szCs w:val="24"/>
          <w:lang w:val="en-US"/>
        </w:rPr>
        <w:t>Routledge.</w:t>
      </w:r>
    </w:p>
    <w:p w14:paraId="761CEEFA" w14:textId="77777777" w:rsidR="00134A91" w:rsidRPr="005C50CA" w:rsidRDefault="00134A91" w:rsidP="005C50CA">
      <w:pPr>
        <w:spacing w:after="240" w:line="360" w:lineRule="auto"/>
        <w:jc w:val="both"/>
        <w:rPr>
          <w:rFonts w:asciiTheme="majorBidi" w:hAnsiTheme="majorBidi" w:cstheme="majorBidi"/>
          <w:szCs w:val="24"/>
          <w:lang w:val="en-US"/>
        </w:rPr>
      </w:pPr>
    </w:p>
    <w:p w14:paraId="34ECECBF" w14:textId="77777777" w:rsidR="005C50CA" w:rsidRPr="005C50CA" w:rsidRDefault="005C50CA" w:rsidP="005C50CA">
      <w:pPr>
        <w:spacing w:after="240" w:line="360" w:lineRule="auto"/>
        <w:jc w:val="both"/>
        <w:rPr>
          <w:rFonts w:asciiTheme="majorBidi" w:hAnsiTheme="majorBidi" w:cstheme="majorBidi"/>
          <w:i/>
          <w:iCs/>
          <w:szCs w:val="24"/>
          <w:lang w:val="en-US"/>
        </w:rPr>
      </w:pPr>
    </w:p>
    <w:sectPr w:rsidR="005C50CA" w:rsidRPr="005C50CA" w:rsidSect="007419E9">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6EF54" w14:textId="77777777" w:rsidR="00C83340" w:rsidRDefault="00C83340" w:rsidP="007419E9">
      <w:pPr>
        <w:spacing w:after="0" w:line="240" w:lineRule="auto"/>
      </w:pPr>
      <w:r>
        <w:separator/>
      </w:r>
    </w:p>
  </w:endnote>
  <w:endnote w:type="continuationSeparator" w:id="0">
    <w:p w14:paraId="1ED328F6" w14:textId="77777777" w:rsidR="00C83340" w:rsidRDefault="00C83340" w:rsidP="00741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1388648"/>
      <w:docPartObj>
        <w:docPartGallery w:val="Page Numbers (Bottom of Page)"/>
        <w:docPartUnique/>
      </w:docPartObj>
    </w:sdtPr>
    <w:sdtEndPr>
      <w:rPr>
        <w:noProof/>
      </w:rPr>
    </w:sdtEndPr>
    <w:sdtContent>
      <w:p w14:paraId="268F26D0" w14:textId="4D9F1DE4" w:rsidR="007419E9" w:rsidRDefault="007419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079C56" w14:textId="77777777" w:rsidR="007419E9" w:rsidRDefault="007419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34945" w14:textId="77777777" w:rsidR="00C83340" w:rsidRDefault="00C83340" w:rsidP="007419E9">
      <w:pPr>
        <w:spacing w:after="0" w:line="240" w:lineRule="auto"/>
      </w:pPr>
      <w:r>
        <w:separator/>
      </w:r>
    </w:p>
  </w:footnote>
  <w:footnote w:type="continuationSeparator" w:id="0">
    <w:p w14:paraId="7BB1BEA3" w14:textId="77777777" w:rsidR="00C83340" w:rsidRDefault="00C83340" w:rsidP="00741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B30C93"/>
    <w:multiLevelType w:val="hybridMultilevel"/>
    <w:tmpl w:val="2E5867CA"/>
    <w:lvl w:ilvl="0" w:tplc="C1DA48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5F67BE"/>
    <w:multiLevelType w:val="hybridMultilevel"/>
    <w:tmpl w:val="61E62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AD"/>
    <w:rsid w:val="00122212"/>
    <w:rsid w:val="00134A91"/>
    <w:rsid w:val="00171082"/>
    <w:rsid w:val="003B1E46"/>
    <w:rsid w:val="003B5A30"/>
    <w:rsid w:val="00420F91"/>
    <w:rsid w:val="0057200D"/>
    <w:rsid w:val="0057571C"/>
    <w:rsid w:val="005C50CA"/>
    <w:rsid w:val="00732264"/>
    <w:rsid w:val="007419E9"/>
    <w:rsid w:val="007D2916"/>
    <w:rsid w:val="00997A24"/>
    <w:rsid w:val="00AA1EB2"/>
    <w:rsid w:val="00AC5955"/>
    <w:rsid w:val="00BC4D06"/>
    <w:rsid w:val="00C7728A"/>
    <w:rsid w:val="00C83340"/>
    <w:rsid w:val="00E26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0B48"/>
  <w15:chartTrackingRefBased/>
  <w15:docId w15:val="{F30222D2-5ECB-4BD4-A5CB-649BFF633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9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19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9E9"/>
  </w:style>
  <w:style w:type="paragraph" w:styleId="Footer">
    <w:name w:val="footer"/>
    <w:basedOn w:val="Normal"/>
    <w:link w:val="FooterChar"/>
    <w:uiPriority w:val="99"/>
    <w:unhideWhenUsed/>
    <w:rsid w:val="007419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9E9"/>
  </w:style>
  <w:style w:type="paragraph" w:styleId="ListParagraph">
    <w:name w:val="List Paragraph"/>
    <w:basedOn w:val="Normal"/>
    <w:uiPriority w:val="34"/>
    <w:qFormat/>
    <w:rsid w:val="00122212"/>
    <w:pPr>
      <w:ind w:left="720"/>
      <w:contextualSpacing/>
    </w:pPr>
  </w:style>
  <w:style w:type="table" w:styleId="TableGrid">
    <w:name w:val="Table Grid"/>
    <w:basedOn w:val="TableNormal"/>
    <w:uiPriority w:val="39"/>
    <w:rsid w:val="003B1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291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862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14</cp:revision>
  <dcterms:created xsi:type="dcterms:W3CDTF">2020-09-06T12:13:00Z</dcterms:created>
  <dcterms:modified xsi:type="dcterms:W3CDTF">2020-09-06T13:58:00Z</dcterms:modified>
</cp:coreProperties>
</file>