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8A99A" w14:textId="77777777" w:rsidR="00867E4D" w:rsidRPr="00EB4CA0" w:rsidRDefault="00867E4D" w:rsidP="00867E4D">
      <w:pPr>
        <w:rPr>
          <w:rFonts w:ascii="Arial" w:hAnsi="Arial" w:cs="Arial"/>
          <w:b/>
          <w:bCs/>
          <w:sz w:val="56"/>
          <w:szCs w:val="56"/>
        </w:rPr>
      </w:pPr>
      <w:r w:rsidRPr="00EB4CA0">
        <w:rPr>
          <w:rFonts w:ascii="Arial" w:hAnsi="Arial" w:cs="Arial"/>
          <w:b/>
          <w:bCs/>
          <w:noProof/>
          <w:sz w:val="56"/>
          <w:szCs w:val="56"/>
        </w:rPr>
        <w:drawing>
          <wp:anchor distT="0" distB="0" distL="114300" distR="114300" simplePos="0" relativeHeight="251659264" behindDoc="1" locked="0" layoutInCell="1" allowOverlap="1" wp14:anchorId="7A92A41B" wp14:editId="6554A9AD">
            <wp:simplePos x="0" y="0"/>
            <wp:positionH relativeFrom="margin">
              <wp:posOffset>-142240</wp:posOffset>
            </wp:positionH>
            <wp:positionV relativeFrom="paragraph">
              <wp:posOffset>12700</wp:posOffset>
            </wp:positionV>
            <wp:extent cx="5081905" cy="1625600"/>
            <wp:effectExtent l="0" t="0" r="0" b="0"/>
            <wp:wrapTight wrapText="bothSides">
              <wp:wrapPolygon edited="0">
                <wp:start x="972" y="3544"/>
                <wp:lineTo x="1053" y="12403"/>
                <wp:lineTo x="2024" y="16200"/>
                <wp:lineTo x="2429" y="17213"/>
                <wp:lineTo x="2510" y="17719"/>
                <wp:lineTo x="7287" y="17719"/>
                <wp:lineTo x="13198" y="17213"/>
                <wp:lineTo x="13036" y="16200"/>
                <wp:lineTo x="13765" y="16200"/>
                <wp:lineTo x="17166" y="12909"/>
                <wp:lineTo x="17408" y="12150"/>
                <wp:lineTo x="21376" y="8353"/>
                <wp:lineTo x="21457" y="5822"/>
                <wp:lineTo x="20971" y="4809"/>
                <wp:lineTo x="19352" y="3544"/>
                <wp:lineTo x="972" y="354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5081905" cy="1625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5F2E11" w14:textId="77777777" w:rsidR="00867E4D" w:rsidRPr="00EB4CA0" w:rsidRDefault="00867E4D" w:rsidP="00867E4D">
      <w:pPr>
        <w:rPr>
          <w:rFonts w:ascii="Arial" w:hAnsi="Arial" w:cs="Arial"/>
          <w:b/>
          <w:bCs/>
          <w:sz w:val="56"/>
          <w:szCs w:val="56"/>
        </w:rPr>
      </w:pPr>
    </w:p>
    <w:p w14:paraId="0C64141C" w14:textId="77777777" w:rsidR="009E289C" w:rsidRPr="00EB4CA0" w:rsidRDefault="009E289C" w:rsidP="009E289C">
      <w:pPr>
        <w:ind w:right="1229"/>
        <w:rPr>
          <w:rFonts w:ascii="Arial" w:hAnsi="Arial" w:cs="Arial"/>
          <w:sz w:val="60"/>
          <w:szCs w:val="60"/>
        </w:rPr>
      </w:pPr>
    </w:p>
    <w:p w14:paraId="7A374724" w14:textId="77777777" w:rsidR="009E289C" w:rsidRPr="00EB4CA0" w:rsidRDefault="009E289C" w:rsidP="001711E8">
      <w:pPr>
        <w:ind w:right="1229"/>
        <w:jc w:val="center"/>
        <w:rPr>
          <w:rFonts w:ascii="Arial" w:hAnsi="Arial" w:cs="Arial"/>
          <w:b/>
          <w:bCs/>
          <w:sz w:val="56"/>
          <w:szCs w:val="56"/>
        </w:rPr>
      </w:pPr>
    </w:p>
    <w:p w14:paraId="66F8F048" w14:textId="76642047" w:rsidR="009E289C" w:rsidRPr="00EB4CA0" w:rsidRDefault="009E289C" w:rsidP="001711E8">
      <w:pPr>
        <w:ind w:right="1229"/>
        <w:jc w:val="center"/>
        <w:rPr>
          <w:rFonts w:ascii="Arial" w:hAnsi="Arial" w:cs="Arial"/>
          <w:b/>
          <w:bCs/>
          <w:sz w:val="56"/>
          <w:szCs w:val="56"/>
        </w:rPr>
      </w:pPr>
      <w:r w:rsidRPr="00EB4CA0">
        <w:rPr>
          <w:rFonts w:ascii="Arial" w:hAnsi="Arial" w:cs="Arial"/>
          <w:b/>
          <w:bCs/>
          <w:sz w:val="56"/>
          <w:szCs w:val="56"/>
        </w:rPr>
        <w:t>Institute of Inner-City Learning Birmingham Campus</w:t>
      </w:r>
    </w:p>
    <w:p w14:paraId="7726D903" w14:textId="77777777" w:rsidR="009E289C" w:rsidRPr="00EB4CA0" w:rsidRDefault="009E289C" w:rsidP="001711E8">
      <w:pPr>
        <w:pStyle w:val="BodyText"/>
        <w:jc w:val="center"/>
        <w:rPr>
          <w:rFonts w:cs="Arial"/>
          <w:b/>
          <w:bCs/>
          <w:sz w:val="56"/>
          <w:szCs w:val="56"/>
        </w:rPr>
      </w:pPr>
    </w:p>
    <w:p w14:paraId="089DBFD8" w14:textId="2860521C" w:rsidR="00867E4D" w:rsidRPr="00EB4CA0" w:rsidRDefault="009E289C" w:rsidP="001711E8">
      <w:pPr>
        <w:jc w:val="center"/>
        <w:rPr>
          <w:rFonts w:ascii="Arial" w:hAnsi="Arial" w:cs="Arial"/>
          <w:sz w:val="24"/>
          <w:szCs w:val="24"/>
        </w:rPr>
      </w:pPr>
      <w:r w:rsidRPr="00EB4CA0">
        <w:rPr>
          <w:rFonts w:ascii="Arial" w:hAnsi="Arial" w:cs="Arial"/>
          <w:b/>
          <w:bCs/>
          <w:sz w:val="56"/>
          <w:szCs w:val="56"/>
        </w:rPr>
        <w:t>BSc (Hons) Health and Social Care</w:t>
      </w:r>
      <w:r w:rsidR="00867E4D" w:rsidRPr="00EB4CA0">
        <w:rPr>
          <w:rFonts w:ascii="Arial" w:hAnsi="Arial" w:cs="Arial"/>
          <w:sz w:val="24"/>
          <w:szCs w:val="24"/>
        </w:rPr>
        <w:br/>
      </w:r>
    </w:p>
    <w:p w14:paraId="67DFC378" w14:textId="77777777" w:rsidR="00867E4D" w:rsidRPr="00EB4CA0" w:rsidRDefault="00867E4D" w:rsidP="00031AC4">
      <w:pPr>
        <w:rPr>
          <w:rFonts w:ascii="Arial" w:hAnsi="Arial" w:cs="Arial"/>
          <w:sz w:val="24"/>
          <w:szCs w:val="24"/>
        </w:rPr>
      </w:pPr>
    </w:p>
    <w:p w14:paraId="0E5AC430" w14:textId="77777777" w:rsidR="00867E4D" w:rsidRPr="00EB4CA0" w:rsidRDefault="00867E4D" w:rsidP="00031AC4">
      <w:pPr>
        <w:rPr>
          <w:rFonts w:ascii="Arial" w:hAnsi="Arial" w:cs="Arial"/>
          <w:sz w:val="60"/>
          <w:szCs w:val="60"/>
        </w:rPr>
      </w:pPr>
    </w:p>
    <w:p w14:paraId="44C67878" w14:textId="77777777" w:rsidR="00031AC4" w:rsidRPr="00EB4CA0" w:rsidRDefault="00031AC4" w:rsidP="00031AC4">
      <w:pPr>
        <w:rPr>
          <w:rFonts w:ascii="Arial" w:hAnsi="Arial" w:cs="Arial"/>
          <w:sz w:val="24"/>
          <w:szCs w:val="24"/>
        </w:rPr>
      </w:pPr>
    </w:p>
    <w:p w14:paraId="4D7B1990" w14:textId="77777777" w:rsidR="0007475B" w:rsidRDefault="0007475B" w:rsidP="00867E4D">
      <w:pPr>
        <w:rPr>
          <w:rFonts w:ascii="Arial" w:hAnsi="Arial" w:cs="Arial"/>
          <w:sz w:val="24"/>
          <w:szCs w:val="24"/>
        </w:rPr>
      </w:pPr>
    </w:p>
    <w:p w14:paraId="36466E5E" w14:textId="11463565" w:rsidR="00867E4D" w:rsidRPr="00EB4CA0" w:rsidRDefault="00867E4D" w:rsidP="00867E4D">
      <w:pPr>
        <w:rPr>
          <w:rFonts w:ascii="Arial" w:eastAsia="Times New Roman" w:hAnsi="Arial" w:cs="Arial"/>
          <w:b/>
          <w:sz w:val="28"/>
          <w:szCs w:val="28"/>
        </w:rPr>
      </w:pPr>
      <w:r w:rsidRPr="00EB4CA0">
        <w:rPr>
          <w:rFonts w:ascii="Arial" w:eastAsia="Times New Roman" w:hAnsi="Arial" w:cs="Arial"/>
          <w:b/>
          <w:sz w:val="28"/>
          <w:szCs w:val="28"/>
        </w:rPr>
        <w:lastRenderedPageBreak/>
        <w:t>DECLARATION</w:t>
      </w:r>
    </w:p>
    <w:p w14:paraId="4704D4FB" w14:textId="77777777" w:rsidR="00867E4D" w:rsidRPr="00EB4CA0" w:rsidRDefault="00867E4D" w:rsidP="00867E4D">
      <w:pPr>
        <w:rPr>
          <w:rFonts w:ascii="Arial" w:eastAsia="Times New Roman" w:hAnsi="Arial" w:cs="Arial"/>
        </w:rPr>
      </w:pPr>
      <w:r w:rsidRPr="00EB4CA0">
        <w:rPr>
          <w:rFonts w:ascii="Arial" w:eastAsia="Times New Roman" w:hAnsi="Arial" w:cs="Arial"/>
        </w:rPr>
        <w:t>This work has not previously been accepted in substance for any degree and is not being concurrently submitted in candidature for any degree</w:t>
      </w:r>
    </w:p>
    <w:p w14:paraId="1F6B69F1" w14:textId="61F643AE" w:rsidR="00867E4D" w:rsidRPr="00EB4CA0" w:rsidRDefault="00867E4D" w:rsidP="00867E4D">
      <w:pPr>
        <w:rPr>
          <w:rFonts w:ascii="Arial" w:eastAsia="Times New Roman" w:hAnsi="Arial" w:cs="Arial"/>
        </w:rPr>
      </w:pPr>
      <w:r w:rsidRPr="00EB4CA0">
        <w:rPr>
          <w:rFonts w:ascii="Arial" w:eastAsia="Times New Roman" w:hAnsi="Arial" w:cs="Arial"/>
        </w:rPr>
        <w:t>Signed</w:t>
      </w:r>
      <w:r w:rsidR="00062B03" w:rsidRPr="00EB4CA0">
        <w:rPr>
          <w:rFonts w:ascii="Arial" w:eastAsia="Times New Roman" w:hAnsi="Arial" w:cs="Arial"/>
        </w:rPr>
        <w:t xml:space="preserve">: </w:t>
      </w:r>
      <w:r w:rsidR="00062B03" w:rsidRPr="00EB4CA0">
        <w:rPr>
          <w:rFonts w:ascii="Arial" w:eastAsia="Times New Roman" w:hAnsi="Arial" w:cs="Arial"/>
          <w:b/>
          <w:bCs/>
          <w:i/>
          <w:iCs/>
        </w:rPr>
        <w:t>Sehrish kayani</w:t>
      </w:r>
    </w:p>
    <w:p w14:paraId="76CC0456" w14:textId="472CFAEE" w:rsidR="00867E4D" w:rsidRPr="00EB4CA0" w:rsidRDefault="00867E4D" w:rsidP="00867E4D">
      <w:pPr>
        <w:rPr>
          <w:rFonts w:ascii="Arial" w:eastAsia="Times New Roman" w:hAnsi="Arial" w:cs="Arial"/>
        </w:rPr>
      </w:pPr>
      <w:r w:rsidRPr="00EB4CA0">
        <w:rPr>
          <w:rFonts w:ascii="Arial" w:eastAsia="Times New Roman" w:hAnsi="Arial" w:cs="Arial"/>
        </w:rPr>
        <w:t>Date</w:t>
      </w:r>
      <w:r w:rsidR="00062B03" w:rsidRPr="00EB4CA0">
        <w:rPr>
          <w:rFonts w:ascii="Arial" w:eastAsia="Times New Roman" w:hAnsi="Arial" w:cs="Arial"/>
        </w:rPr>
        <w:t xml:space="preserve">: </w:t>
      </w:r>
      <w:r w:rsidR="00DE7EE3" w:rsidRPr="00EB4CA0">
        <w:rPr>
          <w:rFonts w:ascii="Arial" w:eastAsia="Times New Roman" w:hAnsi="Arial" w:cs="Arial"/>
          <w:b/>
          <w:bCs/>
        </w:rPr>
        <w:t>22.07.2026</w:t>
      </w:r>
    </w:p>
    <w:p w14:paraId="0BCF4384" w14:textId="77777777" w:rsidR="00867E4D" w:rsidRPr="00EB4CA0" w:rsidRDefault="00867E4D" w:rsidP="00867E4D">
      <w:pPr>
        <w:rPr>
          <w:rFonts w:ascii="Arial" w:eastAsia="Times New Roman" w:hAnsi="Arial" w:cs="Arial"/>
          <w:bCs/>
          <w:kern w:val="32"/>
        </w:rPr>
      </w:pPr>
      <w:r w:rsidRPr="00EB4CA0">
        <w:rPr>
          <w:rFonts w:ascii="Arial" w:eastAsia="Times New Roman" w:hAnsi="Arial" w:cs="Arial"/>
          <w:b/>
        </w:rPr>
        <w:t xml:space="preserve">STATEMENT 1 </w:t>
      </w:r>
    </w:p>
    <w:p w14:paraId="295DE490" w14:textId="77777777" w:rsidR="00867E4D" w:rsidRPr="00EB4CA0" w:rsidRDefault="00867E4D" w:rsidP="00867E4D">
      <w:pPr>
        <w:rPr>
          <w:rFonts w:ascii="Arial" w:eastAsia="Times New Roman" w:hAnsi="Arial" w:cs="Arial"/>
        </w:rPr>
      </w:pPr>
      <w:r w:rsidRPr="00EB4CA0">
        <w:rPr>
          <w:rFonts w:ascii="Arial" w:eastAsia="Times New Roman" w:hAnsi="Arial" w:cs="Arial"/>
        </w:rPr>
        <w:t>This dissertation is being submitted in partial fulfilment of the requirements for the degree of BSc.</w:t>
      </w:r>
    </w:p>
    <w:p w14:paraId="4E42A275"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Signed: </w:t>
      </w:r>
      <w:r w:rsidRPr="00EB4CA0">
        <w:rPr>
          <w:rFonts w:ascii="Arial" w:eastAsia="Times New Roman" w:hAnsi="Arial" w:cs="Arial"/>
          <w:b/>
          <w:bCs/>
          <w:i/>
          <w:iCs/>
        </w:rPr>
        <w:t>Sehrish kayani</w:t>
      </w:r>
    </w:p>
    <w:p w14:paraId="6D5F4C3A"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Date: </w:t>
      </w:r>
      <w:r w:rsidRPr="00EB4CA0">
        <w:rPr>
          <w:rFonts w:ascii="Arial" w:eastAsia="Times New Roman" w:hAnsi="Arial" w:cs="Arial"/>
          <w:b/>
          <w:bCs/>
        </w:rPr>
        <w:t>22.07.2026</w:t>
      </w:r>
    </w:p>
    <w:p w14:paraId="283618D2" w14:textId="77777777" w:rsidR="00867E4D" w:rsidRPr="00EB4CA0" w:rsidRDefault="00867E4D" w:rsidP="00867E4D">
      <w:pPr>
        <w:rPr>
          <w:rFonts w:ascii="Arial" w:eastAsia="Times New Roman" w:hAnsi="Arial" w:cs="Arial"/>
        </w:rPr>
      </w:pPr>
      <w:r w:rsidRPr="00EB4CA0">
        <w:rPr>
          <w:rFonts w:ascii="Arial" w:eastAsia="Times New Roman" w:hAnsi="Arial" w:cs="Arial"/>
          <w:b/>
        </w:rPr>
        <w:t>STATEMENT 2</w:t>
      </w:r>
    </w:p>
    <w:p w14:paraId="3E62F3F3" w14:textId="77777777" w:rsidR="00867E4D" w:rsidRPr="00EB4CA0" w:rsidRDefault="00867E4D" w:rsidP="00867E4D">
      <w:pPr>
        <w:rPr>
          <w:rFonts w:ascii="Arial" w:eastAsia="Times New Roman" w:hAnsi="Arial" w:cs="Arial"/>
        </w:rPr>
      </w:pPr>
      <w:r w:rsidRPr="00EB4CA0">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7BFC3238"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Signed: </w:t>
      </w:r>
      <w:r w:rsidRPr="00EB4CA0">
        <w:rPr>
          <w:rFonts w:ascii="Arial" w:eastAsia="Times New Roman" w:hAnsi="Arial" w:cs="Arial"/>
          <w:b/>
          <w:bCs/>
          <w:i/>
          <w:iCs/>
        </w:rPr>
        <w:t>Sehrish kayani</w:t>
      </w:r>
    </w:p>
    <w:p w14:paraId="151F96F1"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Date: </w:t>
      </w:r>
      <w:r w:rsidRPr="00EB4CA0">
        <w:rPr>
          <w:rFonts w:ascii="Arial" w:eastAsia="Times New Roman" w:hAnsi="Arial" w:cs="Arial"/>
          <w:b/>
          <w:bCs/>
        </w:rPr>
        <w:t>22.07.2026</w:t>
      </w:r>
    </w:p>
    <w:p w14:paraId="02FC7A4E" w14:textId="77777777" w:rsidR="00867E4D" w:rsidRPr="00EB4CA0" w:rsidRDefault="00867E4D" w:rsidP="00867E4D">
      <w:pPr>
        <w:rPr>
          <w:rFonts w:ascii="Arial" w:eastAsia="Times New Roman" w:hAnsi="Arial" w:cs="Arial"/>
        </w:rPr>
      </w:pPr>
      <w:r w:rsidRPr="00EB4CA0">
        <w:rPr>
          <w:rFonts w:ascii="Arial" w:eastAsia="Times New Roman" w:hAnsi="Arial" w:cs="Arial"/>
          <w:b/>
        </w:rPr>
        <w:t>STATEMENT 3</w:t>
      </w:r>
    </w:p>
    <w:p w14:paraId="2AECB54A" w14:textId="77777777" w:rsidR="00867E4D" w:rsidRPr="00EB4CA0" w:rsidRDefault="00867E4D" w:rsidP="00867E4D">
      <w:pPr>
        <w:rPr>
          <w:rFonts w:ascii="Arial" w:eastAsia="Times New Roman" w:hAnsi="Arial" w:cs="Arial"/>
        </w:rPr>
      </w:pPr>
      <w:r w:rsidRPr="00EB4CA0">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77EE541E"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Signed: </w:t>
      </w:r>
      <w:r w:rsidRPr="00EB4CA0">
        <w:rPr>
          <w:rFonts w:ascii="Arial" w:eastAsia="Times New Roman" w:hAnsi="Arial" w:cs="Arial"/>
          <w:b/>
          <w:bCs/>
          <w:i/>
          <w:iCs/>
        </w:rPr>
        <w:t>Sehrish kayani</w:t>
      </w:r>
    </w:p>
    <w:p w14:paraId="0D1E086D"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Date: </w:t>
      </w:r>
      <w:r w:rsidRPr="00EB4CA0">
        <w:rPr>
          <w:rFonts w:ascii="Arial" w:eastAsia="Times New Roman" w:hAnsi="Arial" w:cs="Arial"/>
          <w:b/>
          <w:bCs/>
        </w:rPr>
        <w:t>22.07.2026</w:t>
      </w:r>
    </w:p>
    <w:p w14:paraId="21A38F8B" w14:textId="77777777" w:rsidR="00867E4D" w:rsidRPr="00EB4CA0" w:rsidRDefault="00867E4D" w:rsidP="00867E4D">
      <w:pPr>
        <w:rPr>
          <w:rFonts w:ascii="Arial" w:eastAsia="Times New Roman" w:hAnsi="Arial" w:cs="Arial"/>
          <w:b/>
        </w:rPr>
      </w:pPr>
      <w:r w:rsidRPr="00EB4CA0">
        <w:rPr>
          <w:rFonts w:ascii="Arial" w:eastAsia="Times New Roman" w:hAnsi="Arial" w:cs="Arial"/>
          <w:b/>
        </w:rPr>
        <w:t>STATEMENT 4</w:t>
      </w:r>
    </w:p>
    <w:p w14:paraId="1AC6865D" w14:textId="77777777" w:rsidR="00867E4D" w:rsidRPr="00EB4CA0" w:rsidRDefault="00867E4D" w:rsidP="00867E4D">
      <w:pPr>
        <w:rPr>
          <w:rFonts w:ascii="Arial" w:eastAsia="Times New Roman" w:hAnsi="Arial" w:cs="Arial"/>
        </w:rPr>
      </w:pPr>
      <w:r w:rsidRPr="00EB4CA0">
        <w:rPr>
          <w:rFonts w:ascii="Arial" w:eastAsia="Times New Roman" w:hAnsi="Arial" w:cs="Arial"/>
        </w:rPr>
        <w:t>I hereby give consent for my dissertation, if accepted, to be available on the university’s IT system to those who have consent to use the system.</w:t>
      </w:r>
    </w:p>
    <w:p w14:paraId="5435E515"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Signed: </w:t>
      </w:r>
      <w:r w:rsidRPr="00EB4CA0">
        <w:rPr>
          <w:rFonts w:ascii="Arial" w:eastAsia="Times New Roman" w:hAnsi="Arial" w:cs="Arial"/>
          <w:b/>
          <w:bCs/>
          <w:i/>
          <w:iCs/>
        </w:rPr>
        <w:t>Sehrish kayani</w:t>
      </w:r>
    </w:p>
    <w:p w14:paraId="32A24C44" w14:textId="77777777" w:rsidR="00DE7EE3" w:rsidRPr="00EB4CA0" w:rsidRDefault="00DE7EE3" w:rsidP="00DE7EE3">
      <w:pPr>
        <w:rPr>
          <w:rFonts w:ascii="Arial" w:eastAsia="Times New Roman" w:hAnsi="Arial" w:cs="Arial"/>
        </w:rPr>
      </w:pPr>
      <w:r w:rsidRPr="00EB4CA0">
        <w:rPr>
          <w:rFonts w:ascii="Arial" w:eastAsia="Times New Roman" w:hAnsi="Arial" w:cs="Arial"/>
        </w:rPr>
        <w:t xml:space="preserve">Date: </w:t>
      </w:r>
      <w:r w:rsidRPr="00EB4CA0">
        <w:rPr>
          <w:rFonts w:ascii="Arial" w:eastAsia="Times New Roman" w:hAnsi="Arial" w:cs="Arial"/>
          <w:b/>
          <w:bCs/>
        </w:rPr>
        <w:t>22.07.2026</w:t>
      </w:r>
    </w:p>
    <w:p w14:paraId="3460634E" w14:textId="77777777" w:rsidR="00867E4D" w:rsidRPr="00EB4CA0" w:rsidRDefault="00867E4D" w:rsidP="00867E4D">
      <w:pPr>
        <w:jc w:val="center"/>
        <w:rPr>
          <w:rFonts w:ascii="Arial" w:eastAsia="Arial Unicode MS" w:hAnsi="Arial" w:cs="Arial"/>
          <w:b/>
          <w:sz w:val="24"/>
          <w:szCs w:val="24"/>
        </w:rPr>
      </w:pPr>
    </w:p>
    <w:p w14:paraId="6A861952" w14:textId="77777777" w:rsidR="00E81BDA" w:rsidRPr="00EB4CA0" w:rsidRDefault="00E81BDA" w:rsidP="00BB457A">
      <w:pPr>
        <w:spacing w:before="240"/>
        <w:rPr>
          <w:rFonts w:ascii="Arial" w:eastAsia="Times New Roman" w:hAnsi="Arial" w:cs="Arial"/>
          <w:b/>
          <w:bCs/>
          <w:sz w:val="56"/>
          <w:szCs w:val="56"/>
        </w:rPr>
      </w:pPr>
    </w:p>
    <w:p w14:paraId="7BF210EA" w14:textId="60B3BDD2" w:rsidR="002F37FF" w:rsidRPr="00EB4CA0" w:rsidRDefault="002F37FF" w:rsidP="00181096">
      <w:pPr>
        <w:spacing w:before="240"/>
        <w:jc w:val="center"/>
        <w:rPr>
          <w:rFonts w:ascii="Arial" w:hAnsi="Arial" w:cs="Arial"/>
          <w:b/>
          <w:bCs/>
          <w:sz w:val="56"/>
          <w:szCs w:val="56"/>
        </w:rPr>
      </w:pPr>
      <w:r w:rsidRPr="00EB4CA0">
        <w:rPr>
          <w:rFonts w:ascii="Arial" w:eastAsia="Times New Roman" w:hAnsi="Arial" w:cs="Arial"/>
          <w:b/>
          <w:bCs/>
          <w:sz w:val="56"/>
          <w:szCs w:val="56"/>
        </w:rPr>
        <w:t>The Impact of Social Support on the Mental Health of Older Adults in Long-Term Care Facilities</w:t>
      </w:r>
    </w:p>
    <w:p w14:paraId="77E67838" w14:textId="77777777" w:rsidR="00867E4D" w:rsidRPr="00EB4CA0" w:rsidRDefault="00867E4D"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sz w:val="56"/>
          <w:szCs w:val="56"/>
        </w:rPr>
      </w:pPr>
    </w:p>
    <w:p w14:paraId="71E97191" w14:textId="28CF655F" w:rsidR="00867E4D" w:rsidRPr="00EB4CA0" w:rsidRDefault="00E81BDA" w:rsidP="00E81B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
          <w:iCs/>
          <w:sz w:val="56"/>
          <w:szCs w:val="56"/>
        </w:rPr>
      </w:pPr>
      <w:r w:rsidRPr="00EB4CA0">
        <w:rPr>
          <w:rFonts w:ascii="Arial" w:eastAsia="Arial Unicode MS" w:hAnsi="Arial" w:cs="Arial"/>
          <w:b/>
          <w:iCs/>
          <w:sz w:val="56"/>
          <w:szCs w:val="56"/>
        </w:rPr>
        <w:t>Sehrish Kayani - 2315822</w:t>
      </w:r>
    </w:p>
    <w:p w14:paraId="23B6B287" w14:textId="2FD45095" w:rsidR="00867E4D" w:rsidRPr="00EB4CA0" w:rsidRDefault="00867E4D"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24"/>
          <w:szCs w:val="24"/>
        </w:rPr>
      </w:pPr>
    </w:p>
    <w:p w14:paraId="32EB996B" w14:textId="77777777" w:rsidR="00867E4D" w:rsidRPr="00EB4CA0" w:rsidRDefault="00867E4D"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24"/>
          <w:szCs w:val="24"/>
        </w:rPr>
      </w:pPr>
    </w:p>
    <w:p w14:paraId="13697670" w14:textId="77777777" w:rsidR="00867E4D" w:rsidRPr="00EB4CA0" w:rsidRDefault="00867E4D"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6"/>
          <w:szCs w:val="36"/>
        </w:rPr>
      </w:pPr>
    </w:p>
    <w:p w14:paraId="0CC7D97A" w14:textId="77777777" w:rsidR="00BB457A" w:rsidRPr="00EB4CA0" w:rsidRDefault="00BB457A"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6"/>
          <w:szCs w:val="36"/>
        </w:rPr>
      </w:pPr>
    </w:p>
    <w:p w14:paraId="0B28C423" w14:textId="77777777" w:rsidR="00BB457A" w:rsidRPr="00EB4CA0" w:rsidRDefault="00BB457A"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6"/>
          <w:szCs w:val="36"/>
        </w:rPr>
      </w:pPr>
    </w:p>
    <w:p w14:paraId="322C981F" w14:textId="77777777" w:rsidR="00BB457A" w:rsidRPr="00EB4CA0" w:rsidRDefault="00BB457A"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6"/>
          <w:szCs w:val="36"/>
        </w:rPr>
      </w:pPr>
    </w:p>
    <w:p w14:paraId="4FF174FD" w14:textId="77777777" w:rsidR="00867E4D" w:rsidRPr="00EB4CA0" w:rsidRDefault="00867E4D" w:rsidP="001810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36"/>
          <w:szCs w:val="36"/>
        </w:rPr>
      </w:pPr>
      <w:r w:rsidRPr="00EB4CA0">
        <w:rPr>
          <w:rFonts w:ascii="Arial" w:eastAsia="Arial Unicode MS" w:hAnsi="Arial" w:cs="Arial"/>
          <w:sz w:val="36"/>
          <w:szCs w:val="36"/>
        </w:rPr>
        <w:t>Dissertation submitted as part of the requirements for the award BSc (Hons) Health and Social Care</w:t>
      </w:r>
    </w:p>
    <w:p w14:paraId="1966057D" w14:textId="77777777" w:rsidR="0014308F" w:rsidRPr="00EB4CA0" w:rsidRDefault="0014308F" w:rsidP="0018109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rPr>
          <w:rFonts w:ascii="Arial" w:hAnsi="Arial" w:cs="Arial"/>
          <w:sz w:val="24"/>
          <w:szCs w:val="24"/>
        </w:rPr>
      </w:pPr>
    </w:p>
    <w:p w14:paraId="59AAF716" w14:textId="4D85C059" w:rsidR="00867E4D" w:rsidRPr="00EB4CA0" w:rsidRDefault="00867E4D" w:rsidP="0014308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bCs/>
          <w:sz w:val="28"/>
          <w:szCs w:val="28"/>
        </w:rPr>
      </w:pPr>
      <w:r w:rsidRPr="00EB4CA0">
        <w:rPr>
          <w:rFonts w:ascii="Arial" w:eastAsia="Arial Unicode MS" w:hAnsi="Arial" w:cs="Arial"/>
          <w:b/>
          <w:sz w:val="28"/>
          <w:szCs w:val="28"/>
        </w:rPr>
        <w:t>ACKNOWLEDGEMENTS</w:t>
      </w:r>
    </w:p>
    <w:p w14:paraId="3DD74049" w14:textId="2FD0E7D0" w:rsidR="00867E4D" w:rsidRPr="00EB4CA0" w:rsidRDefault="00ED398F" w:rsidP="0014308F">
      <w:pPr>
        <w:pStyle w:val="NormalWeb"/>
        <w:shd w:val="clear" w:color="auto" w:fill="FFFFFF"/>
        <w:spacing w:before="240" w:beforeAutospacing="0" w:after="160" w:afterAutospacing="0" w:line="360" w:lineRule="auto"/>
        <w:rPr>
          <w:rFonts w:ascii="Arial" w:hAnsi="Arial" w:cs="Arial"/>
          <w:sz w:val="22"/>
          <w:szCs w:val="22"/>
          <w:lang w:val="en-US"/>
        </w:rPr>
      </w:pPr>
      <w:r w:rsidRPr="00EB4CA0">
        <w:rPr>
          <w:rFonts w:ascii="Arial" w:hAnsi="Arial" w:cs="Arial"/>
          <w:sz w:val="22"/>
          <w:szCs w:val="22"/>
          <w:lang w:val="en-US"/>
        </w:rPr>
        <w:t>I am heartfelt</w:t>
      </w:r>
      <w:r w:rsidR="00C71D8D" w:rsidRPr="00EB4CA0">
        <w:rPr>
          <w:rFonts w:ascii="Arial" w:hAnsi="Arial" w:cs="Arial"/>
          <w:sz w:val="22"/>
          <w:szCs w:val="22"/>
          <w:lang w:val="en-US"/>
        </w:rPr>
        <w:t>ly</w:t>
      </w:r>
      <w:r w:rsidRPr="00EB4CA0">
        <w:rPr>
          <w:rFonts w:ascii="Arial" w:hAnsi="Arial" w:cs="Arial"/>
          <w:sz w:val="22"/>
          <w:szCs w:val="22"/>
          <w:lang w:val="en-US"/>
        </w:rPr>
        <w:t xml:space="preserve"> thankful to my dissertation supervisor for his guidance, constructive and continuous support during this research project. I would also like to express my thanks to the Academic Staff of the University of Wales Trinity Saint David for their knowledge and assistance that aided the successful completion of this dissertation. I would like to thank the librarians at the university who helped me to obtain all the required scientific papers and journals. Lastly, I would like to extend my feelings of gratitude and thanks to my family and friends for their encouragement, patience and support during the course of my study. Their motivation and knowledge have been instrumental in completing this dissertation.</w:t>
      </w:r>
    </w:p>
    <w:p w14:paraId="05C9FDD9" w14:textId="77777777" w:rsidR="00867E4D" w:rsidRPr="00EB4CA0" w:rsidRDefault="00867E4D" w:rsidP="00181096">
      <w:pPr>
        <w:spacing w:before="240"/>
        <w:rPr>
          <w:rFonts w:ascii="Arial" w:hAnsi="Arial" w:cs="Arial"/>
          <w:sz w:val="24"/>
          <w:szCs w:val="24"/>
        </w:rPr>
      </w:pPr>
    </w:p>
    <w:p w14:paraId="311C32B1" w14:textId="77777777" w:rsidR="00867E4D" w:rsidRPr="00EB4CA0" w:rsidRDefault="00867E4D" w:rsidP="00181096">
      <w:pPr>
        <w:spacing w:before="240"/>
        <w:rPr>
          <w:rFonts w:ascii="Arial" w:hAnsi="Arial" w:cs="Arial"/>
          <w:sz w:val="24"/>
          <w:szCs w:val="24"/>
        </w:rPr>
      </w:pPr>
    </w:p>
    <w:p w14:paraId="21D1875F" w14:textId="77777777" w:rsidR="00867E4D" w:rsidRPr="00EB4CA0" w:rsidRDefault="00867E4D" w:rsidP="00181096">
      <w:pPr>
        <w:spacing w:before="240"/>
        <w:rPr>
          <w:rFonts w:ascii="Arial" w:hAnsi="Arial" w:cs="Arial"/>
          <w:sz w:val="24"/>
          <w:szCs w:val="24"/>
        </w:rPr>
      </w:pPr>
    </w:p>
    <w:p w14:paraId="7E42FD88" w14:textId="77777777" w:rsidR="00867E4D" w:rsidRPr="00EB4CA0" w:rsidRDefault="00867E4D" w:rsidP="00181096">
      <w:pPr>
        <w:spacing w:before="240"/>
        <w:rPr>
          <w:rFonts w:ascii="Arial" w:hAnsi="Arial" w:cs="Arial"/>
          <w:sz w:val="24"/>
          <w:szCs w:val="24"/>
        </w:rPr>
      </w:pPr>
    </w:p>
    <w:p w14:paraId="6B05492F" w14:textId="77777777" w:rsidR="00867E4D" w:rsidRPr="00EB4CA0" w:rsidRDefault="00867E4D" w:rsidP="00181096">
      <w:pPr>
        <w:spacing w:before="240"/>
        <w:rPr>
          <w:rFonts w:ascii="Arial" w:hAnsi="Arial" w:cs="Arial"/>
          <w:sz w:val="24"/>
          <w:szCs w:val="24"/>
        </w:rPr>
      </w:pPr>
    </w:p>
    <w:p w14:paraId="44D576CD" w14:textId="77777777" w:rsidR="00867E4D" w:rsidRPr="00EB4CA0" w:rsidRDefault="00867E4D" w:rsidP="00181096">
      <w:pPr>
        <w:spacing w:before="240"/>
        <w:rPr>
          <w:rFonts w:ascii="Arial" w:hAnsi="Arial" w:cs="Arial"/>
          <w:sz w:val="24"/>
          <w:szCs w:val="24"/>
        </w:rPr>
      </w:pPr>
    </w:p>
    <w:p w14:paraId="4C3B7183" w14:textId="77777777" w:rsidR="00867E4D" w:rsidRPr="00EB4CA0" w:rsidRDefault="00867E4D" w:rsidP="00181096">
      <w:pPr>
        <w:spacing w:before="240"/>
        <w:rPr>
          <w:rFonts w:ascii="Arial" w:hAnsi="Arial" w:cs="Arial"/>
          <w:sz w:val="24"/>
          <w:szCs w:val="24"/>
        </w:rPr>
      </w:pPr>
    </w:p>
    <w:p w14:paraId="1F7E7CAB" w14:textId="77777777" w:rsidR="00867E4D" w:rsidRPr="00EB4CA0" w:rsidRDefault="00867E4D" w:rsidP="00181096">
      <w:pPr>
        <w:spacing w:before="240"/>
        <w:rPr>
          <w:rFonts w:ascii="Arial" w:hAnsi="Arial" w:cs="Arial"/>
          <w:sz w:val="24"/>
          <w:szCs w:val="24"/>
        </w:rPr>
      </w:pPr>
    </w:p>
    <w:p w14:paraId="528169F0" w14:textId="77777777" w:rsidR="00867E4D" w:rsidRPr="00EB4CA0" w:rsidRDefault="00867E4D" w:rsidP="00181096">
      <w:pPr>
        <w:spacing w:before="240"/>
        <w:rPr>
          <w:rFonts w:ascii="Arial" w:hAnsi="Arial" w:cs="Arial"/>
          <w:sz w:val="24"/>
          <w:szCs w:val="24"/>
        </w:rPr>
      </w:pPr>
    </w:p>
    <w:p w14:paraId="49C9F068" w14:textId="77777777" w:rsidR="00867E4D" w:rsidRPr="00EB4CA0" w:rsidRDefault="00867E4D" w:rsidP="00181096">
      <w:pPr>
        <w:spacing w:before="240"/>
        <w:rPr>
          <w:rFonts w:ascii="Arial" w:hAnsi="Arial" w:cs="Arial"/>
          <w:sz w:val="24"/>
          <w:szCs w:val="24"/>
        </w:rPr>
      </w:pPr>
    </w:p>
    <w:p w14:paraId="6E1EC552" w14:textId="77777777" w:rsidR="00867E4D" w:rsidRDefault="00867E4D" w:rsidP="00181096">
      <w:pPr>
        <w:spacing w:before="240"/>
        <w:rPr>
          <w:rFonts w:ascii="Arial" w:hAnsi="Arial" w:cs="Arial"/>
          <w:sz w:val="24"/>
          <w:szCs w:val="24"/>
        </w:rPr>
      </w:pPr>
    </w:p>
    <w:p w14:paraId="5A4B53A2" w14:textId="77777777" w:rsidR="00750ABB" w:rsidRDefault="00750ABB" w:rsidP="00181096">
      <w:pPr>
        <w:spacing w:before="240"/>
        <w:rPr>
          <w:rFonts w:ascii="Arial" w:hAnsi="Arial" w:cs="Arial"/>
          <w:sz w:val="24"/>
          <w:szCs w:val="24"/>
        </w:rPr>
      </w:pPr>
    </w:p>
    <w:p w14:paraId="67DAF02D" w14:textId="77777777" w:rsidR="00DD61C3" w:rsidRDefault="00DD61C3" w:rsidP="00181096">
      <w:pPr>
        <w:spacing w:before="240"/>
        <w:rPr>
          <w:rFonts w:ascii="Arial" w:hAnsi="Arial" w:cs="Arial"/>
          <w:sz w:val="24"/>
          <w:szCs w:val="24"/>
        </w:rPr>
      </w:pPr>
    </w:p>
    <w:p w14:paraId="1959D9C8" w14:textId="77777777" w:rsidR="00DD61C3" w:rsidRDefault="00DD61C3" w:rsidP="00181096">
      <w:pPr>
        <w:spacing w:before="240"/>
        <w:rPr>
          <w:rFonts w:ascii="Arial" w:hAnsi="Arial" w:cs="Arial"/>
          <w:sz w:val="24"/>
          <w:szCs w:val="24"/>
        </w:rPr>
      </w:pPr>
    </w:p>
    <w:p w14:paraId="76449FB5" w14:textId="77777777" w:rsidR="00DD61C3" w:rsidRPr="00EB4CA0" w:rsidRDefault="00DD61C3" w:rsidP="00181096">
      <w:pPr>
        <w:spacing w:before="240"/>
        <w:rPr>
          <w:rFonts w:ascii="Arial" w:hAnsi="Arial" w:cs="Arial"/>
          <w:sz w:val="24"/>
          <w:szCs w:val="24"/>
        </w:rPr>
      </w:pPr>
    </w:p>
    <w:p w14:paraId="2D84C470" w14:textId="7E821B12" w:rsidR="00867E4D" w:rsidRPr="00EB4CA0" w:rsidRDefault="00867E4D" w:rsidP="009B3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Arial" w:eastAsia="Arial Unicode MS" w:hAnsi="Arial" w:cs="Arial"/>
          <w:sz w:val="28"/>
          <w:szCs w:val="28"/>
        </w:rPr>
      </w:pPr>
      <w:r w:rsidRPr="00EB4CA0">
        <w:rPr>
          <w:rFonts w:ascii="Arial" w:eastAsia="Arial Unicode MS" w:hAnsi="Arial" w:cs="Arial"/>
          <w:b/>
          <w:sz w:val="28"/>
          <w:szCs w:val="28"/>
        </w:rPr>
        <w:t>ABSTRACT</w:t>
      </w:r>
    </w:p>
    <w:p w14:paraId="39249073" w14:textId="77777777" w:rsidR="007A4DF0" w:rsidRPr="00EB4CA0" w:rsidRDefault="005F6FCE" w:rsidP="009B3F2B">
      <w:pPr>
        <w:spacing w:before="240"/>
        <w:jc w:val="left"/>
        <w:rPr>
          <w:rFonts w:ascii="Arial" w:hAnsi="Arial" w:cs="Arial"/>
        </w:rPr>
      </w:pPr>
      <w:r w:rsidRPr="00EB4CA0">
        <w:rPr>
          <w:rFonts w:ascii="Arial" w:hAnsi="Arial" w:cs="Arial"/>
        </w:rPr>
        <w:t>This dissertation sought to investigate the effects of social support on the mental health of older adults residing in long-term care facilities (LTCFs). In particular, the study aimed to clarify the concept of social support, review the literature on the links between social support and depression and anxiety, emotional wellbeing, review existing policies and practices and make evidence-based recommendations for the improvement of the mental health of children and young people. This study has significance in that ‘the ageing society' has brought out the need for long-term care and loneliness, social isolation and poor mental health remain prevalent among the institutionalised elderly.</w:t>
      </w:r>
    </w:p>
    <w:p w14:paraId="6F6085C7" w14:textId="244EF0B1" w:rsidR="00E5705D" w:rsidRPr="00EB4CA0" w:rsidRDefault="005F6FCE" w:rsidP="009B3F2B">
      <w:pPr>
        <w:spacing w:before="240"/>
        <w:jc w:val="left"/>
        <w:rPr>
          <w:rFonts w:ascii="Arial" w:hAnsi="Arial" w:cs="Arial"/>
        </w:rPr>
      </w:pPr>
      <w:r w:rsidRPr="00EB4CA0">
        <w:rPr>
          <w:rFonts w:ascii="Arial" w:hAnsi="Arial" w:cs="Arial"/>
        </w:rPr>
        <w:t>Thematic analysis was employed in the data analysis of this qualitative secondary research to review and synthesise relevant literature. Peer-reviewed journal articles, government reports and policy documents were systematically identified by searching the databases</w:t>
      </w:r>
      <w:r w:rsidR="00213FFD" w:rsidRPr="00EB4CA0">
        <w:rPr>
          <w:rFonts w:ascii="Arial" w:hAnsi="Arial" w:cs="Arial"/>
        </w:rPr>
        <w:t xml:space="preserve"> like</w:t>
      </w:r>
      <w:r w:rsidRPr="00EB4CA0">
        <w:rPr>
          <w:rFonts w:ascii="Arial" w:hAnsi="Arial" w:cs="Arial"/>
        </w:rPr>
        <w:t xml:space="preserve"> PubMed, ScienceDirect, Google Scholar and the library of the University. Literature was reviewed based on predetermined inclusion/exclusion criteria, validated using CRAAP framework, and thematically coded through an analysis of recurring patterns, which were of relevance to the research aim.</w:t>
      </w:r>
    </w:p>
    <w:p w14:paraId="272F8A45" w14:textId="77777777" w:rsidR="0099699D" w:rsidRPr="00EB4CA0" w:rsidRDefault="005F6FCE" w:rsidP="009B3F2B">
      <w:pPr>
        <w:spacing w:before="240"/>
        <w:jc w:val="left"/>
        <w:rPr>
          <w:rFonts w:ascii="Arial" w:hAnsi="Arial" w:cs="Arial"/>
        </w:rPr>
      </w:pPr>
      <w:r w:rsidRPr="00EB4CA0">
        <w:rPr>
          <w:rFonts w:ascii="Arial" w:hAnsi="Arial" w:cs="Arial"/>
        </w:rPr>
        <w:t>The analysis resulted in three main themes. The results showed that there is a significant link between social support and mental health and that social support can positively impact emotional wellbeing, feelings of loneliness, depression and anxiety. This review also found important organisational issues such as staff shortages, a lack of resources, limited adherence to family involvement and practice, and standardised procedures, which constrain the possibilities for good social support. Finally, interventions like befrienders, music therapy, person-centred care, social prescribing and technology-assisted communication can be effective at enhancing residents' psychological well-being, provided there is appropriate support in place for them, from the staff and in their organisations.</w:t>
      </w:r>
    </w:p>
    <w:p w14:paraId="3C4BB0DE" w14:textId="378839CF" w:rsidR="00867E4D" w:rsidRPr="00EB4CA0" w:rsidRDefault="005F6FCE" w:rsidP="002D4E1B">
      <w:pPr>
        <w:spacing w:before="240"/>
        <w:jc w:val="left"/>
        <w:rPr>
          <w:rFonts w:ascii="Arial" w:hAnsi="Arial" w:cs="Arial"/>
          <w:b/>
        </w:rPr>
      </w:pPr>
      <w:r w:rsidRPr="00EB4CA0">
        <w:rPr>
          <w:rFonts w:ascii="Arial" w:hAnsi="Arial" w:cs="Arial"/>
        </w:rPr>
        <w:t>The study had some limitations, such as using secondary data sources, between-country differences in healthcare systems and in the implementation of the interventions, which may have an impact on generalisability. The dissertation makes the following recommendations, to be implemented based on the evidence</w:t>
      </w:r>
      <w:r w:rsidR="00532D31" w:rsidRPr="00EB4CA0">
        <w:rPr>
          <w:rFonts w:ascii="Arial" w:hAnsi="Arial" w:cs="Arial"/>
        </w:rPr>
        <w:t xml:space="preserve"> </w:t>
      </w:r>
      <w:r w:rsidR="00086625" w:rsidRPr="00EB4CA0">
        <w:rPr>
          <w:rFonts w:ascii="Arial" w:hAnsi="Arial" w:cs="Arial"/>
        </w:rPr>
        <w:t xml:space="preserve">as </w:t>
      </w:r>
      <w:r w:rsidRPr="00EB4CA0">
        <w:rPr>
          <w:rFonts w:ascii="Arial" w:hAnsi="Arial" w:cs="Arial"/>
        </w:rPr>
        <w:t>increas</w:t>
      </w:r>
      <w:r w:rsidR="00B50607" w:rsidRPr="00EB4CA0">
        <w:rPr>
          <w:rFonts w:ascii="Arial" w:hAnsi="Arial" w:cs="Arial"/>
        </w:rPr>
        <w:t xml:space="preserve">ing </w:t>
      </w:r>
      <w:r w:rsidRPr="00EB4CA0">
        <w:rPr>
          <w:rFonts w:ascii="Arial" w:hAnsi="Arial" w:cs="Arial"/>
        </w:rPr>
        <w:t>the capacity of workforce through ongoing staff training, enhance</w:t>
      </w:r>
      <w:r w:rsidR="0089698E" w:rsidRPr="00EB4CA0">
        <w:rPr>
          <w:rFonts w:ascii="Arial" w:hAnsi="Arial" w:cs="Arial"/>
        </w:rPr>
        <w:t>s</w:t>
      </w:r>
      <w:r w:rsidRPr="00EB4CA0">
        <w:rPr>
          <w:rFonts w:ascii="Arial" w:hAnsi="Arial" w:cs="Arial"/>
        </w:rPr>
        <w:t xml:space="preserve"> person-centred social support programmes, and extend person-centred interventions provided in the community and through technology. These recommendations have ramifications for future healthcare and social care practice, policy, continuing professional development and research, in order to support the mental wellbeing of older people in residential aged care homes.</w:t>
      </w:r>
      <w:r w:rsidR="00867E4D" w:rsidRPr="00EB4CA0">
        <w:rPr>
          <w:rFonts w:ascii="Arial" w:hAnsi="Arial" w:cs="Arial"/>
          <w:b/>
        </w:rPr>
        <w:t xml:space="preserve">    </w:t>
      </w:r>
    </w:p>
    <w:sdt>
      <w:sdtPr>
        <w:rPr>
          <w:rFonts w:ascii="Arial" w:eastAsiaTheme="minorEastAsia" w:hAnsi="Arial" w:cs="Arial"/>
          <w:color w:val="auto"/>
          <w:kern w:val="2"/>
          <w:sz w:val="24"/>
          <w:szCs w:val="24"/>
          <w:lang w:val="en-GB" w:eastAsia="zh-CN"/>
          <w14:ligatures w14:val="standardContextual"/>
        </w:rPr>
        <w:id w:val="1017354013"/>
        <w:docPartObj>
          <w:docPartGallery w:val="Table of Contents"/>
          <w:docPartUnique/>
        </w:docPartObj>
      </w:sdtPr>
      <w:sdtEndPr>
        <w:rPr>
          <w:noProof/>
        </w:rPr>
      </w:sdtEndPr>
      <w:sdtContent>
        <w:p w14:paraId="3FF1353D" w14:textId="6B68152C" w:rsidR="009A3BC8" w:rsidRPr="00EB4CA0" w:rsidRDefault="00766DD0" w:rsidP="005E25BD">
          <w:pPr>
            <w:pStyle w:val="TOCHeading"/>
            <w:spacing w:after="240" w:line="276" w:lineRule="auto"/>
            <w:jc w:val="center"/>
            <w:rPr>
              <w:rFonts w:ascii="Arial" w:hAnsi="Arial" w:cs="Arial"/>
              <w:color w:val="auto"/>
              <w:sz w:val="24"/>
              <w:szCs w:val="24"/>
            </w:rPr>
          </w:pPr>
          <w:r w:rsidRPr="00EB4CA0">
            <w:rPr>
              <w:rFonts w:ascii="Arial" w:hAnsi="Arial" w:cs="Arial"/>
              <w:b/>
              <w:bCs/>
              <w:color w:val="auto"/>
              <w:sz w:val="24"/>
              <w:szCs w:val="24"/>
            </w:rPr>
            <w:t xml:space="preserve">Table of </w:t>
          </w:r>
          <w:r w:rsidR="009A3BC8" w:rsidRPr="00EB4CA0">
            <w:rPr>
              <w:rFonts w:ascii="Arial" w:hAnsi="Arial" w:cs="Arial"/>
              <w:b/>
              <w:bCs/>
              <w:color w:val="auto"/>
              <w:sz w:val="24"/>
              <w:szCs w:val="24"/>
            </w:rPr>
            <w:t>Contents</w:t>
          </w:r>
        </w:p>
        <w:p w14:paraId="6ABB9F31" w14:textId="0D8F2DF3" w:rsidR="009A3BC8" w:rsidRPr="00EB4CA0" w:rsidRDefault="009A3BC8" w:rsidP="00D44A02">
          <w:pPr>
            <w:pStyle w:val="TOC1"/>
            <w:tabs>
              <w:tab w:val="left" w:pos="480"/>
              <w:tab w:val="right" w:leader="dot" w:pos="9016"/>
            </w:tabs>
            <w:spacing w:before="240" w:line="276" w:lineRule="auto"/>
            <w:rPr>
              <w:rFonts w:ascii="Arial" w:hAnsi="Arial" w:cs="Arial"/>
              <w:noProof/>
              <w:sz w:val="24"/>
              <w:szCs w:val="24"/>
            </w:rPr>
          </w:pPr>
          <w:r w:rsidRPr="00EB4CA0">
            <w:rPr>
              <w:rFonts w:ascii="Arial" w:hAnsi="Arial" w:cs="Arial"/>
              <w:sz w:val="24"/>
              <w:szCs w:val="24"/>
            </w:rPr>
            <w:fldChar w:fldCharType="begin"/>
          </w:r>
          <w:r w:rsidRPr="00EB4CA0">
            <w:rPr>
              <w:rFonts w:ascii="Arial" w:hAnsi="Arial" w:cs="Arial"/>
              <w:sz w:val="24"/>
              <w:szCs w:val="24"/>
            </w:rPr>
            <w:instrText xml:space="preserve"> TOC \o "1-3" \h \z \u </w:instrText>
          </w:r>
          <w:r w:rsidRPr="00EB4CA0">
            <w:rPr>
              <w:rFonts w:ascii="Arial" w:hAnsi="Arial" w:cs="Arial"/>
              <w:sz w:val="24"/>
              <w:szCs w:val="24"/>
            </w:rPr>
            <w:fldChar w:fldCharType="separate"/>
          </w:r>
          <w:hyperlink w:anchor="_Toc234700966" w:history="1">
            <w:r w:rsidRPr="00EB4CA0">
              <w:rPr>
                <w:rStyle w:val="Hyperlink"/>
                <w:rFonts w:ascii="Arial" w:hAnsi="Arial" w:cs="Arial"/>
                <w:noProof/>
                <w:color w:val="auto"/>
                <w:sz w:val="24"/>
                <w:szCs w:val="24"/>
                <w:lang w:bidi="en-GB"/>
              </w:rPr>
              <w:t>1.</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1: Introduction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_Toc234700966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9</w:t>
            </w:r>
            <w:r w:rsidRPr="00EB4CA0">
              <w:rPr>
                <w:rFonts w:ascii="Arial" w:hAnsi="Arial" w:cs="Arial"/>
                <w:noProof/>
                <w:webHidden/>
                <w:sz w:val="24"/>
                <w:szCs w:val="24"/>
              </w:rPr>
              <w:fldChar w:fldCharType="end"/>
            </w:r>
          </w:hyperlink>
        </w:p>
        <w:p w14:paraId="3AD712E9" w14:textId="7AD7FB6E"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67" w:history="1">
            <w:r w:rsidRPr="00EB4CA0">
              <w:rPr>
                <w:rStyle w:val="Hyperlink"/>
                <w:rFonts w:ascii="Arial" w:hAnsi="Arial" w:cs="Arial"/>
                <w:noProof/>
                <w:color w:val="auto"/>
                <w:sz w:val="24"/>
                <w:szCs w:val="24"/>
              </w:rPr>
              <w:t>1.1.</w:t>
            </w:r>
            <w:r w:rsidRPr="00EB4CA0">
              <w:rPr>
                <w:rFonts w:ascii="Arial" w:hAnsi="Arial" w:cs="Arial"/>
                <w:noProof/>
                <w:sz w:val="24"/>
                <w:szCs w:val="24"/>
              </w:rPr>
              <w:tab/>
            </w:r>
            <w:r w:rsidRPr="00EB4CA0">
              <w:rPr>
                <w:rStyle w:val="Hyperlink"/>
                <w:rFonts w:ascii="Arial" w:hAnsi="Arial" w:cs="Arial"/>
                <w:noProof/>
                <w:color w:val="auto"/>
                <w:sz w:val="24"/>
                <w:szCs w:val="24"/>
              </w:rPr>
              <w:t>Introduction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_Toc234700967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9</w:t>
            </w:r>
            <w:r w:rsidRPr="00EB4CA0">
              <w:rPr>
                <w:rFonts w:ascii="Arial" w:hAnsi="Arial" w:cs="Arial"/>
                <w:noProof/>
                <w:webHidden/>
                <w:sz w:val="24"/>
                <w:szCs w:val="24"/>
              </w:rPr>
              <w:fldChar w:fldCharType="end"/>
            </w:r>
          </w:hyperlink>
        </w:p>
        <w:p w14:paraId="67FD5500" w14:textId="7F3634C9"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68" w:history="1">
            <w:r w:rsidRPr="00EB4CA0">
              <w:rPr>
                <w:rStyle w:val="Hyperlink"/>
                <w:rFonts w:ascii="Arial" w:hAnsi="Arial" w:cs="Arial"/>
                <w:noProof/>
                <w:color w:val="auto"/>
                <w:sz w:val="24"/>
                <w:szCs w:val="24"/>
              </w:rPr>
              <w:t>1.2.</w:t>
            </w:r>
            <w:r w:rsidRPr="00EB4CA0">
              <w:rPr>
                <w:rFonts w:ascii="Arial" w:hAnsi="Arial" w:cs="Arial"/>
                <w:noProof/>
                <w:sz w:val="24"/>
                <w:szCs w:val="24"/>
              </w:rPr>
              <w:tab/>
            </w:r>
            <w:r w:rsidRPr="00EB4CA0">
              <w:rPr>
                <w:rStyle w:val="Hyperlink"/>
                <w:rFonts w:ascii="Arial" w:hAnsi="Arial" w:cs="Arial"/>
                <w:noProof/>
                <w:color w:val="auto"/>
                <w:sz w:val="24"/>
                <w:szCs w:val="24"/>
              </w:rPr>
              <w:t>Definitions and Terminology</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_Toc234700968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9</w:t>
            </w:r>
            <w:r w:rsidRPr="00EB4CA0">
              <w:rPr>
                <w:rFonts w:ascii="Arial" w:hAnsi="Arial" w:cs="Arial"/>
                <w:noProof/>
                <w:webHidden/>
                <w:sz w:val="24"/>
                <w:szCs w:val="24"/>
              </w:rPr>
              <w:fldChar w:fldCharType="end"/>
            </w:r>
          </w:hyperlink>
        </w:p>
        <w:p w14:paraId="7CB2D177" w14:textId="3A578826"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69" w:history="1">
            <w:r w:rsidRPr="00EB4CA0">
              <w:rPr>
                <w:rStyle w:val="Hyperlink"/>
                <w:rFonts w:ascii="Arial" w:hAnsi="Arial" w:cs="Arial"/>
                <w:noProof/>
                <w:color w:val="auto"/>
                <w:sz w:val="24"/>
                <w:szCs w:val="24"/>
              </w:rPr>
              <w:t>1.3.</w:t>
            </w:r>
            <w:r w:rsidRPr="00EB4CA0">
              <w:rPr>
                <w:rFonts w:ascii="Arial" w:hAnsi="Arial" w:cs="Arial"/>
                <w:noProof/>
                <w:sz w:val="24"/>
                <w:szCs w:val="24"/>
              </w:rPr>
              <w:tab/>
            </w:r>
            <w:r w:rsidRPr="00EB4CA0">
              <w:rPr>
                <w:rStyle w:val="Hyperlink"/>
                <w:rFonts w:ascii="Arial" w:hAnsi="Arial" w:cs="Arial"/>
                <w:noProof/>
                <w:color w:val="auto"/>
                <w:sz w:val="24"/>
                <w:szCs w:val="24"/>
              </w:rPr>
              <w:t>Rationale for Research</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_Toc234700969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10</w:t>
            </w:r>
            <w:r w:rsidRPr="00EB4CA0">
              <w:rPr>
                <w:rFonts w:ascii="Arial" w:hAnsi="Arial" w:cs="Arial"/>
                <w:noProof/>
                <w:webHidden/>
                <w:sz w:val="24"/>
                <w:szCs w:val="24"/>
              </w:rPr>
              <w:fldChar w:fldCharType="end"/>
            </w:r>
          </w:hyperlink>
        </w:p>
        <w:p w14:paraId="731AB4B8" w14:textId="60A6533E"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0" w:history="1">
            <w:r w:rsidRPr="00EB4CA0">
              <w:rPr>
                <w:rStyle w:val="Hyperlink"/>
                <w:rFonts w:ascii="Arial" w:hAnsi="Arial" w:cs="Arial"/>
                <w:noProof/>
                <w:color w:val="auto"/>
                <w:sz w:val="24"/>
                <w:szCs w:val="24"/>
              </w:rPr>
              <w:t>1.4.</w:t>
            </w:r>
            <w:r w:rsidRPr="00EB4CA0">
              <w:rPr>
                <w:rFonts w:ascii="Arial" w:hAnsi="Arial" w:cs="Arial"/>
                <w:noProof/>
                <w:sz w:val="24"/>
                <w:szCs w:val="24"/>
              </w:rPr>
              <w:tab/>
            </w:r>
            <w:r w:rsidRPr="00EB4CA0">
              <w:rPr>
                <w:rStyle w:val="Hyperlink"/>
                <w:rFonts w:ascii="Arial" w:hAnsi="Arial" w:cs="Arial"/>
                <w:noProof/>
                <w:color w:val="auto"/>
                <w:sz w:val="24"/>
                <w:szCs w:val="24"/>
              </w:rPr>
              <w:t>Aim and Objectives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_Toc234700970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11</w:t>
            </w:r>
            <w:r w:rsidRPr="00EB4CA0">
              <w:rPr>
                <w:rFonts w:ascii="Arial" w:hAnsi="Arial" w:cs="Arial"/>
                <w:noProof/>
                <w:webHidden/>
                <w:sz w:val="24"/>
                <w:szCs w:val="24"/>
              </w:rPr>
              <w:fldChar w:fldCharType="end"/>
            </w:r>
          </w:hyperlink>
        </w:p>
        <w:p w14:paraId="6293E5A9" w14:textId="0C9C40F4"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1" w:history="1">
            <w:r w:rsidRPr="00EB4CA0">
              <w:rPr>
                <w:rStyle w:val="Hyperlink"/>
                <w:rFonts w:ascii="Arial" w:hAnsi="Arial" w:cs="Arial"/>
                <w:noProof/>
                <w:color w:val="auto"/>
                <w:sz w:val="24"/>
                <w:szCs w:val="24"/>
              </w:rPr>
              <w:t>1.5.</w:t>
            </w:r>
            <w:r w:rsidRPr="00EB4CA0">
              <w:rPr>
                <w:rFonts w:ascii="Arial" w:hAnsi="Arial" w:cs="Arial"/>
                <w:noProof/>
                <w:sz w:val="24"/>
                <w:szCs w:val="24"/>
              </w:rPr>
              <w:tab/>
            </w:r>
            <w:r w:rsidRPr="00EB4CA0">
              <w:rPr>
                <w:rStyle w:val="Hyperlink"/>
                <w:rFonts w:ascii="Arial" w:hAnsi="Arial" w:cs="Arial"/>
                <w:noProof/>
                <w:color w:val="auto"/>
                <w:sz w:val="24"/>
                <w:szCs w:val="24"/>
              </w:rPr>
              <w:t>Conclusion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_Toc234700971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11</w:t>
            </w:r>
            <w:r w:rsidRPr="00EB4CA0">
              <w:rPr>
                <w:rFonts w:ascii="Arial" w:hAnsi="Arial" w:cs="Arial"/>
                <w:noProof/>
                <w:webHidden/>
                <w:sz w:val="24"/>
                <w:szCs w:val="24"/>
              </w:rPr>
              <w:fldChar w:fldCharType="end"/>
            </w:r>
          </w:hyperlink>
        </w:p>
        <w:p w14:paraId="5EDE771C" w14:textId="0FCE5F0C" w:rsidR="009A3BC8" w:rsidRPr="00EB4CA0" w:rsidRDefault="009A3BC8" w:rsidP="00D44A02">
          <w:pPr>
            <w:pStyle w:val="TOC1"/>
            <w:tabs>
              <w:tab w:val="left" w:pos="480"/>
              <w:tab w:val="right" w:leader="dot" w:pos="9016"/>
            </w:tabs>
            <w:spacing w:before="240" w:line="276" w:lineRule="auto"/>
            <w:rPr>
              <w:rFonts w:ascii="Arial" w:hAnsi="Arial" w:cs="Arial"/>
              <w:noProof/>
              <w:sz w:val="24"/>
              <w:szCs w:val="24"/>
            </w:rPr>
          </w:pPr>
          <w:hyperlink w:anchor="_Toc234700972" w:history="1">
            <w:r w:rsidRPr="00EB4CA0">
              <w:rPr>
                <w:rStyle w:val="Hyperlink"/>
                <w:rFonts w:ascii="Arial" w:hAnsi="Arial" w:cs="Arial"/>
                <w:noProof/>
                <w:color w:val="auto"/>
                <w:sz w:val="24"/>
                <w:szCs w:val="24"/>
                <w:lang w:bidi="en-GB"/>
              </w:rPr>
              <w:t>2.</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2 – Background Information and Analysis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_Toc234700972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12</w:t>
            </w:r>
            <w:r w:rsidRPr="00EB4CA0">
              <w:rPr>
                <w:rFonts w:ascii="Arial" w:hAnsi="Arial" w:cs="Arial"/>
                <w:noProof/>
                <w:webHidden/>
                <w:sz w:val="24"/>
                <w:szCs w:val="24"/>
              </w:rPr>
              <w:fldChar w:fldCharType="end"/>
            </w:r>
          </w:hyperlink>
        </w:p>
        <w:p w14:paraId="178C4A89" w14:textId="0F3FAC08"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3" w:history="1">
            <w:r w:rsidRPr="00EB4CA0">
              <w:rPr>
                <w:rStyle w:val="Hyperlink"/>
                <w:rFonts w:ascii="Arial" w:hAnsi="Arial" w:cs="Arial"/>
                <w:noProof/>
                <w:color w:val="auto"/>
                <w:sz w:val="24"/>
                <w:szCs w:val="24"/>
              </w:rPr>
              <w:t>2.1.</w:t>
            </w:r>
            <w:r w:rsidRPr="00EB4CA0">
              <w:rPr>
                <w:rFonts w:ascii="Arial" w:hAnsi="Arial" w:cs="Arial"/>
                <w:noProof/>
                <w:sz w:val="24"/>
                <w:szCs w:val="24"/>
              </w:rPr>
              <w:tab/>
            </w:r>
            <w:r w:rsidRPr="00EB4CA0">
              <w:rPr>
                <w:rStyle w:val="Hyperlink"/>
                <w:rFonts w:ascii="Arial" w:hAnsi="Arial" w:cs="Arial"/>
                <w:noProof/>
                <w:color w:val="auto"/>
                <w:sz w:val="24"/>
                <w:szCs w:val="24"/>
              </w:rPr>
              <w:t>Introduction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_Toc234700973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12</w:t>
            </w:r>
            <w:r w:rsidRPr="00EB4CA0">
              <w:rPr>
                <w:rFonts w:ascii="Arial" w:hAnsi="Arial" w:cs="Arial"/>
                <w:noProof/>
                <w:webHidden/>
                <w:sz w:val="24"/>
                <w:szCs w:val="24"/>
              </w:rPr>
              <w:fldChar w:fldCharType="end"/>
            </w:r>
          </w:hyperlink>
        </w:p>
        <w:p w14:paraId="7C1429AE" w14:textId="3EA0DE72"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4" w:history="1">
            <w:r w:rsidRPr="00EB4CA0">
              <w:rPr>
                <w:rStyle w:val="Hyperlink"/>
                <w:rFonts w:ascii="Arial" w:hAnsi="Arial" w:cs="Arial"/>
                <w:noProof/>
                <w:color w:val="auto"/>
                <w:sz w:val="24"/>
                <w:szCs w:val="24"/>
              </w:rPr>
              <w:t>2.2.</w:t>
            </w:r>
            <w:r w:rsidRPr="00EB4CA0">
              <w:rPr>
                <w:rFonts w:ascii="Arial" w:hAnsi="Arial" w:cs="Arial"/>
                <w:noProof/>
                <w:sz w:val="24"/>
                <w:szCs w:val="24"/>
              </w:rPr>
              <w:tab/>
            </w:r>
            <w:r w:rsidRPr="00EB4CA0">
              <w:rPr>
                <w:rStyle w:val="Hyperlink"/>
                <w:rFonts w:ascii="Arial" w:hAnsi="Arial" w:cs="Arial"/>
                <w:noProof/>
                <w:color w:val="auto"/>
                <w:sz w:val="24"/>
                <w:szCs w:val="24"/>
              </w:rPr>
              <w:t>Historical Background</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_Toc234700974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12</w:t>
            </w:r>
            <w:r w:rsidRPr="00EB4CA0">
              <w:rPr>
                <w:rFonts w:ascii="Arial" w:hAnsi="Arial" w:cs="Arial"/>
                <w:noProof/>
                <w:webHidden/>
                <w:sz w:val="24"/>
                <w:szCs w:val="24"/>
              </w:rPr>
              <w:fldChar w:fldCharType="end"/>
            </w:r>
          </w:hyperlink>
        </w:p>
        <w:p w14:paraId="2C8FF618" w14:textId="27192EC2"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5" w:history="1">
            <w:r w:rsidRPr="00EB4CA0">
              <w:rPr>
                <w:rStyle w:val="Hyperlink"/>
                <w:rFonts w:ascii="Arial" w:hAnsi="Arial" w:cs="Arial"/>
                <w:noProof/>
                <w:color w:val="auto"/>
                <w:sz w:val="24"/>
                <w:szCs w:val="24"/>
              </w:rPr>
              <w:t>2.3.</w:t>
            </w:r>
            <w:r w:rsidRPr="00EB4CA0">
              <w:rPr>
                <w:rFonts w:ascii="Arial" w:hAnsi="Arial" w:cs="Arial"/>
                <w:noProof/>
                <w:sz w:val="24"/>
                <w:szCs w:val="24"/>
              </w:rPr>
              <w:tab/>
            </w:r>
            <w:r w:rsidRPr="00EB4CA0">
              <w:rPr>
                <w:rStyle w:val="Hyperlink"/>
                <w:rFonts w:ascii="Arial" w:hAnsi="Arial" w:cs="Arial"/>
                <w:noProof/>
                <w:color w:val="auto"/>
                <w:sz w:val="24"/>
                <w:szCs w:val="24"/>
              </w:rPr>
              <w:t>Theoretical Background</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_Toc234700975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13</w:t>
            </w:r>
            <w:r w:rsidRPr="00EB4CA0">
              <w:rPr>
                <w:rFonts w:ascii="Arial" w:hAnsi="Arial" w:cs="Arial"/>
                <w:noProof/>
                <w:webHidden/>
                <w:sz w:val="24"/>
                <w:szCs w:val="24"/>
              </w:rPr>
              <w:fldChar w:fldCharType="end"/>
            </w:r>
          </w:hyperlink>
        </w:p>
        <w:p w14:paraId="29E0B031" w14:textId="591505CC"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6" w:history="1">
            <w:r w:rsidRPr="00EB4CA0">
              <w:rPr>
                <w:rStyle w:val="Hyperlink"/>
                <w:rFonts w:ascii="Arial" w:hAnsi="Arial" w:cs="Arial"/>
                <w:noProof/>
                <w:color w:val="auto"/>
                <w:sz w:val="24"/>
                <w:szCs w:val="24"/>
              </w:rPr>
              <w:t>2.4.</w:t>
            </w:r>
            <w:r w:rsidRPr="00EB4CA0">
              <w:rPr>
                <w:rFonts w:ascii="Arial" w:hAnsi="Arial" w:cs="Arial"/>
                <w:noProof/>
                <w:sz w:val="24"/>
                <w:szCs w:val="24"/>
              </w:rPr>
              <w:tab/>
            </w:r>
            <w:r w:rsidRPr="00EB4CA0">
              <w:rPr>
                <w:rStyle w:val="Hyperlink"/>
                <w:rFonts w:ascii="Arial" w:hAnsi="Arial" w:cs="Arial"/>
                <w:noProof/>
                <w:color w:val="auto"/>
                <w:sz w:val="24"/>
                <w:szCs w:val="24"/>
              </w:rPr>
              <w:t>International Context</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_Toc234700976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14</w:t>
            </w:r>
            <w:r w:rsidRPr="00EB4CA0">
              <w:rPr>
                <w:rFonts w:ascii="Arial" w:hAnsi="Arial" w:cs="Arial"/>
                <w:noProof/>
                <w:webHidden/>
                <w:sz w:val="24"/>
                <w:szCs w:val="24"/>
              </w:rPr>
              <w:fldChar w:fldCharType="end"/>
            </w:r>
          </w:hyperlink>
        </w:p>
        <w:p w14:paraId="2BD4077E" w14:textId="026BA405"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7" w:history="1">
            <w:r w:rsidRPr="00EB4CA0">
              <w:rPr>
                <w:rStyle w:val="Hyperlink"/>
                <w:rFonts w:ascii="Arial" w:hAnsi="Arial" w:cs="Arial"/>
                <w:noProof/>
                <w:color w:val="auto"/>
                <w:sz w:val="24"/>
                <w:szCs w:val="24"/>
              </w:rPr>
              <w:t>2.5.</w:t>
            </w:r>
            <w:r w:rsidRPr="00EB4CA0">
              <w:rPr>
                <w:rFonts w:ascii="Arial" w:hAnsi="Arial" w:cs="Arial"/>
                <w:noProof/>
                <w:sz w:val="24"/>
                <w:szCs w:val="24"/>
              </w:rPr>
              <w:tab/>
            </w:r>
            <w:r w:rsidRPr="00EB4CA0">
              <w:rPr>
                <w:rStyle w:val="Hyperlink"/>
                <w:rFonts w:ascii="Arial" w:hAnsi="Arial" w:cs="Arial"/>
                <w:noProof/>
                <w:color w:val="auto"/>
                <w:sz w:val="24"/>
                <w:szCs w:val="24"/>
              </w:rPr>
              <w:t>National UK Context</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_Toc234700977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15</w:t>
            </w:r>
            <w:r w:rsidRPr="00EB4CA0">
              <w:rPr>
                <w:rFonts w:ascii="Arial" w:hAnsi="Arial" w:cs="Arial"/>
                <w:noProof/>
                <w:webHidden/>
                <w:sz w:val="24"/>
                <w:szCs w:val="24"/>
              </w:rPr>
              <w:fldChar w:fldCharType="end"/>
            </w:r>
          </w:hyperlink>
        </w:p>
        <w:p w14:paraId="00302F64" w14:textId="736F9C5C"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78" w:history="1">
            <w:r w:rsidRPr="00EB4CA0">
              <w:rPr>
                <w:rStyle w:val="Hyperlink"/>
                <w:rFonts w:ascii="Arial" w:hAnsi="Arial" w:cs="Arial"/>
                <w:noProof/>
                <w:color w:val="auto"/>
                <w:sz w:val="24"/>
                <w:szCs w:val="24"/>
              </w:rPr>
              <w:t>2.6.</w:t>
            </w:r>
            <w:r w:rsidRPr="00EB4CA0">
              <w:rPr>
                <w:rFonts w:ascii="Arial" w:hAnsi="Arial" w:cs="Arial"/>
                <w:noProof/>
                <w:sz w:val="24"/>
                <w:szCs w:val="24"/>
              </w:rPr>
              <w:tab/>
            </w:r>
            <w:r w:rsidRPr="00EB4CA0">
              <w:rPr>
                <w:rStyle w:val="Hyperlink"/>
                <w:rFonts w:ascii="Arial" w:hAnsi="Arial" w:cs="Arial"/>
                <w:noProof/>
                <w:color w:val="auto"/>
                <w:sz w:val="24"/>
                <w:szCs w:val="24"/>
              </w:rPr>
              <w:t>Conclusion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_Toc234700978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16</w:t>
            </w:r>
            <w:r w:rsidRPr="00EB4CA0">
              <w:rPr>
                <w:rFonts w:ascii="Arial" w:hAnsi="Arial" w:cs="Arial"/>
                <w:noProof/>
                <w:webHidden/>
                <w:sz w:val="24"/>
                <w:szCs w:val="24"/>
              </w:rPr>
              <w:fldChar w:fldCharType="end"/>
            </w:r>
          </w:hyperlink>
        </w:p>
        <w:p w14:paraId="5396AECC" w14:textId="0A7FA22C" w:rsidR="009A3BC8" w:rsidRPr="00EB4CA0" w:rsidRDefault="009A3BC8" w:rsidP="00D44A02">
          <w:pPr>
            <w:pStyle w:val="TOC1"/>
            <w:tabs>
              <w:tab w:val="left" w:pos="480"/>
              <w:tab w:val="right" w:leader="dot" w:pos="9016"/>
            </w:tabs>
            <w:spacing w:before="240" w:line="276" w:lineRule="auto"/>
            <w:rPr>
              <w:rFonts w:ascii="Arial" w:hAnsi="Arial" w:cs="Arial"/>
              <w:noProof/>
              <w:sz w:val="24"/>
              <w:szCs w:val="24"/>
            </w:rPr>
          </w:pPr>
          <w:hyperlink w:anchor="_Toc234700979" w:history="1">
            <w:r w:rsidRPr="00EB4CA0">
              <w:rPr>
                <w:rStyle w:val="Hyperlink"/>
                <w:rFonts w:ascii="Arial" w:hAnsi="Arial" w:cs="Arial"/>
                <w:noProof/>
                <w:color w:val="auto"/>
                <w:sz w:val="24"/>
                <w:szCs w:val="24"/>
                <w:lang w:bidi="en-GB"/>
              </w:rPr>
              <w:t>3.</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3 – Methods and Search Strategy</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_Toc234700979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17</w:t>
            </w:r>
            <w:r w:rsidRPr="00EB4CA0">
              <w:rPr>
                <w:rFonts w:ascii="Arial" w:hAnsi="Arial" w:cs="Arial"/>
                <w:noProof/>
                <w:webHidden/>
                <w:sz w:val="24"/>
                <w:szCs w:val="24"/>
              </w:rPr>
              <w:fldChar w:fldCharType="end"/>
            </w:r>
          </w:hyperlink>
        </w:p>
        <w:p w14:paraId="56BCAD0A" w14:textId="26ECE3AE"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0" w:history="1">
            <w:r w:rsidRPr="00EB4CA0">
              <w:rPr>
                <w:rStyle w:val="Hyperlink"/>
                <w:rFonts w:ascii="Arial" w:hAnsi="Arial" w:cs="Arial"/>
                <w:noProof/>
                <w:color w:val="auto"/>
                <w:sz w:val="24"/>
                <w:szCs w:val="24"/>
              </w:rPr>
              <w:t>3.1.</w:t>
            </w:r>
            <w:r w:rsidRPr="00EB4CA0">
              <w:rPr>
                <w:rFonts w:ascii="Arial" w:hAnsi="Arial" w:cs="Arial"/>
                <w:noProof/>
                <w:sz w:val="24"/>
                <w:szCs w:val="24"/>
              </w:rPr>
              <w:tab/>
            </w:r>
            <w:r w:rsidRPr="00EB4CA0">
              <w:rPr>
                <w:rStyle w:val="Hyperlink"/>
                <w:rFonts w:ascii="Arial" w:hAnsi="Arial" w:cs="Arial"/>
                <w:noProof/>
                <w:color w:val="auto"/>
                <w:sz w:val="24"/>
                <w:szCs w:val="24"/>
              </w:rPr>
              <w:t>Introduction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_Toc234700980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17</w:t>
            </w:r>
            <w:r w:rsidRPr="00EB4CA0">
              <w:rPr>
                <w:rFonts w:ascii="Arial" w:hAnsi="Arial" w:cs="Arial"/>
                <w:noProof/>
                <w:webHidden/>
                <w:sz w:val="24"/>
                <w:szCs w:val="24"/>
              </w:rPr>
              <w:fldChar w:fldCharType="end"/>
            </w:r>
          </w:hyperlink>
        </w:p>
        <w:p w14:paraId="1F473433" w14:textId="3D9F383E"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1" w:history="1">
            <w:r w:rsidRPr="00EB4CA0">
              <w:rPr>
                <w:rStyle w:val="Hyperlink"/>
                <w:rFonts w:ascii="Arial" w:hAnsi="Arial" w:cs="Arial"/>
                <w:noProof/>
                <w:color w:val="auto"/>
                <w:sz w:val="24"/>
                <w:szCs w:val="24"/>
              </w:rPr>
              <w:t>3.2.</w:t>
            </w:r>
            <w:r w:rsidRPr="00EB4CA0">
              <w:rPr>
                <w:rFonts w:ascii="Arial" w:hAnsi="Arial" w:cs="Arial"/>
                <w:noProof/>
                <w:sz w:val="24"/>
                <w:szCs w:val="24"/>
              </w:rPr>
              <w:tab/>
            </w:r>
            <w:r w:rsidRPr="00EB4CA0">
              <w:rPr>
                <w:rStyle w:val="Hyperlink"/>
                <w:rFonts w:ascii="Arial" w:hAnsi="Arial" w:cs="Arial"/>
                <w:noProof/>
                <w:color w:val="auto"/>
                <w:sz w:val="24"/>
                <w:szCs w:val="24"/>
              </w:rPr>
              <w:t>Search Strategy</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_Toc234700981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17</w:t>
            </w:r>
            <w:r w:rsidRPr="00EB4CA0">
              <w:rPr>
                <w:rFonts w:ascii="Arial" w:hAnsi="Arial" w:cs="Arial"/>
                <w:noProof/>
                <w:webHidden/>
                <w:sz w:val="24"/>
                <w:szCs w:val="24"/>
              </w:rPr>
              <w:fldChar w:fldCharType="end"/>
            </w:r>
          </w:hyperlink>
        </w:p>
        <w:p w14:paraId="09AA3AA8" w14:textId="64946264"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2" w:history="1">
            <w:r w:rsidRPr="00EB4CA0">
              <w:rPr>
                <w:rStyle w:val="Hyperlink"/>
                <w:rFonts w:ascii="Arial" w:hAnsi="Arial" w:cs="Arial"/>
                <w:noProof/>
                <w:color w:val="auto"/>
                <w:sz w:val="24"/>
                <w:szCs w:val="24"/>
              </w:rPr>
              <w:t>3.3.</w:t>
            </w:r>
            <w:r w:rsidRPr="00EB4CA0">
              <w:rPr>
                <w:rFonts w:ascii="Arial" w:hAnsi="Arial" w:cs="Arial"/>
                <w:noProof/>
                <w:sz w:val="24"/>
                <w:szCs w:val="24"/>
              </w:rPr>
              <w:tab/>
            </w:r>
            <w:r w:rsidRPr="00EB4CA0">
              <w:rPr>
                <w:rStyle w:val="Hyperlink"/>
                <w:rFonts w:ascii="Arial" w:hAnsi="Arial" w:cs="Arial"/>
                <w:noProof/>
                <w:color w:val="auto"/>
                <w:sz w:val="24"/>
                <w:szCs w:val="24"/>
              </w:rPr>
              <w:t>Searching for Information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_Toc234700982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17</w:t>
            </w:r>
            <w:r w:rsidRPr="00EB4CA0">
              <w:rPr>
                <w:rFonts w:ascii="Arial" w:hAnsi="Arial" w:cs="Arial"/>
                <w:noProof/>
                <w:webHidden/>
                <w:sz w:val="24"/>
                <w:szCs w:val="24"/>
              </w:rPr>
              <w:fldChar w:fldCharType="end"/>
            </w:r>
          </w:hyperlink>
        </w:p>
        <w:p w14:paraId="6299065C" w14:textId="2F7DBACD"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3" w:history="1">
            <w:r w:rsidRPr="00EB4CA0">
              <w:rPr>
                <w:rStyle w:val="Hyperlink"/>
                <w:rFonts w:ascii="Arial" w:hAnsi="Arial" w:cs="Arial"/>
                <w:noProof/>
                <w:color w:val="auto"/>
                <w:sz w:val="24"/>
                <w:szCs w:val="24"/>
              </w:rPr>
              <w:t>3.4.</w:t>
            </w:r>
            <w:r w:rsidRPr="00EB4CA0">
              <w:rPr>
                <w:rFonts w:ascii="Arial" w:hAnsi="Arial" w:cs="Arial"/>
                <w:noProof/>
                <w:sz w:val="24"/>
                <w:szCs w:val="24"/>
              </w:rPr>
              <w:tab/>
            </w:r>
            <w:r w:rsidRPr="00EB4CA0">
              <w:rPr>
                <w:rStyle w:val="Hyperlink"/>
                <w:rFonts w:ascii="Arial" w:hAnsi="Arial" w:cs="Arial"/>
                <w:noProof/>
                <w:color w:val="auto"/>
                <w:sz w:val="24"/>
                <w:szCs w:val="24"/>
              </w:rPr>
              <w:t>Research Validation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_Toc234700983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18</w:t>
            </w:r>
            <w:r w:rsidRPr="00EB4CA0">
              <w:rPr>
                <w:rFonts w:ascii="Arial" w:hAnsi="Arial" w:cs="Arial"/>
                <w:noProof/>
                <w:webHidden/>
                <w:sz w:val="24"/>
                <w:szCs w:val="24"/>
              </w:rPr>
              <w:fldChar w:fldCharType="end"/>
            </w:r>
          </w:hyperlink>
        </w:p>
        <w:p w14:paraId="2395F4A1" w14:textId="6A5D5A73"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4" w:history="1">
            <w:r w:rsidRPr="00EB4CA0">
              <w:rPr>
                <w:rStyle w:val="Hyperlink"/>
                <w:rFonts w:ascii="Arial" w:hAnsi="Arial" w:cs="Arial"/>
                <w:noProof/>
                <w:color w:val="auto"/>
                <w:sz w:val="24"/>
                <w:szCs w:val="24"/>
              </w:rPr>
              <w:t>3.5.</w:t>
            </w:r>
            <w:r w:rsidRPr="00EB4CA0">
              <w:rPr>
                <w:rFonts w:ascii="Arial" w:hAnsi="Arial" w:cs="Arial"/>
                <w:noProof/>
                <w:sz w:val="24"/>
                <w:szCs w:val="24"/>
              </w:rPr>
              <w:tab/>
            </w:r>
            <w:r w:rsidRPr="00EB4CA0">
              <w:rPr>
                <w:rStyle w:val="Hyperlink"/>
                <w:rFonts w:ascii="Arial" w:hAnsi="Arial" w:cs="Arial"/>
                <w:noProof/>
                <w:color w:val="auto"/>
                <w:sz w:val="24"/>
                <w:szCs w:val="24"/>
              </w:rPr>
              <w:t>Inclusion and Exclusion Criteria</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_Toc234700984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19</w:t>
            </w:r>
            <w:r w:rsidRPr="00EB4CA0">
              <w:rPr>
                <w:rFonts w:ascii="Arial" w:hAnsi="Arial" w:cs="Arial"/>
                <w:noProof/>
                <w:webHidden/>
                <w:sz w:val="24"/>
                <w:szCs w:val="24"/>
              </w:rPr>
              <w:fldChar w:fldCharType="end"/>
            </w:r>
          </w:hyperlink>
        </w:p>
        <w:p w14:paraId="4AD68BF8" w14:textId="44D03095"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5" w:history="1">
            <w:r w:rsidRPr="00EB4CA0">
              <w:rPr>
                <w:rStyle w:val="Hyperlink"/>
                <w:rFonts w:ascii="Arial" w:hAnsi="Arial" w:cs="Arial"/>
                <w:noProof/>
                <w:color w:val="auto"/>
                <w:sz w:val="24"/>
                <w:szCs w:val="24"/>
              </w:rPr>
              <w:t>3.6.</w:t>
            </w:r>
            <w:r w:rsidRPr="00EB4CA0">
              <w:rPr>
                <w:rFonts w:ascii="Arial" w:hAnsi="Arial" w:cs="Arial"/>
                <w:noProof/>
                <w:sz w:val="24"/>
                <w:szCs w:val="24"/>
              </w:rPr>
              <w:tab/>
            </w:r>
            <w:r w:rsidRPr="00EB4CA0">
              <w:rPr>
                <w:rStyle w:val="Hyperlink"/>
                <w:rFonts w:ascii="Arial" w:hAnsi="Arial" w:cs="Arial"/>
                <w:noProof/>
                <w:color w:val="auto"/>
                <w:sz w:val="24"/>
                <w:szCs w:val="24"/>
              </w:rPr>
              <w:t>Analysing Research</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_Toc234700985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19</w:t>
            </w:r>
            <w:r w:rsidRPr="00EB4CA0">
              <w:rPr>
                <w:rFonts w:ascii="Arial" w:hAnsi="Arial" w:cs="Arial"/>
                <w:noProof/>
                <w:webHidden/>
                <w:sz w:val="24"/>
                <w:szCs w:val="24"/>
              </w:rPr>
              <w:fldChar w:fldCharType="end"/>
            </w:r>
          </w:hyperlink>
        </w:p>
        <w:p w14:paraId="23C48DE0" w14:textId="24618662"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6" w:history="1">
            <w:r w:rsidRPr="00EB4CA0">
              <w:rPr>
                <w:rStyle w:val="Hyperlink"/>
                <w:rFonts w:ascii="Arial" w:hAnsi="Arial" w:cs="Arial"/>
                <w:noProof/>
                <w:color w:val="auto"/>
                <w:sz w:val="24"/>
                <w:szCs w:val="24"/>
              </w:rPr>
              <w:t>3.7.</w:t>
            </w:r>
            <w:r w:rsidRPr="00EB4CA0">
              <w:rPr>
                <w:rFonts w:ascii="Arial" w:hAnsi="Arial" w:cs="Arial"/>
                <w:noProof/>
                <w:sz w:val="24"/>
                <w:szCs w:val="24"/>
              </w:rPr>
              <w:tab/>
            </w:r>
            <w:r w:rsidRPr="00EB4CA0">
              <w:rPr>
                <w:rStyle w:val="Hyperlink"/>
                <w:rFonts w:ascii="Arial" w:hAnsi="Arial" w:cs="Arial"/>
                <w:noProof/>
                <w:color w:val="auto"/>
                <w:sz w:val="24"/>
                <w:szCs w:val="24"/>
              </w:rPr>
              <w:t>Ethical Considerations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_Toc234700986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19</w:t>
            </w:r>
            <w:r w:rsidRPr="00EB4CA0">
              <w:rPr>
                <w:rFonts w:ascii="Arial" w:hAnsi="Arial" w:cs="Arial"/>
                <w:noProof/>
                <w:webHidden/>
                <w:sz w:val="24"/>
                <w:szCs w:val="24"/>
              </w:rPr>
              <w:fldChar w:fldCharType="end"/>
            </w:r>
          </w:hyperlink>
        </w:p>
        <w:p w14:paraId="4683899D" w14:textId="7655C626"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7" w:history="1">
            <w:r w:rsidRPr="00EB4CA0">
              <w:rPr>
                <w:rStyle w:val="Hyperlink"/>
                <w:rFonts w:ascii="Arial" w:hAnsi="Arial" w:cs="Arial"/>
                <w:noProof/>
                <w:color w:val="auto"/>
                <w:sz w:val="24"/>
                <w:szCs w:val="24"/>
              </w:rPr>
              <w:t>3.8.</w:t>
            </w:r>
            <w:r w:rsidRPr="00EB4CA0">
              <w:rPr>
                <w:rFonts w:ascii="Arial" w:hAnsi="Arial" w:cs="Arial"/>
                <w:noProof/>
                <w:sz w:val="24"/>
                <w:szCs w:val="24"/>
              </w:rPr>
              <w:tab/>
            </w:r>
            <w:r w:rsidRPr="00EB4CA0">
              <w:rPr>
                <w:rStyle w:val="Hyperlink"/>
                <w:rFonts w:ascii="Arial" w:hAnsi="Arial" w:cs="Arial"/>
                <w:noProof/>
                <w:color w:val="auto"/>
                <w:sz w:val="24"/>
                <w:szCs w:val="24"/>
              </w:rPr>
              <w:t>Chapter Conclusion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_Toc234700987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20</w:t>
            </w:r>
            <w:r w:rsidRPr="00EB4CA0">
              <w:rPr>
                <w:rFonts w:ascii="Arial" w:hAnsi="Arial" w:cs="Arial"/>
                <w:noProof/>
                <w:webHidden/>
                <w:sz w:val="24"/>
                <w:szCs w:val="24"/>
              </w:rPr>
              <w:fldChar w:fldCharType="end"/>
            </w:r>
          </w:hyperlink>
        </w:p>
        <w:p w14:paraId="3F433190" w14:textId="1925DDA5" w:rsidR="009A3BC8" w:rsidRPr="00EB4CA0" w:rsidRDefault="009A3BC8" w:rsidP="00D44A02">
          <w:pPr>
            <w:pStyle w:val="TOC1"/>
            <w:tabs>
              <w:tab w:val="left" w:pos="480"/>
              <w:tab w:val="right" w:leader="dot" w:pos="9016"/>
            </w:tabs>
            <w:spacing w:before="240" w:line="276" w:lineRule="auto"/>
            <w:rPr>
              <w:rFonts w:ascii="Arial" w:hAnsi="Arial" w:cs="Arial"/>
              <w:noProof/>
              <w:sz w:val="24"/>
              <w:szCs w:val="24"/>
            </w:rPr>
          </w:pPr>
          <w:hyperlink w:anchor="_Toc234700988" w:history="1">
            <w:r w:rsidRPr="00EB4CA0">
              <w:rPr>
                <w:rStyle w:val="Hyperlink"/>
                <w:rFonts w:ascii="Arial" w:hAnsi="Arial" w:cs="Arial"/>
                <w:noProof/>
                <w:color w:val="auto"/>
                <w:sz w:val="24"/>
                <w:szCs w:val="24"/>
                <w:lang w:bidi="en-GB"/>
              </w:rPr>
              <w:t>4.</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4 – Findings and Discussion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_Toc234700988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21</w:t>
            </w:r>
            <w:r w:rsidRPr="00EB4CA0">
              <w:rPr>
                <w:rFonts w:ascii="Arial" w:hAnsi="Arial" w:cs="Arial"/>
                <w:noProof/>
                <w:webHidden/>
                <w:sz w:val="24"/>
                <w:szCs w:val="24"/>
              </w:rPr>
              <w:fldChar w:fldCharType="end"/>
            </w:r>
          </w:hyperlink>
        </w:p>
        <w:p w14:paraId="0FD13FE0" w14:textId="043D00DB"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89" w:history="1">
            <w:r w:rsidRPr="00EB4CA0">
              <w:rPr>
                <w:rStyle w:val="Hyperlink"/>
                <w:rFonts w:ascii="Arial" w:hAnsi="Arial" w:cs="Arial"/>
                <w:noProof/>
                <w:color w:val="auto"/>
                <w:sz w:val="24"/>
                <w:szCs w:val="24"/>
              </w:rPr>
              <w:t>4.1.</w:t>
            </w:r>
            <w:r w:rsidRPr="00EB4CA0">
              <w:rPr>
                <w:rFonts w:ascii="Arial" w:hAnsi="Arial" w:cs="Arial"/>
                <w:noProof/>
                <w:sz w:val="24"/>
                <w:szCs w:val="24"/>
              </w:rPr>
              <w:tab/>
            </w:r>
            <w:r w:rsidRPr="00EB4CA0">
              <w:rPr>
                <w:rStyle w:val="Hyperlink"/>
                <w:rFonts w:ascii="Arial" w:hAnsi="Arial" w:cs="Arial"/>
                <w:noProof/>
                <w:color w:val="auto"/>
                <w:sz w:val="24"/>
                <w:szCs w:val="24"/>
              </w:rPr>
              <w:t>Introduction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_Toc234700989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21</w:t>
            </w:r>
            <w:r w:rsidRPr="00EB4CA0">
              <w:rPr>
                <w:rFonts w:ascii="Arial" w:hAnsi="Arial" w:cs="Arial"/>
                <w:noProof/>
                <w:webHidden/>
                <w:sz w:val="24"/>
                <w:szCs w:val="24"/>
              </w:rPr>
              <w:fldChar w:fldCharType="end"/>
            </w:r>
          </w:hyperlink>
        </w:p>
        <w:p w14:paraId="698C30B1" w14:textId="76B2B442"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90" w:history="1">
            <w:r w:rsidRPr="00EB4CA0">
              <w:rPr>
                <w:rStyle w:val="Hyperlink"/>
                <w:rFonts w:ascii="Arial" w:hAnsi="Arial" w:cs="Arial"/>
                <w:noProof/>
                <w:color w:val="auto"/>
                <w:sz w:val="24"/>
                <w:szCs w:val="24"/>
              </w:rPr>
              <w:t>4.2.</w:t>
            </w:r>
            <w:r w:rsidRPr="00EB4CA0">
              <w:rPr>
                <w:rFonts w:ascii="Arial" w:hAnsi="Arial" w:cs="Arial"/>
                <w:noProof/>
                <w:sz w:val="24"/>
                <w:szCs w:val="24"/>
              </w:rPr>
              <w:tab/>
            </w:r>
            <w:r w:rsidRPr="00EB4CA0">
              <w:rPr>
                <w:rStyle w:val="Hyperlink"/>
                <w:rFonts w:ascii="Arial" w:hAnsi="Arial" w:cs="Arial"/>
                <w:noProof/>
                <w:color w:val="auto"/>
                <w:sz w:val="24"/>
                <w:szCs w:val="24"/>
              </w:rPr>
              <w:t>Thematic Analysis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_Toc234700990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21</w:t>
            </w:r>
            <w:r w:rsidRPr="00EB4CA0">
              <w:rPr>
                <w:rFonts w:ascii="Arial" w:hAnsi="Arial" w:cs="Arial"/>
                <w:noProof/>
                <w:webHidden/>
                <w:sz w:val="24"/>
                <w:szCs w:val="24"/>
              </w:rPr>
              <w:fldChar w:fldCharType="end"/>
            </w:r>
          </w:hyperlink>
        </w:p>
        <w:p w14:paraId="4234D89B" w14:textId="564AE943"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91" w:history="1">
            <w:r w:rsidRPr="00EB4CA0">
              <w:rPr>
                <w:rStyle w:val="Hyperlink"/>
                <w:rFonts w:ascii="Arial" w:hAnsi="Arial" w:cs="Arial"/>
                <w:noProof/>
                <w:color w:val="auto"/>
                <w:sz w:val="24"/>
                <w:szCs w:val="24"/>
              </w:rPr>
              <w:t>4.3.</w:t>
            </w:r>
            <w:r w:rsidRPr="00EB4CA0">
              <w:rPr>
                <w:rFonts w:ascii="Arial" w:hAnsi="Arial" w:cs="Arial"/>
                <w:noProof/>
                <w:sz w:val="24"/>
                <w:szCs w:val="24"/>
              </w:rPr>
              <w:tab/>
            </w:r>
            <w:r w:rsidRPr="00EB4CA0">
              <w:rPr>
                <w:rStyle w:val="Hyperlink"/>
                <w:rFonts w:ascii="Arial" w:hAnsi="Arial" w:cs="Arial"/>
                <w:noProof/>
                <w:color w:val="auto"/>
                <w:sz w:val="24"/>
                <w:szCs w:val="24"/>
              </w:rPr>
              <w:t>Theme 1: Social Support and Mental Health in Long-Term Care</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_Toc234700991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21</w:t>
            </w:r>
            <w:r w:rsidRPr="00EB4CA0">
              <w:rPr>
                <w:rFonts w:ascii="Arial" w:hAnsi="Arial" w:cs="Arial"/>
                <w:noProof/>
                <w:webHidden/>
                <w:sz w:val="24"/>
                <w:szCs w:val="24"/>
              </w:rPr>
              <w:fldChar w:fldCharType="end"/>
            </w:r>
          </w:hyperlink>
        </w:p>
        <w:p w14:paraId="00669824" w14:textId="4388117B"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2" w:history="1">
            <w:r w:rsidRPr="00EB4CA0">
              <w:rPr>
                <w:rStyle w:val="Hyperlink"/>
                <w:rFonts w:ascii="Arial" w:hAnsi="Arial" w:cs="Arial"/>
                <w:i/>
                <w:iCs/>
                <w:noProof/>
                <w:color w:val="auto"/>
                <w:sz w:val="24"/>
                <w:szCs w:val="24"/>
                <w:lang w:val="en-US"/>
              </w:rPr>
              <w:t>4.3.1.</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Definition and Background</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_Toc234700992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21</w:t>
            </w:r>
            <w:r w:rsidRPr="00EB4CA0">
              <w:rPr>
                <w:rFonts w:ascii="Arial" w:hAnsi="Arial" w:cs="Arial"/>
                <w:i/>
                <w:iCs/>
                <w:noProof/>
                <w:webHidden/>
                <w:sz w:val="24"/>
                <w:szCs w:val="24"/>
              </w:rPr>
              <w:fldChar w:fldCharType="end"/>
            </w:r>
          </w:hyperlink>
        </w:p>
        <w:p w14:paraId="7AE74AC8" w14:textId="29AC6BE2"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3" w:history="1">
            <w:r w:rsidRPr="00EB4CA0">
              <w:rPr>
                <w:rStyle w:val="Hyperlink"/>
                <w:rFonts w:ascii="Arial" w:hAnsi="Arial" w:cs="Arial"/>
                <w:i/>
                <w:iCs/>
                <w:noProof/>
                <w:color w:val="auto"/>
                <w:sz w:val="24"/>
                <w:szCs w:val="24"/>
                <w:lang w:val="en-US"/>
              </w:rPr>
              <w:t>4.3.2.</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Relationship Between Social Support and Mental Health</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_Toc234700993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22</w:t>
            </w:r>
            <w:r w:rsidRPr="00EB4CA0">
              <w:rPr>
                <w:rFonts w:ascii="Arial" w:hAnsi="Arial" w:cs="Arial"/>
                <w:i/>
                <w:iCs/>
                <w:noProof/>
                <w:webHidden/>
                <w:sz w:val="24"/>
                <w:szCs w:val="24"/>
              </w:rPr>
              <w:fldChar w:fldCharType="end"/>
            </w:r>
          </w:hyperlink>
        </w:p>
        <w:p w14:paraId="162CD338" w14:textId="658204D5"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4" w:history="1">
            <w:r w:rsidRPr="00EB4CA0">
              <w:rPr>
                <w:rStyle w:val="Hyperlink"/>
                <w:rFonts w:ascii="Arial" w:hAnsi="Arial" w:cs="Arial"/>
                <w:i/>
                <w:iCs/>
                <w:noProof/>
                <w:color w:val="auto"/>
                <w:sz w:val="24"/>
                <w:szCs w:val="24"/>
                <w:lang w:val="en-US"/>
              </w:rPr>
              <w:t>4.3.3.</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Theories, Policies and Literature Findings</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_Toc234700994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22</w:t>
            </w:r>
            <w:r w:rsidRPr="00EB4CA0">
              <w:rPr>
                <w:rFonts w:ascii="Arial" w:hAnsi="Arial" w:cs="Arial"/>
                <w:i/>
                <w:iCs/>
                <w:noProof/>
                <w:webHidden/>
                <w:sz w:val="24"/>
                <w:szCs w:val="24"/>
              </w:rPr>
              <w:fldChar w:fldCharType="end"/>
            </w:r>
          </w:hyperlink>
        </w:p>
        <w:p w14:paraId="50AFD73F" w14:textId="68CF1CF0"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5" w:history="1">
            <w:r w:rsidRPr="00EB4CA0">
              <w:rPr>
                <w:rStyle w:val="Hyperlink"/>
                <w:rFonts w:ascii="Arial" w:hAnsi="Arial" w:cs="Arial"/>
                <w:i/>
                <w:iCs/>
                <w:noProof/>
                <w:color w:val="auto"/>
                <w:sz w:val="24"/>
                <w:szCs w:val="24"/>
                <w:lang w:val="en-US"/>
              </w:rPr>
              <w:t>4.3.4.</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Implications and Links to Other Themes</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_Toc234700995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23</w:t>
            </w:r>
            <w:r w:rsidRPr="00EB4CA0">
              <w:rPr>
                <w:rFonts w:ascii="Arial" w:hAnsi="Arial" w:cs="Arial"/>
                <w:i/>
                <w:iCs/>
                <w:noProof/>
                <w:webHidden/>
                <w:sz w:val="24"/>
                <w:szCs w:val="24"/>
              </w:rPr>
              <w:fldChar w:fldCharType="end"/>
            </w:r>
          </w:hyperlink>
        </w:p>
        <w:p w14:paraId="04E165CE" w14:textId="189DB583"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0996" w:history="1">
            <w:r w:rsidRPr="00EB4CA0">
              <w:rPr>
                <w:rStyle w:val="Hyperlink"/>
                <w:rFonts w:ascii="Arial" w:hAnsi="Arial" w:cs="Arial"/>
                <w:noProof/>
                <w:color w:val="auto"/>
                <w:sz w:val="24"/>
                <w:szCs w:val="24"/>
              </w:rPr>
              <w:t>4.4.</w:t>
            </w:r>
            <w:r w:rsidRPr="00EB4CA0">
              <w:rPr>
                <w:rFonts w:ascii="Arial" w:hAnsi="Arial" w:cs="Arial"/>
                <w:noProof/>
                <w:sz w:val="24"/>
                <w:szCs w:val="24"/>
              </w:rPr>
              <w:tab/>
            </w:r>
            <w:r w:rsidRPr="00EB4CA0">
              <w:rPr>
                <w:rStyle w:val="Hyperlink"/>
                <w:rFonts w:ascii="Arial" w:hAnsi="Arial" w:cs="Arial"/>
                <w:noProof/>
                <w:color w:val="auto"/>
                <w:sz w:val="24"/>
                <w:szCs w:val="24"/>
              </w:rPr>
              <w:t>Theme 2: Barriers Affecting Social Support and Mental Health in Long-Term Care Facilities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_Toc234700996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24</w:t>
            </w:r>
            <w:r w:rsidRPr="00EB4CA0">
              <w:rPr>
                <w:rFonts w:ascii="Arial" w:hAnsi="Arial" w:cs="Arial"/>
                <w:noProof/>
                <w:webHidden/>
                <w:sz w:val="24"/>
                <w:szCs w:val="24"/>
              </w:rPr>
              <w:fldChar w:fldCharType="end"/>
            </w:r>
          </w:hyperlink>
        </w:p>
        <w:p w14:paraId="560B421D" w14:textId="6662BB7A"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7" w:history="1">
            <w:r w:rsidRPr="00EB4CA0">
              <w:rPr>
                <w:rStyle w:val="Hyperlink"/>
                <w:rFonts w:ascii="Arial" w:hAnsi="Arial" w:cs="Arial"/>
                <w:i/>
                <w:iCs/>
                <w:noProof/>
                <w:color w:val="auto"/>
                <w:sz w:val="24"/>
                <w:szCs w:val="24"/>
                <w:lang w:val="en-US"/>
              </w:rPr>
              <w:t>4.4.1.</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Definition and Background</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_Toc234700997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24</w:t>
            </w:r>
            <w:r w:rsidRPr="00EB4CA0">
              <w:rPr>
                <w:rFonts w:ascii="Arial" w:hAnsi="Arial" w:cs="Arial"/>
                <w:i/>
                <w:iCs/>
                <w:noProof/>
                <w:webHidden/>
                <w:sz w:val="24"/>
                <w:szCs w:val="24"/>
              </w:rPr>
              <w:fldChar w:fldCharType="end"/>
            </w:r>
          </w:hyperlink>
        </w:p>
        <w:p w14:paraId="08F427CF" w14:textId="19F301C6"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8" w:history="1">
            <w:r w:rsidRPr="00EB4CA0">
              <w:rPr>
                <w:rStyle w:val="Hyperlink"/>
                <w:rFonts w:ascii="Arial" w:hAnsi="Arial" w:cs="Arial"/>
                <w:i/>
                <w:iCs/>
                <w:noProof/>
                <w:color w:val="auto"/>
                <w:sz w:val="24"/>
                <w:szCs w:val="24"/>
                <w:lang w:val="en-US"/>
              </w:rPr>
              <w:t>4.4.2.</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Organisational and Social Barriers Affecting Mental Health</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_Toc234700998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24</w:t>
            </w:r>
            <w:r w:rsidRPr="00EB4CA0">
              <w:rPr>
                <w:rFonts w:ascii="Arial" w:hAnsi="Arial" w:cs="Arial"/>
                <w:i/>
                <w:iCs/>
                <w:noProof/>
                <w:webHidden/>
                <w:sz w:val="24"/>
                <w:szCs w:val="24"/>
              </w:rPr>
              <w:fldChar w:fldCharType="end"/>
            </w:r>
          </w:hyperlink>
        </w:p>
        <w:p w14:paraId="19A7D870" w14:textId="6C65EF4E"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0999" w:history="1">
            <w:r w:rsidRPr="00EB4CA0">
              <w:rPr>
                <w:rStyle w:val="Hyperlink"/>
                <w:rFonts w:ascii="Arial" w:hAnsi="Arial" w:cs="Arial"/>
                <w:i/>
                <w:iCs/>
                <w:noProof/>
                <w:color w:val="auto"/>
                <w:sz w:val="24"/>
                <w:szCs w:val="24"/>
                <w:lang w:val="en-US"/>
              </w:rPr>
              <w:t>4.4.3.</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Theories, Policies and Literature Findings</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_Toc234700999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25</w:t>
            </w:r>
            <w:r w:rsidRPr="00EB4CA0">
              <w:rPr>
                <w:rFonts w:ascii="Arial" w:hAnsi="Arial" w:cs="Arial"/>
                <w:i/>
                <w:iCs/>
                <w:noProof/>
                <w:webHidden/>
                <w:sz w:val="24"/>
                <w:szCs w:val="24"/>
              </w:rPr>
              <w:fldChar w:fldCharType="end"/>
            </w:r>
          </w:hyperlink>
        </w:p>
        <w:p w14:paraId="572708EB" w14:textId="5B840DAC"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1000" w:history="1">
            <w:r w:rsidRPr="00EB4CA0">
              <w:rPr>
                <w:rStyle w:val="Hyperlink"/>
                <w:rFonts w:ascii="Arial" w:hAnsi="Arial" w:cs="Arial"/>
                <w:i/>
                <w:iCs/>
                <w:noProof/>
                <w:color w:val="auto"/>
                <w:sz w:val="24"/>
                <w:szCs w:val="24"/>
                <w:lang w:val="en-US"/>
              </w:rPr>
              <w:t>4.4.4.</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Implications and Links to Other Themes</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_Toc234701000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27</w:t>
            </w:r>
            <w:r w:rsidRPr="00EB4CA0">
              <w:rPr>
                <w:rFonts w:ascii="Arial" w:hAnsi="Arial" w:cs="Arial"/>
                <w:i/>
                <w:iCs/>
                <w:noProof/>
                <w:webHidden/>
                <w:sz w:val="24"/>
                <w:szCs w:val="24"/>
              </w:rPr>
              <w:fldChar w:fldCharType="end"/>
            </w:r>
          </w:hyperlink>
        </w:p>
        <w:p w14:paraId="0F8DFD1C" w14:textId="3241CB4B"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01" w:history="1">
            <w:r w:rsidRPr="00EB4CA0">
              <w:rPr>
                <w:rStyle w:val="Hyperlink"/>
                <w:rFonts w:ascii="Arial" w:hAnsi="Arial" w:cs="Arial"/>
                <w:noProof/>
                <w:color w:val="auto"/>
                <w:sz w:val="24"/>
                <w:szCs w:val="24"/>
              </w:rPr>
              <w:t>4.5.</w:t>
            </w:r>
            <w:r w:rsidRPr="00EB4CA0">
              <w:rPr>
                <w:rFonts w:ascii="Arial" w:hAnsi="Arial" w:cs="Arial"/>
                <w:noProof/>
                <w:sz w:val="24"/>
                <w:szCs w:val="24"/>
              </w:rPr>
              <w:tab/>
            </w:r>
            <w:r w:rsidRPr="00EB4CA0">
              <w:rPr>
                <w:rStyle w:val="Hyperlink"/>
                <w:rFonts w:ascii="Arial" w:hAnsi="Arial" w:cs="Arial"/>
                <w:noProof/>
                <w:color w:val="auto"/>
                <w:sz w:val="24"/>
                <w:szCs w:val="24"/>
              </w:rPr>
              <w:t>Theme 3: Strategies and Interventions to Improve Social Support and Mental Wellbeing</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_Toc234701001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27</w:t>
            </w:r>
            <w:r w:rsidRPr="00EB4CA0">
              <w:rPr>
                <w:rFonts w:ascii="Arial" w:hAnsi="Arial" w:cs="Arial"/>
                <w:noProof/>
                <w:webHidden/>
                <w:sz w:val="24"/>
                <w:szCs w:val="24"/>
              </w:rPr>
              <w:fldChar w:fldCharType="end"/>
            </w:r>
          </w:hyperlink>
        </w:p>
        <w:p w14:paraId="5533D790" w14:textId="139A3A5E"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1002" w:history="1">
            <w:r w:rsidRPr="00EB4CA0">
              <w:rPr>
                <w:rStyle w:val="Hyperlink"/>
                <w:rFonts w:ascii="Arial" w:hAnsi="Arial" w:cs="Arial"/>
                <w:i/>
                <w:iCs/>
                <w:noProof/>
                <w:color w:val="auto"/>
                <w:sz w:val="24"/>
                <w:szCs w:val="24"/>
              </w:rPr>
              <w:t>4.5.1.</w:t>
            </w:r>
            <w:r w:rsidRPr="00EB4CA0">
              <w:rPr>
                <w:rFonts w:ascii="Arial" w:hAnsi="Arial" w:cs="Arial"/>
                <w:i/>
                <w:iCs/>
                <w:noProof/>
                <w:sz w:val="24"/>
                <w:szCs w:val="24"/>
              </w:rPr>
              <w:tab/>
            </w:r>
            <w:r w:rsidRPr="00EB4CA0">
              <w:rPr>
                <w:rStyle w:val="Hyperlink"/>
                <w:rFonts w:ascii="Arial" w:hAnsi="Arial" w:cs="Arial"/>
                <w:i/>
                <w:iCs/>
                <w:noProof/>
                <w:color w:val="auto"/>
                <w:sz w:val="24"/>
                <w:szCs w:val="24"/>
              </w:rPr>
              <w:t>Definition and Background</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_Toc234701002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27</w:t>
            </w:r>
            <w:r w:rsidRPr="00EB4CA0">
              <w:rPr>
                <w:rFonts w:ascii="Arial" w:hAnsi="Arial" w:cs="Arial"/>
                <w:i/>
                <w:iCs/>
                <w:noProof/>
                <w:webHidden/>
                <w:sz w:val="24"/>
                <w:szCs w:val="24"/>
              </w:rPr>
              <w:fldChar w:fldCharType="end"/>
            </w:r>
          </w:hyperlink>
        </w:p>
        <w:p w14:paraId="40E19896" w14:textId="2CB4945D"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1003" w:history="1">
            <w:r w:rsidRPr="00EB4CA0">
              <w:rPr>
                <w:rStyle w:val="Hyperlink"/>
                <w:rFonts w:ascii="Arial" w:hAnsi="Arial" w:cs="Arial"/>
                <w:i/>
                <w:iCs/>
                <w:noProof/>
                <w:color w:val="auto"/>
                <w:sz w:val="24"/>
                <w:szCs w:val="24"/>
              </w:rPr>
              <w:t>4.5.2.</w:t>
            </w:r>
            <w:r w:rsidRPr="00EB4CA0">
              <w:rPr>
                <w:rFonts w:ascii="Arial" w:hAnsi="Arial" w:cs="Arial"/>
                <w:i/>
                <w:iCs/>
                <w:noProof/>
                <w:sz w:val="24"/>
                <w:szCs w:val="24"/>
              </w:rPr>
              <w:tab/>
            </w:r>
            <w:r w:rsidRPr="00EB4CA0">
              <w:rPr>
                <w:rStyle w:val="Hyperlink"/>
                <w:rFonts w:ascii="Arial" w:hAnsi="Arial" w:cs="Arial"/>
                <w:i/>
                <w:iCs/>
                <w:noProof/>
                <w:color w:val="auto"/>
                <w:sz w:val="24"/>
                <w:szCs w:val="24"/>
              </w:rPr>
              <w:t>Evidence-Based Strategies to Improve Mental Health</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_Toc234701003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27</w:t>
            </w:r>
            <w:r w:rsidRPr="00EB4CA0">
              <w:rPr>
                <w:rFonts w:ascii="Arial" w:hAnsi="Arial" w:cs="Arial"/>
                <w:i/>
                <w:iCs/>
                <w:noProof/>
                <w:webHidden/>
                <w:sz w:val="24"/>
                <w:szCs w:val="24"/>
              </w:rPr>
              <w:fldChar w:fldCharType="end"/>
            </w:r>
          </w:hyperlink>
        </w:p>
        <w:p w14:paraId="29A79433" w14:textId="35A65184"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1004" w:history="1">
            <w:r w:rsidRPr="00EB4CA0">
              <w:rPr>
                <w:rStyle w:val="Hyperlink"/>
                <w:rFonts w:ascii="Arial" w:hAnsi="Arial" w:cs="Arial"/>
                <w:i/>
                <w:iCs/>
                <w:noProof/>
                <w:color w:val="auto"/>
                <w:sz w:val="24"/>
                <w:szCs w:val="24"/>
                <w:lang w:val="en-US"/>
              </w:rPr>
              <w:t>4.5.3.</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Theories, Policies and Literature Findings</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_Toc234701004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28</w:t>
            </w:r>
            <w:r w:rsidRPr="00EB4CA0">
              <w:rPr>
                <w:rFonts w:ascii="Arial" w:hAnsi="Arial" w:cs="Arial"/>
                <w:i/>
                <w:iCs/>
                <w:noProof/>
                <w:webHidden/>
                <w:sz w:val="24"/>
                <w:szCs w:val="24"/>
              </w:rPr>
              <w:fldChar w:fldCharType="end"/>
            </w:r>
          </w:hyperlink>
        </w:p>
        <w:p w14:paraId="1CED3CF9" w14:textId="05AC85FE" w:rsidR="009A3BC8" w:rsidRPr="00EB4CA0" w:rsidRDefault="009A3BC8" w:rsidP="00D44A02">
          <w:pPr>
            <w:pStyle w:val="TOC3"/>
            <w:tabs>
              <w:tab w:val="left" w:pos="1440"/>
              <w:tab w:val="right" w:leader="dot" w:pos="9016"/>
            </w:tabs>
            <w:spacing w:before="240" w:line="276" w:lineRule="auto"/>
            <w:rPr>
              <w:rFonts w:ascii="Arial" w:hAnsi="Arial" w:cs="Arial"/>
              <w:i/>
              <w:iCs/>
              <w:noProof/>
              <w:sz w:val="24"/>
              <w:szCs w:val="24"/>
            </w:rPr>
          </w:pPr>
          <w:hyperlink w:anchor="_Toc234701005" w:history="1">
            <w:r w:rsidRPr="00EB4CA0">
              <w:rPr>
                <w:rStyle w:val="Hyperlink"/>
                <w:rFonts w:ascii="Arial" w:hAnsi="Arial" w:cs="Arial"/>
                <w:i/>
                <w:iCs/>
                <w:noProof/>
                <w:color w:val="auto"/>
                <w:sz w:val="24"/>
                <w:szCs w:val="24"/>
                <w:lang w:val="en-US"/>
              </w:rPr>
              <w:t>4.5.4.</w:t>
            </w:r>
            <w:r w:rsidRPr="00EB4CA0">
              <w:rPr>
                <w:rFonts w:ascii="Arial" w:hAnsi="Arial" w:cs="Arial"/>
                <w:i/>
                <w:iCs/>
                <w:noProof/>
                <w:sz w:val="24"/>
                <w:szCs w:val="24"/>
              </w:rPr>
              <w:tab/>
            </w:r>
            <w:r w:rsidRPr="00EB4CA0">
              <w:rPr>
                <w:rStyle w:val="Hyperlink"/>
                <w:rFonts w:ascii="Arial" w:hAnsi="Arial" w:cs="Arial"/>
                <w:i/>
                <w:iCs/>
                <w:noProof/>
                <w:color w:val="auto"/>
                <w:sz w:val="24"/>
                <w:szCs w:val="24"/>
                <w:lang w:val="en-US"/>
              </w:rPr>
              <w:t>Implications and Overall Discussion</w:t>
            </w:r>
            <w:r w:rsidRPr="00EB4CA0">
              <w:rPr>
                <w:rFonts w:ascii="Arial" w:hAnsi="Arial" w:cs="Arial"/>
                <w:i/>
                <w:iCs/>
                <w:noProof/>
                <w:webHidden/>
                <w:sz w:val="24"/>
                <w:szCs w:val="24"/>
              </w:rPr>
              <w:tab/>
            </w:r>
            <w:r w:rsidRPr="00EB4CA0">
              <w:rPr>
                <w:rFonts w:ascii="Arial" w:hAnsi="Arial" w:cs="Arial"/>
                <w:i/>
                <w:iCs/>
                <w:noProof/>
                <w:webHidden/>
                <w:sz w:val="24"/>
                <w:szCs w:val="24"/>
              </w:rPr>
              <w:fldChar w:fldCharType="begin"/>
            </w:r>
            <w:r w:rsidRPr="00EB4CA0">
              <w:rPr>
                <w:rFonts w:ascii="Arial" w:hAnsi="Arial" w:cs="Arial"/>
                <w:i/>
                <w:iCs/>
                <w:noProof/>
                <w:webHidden/>
                <w:sz w:val="24"/>
                <w:szCs w:val="24"/>
              </w:rPr>
              <w:instrText xml:space="preserve"> PAGEREF _Toc234701005 \h </w:instrText>
            </w:r>
            <w:r w:rsidRPr="00EB4CA0">
              <w:rPr>
                <w:rFonts w:ascii="Arial" w:hAnsi="Arial" w:cs="Arial"/>
                <w:i/>
                <w:iCs/>
                <w:noProof/>
                <w:webHidden/>
                <w:sz w:val="24"/>
                <w:szCs w:val="24"/>
              </w:rPr>
            </w:r>
            <w:r w:rsidRPr="00EB4CA0">
              <w:rPr>
                <w:rFonts w:ascii="Arial" w:hAnsi="Arial" w:cs="Arial"/>
                <w:i/>
                <w:iCs/>
                <w:noProof/>
                <w:webHidden/>
                <w:sz w:val="24"/>
                <w:szCs w:val="24"/>
              </w:rPr>
              <w:fldChar w:fldCharType="separate"/>
            </w:r>
            <w:r w:rsidR="00A809E9" w:rsidRPr="00EB4CA0">
              <w:rPr>
                <w:rFonts w:ascii="Arial" w:hAnsi="Arial" w:cs="Arial"/>
                <w:i/>
                <w:iCs/>
                <w:noProof/>
                <w:webHidden/>
                <w:sz w:val="24"/>
                <w:szCs w:val="24"/>
              </w:rPr>
              <w:t>29</w:t>
            </w:r>
            <w:r w:rsidRPr="00EB4CA0">
              <w:rPr>
                <w:rFonts w:ascii="Arial" w:hAnsi="Arial" w:cs="Arial"/>
                <w:i/>
                <w:iCs/>
                <w:noProof/>
                <w:webHidden/>
                <w:sz w:val="24"/>
                <w:szCs w:val="24"/>
              </w:rPr>
              <w:fldChar w:fldCharType="end"/>
            </w:r>
          </w:hyperlink>
        </w:p>
        <w:p w14:paraId="5448EB21" w14:textId="485E9734"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06" w:history="1">
            <w:r w:rsidRPr="00EB4CA0">
              <w:rPr>
                <w:rStyle w:val="Hyperlink"/>
                <w:rFonts w:ascii="Arial" w:hAnsi="Arial" w:cs="Arial"/>
                <w:noProof/>
                <w:color w:val="auto"/>
                <w:sz w:val="24"/>
                <w:szCs w:val="24"/>
              </w:rPr>
              <w:t>4.6.</w:t>
            </w:r>
            <w:r w:rsidRPr="00EB4CA0">
              <w:rPr>
                <w:rFonts w:ascii="Arial" w:hAnsi="Arial" w:cs="Arial"/>
                <w:noProof/>
                <w:sz w:val="24"/>
                <w:szCs w:val="24"/>
              </w:rPr>
              <w:tab/>
            </w:r>
            <w:r w:rsidRPr="00EB4CA0">
              <w:rPr>
                <w:rStyle w:val="Hyperlink"/>
                <w:rFonts w:ascii="Arial" w:hAnsi="Arial" w:cs="Arial"/>
                <w:noProof/>
                <w:color w:val="auto"/>
                <w:sz w:val="24"/>
                <w:szCs w:val="24"/>
              </w:rPr>
              <w:t>Chapter Conclusion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_Toc234701006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30</w:t>
            </w:r>
            <w:r w:rsidRPr="00EB4CA0">
              <w:rPr>
                <w:rFonts w:ascii="Arial" w:hAnsi="Arial" w:cs="Arial"/>
                <w:noProof/>
                <w:webHidden/>
                <w:sz w:val="24"/>
                <w:szCs w:val="24"/>
              </w:rPr>
              <w:fldChar w:fldCharType="end"/>
            </w:r>
          </w:hyperlink>
        </w:p>
        <w:p w14:paraId="0C71468E" w14:textId="5066D691" w:rsidR="009A3BC8" w:rsidRPr="00EB4CA0" w:rsidRDefault="009A3BC8" w:rsidP="00D44A02">
          <w:pPr>
            <w:pStyle w:val="TOC1"/>
            <w:tabs>
              <w:tab w:val="left" w:pos="440"/>
              <w:tab w:val="right" w:leader="dot" w:pos="9016"/>
            </w:tabs>
            <w:spacing w:before="240" w:line="276" w:lineRule="auto"/>
            <w:rPr>
              <w:rFonts w:ascii="Arial" w:hAnsi="Arial" w:cs="Arial"/>
              <w:noProof/>
              <w:sz w:val="24"/>
              <w:szCs w:val="24"/>
            </w:rPr>
          </w:pPr>
          <w:hyperlink w:anchor="_Toc234701007" w:history="1">
            <w:r w:rsidRPr="00EB4CA0">
              <w:rPr>
                <w:rStyle w:val="Hyperlink"/>
                <w:rFonts w:ascii="Arial" w:hAnsi="Arial" w:cs="Arial"/>
                <w:noProof/>
                <w:color w:val="auto"/>
                <w:sz w:val="24"/>
                <w:szCs w:val="24"/>
                <w:lang w:bidi="en-GB"/>
              </w:rPr>
              <w:t>5.</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5 – Conclusion and Recommendations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_Toc234701007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31</w:t>
            </w:r>
            <w:r w:rsidRPr="00EB4CA0">
              <w:rPr>
                <w:rFonts w:ascii="Arial" w:hAnsi="Arial" w:cs="Arial"/>
                <w:noProof/>
                <w:webHidden/>
                <w:sz w:val="24"/>
                <w:szCs w:val="24"/>
              </w:rPr>
              <w:fldChar w:fldCharType="end"/>
            </w:r>
          </w:hyperlink>
        </w:p>
        <w:p w14:paraId="70AC68D6" w14:textId="25C51F0A"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08" w:history="1">
            <w:r w:rsidRPr="00EB4CA0">
              <w:rPr>
                <w:rStyle w:val="Hyperlink"/>
                <w:rFonts w:ascii="Arial" w:hAnsi="Arial" w:cs="Arial"/>
                <w:noProof/>
                <w:color w:val="auto"/>
                <w:sz w:val="24"/>
                <w:szCs w:val="24"/>
              </w:rPr>
              <w:t>5.1.</w:t>
            </w:r>
            <w:r w:rsidRPr="00EB4CA0">
              <w:rPr>
                <w:rFonts w:ascii="Arial" w:hAnsi="Arial" w:cs="Arial"/>
                <w:noProof/>
                <w:sz w:val="24"/>
                <w:szCs w:val="24"/>
              </w:rPr>
              <w:tab/>
            </w:r>
            <w:r w:rsidRPr="00EB4CA0">
              <w:rPr>
                <w:rStyle w:val="Hyperlink"/>
                <w:rFonts w:ascii="Arial" w:hAnsi="Arial" w:cs="Arial"/>
                <w:noProof/>
                <w:color w:val="auto"/>
                <w:sz w:val="24"/>
                <w:szCs w:val="24"/>
              </w:rPr>
              <w:t>Overall Conclusion</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_Toc234701008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31</w:t>
            </w:r>
            <w:r w:rsidRPr="00EB4CA0">
              <w:rPr>
                <w:rFonts w:ascii="Arial" w:hAnsi="Arial" w:cs="Arial"/>
                <w:noProof/>
                <w:webHidden/>
                <w:sz w:val="24"/>
                <w:szCs w:val="24"/>
              </w:rPr>
              <w:fldChar w:fldCharType="end"/>
            </w:r>
          </w:hyperlink>
        </w:p>
        <w:p w14:paraId="213EBCE0" w14:textId="053FEBC6"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09" w:history="1">
            <w:r w:rsidRPr="00EB4CA0">
              <w:rPr>
                <w:rStyle w:val="Hyperlink"/>
                <w:rFonts w:ascii="Arial" w:hAnsi="Arial" w:cs="Arial"/>
                <w:noProof/>
                <w:color w:val="auto"/>
                <w:sz w:val="24"/>
                <w:szCs w:val="24"/>
              </w:rPr>
              <w:t>5.2.</w:t>
            </w:r>
            <w:r w:rsidRPr="00EB4CA0">
              <w:rPr>
                <w:rFonts w:ascii="Arial" w:hAnsi="Arial" w:cs="Arial"/>
                <w:noProof/>
                <w:sz w:val="24"/>
                <w:szCs w:val="24"/>
              </w:rPr>
              <w:tab/>
            </w:r>
            <w:r w:rsidRPr="00EB4CA0">
              <w:rPr>
                <w:rStyle w:val="Hyperlink"/>
                <w:rFonts w:ascii="Arial" w:hAnsi="Arial" w:cs="Arial"/>
                <w:noProof/>
                <w:color w:val="auto"/>
                <w:sz w:val="24"/>
                <w:szCs w:val="24"/>
              </w:rPr>
              <w:t>Recommendations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_Toc234701009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31</w:t>
            </w:r>
            <w:r w:rsidRPr="00EB4CA0">
              <w:rPr>
                <w:rFonts w:ascii="Arial" w:hAnsi="Arial" w:cs="Arial"/>
                <w:noProof/>
                <w:webHidden/>
                <w:sz w:val="24"/>
                <w:szCs w:val="24"/>
              </w:rPr>
              <w:fldChar w:fldCharType="end"/>
            </w:r>
          </w:hyperlink>
        </w:p>
        <w:p w14:paraId="7EE09CD6" w14:textId="307DF77A" w:rsidR="009A3BC8" w:rsidRPr="00EB4CA0" w:rsidRDefault="009A3BC8" w:rsidP="00D44A02">
          <w:pPr>
            <w:pStyle w:val="TOC1"/>
            <w:tabs>
              <w:tab w:val="left" w:pos="440"/>
              <w:tab w:val="right" w:leader="dot" w:pos="9016"/>
            </w:tabs>
            <w:spacing w:before="240" w:line="276" w:lineRule="auto"/>
            <w:rPr>
              <w:rFonts w:ascii="Arial" w:hAnsi="Arial" w:cs="Arial"/>
              <w:noProof/>
              <w:sz w:val="24"/>
              <w:szCs w:val="24"/>
            </w:rPr>
          </w:pPr>
          <w:hyperlink w:anchor="_Toc234701010" w:history="1">
            <w:r w:rsidRPr="00EB4CA0">
              <w:rPr>
                <w:rStyle w:val="Hyperlink"/>
                <w:rFonts w:ascii="Arial" w:hAnsi="Arial" w:cs="Arial"/>
                <w:noProof/>
                <w:color w:val="auto"/>
                <w:sz w:val="24"/>
                <w:szCs w:val="24"/>
                <w:lang w:bidi="en-GB"/>
              </w:rPr>
              <w:t>6.</w:t>
            </w:r>
            <w:r w:rsidRPr="00EB4CA0">
              <w:rPr>
                <w:rFonts w:ascii="Arial" w:hAnsi="Arial" w:cs="Arial"/>
                <w:noProof/>
                <w:sz w:val="24"/>
                <w:szCs w:val="24"/>
              </w:rPr>
              <w:tab/>
            </w:r>
            <w:r w:rsidRPr="00EB4CA0">
              <w:rPr>
                <w:rStyle w:val="Hyperlink"/>
                <w:rFonts w:ascii="Arial" w:hAnsi="Arial" w:cs="Arial"/>
                <w:noProof/>
                <w:color w:val="auto"/>
                <w:sz w:val="24"/>
                <w:szCs w:val="24"/>
                <w:lang w:bidi="en-GB"/>
              </w:rPr>
              <w:t>CHAPTER 6 – References and Appendices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_Toc234701010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34</w:t>
            </w:r>
            <w:r w:rsidRPr="00EB4CA0">
              <w:rPr>
                <w:rFonts w:ascii="Arial" w:hAnsi="Arial" w:cs="Arial"/>
                <w:noProof/>
                <w:webHidden/>
                <w:sz w:val="24"/>
                <w:szCs w:val="24"/>
              </w:rPr>
              <w:fldChar w:fldCharType="end"/>
            </w:r>
          </w:hyperlink>
        </w:p>
        <w:p w14:paraId="09EDB82E" w14:textId="2BCE0A9A"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11" w:history="1">
            <w:r w:rsidRPr="00EB4CA0">
              <w:rPr>
                <w:rStyle w:val="Hyperlink"/>
                <w:rFonts w:ascii="Arial" w:hAnsi="Arial" w:cs="Arial"/>
                <w:noProof/>
                <w:color w:val="auto"/>
                <w:sz w:val="24"/>
                <w:szCs w:val="24"/>
              </w:rPr>
              <w:t>6.1.</w:t>
            </w:r>
            <w:r w:rsidRPr="00EB4CA0">
              <w:rPr>
                <w:rFonts w:ascii="Arial" w:hAnsi="Arial" w:cs="Arial"/>
                <w:noProof/>
                <w:sz w:val="24"/>
                <w:szCs w:val="24"/>
              </w:rPr>
              <w:tab/>
            </w:r>
            <w:r w:rsidRPr="00EB4CA0">
              <w:rPr>
                <w:rStyle w:val="Hyperlink"/>
                <w:rFonts w:ascii="Arial" w:hAnsi="Arial" w:cs="Arial"/>
                <w:noProof/>
                <w:color w:val="auto"/>
                <w:sz w:val="24"/>
                <w:szCs w:val="24"/>
              </w:rPr>
              <w:t>References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_Toc234701011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34</w:t>
            </w:r>
            <w:r w:rsidRPr="00EB4CA0">
              <w:rPr>
                <w:rFonts w:ascii="Arial" w:hAnsi="Arial" w:cs="Arial"/>
                <w:noProof/>
                <w:webHidden/>
                <w:sz w:val="24"/>
                <w:szCs w:val="24"/>
              </w:rPr>
              <w:fldChar w:fldCharType="end"/>
            </w:r>
          </w:hyperlink>
        </w:p>
        <w:p w14:paraId="7FBF68B1" w14:textId="2C0DC240" w:rsidR="009A3BC8" w:rsidRPr="00EB4CA0" w:rsidRDefault="009A3BC8" w:rsidP="00D44A02">
          <w:pPr>
            <w:pStyle w:val="TOC2"/>
            <w:tabs>
              <w:tab w:val="left" w:pos="960"/>
              <w:tab w:val="right" w:leader="dot" w:pos="9016"/>
            </w:tabs>
            <w:spacing w:before="240" w:line="276" w:lineRule="auto"/>
            <w:rPr>
              <w:rFonts w:ascii="Arial" w:hAnsi="Arial" w:cs="Arial"/>
              <w:noProof/>
              <w:sz w:val="24"/>
              <w:szCs w:val="24"/>
            </w:rPr>
          </w:pPr>
          <w:hyperlink w:anchor="_Toc234701012" w:history="1">
            <w:r w:rsidRPr="00EB4CA0">
              <w:rPr>
                <w:rStyle w:val="Hyperlink"/>
                <w:rFonts w:ascii="Arial" w:hAnsi="Arial" w:cs="Arial"/>
                <w:noProof/>
                <w:color w:val="auto"/>
                <w:sz w:val="24"/>
                <w:szCs w:val="24"/>
              </w:rPr>
              <w:t>6.2.</w:t>
            </w:r>
            <w:r w:rsidRPr="00EB4CA0">
              <w:rPr>
                <w:rFonts w:ascii="Arial" w:hAnsi="Arial" w:cs="Arial"/>
                <w:noProof/>
                <w:sz w:val="24"/>
                <w:szCs w:val="24"/>
              </w:rPr>
              <w:tab/>
            </w:r>
            <w:r w:rsidRPr="00EB4CA0">
              <w:rPr>
                <w:rStyle w:val="Hyperlink"/>
                <w:rFonts w:ascii="Arial" w:hAnsi="Arial" w:cs="Arial"/>
                <w:noProof/>
                <w:color w:val="auto"/>
                <w:sz w:val="24"/>
                <w:szCs w:val="24"/>
              </w:rPr>
              <w:t>Appendices</w:t>
            </w:r>
            <w:r w:rsidRPr="00EB4CA0">
              <w:rPr>
                <w:rFonts w:ascii="Arial" w:hAnsi="Arial" w:cs="Arial"/>
                <w:noProof/>
                <w:webHidden/>
                <w:sz w:val="24"/>
                <w:szCs w:val="24"/>
              </w:rPr>
              <w:tab/>
            </w:r>
            <w:r w:rsidRPr="00EB4CA0">
              <w:rPr>
                <w:rFonts w:ascii="Arial" w:hAnsi="Arial" w:cs="Arial"/>
                <w:noProof/>
                <w:webHidden/>
                <w:sz w:val="24"/>
                <w:szCs w:val="24"/>
              </w:rPr>
              <w:fldChar w:fldCharType="begin"/>
            </w:r>
            <w:r w:rsidRPr="00EB4CA0">
              <w:rPr>
                <w:rFonts w:ascii="Arial" w:hAnsi="Arial" w:cs="Arial"/>
                <w:noProof/>
                <w:webHidden/>
                <w:sz w:val="24"/>
                <w:szCs w:val="24"/>
              </w:rPr>
              <w:instrText xml:space="preserve"> PAGEREF _Toc234701012 \h </w:instrText>
            </w:r>
            <w:r w:rsidRPr="00EB4CA0">
              <w:rPr>
                <w:rFonts w:ascii="Arial" w:hAnsi="Arial" w:cs="Arial"/>
                <w:noProof/>
                <w:webHidden/>
                <w:sz w:val="24"/>
                <w:szCs w:val="24"/>
              </w:rPr>
            </w:r>
            <w:r w:rsidRPr="00EB4CA0">
              <w:rPr>
                <w:rFonts w:ascii="Arial" w:hAnsi="Arial" w:cs="Arial"/>
                <w:noProof/>
                <w:webHidden/>
                <w:sz w:val="24"/>
                <w:szCs w:val="24"/>
              </w:rPr>
              <w:fldChar w:fldCharType="separate"/>
            </w:r>
            <w:r w:rsidR="00A809E9" w:rsidRPr="00EB4CA0">
              <w:rPr>
                <w:rFonts w:ascii="Arial" w:hAnsi="Arial" w:cs="Arial"/>
                <w:noProof/>
                <w:webHidden/>
                <w:sz w:val="24"/>
                <w:szCs w:val="24"/>
              </w:rPr>
              <w:t>45</w:t>
            </w:r>
            <w:r w:rsidRPr="00EB4CA0">
              <w:rPr>
                <w:rFonts w:ascii="Arial" w:hAnsi="Arial" w:cs="Arial"/>
                <w:noProof/>
                <w:webHidden/>
                <w:sz w:val="24"/>
                <w:szCs w:val="24"/>
              </w:rPr>
              <w:fldChar w:fldCharType="end"/>
            </w:r>
          </w:hyperlink>
        </w:p>
        <w:p w14:paraId="40C01EDC" w14:textId="77777777" w:rsidR="00104E66" w:rsidRPr="00EB4CA0" w:rsidRDefault="009A3BC8" w:rsidP="00D44A02">
          <w:pPr>
            <w:spacing w:before="240" w:line="276" w:lineRule="auto"/>
            <w:jc w:val="center"/>
            <w:rPr>
              <w:rFonts w:ascii="Arial" w:hAnsi="Arial" w:cs="Arial"/>
              <w:noProof/>
              <w:sz w:val="24"/>
              <w:szCs w:val="24"/>
            </w:rPr>
          </w:pPr>
          <w:r w:rsidRPr="00EB4CA0">
            <w:rPr>
              <w:rFonts w:ascii="Arial" w:hAnsi="Arial" w:cs="Arial"/>
              <w:noProof/>
              <w:sz w:val="24"/>
              <w:szCs w:val="24"/>
            </w:rPr>
            <w:fldChar w:fldCharType="end"/>
          </w:r>
        </w:p>
        <w:p w14:paraId="48E781ED" w14:textId="6E2FF468" w:rsidR="00192584" w:rsidRPr="00EB4CA0" w:rsidRDefault="003F64D3" w:rsidP="00D44A02">
          <w:pPr>
            <w:spacing w:before="240" w:line="276" w:lineRule="auto"/>
            <w:jc w:val="center"/>
            <w:rPr>
              <w:rFonts w:ascii="Arial" w:hAnsi="Arial" w:cs="Arial"/>
              <w:b/>
              <w:bCs/>
              <w:noProof/>
              <w:sz w:val="24"/>
              <w:szCs w:val="24"/>
            </w:rPr>
          </w:pPr>
          <w:r w:rsidRPr="00EB4CA0">
            <w:rPr>
              <w:rFonts w:ascii="Arial" w:hAnsi="Arial" w:cs="Arial"/>
              <w:b/>
              <w:bCs/>
              <w:noProof/>
              <w:sz w:val="24"/>
              <w:szCs w:val="24"/>
            </w:rPr>
            <w:t>Table of Figures</w:t>
          </w:r>
        </w:p>
        <w:p w14:paraId="7DD62262" w14:textId="1E0034ED" w:rsidR="002C00DF" w:rsidRPr="00BF51E8" w:rsidRDefault="002C00DF" w:rsidP="007D6DFB">
          <w:pPr>
            <w:pStyle w:val="TableofFigures"/>
            <w:tabs>
              <w:tab w:val="right" w:leader="dot" w:pos="9016"/>
            </w:tabs>
            <w:spacing w:before="240" w:after="240"/>
            <w:rPr>
              <w:rFonts w:asciiTheme="minorHAnsi" w:hAnsiTheme="minorHAnsi"/>
              <w:noProof/>
              <w:sz w:val="24"/>
              <w:szCs w:val="24"/>
              <w:lang w:val="en-US" w:eastAsia="en-US"/>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234931995" w:history="1">
            <w:r w:rsidRPr="00BF51E8">
              <w:rPr>
                <w:rStyle w:val="Hyperlink"/>
                <w:rFonts w:ascii="Arial" w:hAnsi="Arial" w:cs="Arial"/>
                <w:noProof/>
              </w:rPr>
              <w:t>Table 1 Summary of Selected Literature</w:t>
            </w:r>
            <w:r w:rsidRPr="00BF51E8">
              <w:rPr>
                <w:noProof/>
                <w:webHidden/>
              </w:rPr>
              <w:tab/>
            </w:r>
            <w:r w:rsidRPr="00BF51E8">
              <w:rPr>
                <w:noProof/>
                <w:webHidden/>
              </w:rPr>
              <w:fldChar w:fldCharType="begin"/>
            </w:r>
            <w:r w:rsidRPr="00BF51E8">
              <w:rPr>
                <w:noProof/>
                <w:webHidden/>
              </w:rPr>
              <w:instrText xml:space="preserve"> PAGEREF _Toc234931995 \h </w:instrText>
            </w:r>
            <w:r w:rsidRPr="00BF51E8">
              <w:rPr>
                <w:noProof/>
                <w:webHidden/>
              </w:rPr>
            </w:r>
            <w:r w:rsidRPr="00BF51E8">
              <w:rPr>
                <w:noProof/>
                <w:webHidden/>
              </w:rPr>
              <w:fldChar w:fldCharType="separate"/>
            </w:r>
            <w:r w:rsidRPr="00BF51E8">
              <w:rPr>
                <w:noProof/>
                <w:webHidden/>
              </w:rPr>
              <w:t>46</w:t>
            </w:r>
            <w:r w:rsidRPr="00BF51E8">
              <w:rPr>
                <w:noProof/>
                <w:webHidden/>
              </w:rPr>
              <w:fldChar w:fldCharType="end"/>
            </w:r>
          </w:hyperlink>
        </w:p>
        <w:p w14:paraId="1AF202D7" w14:textId="25E7765C" w:rsidR="002C00DF" w:rsidRPr="00BF51E8" w:rsidRDefault="002C00DF" w:rsidP="007D6DFB">
          <w:pPr>
            <w:pStyle w:val="TableofFigures"/>
            <w:tabs>
              <w:tab w:val="right" w:leader="dot" w:pos="9016"/>
            </w:tabs>
            <w:spacing w:before="240" w:after="240"/>
            <w:rPr>
              <w:rFonts w:asciiTheme="minorHAnsi" w:hAnsiTheme="minorHAnsi"/>
              <w:noProof/>
              <w:sz w:val="24"/>
              <w:szCs w:val="24"/>
              <w:lang w:val="en-US" w:eastAsia="en-US"/>
            </w:rPr>
          </w:pPr>
          <w:hyperlink w:anchor="_Toc234931996" w:history="1">
            <w:r w:rsidRPr="00BF51E8">
              <w:rPr>
                <w:rStyle w:val="Hyperlink"/>
                <w:rFonts w:ascii="Arial" w:hAnsi="Arial" w:cs="Arial"/>
                <w:noProof/>
              </w:rPr>
              <w:t>Table 2 Initial Coding Table</w:t>
            </w:r>
            <w:r w:rsidRPr="00BF51E8">
              <w:rPr>
                <w:noProof/>
                <w:webHidden/>
              </w:rPr>
              <w:tab/>
            </w:r>
            <w:r w:rsidRPr="00BF51E8">
              <w:rPr>
                <w:noProof/>
                <w:webHidden/>
              </w:rPr>
              <w:fldChar w:fldCharType="begin"/>
            </w:r>
            <w:r w:rsidRPr="00BF51E8">
              <w:rPr>
                <w:noProof/>
                <w:webHidden/>
              </w:rPr>
              <w:instrText xml:space="preserve"> PAGEREF _Toc234931996 \h </w:instrText>
            </w:r>
            <w:r w:rsidRPr="00BF51E8">
              <w:rPr>
                <w:noProof/>
                <w:webHidden/>
              </w:rPr>
            </w:r>
            <w:r w:rsidRPr="00BF51E8">
              <w:rPr>
                <w:noProof/>
                <w:webHidden/>
              </w:rPr>
              <w:fldChar w:fldCharType="separate"/>
            </w:r>
            <w:r w:rsidRPr="00BF51E8">
              <w:rPr>
                <w:noProof/>
                <w:webHidden/>
              </w:rPr>
              <w:t>48</w:t>
            </w:r>
            <w:r w:rsidRPr="00BF51E8">
              <w:rPr>
                <w:noProof/>
                <w:webHidden/>
              </w:rPr>
              <w:fldChar w:fldCharType="end"/>
            </w:r>
          </w:hyperlink>
        </w:p>
        <w:p w14:paraId="5163A1AF" w14:textId="129F8941" w:rsidR="002C00DF" w:rsidRPr="00BF51E8" w:rsidRDefault="002C00DF" w:rsidP="007D6DFB">
          <w:pPr>
            <w:pStyle w:val="TableofFigures"/>
            <w:tabs>
              <w:tab w:val="right" w:leader="dot" w:pos="9016"/>
            </w:tabs>
            <w:spacing w:before="240" w:after="240"/>
            <w:rPr>
              <w:rFonts w:asciiTheme="minorHAnsi" w:hAnsiTheme="minorHAnsi"/>
              <w:noProof/>
              <w:sz w:val="24"/>
              <w:szCs w:val="24"/>
              <w:lang w:val="en-US" w:eastAsia="en-US"/>
            </w:rPr>
          </w:pPr>
          <w:hyperlink w:anchor="_Toc234931997" w:history="1">
            <w:r w:rsidRPr="00BF51E8">
              <w:rPr>
                <w:rStyle w:val="Hyperlink"/>
                <w:rFonts w:ascii="Arial" w:hAnsi="Arial" w:cs="Arial"/>
                <w:noProof/>
              </w:rPr>
              <w:t>Table 3 Thematic Coding Matrix</w:t>
            </w:r>
            <w:r w:rsidRPr="00BF51E8">
              <w:rPr>
                <w:noProof/>
                <w:webHidden/>
              </w:rPr>
              <w:tab/>
            </w:r>
            <w:r w:rsidRPr="00BF51E8">
              <w:rPr>
                <w:noProof/>
                <w:webHidden/>
              </w:rPr>
              <w:fldChar w:fldCharType="begin"/>
            </w:r>
            <w:r w:rsidRPr="00BF51E8">
              <w:rPr>
                <w:noProof/>
                <w:webHidden/>
              </w:rPr>
              <w:instrText xml:space="preserve"> PAGEREF _Toc234931997 \h </w:instrText>
            </w:r>
            <w:r w:rsidRPr="00BF51E8">
              <w:rPr>
                <w:noProof/>
                <w:webHidden/>
              </w:rPr>
            </w:r>
            <w:r w:rsidRPr="00BF51E8">
              <w:rPr>
                <w:noProof/>
                <w:webHidden/>
              </w:rPr>
              <w:fldChar w:fldCharType="separate"/>
            </w:r>
            <w:r w:rsidRPr="00BF51E8">
              <w:rPr>
                <w:noProof/>
                <w:webHidden/>
              </w:rPr>
              <w:t>49</w:t>
            </w:r>
            <w:r w:rsidRPr="00BF51E8">
              <w:rPr>
                <w:noProof/>
                <w:webHidden/>
              </w:rPr>
              <w:fldChar w:fldCharType="end"/>
            </w:r>
          </w:hyperlink>
        </w:p>
        <w:p w14:paraId="763E9D86" w14:textId="65B83E46" w:rsidR="002C00DF" w:rsidRDefault="002C00DF" w:rsidP="007D6DFB">
          <w:pPr>
            <w:pStyle w:val="TableofFigures"/>
            <w:tabs>
              <w:tab w:val="right" w:leader="dot" w:pos="9016"/>
            </w:tabs>
            <w:spacing w:before="240" w:after="240"/>
            <w:rPr>
              <w:rFonts w:asciiTheme="minorHAnsi" w:hAnsiTheme="minorHAnsi"/>
              <w:noProof/>
              <w:sz w:val="24"/>
              <w:szCs w:val="24"/>
              <w:lang w:val="en-US" w:eastAsia="en-US"/>
            </w:rPr>
          </w:pPr>
          <w:hyperlink w:anchor="_Toc234931998" w:history="1">
            <w:r w:rsidRPr="00BF51E8">
              <w:rPr>
                <w:rStyle w:val="Hyperlink"/>
                <w:rFonts w:ascii="Arial" w:hAnsi="Arial" w:cs="Arial"/>
                <w:noProof/>
              </w:rPr>
              <w:t>Table 4 Literature Tracking Table</w:t>
            </w:r>
            <w:r w:rsidRPr="00BF51E8">
              <w:rPr>
                <w:noProof/>
                <w:webHidden/>
              </w:rPr>
              <w:tab/>
            </w:r>
            <w:r w:rsidRPr="00BF51E8">
              <w:rPr>
                <w:noProof/>
                <w:webHidden/>
              </w:rPr>
              <w:fldChar w:fldCharType="begin"/>
            </w:r>
            <w:r w:rsidRPr="00BF51E8">
              <w:rPr>
                <w:noProof/>
                <w:webHidden/>
              </w:rPr>
              <w:instrText xml:space="preserve"> PAGEREF _Toc234931998 \h </w:instrText>
            </w:r>
            <w:r w:rsidRPr="00BF51E8">
              <w:rPr>
                <w:noProof/>
                <w:webHidden/>
              </w:rPr>
            </w:r>
            <w:r w:rsidRPr="00BF51E8">
              <w:rPr>
                <w:noProof/>
                <w:webHidden/>
              </w:rPr>
              <w:fldChar w:fldCharType="separate"/>
            </w:r>
            <w:r w:rsidRPr="00BF51E8">
              <w:rPr>
                <w:noProof/>
                <w:webHidden/>
              </w:rPr>
              <w:t>50</w:t>
            </w:r>
            <w:r w:rsidRPr="00BF51E8">
              <w:rPr>
                <w:noProof/>
                <w:webHidden/>
              </w:rPr>
              <w:fldChar w:fldCharType="end"/>
            </w:r>
          </w:hyperlink>
        </w:p>
        <w:p w14:paraId="23943590" w14:textId="5B2E0D8C" w:rsidR="009A3BC8" w:rsidRPr="00EB4CA0" w:rsidRDefault="002C00DF" w:rsidP="00EC3EAB">
          <w:pPr>
            <w:spacing w:before="240" w:line="276" w:lineRule="auto"/>
            <w:rPr>
              <w:rFonts w:ascii="Arial" w:hAnsi="Arial" w:cs="Arial"/>
              <w:sz w:val="24"/>
              <w:szCs w:val="24"/>
            </w:rPr>
          </w:pPr>
          <w:r>
            <w:rPr>
              <w:rFonts w:ascii="Arial" w:hAnsi="Arial" w:cs="Arial"/>
              <w:sz w:val="24"/>
              <w:szCs w:val="24"/>
            </w:rPr>
            <w:fldChar w:fldCharType="end"/>
          </w:r>
        </w:p>
      </w:sdtContent>
    </w:sdt>
    <w:p w14:paraId="3ECD0AAB" w14:textId="77777777" w:rsidR="00867E4D" w:rsidRPr="00EB4CA0" w:rsidRDefault="00867E4D" w:rsidP="00D44A02">
      <w:pPr>
        <w:spacing w:before="240" w:line="276" w:lineRule="auto"/>
        <w:rPr>
          <w:rFonts w:ascii="Arial" w:hAnsi="Arial" w:cs="Arial"/>
          <w:sz w:val="24"/>
          <w:szCs w:val="24"/>
        </w:rPr>
      </w:pPr>
    </w:p>
    <w:p w14:paraId="5B1F09AD" w14:textId="77777777" w:rsidR="00867E4D" w:rsidRPr="00EB4CA0" w:rsidRDefault="00867E4D" w:rsidP="00181096">
      <w:pPr>
        <w:spacing w:before="240"/>
        <w:rPr>
          <w:rFonts w:ascii="Arial" w:hAnsi="Arial" w:cs="Arial"/>
          <w:sz w:val="24"/>
          <w:szCs w:val="24"/>
        </w:rPr>
      </w:pPr>
    </w:p>
    <w:p w14:paraId="50C31D98" w14:textId="77777777" w:rsidR="00867E4D" w:rsidRPr="00EB4CA0" w:rsidRDefault="00867E4D" w:rsidP="00181096">
      <w:pPr>
        <w:spacing w:before="240"/>
        <w:rPr>
          <w:rFonts w:ascii="Arial" w:hAnsi="Arial" w:cs="Arial"/>
          <w:sz w:val="24"/>
          <w:szCs w:val="24"/>
        </w:rPr>
      </w:pPr>
    </w:p>
    <w:p w14:paraId="685331B3" w14:textId="77777777" w:rsidR="00867E4D" w:rsidRPr="00EB4CA0" w:rsidRDefault="00867E4D" w:rsidP="00181096">
      <w:pPr>
        <w:spacing w:before="240"/>
        <w:rPr>
          <w:rFonts w:ascii="Arial" w:hAnsi="Arial" w:cs="Arial"/>
          <w:sz w:val="24"/>
          <w:szCs w:val="24"/>
        </w:rPr>
      </w:pPr>
    </w:p>
    <w:p w14:paraId="5AA685EE" w14:textId="77777777" w:rsidR="00867E4D" w:rsidRPr="00EB4CA0" w:rsidRDefault="00867E4D" w:rsidP="00181096">
      <w:pPr>
        <w:spacing w:before="240"/>
        <w:rPr>
          <w:rFonts w:ascii="Arial" w:hAnsi="Arial" w:cs="Arial"/>
          <w:sz w:val="24"/>
          <w:szCs w:val="24"/>
        </w:rPr>
      </w:pPr>
    </w:p>
    <w:p w14:paraId="416CD680" w14:textId="77777777" w:rsidR="00867E4D" w:rsidRPr="00EB4CA0" w:rsidRDefault="00867E4D" w:rsidP="00181096">
      <w:pPr>
        <w:spacing w:before="240"/>
        <w:rPr>
          <w:rFonts w:ascii="Arial" w:hAnsi="Arial" w:cs="Arial"/>
          <w:sz w:val="24"/>
          <w:szCs w:val="24"/>
        </w:rPr>
      </w:pPr>
    </w:p>
    <w:p w14:paraId="076DBA94" w14:textId="77777777" w:rsidR="00867E4D" w:rsidRPr="00EB4CA0" w:rsidRDefault="00867E4D" w:rsidP="00181096">
      <w:pPr>
        <w:spacing w:before="240"/>
        <w:rPr>
          <w:rFonts w:ascii="Arial" w:hAnsi="Arial" w:cs="Arial"/>
          <w:sz w:val="24"/>
          <w:szCs w:val="24"/>
        </w:rPr>
      </w:pPr>
    </w:p>
    <w:p w14:paraId="76E7E4FE" w14:textId="77777777" w:rsidR="00093522" w:rsidRPr="00EB4CA0" w:rsidRDefault="00093522" w:rsidP="00181096">
      <w:pPr>
        <w:spacing w:before="240"/>
        <w:rPr>
          <w:rFonts w:ascii="Arial" w:hAnsi="Arial" w:cs="Arial"/>
          <w:sz w:val="24"/>
          <w:szCs w:val="24"/>
        </w:rPr>
      </w:pPr>
    </w:p>
    <w:p w14:paraId="2DA678A2" w14:textId="77777777" w:rsidR="00A523ED" w:rsidRPr="00EB4CA0" w:rsidRDefault="00A523ED" w:rsidP="00181096">
      <w:pPr>
        <w:spacing w:before="240"/>
        <w:rPr>
          <w:rFonts w:ascii="Arial" w:hAnsi="Arial" w:cs="Arial"/>
          <w:sz w:val="24"/>
          <w:szCs w:val="24"/>
        </w:rPr>
      </w:pPr>
    </w:p>
    <w:p w14:paraId="40B30FD8" w14:textId="77777777" w:rsidR="00A523ED" w:rsidRDefault="00A523ED" w:rsidP="00181096">
      <w:pPr>
        <w:spacing w:before="240"/>
        <w:rPr>
          <w:rFonts w:ascii="Arial" w:hAnsi="Arial" w:cs="Arial"/>
          <w:sz w:val="24"/>
          <w:szCs w:val="24"/>
        </w:rPr>
      </w:pPr>
    </w:p>
    <w:p w14:paraId="24619DE1" w14:textId="77777777" w:rsidR="00EC3EAB" w:rsidRPr="00EB4CA0" w:rsidRDefault="00EC3EAB" w:rsidP="00181096">
      <w:pPr>
        <w:spacing w:before="240"/>
        <w:rPr>
          <w:rFonts w:ascii="Arial" w:hAnsi="Arial" w:cs="Arial"/>
          <w:sz w:val="24"/>
          <w:szCs w:val="24"/>
        </w:rPr>
      </w:pPr>
    </w:p>
    <w:p w14:paraId="67954053" w14:textId="77777777" w:rsidR="00A523ED" w:rsidRDefault="00A523ED" w:rsidP="00181096">
      <w:pPr>
        <w:spacing w:before="240"/>
        <w:rPr>
          <w:rFonts w:ascii="Arial" w:hAnsi="Arial" w:cs="Arial"/>
          <w:sz w:val="24"/>
          <w:szCs w:val="24"/>
        </w:rPr>
      </w:pPr>
    </w:p>
    <w:p w14:paraId="04E07404" w14:textId="77777777" w:rsidR="00F073DE" w:rsidRDefault="00F073DE" w:rsidP="00181096">
      <w:pPr>
        <w:spacing w:before="240"/>
        <w:rPr>
          <w:rFonts w:ascii="Arial" w:hAnsi="Arial" w:cs="Arial"/>
          <w:sz w:val="24"/>
          <w:szCs w:val="24"/>
        </w:rPr>
      </w:pPr>
    </w:p>
    <w:p w14:paraId="7F48BF53" w14:textId="77777777" w:rsidR="00F073DE" w:rsidRDefault="00F073DE" w:rsidP="00181096">
      <w:pPr>
        <w:spacing w:before="240"/>
        <w:rPr>
          <w:rFonts w:ascii="Arial" w:hAnsi="Arial" w:cs="Arial"/>
          <w:sz w:val="24"/>
          <w:szCs w:val="24"/>
        </w:rPr>
      </w:pPr>
    </w:p>
    <w:p w14:paraId="62216452" w14:textId="77777777" w:rsidR="00F073DE" w:rsidRPr="00EB4CA0" w:rsidRDefault="00F073DE" w:rsidP="00181096">
      <w:pPr>
        <w:spacing w:before="240"/>
        <w:rPr>
          <w:rFonts w:ascii="Arial" w:hAnsi="Arial" w:cs="Arial"/>
          <w:sz w:val="24"/>
          <w:szCs w:val="24"/>
        </w:rPr>
      </w:pPr>
    </w:p>
    <w:p w14:paraId="0FA4F696" w14:textId="77777777" w:rsidR="00A523ED" w:rsidRPr="00EB4CA0" w:rsidRDefault="00A523ED" w:rsidP="00181096">
      <w:pPr>
        <w:spacing w:before="240"/>
        <w:rPr>
          <w:rFonts w:ascii="Arial" w:hAnsi="Arial" w:cs="Arial"/>
          <w:sz w:val="24"/>
          <w:szCs w:val="24"/>
        </w:rPr>
      </w:pPr>
    </w:p>
    <w:p w14:paraId="3948E0E1" w14:textId="77777777" w:rsidR="00093522" w:rsidRPr="00EB4CA0" w:rsidRDefault="00093522" w:rsidP="00196FB0">
      <w:pPr>
        <w:pStyle w:val="Heading1"/>
        <w:spacing w:before="240" w:after="160" w:line="360" w:lineRule="auto"/>
        <w:ind w:left="0"/>
        <w:jc w:val="center"/>
        <w:rPr>
          <w:rFonts w:cs="Arial"/>
          <w:b w:val="0"/>
        </w:rPr>
      </w:pPr>
      <w:bookmarkStart w:id="0" w:name="_Toc234700966"/>
      <w:r w:rsidRPr="00EB4CA0">
        <w:rPr>
          <w:rFonts w:cs="Arial"/>
        </w:rPr>
        <w:t>CHAPTER 1: Introduction</w:t>
      </w:r>
      <w:bookmarkEnd w:id="0"/>
    </w:p>
    <w:p w14:paraId="3BE7F446"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1" w:name="_Toc234700967"/>
      <w:r w:rsidRPr="00EB4CA0">
        <w:rPr>
          <w:rStyle w:val="normaltextrun"/>
          <w:rFonts w:ascii="Arial" w:hAnsi="Arial" w:cs="Arial"/>
          <w:b/>
          <w:bCs/>
          <w:color w:val="auto"/>
          <w:szCs w:val="24"/>
        </w:rPr>
        <w:t>Introduction</w:t>
      </w:r>
      <w:bookmarkEnd w:id="1"/>
    </w:p>
    <w:p w14:paraId="4C9307C8" w14:textId="77777777" w:rsidR="00093522" w:rsidRPr="00EB4CA0" w:rsidRDefault="00093522" w:rsidP="00294293">
      <w:pPr>
        <w:spacing w:before="240"/>
        <w:jc w:val="left"/>
        <w:rPr>
          <w:rFonts w:ascii="Arial" w:hAnsi="Arial" w:cs="Arial"/>
        </w:rPr>
      </w:pPr>
      <w:r w:rsidRPr="00EB4CA0">
        <w:rPr>
          <w:rFonts w:ascii="Arial" w:hAnsi="Arial" w:cs="Arial"/>
        </w:rPr>
        <w:t>The psychological health of the aged has become a prevalent world health issue, especially in long-term care homes (LTCFs) where people have been found to be more susceptible to psychological traumas (Cohen et al., 2024). In adults that are 60 years old and older, a mental disorder is experienced by about 14% of people, with depression and anxiety being the most common (World Health Organization, 2023). Mental health may be considered as a state of psychological and emotional calmness that helps an individual to be in a position to handle the daily stresses of life whereas, social support is a term that is used to describe the emotional, information and practical help that is given by social networks like family, peer and care givers. Poor mental health outcomes are closely related to loneliness and isolation, which are the key contributors to poor mental health in LTCFs due to lack of family contact, loss of independence and institutional settings that act as significant contributors (Li et al., 2025).</w:t>
      </w:r>
    </w:p>
    <w:p w14:paraId="3F9E6224" w14:textId="61139316" w:rsidR="00093522" w:rsidRPr="00EB4CA0" w:rsidRDefault="00093522" w:rsidP="00294293">
      <w:pPr>
        <w:spacing w:before="240"/>
        <w:jc w:val="left"/>
        <w:rPr>
          <w:rFonts w:ascii="Arial" w:hAnsi="Arial" w:cs="Arial"/>
        </w:rPr>
      </w:pPr>
      <w:r w:rsidRPr="00EB4CA0">
        <w:rPr>
          <w:rFonts w:ascii="Arial" w:hAnsi="Arial" w:cs="Arial"/>
        </w:rPr>
        <w:t>The proposed dissertation explore</w:t>
      </w:r>
      <w:r w:rsidR="00F840A2" w:rsidRPr="00EB4CA0">
        <w:rPr>
          <w:rFonts w:ascii="Arial" w:hAnsi="Arial" w:cs="Arial"/>
        </w:rPr>
        <w:t>s</w:t>
      </w:r>
      <w:r w:rsidRPr="00EB4CA0">
        <w:rPr>
          <w:rFonts w:ascii="Arial" w:hAnsi="Arial" w:cs="Arial"/>
        </w:rPr>
        <w:t xml:space="preserve"> how social support influences the mental well-being of elderly people in long-term homes. In particular, it tries to examine the effect of various types of support on depression, anxiety, and emotional well-being. The research serve the purpose of making an impact in the field of health and social care by giving evidence-based information that improve</w:t>
      </w:r>
      <w:r w:rsidR="0052216F" w:rsidRPr="00EB4CA0">
        <w:rPr>
          <w:rFonts w:ascii="Arial" w:hAnsi="Arial" w:cs="Arial"/>
        </w:rPr>
        <w:t>s</w:t>
      </w:r>
      <w:r w:rsidRPr="00EB4CA0">
        <w:rPr>
          <w:rFonts w:ascii="Arial" w:hAnsi="Arial" w:cs="Arial"/>
        </w:rPr>
        <w:t xml:space="preserve"> practice of person-centred care, advance the practice of policy and practice implementation and improve the quality of life of the older adults in institutions. </w:t>
      </w:r>
      <w:r w:rsidRPr="00EB4CA0">
        <w:rPr>
          <w:rStyle w:val="eop"/>
          <w:rFonts w:ascii="Arial" w:hAnsi="Arial" w:cs="Arial"/>
        </w:rPr>
        <w:t> </w:t>
      </w:r>
    </w:p>
    <w:p w14:paraId="3A27DACB"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2" w:name="_Toc234700968"/>
      <w:r w:rsidRPr="00EB4CA0">
        <w:rPr>
          <w:rStyle w:val="normaltextrun"/>
          <w:rFonts w:ascii="Arial" w:hAnsi="Arial" w:cs="Arial"/>
          <w:b/>
          <w:bCs/>
          <w:color w:val="auto"/>
          <w:szCs w:val="24"/>
        </w:rPr>
        <w:t>Definitions and Terminology</w:t>
      </w:r>
      <w:bookmarkEnd w:id="2"/>
    </w:p>
    <w:p w14:paraId="26015DD0" w14:textId="77777777" w:rsidR="00093522" w:rsidRPr="00EB4CA0" w:rsidRDefault="00093522" w:rsidP="00294293">
      <w:pPr>
        <w:spacing w:before="240"/>
        <w:jc w:val="left"/>
        <w:rPr>
          <w:rFonts w:ascii="Arial" w:hAnsi="Arial" w:cs="Arial"/>
        </w:rPr>
      </w:pPr>
      <w:r w:rsidRPr="00EB4CA0">
        <w:rPr>
          <w:rFonts w:ascii="Arial" w:hAnsi="Arial" w:cs="Arial"/>
        </w:rPr>
        <w:t>To make sense of this study, it is important to have an understanding of important terminology. Social support is considered to be the emotional, informational, and practical support that individuals are accorded by the social networks such as family, friends, and caregivers</w:t>
      </w:r>
      <w:r w:rsidRPr="00EB4CA0">
        <w:rPr>
          <w:rFonts w:ascii="Arial" w:eastAsia="Times New Roman" w:hAnsi="Arial" w:cs="Arial"/>
          <w:kern w:val="0"/>
          <w:lang w:eastAsia="en-US"/>
          <w14:ligatures w14:val="none"/>
        </w:rPr>
        <w:t xml:space="preserve"> </w:t>
      </w:r>
      <w:r w:rsidRPr="00EB4CA0">
        <w:rPr>
          <w:rFonts w:ascii="Arial" w:hAnsi="Arial" w:cs="Arial"/>
        </w:rPr>
        <w:t>(Drageset, 2021). It is central in this research since the support or lack of support have direct effects in the psychological outcomes of older adults. Mental health refers to a condition where a person achieves their potential, responds to standard stressors, and performs effectively (WHO, 2023). This idea is the basis of the focus on depression, anxiety and emotional well-being of the study.</w:t>
      </w:r>
    </w:p>
    <w:p w14:paraId="1D78B3A8" w14:textId="77777777" w:rsidR="00093522" w:rsidRPr="00EB4CA0" w:rsidRDefault="00093522" w:rsidP="00294293">
      <w:pPr>
        <w:spacing w:before="240"/>
        <w:jc w:val="left"/>
        <w:rPr>
          <w:rFonts w:ascii="Arial" w:hAnsi="Arial" w:cs="Arial"/>
        </w:rPr>
      </w:pPr>
      <w:r w:rsidRPr="00EB4CA0">
        <w:rPr>
          <w:rFonts w:ascii="Arial" w:hAnsi="Arial" w:cs="Arial"/>
        </w:rPr>
        <w:t>The elderly people are generally considered to be individuals who are 65 years and older, which is considered to be more vulnerable to social isolation and deterioration. Long-term care facilities (LTCFs) are institutional facilities like nursing homes or residential care homes that offer the permanent care of residents that are not able to live on their own (National Institute on Aging, 2023). These environments are very relevant because they influence the social interaction as well as mental health experiences. Depression is a mood disorder which is marked by constant sadness and lack of interest whereas anxiety is marked by excessive worry and fear which are both prevalent among institutionalised elderly populations (Chand and Arif, 2023).</w:t>
      </w:r>
    </w:p>
    <w:p w14:paraId="3A90E543" w14:textId="77777777" w:rsidR="00093522" w:rsidRPr="00EB4CA0" w:rsidRDefault="00093522" w:rsidP="00294293">
      <w:pPr>
        <w:spacing w:before="240"/>
        <w:jc w:val="left"/>
        <w:rPr>
          <w:rFonts w:ascii="Arial" w:hAnsi="Arial" w:cs="Arial"/>
          <w:b/>
          <w:bCs/>
        </w:rPr>
      </w:pPr>
      <w:r w:rsidRPr="00EB4CA0">
        <w:rPr>
          <w:rFonts w:ascii="Arial" w:hAnsi="Arial" w:cs="Arial"/>
          <w:b/>
          <w:bCs/>
        </w:rPr>
        <w:t>Key Acronyms</w:t>
      </w:r>
    </w:p>
    <w:p w14:paraId="63B7FBC7" w14:textId="77777777" w:rsidR="00093522" w:rsidRPr="00EB4CA0" w:rsidRDefault="00093522" w:rsidP="00294293">
      <w:pPr>
        <w:spacing w:before="240"/>
        <w:jc w:val="left"/>
        <w:rPr>
          <w:rFonts w:ascii="Arial" w:hAnsi="Arial" w:cs="Arial"/>
        </w:rPr>
      </w:pPr>
      <w:r w:rsidRPr="00EB4CA0">
        <w:rPr>
          <w:rStyle w:val="Strong"/>
          <w:rFonts w:ascii="Arial" w:hAnsi="Arial" w:cs="Arial"/>
        </w:rPr>
        <w:t>LTCFs</w:t>
      </w:r>
      <w:r w:rsidRPr="00EB4CA0">
        <w:rPr>
          <w:rFonts w:ascii="Arial" w:hAnsi="Arial" w:cs="Arial"/>
        </w:rPr>
        <w:t xml:space="preserve"> (Long-Term Care Facilities)</w:t>
      </w:r>
    </w:p>
    <w:p w14:paraId="2442E33A" w14:textId="77777777" w:rsidR="00093522" w:rsidRPr="00EB4CA0" w:rsidRDefault="00093522" w:rsidP="00294293">
      <w:pPr>
        <w:spacing w:before="240"/>
        <w:jc w:val="left"/>
        <w:rPr>
          <w:rFonts w:ascii="Arial" w:hAnsi="Arial" w:cs="Arial"/>
        </w:rPr>
      </w:pPr>
      <w:r w:rsidRPr="00EB4CA0">
        <w:rPr>
          <w:rStyle w:val="Strong"/>
          <w:rFonts w:ascii="Arial" w:hAnsi="Arial" w:cs="Arial"/>
        </w:rPr>
        <w:t>WHO</w:t>
      </w:r>
      <w:r w:rsidRPr="00EB4CA0">
        <w:rPr>
          <w:rFonts w:ascii="Arial" w:hAnsi="Arial" w:cs="Arial"/>
        </w:rPr>
        <w:t xml:space="preserve"> (World Health Organization)</w:t>
      </w:r>
    </w:p>
    <w:p w14:paraId="3513EB0F" w14:textId="77777777" w:rsidR="00093522" w:rsidRPr="00EB4CA0" w:rsidRDefault="00093522" w:rsidP="00294293">
      <w:pPr>
        <w:spacing w:before="240"/>
        <w:jc w:val="left"/>
        <w:rPr>
          <w:rFonts w:ascii="Arial" w:hAnsi="Arial" w:cs="Arial"/>
        </w:rPr>
      </w:pPr>
      <w:r w:rsidRPr="00EB4CA0">
        <w:rPr>
          <w:rFonts w:ascii="Arial" w:hAnsi="Arial" w:cs="Arial"/>
          <w:b/>
          <w:bCs/>
        </w:rPr>
        <w:t>S</w:t>
      </w:r>
      <w:r w:rsidRPr="00EB4CA0">
        <w:rPr>
          <w:rStyle w:val="Strong"/>
          <w:rFonts w:ascii="Arial" w:hAnsi="Arial" w:cs="Arial"/>
        </w:rPr>
        <w:t>MH</w:t>
      </w:r>
      <w:r w:rsidRPr="00EB4CA0">
        <w:rPr>
          <w:rFonts w:ascii="Arial" w:hAnsi="Arial" w:cs="Arial"/>
        </w:rPr>
        <w:t xml:space="preserve"> (Mental Health).</w:t>
      </w:r>
      <w:r w:rsidRPr="00EB4CA0">
        <w:rPr>
          <w:rStyle w:val="eop"/>
          <w:rFonts w:ascii="Arial" w:hAnsi="Arial" w:cs="Arial"/>
        </w:rPr>
        <w:t>   </w:t>
      </w:r>
    </w:p>
    <w:p w14:paraId="582D60C2"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3" w:name="_Toc234700969"/>
      <w:r w:rsidRPr="00EB4CA0">
        <w:rPr>
          <w:rStyle w:val="normaltextrun"/>
          <w:rFonts w:ascii="Arial" w:hAnsi="Arial" w:cs="Arial"/>
          <w:b/>
          <w:bCs/>
          <w:color w:val="auto"/>
          <w:szCs w:val="24"/>
        </w:rPr>
        <w:t>Rationale for Research</w:t>
      </w:r>
      <w:bookmarkEnd w:id="3"/>
    </w:p>
    <w:p w14:paraId="5FE5E929" w14:textId="548B71FC" w:rsidR="00093522" w:rsidRPr="00EB4CA0" w:rsidRDefault="00093522" w:rsidP="00294293">
      <w:pPr>
        <w:spacing w:before="240"/>
        <w:jc w:val="left"/>
        <w:rPr>
          <w:rStyle w:val="eop"/>
          <w:rFonts w:ascii="Arial" w:hAnsi="Arial" w:cs="Arial"/>
        </w:rPr>
      </w:pPr>
      <w:r w:rsidRPr="00EB4CA0">
        <w:rPr>
          <w:rFonts w:ascii="Arial" w:hAnsi="Arial" w:cs="Arial"/>
        </w:rPr>
        <w:t xml:space="preserve">The rationale of the study is informed by the fact that mental health among older adults who are admitted in long term care facilities (LTCFs) has not been given serious consideration even though it has been found to have a profound effect on quality of life. As the global trends in ageing gain momentum, the available literature constantly shows high rates of depression, anxiety, and loneliness in the case of institutionalised ageing populations (Underwood et al., 2013). Current care models, however, in LTCFs are still heavily physical health-oriented, and psychosocial aspects, including social support, have been overlooked, which has empirically been associated with better mental health outcomes. More importantly, though the need of social interaction is recognized by prior research, there is no detailed study that </w:t>
      </w:r>
      <w:r w:rsidR="00944EDE" w:rsidRPr="00EB4CA0">
        <w:rPr>
          <w:rFonts w:ascii="Arial" w:hAnsi="Arial" w:cs="Arial"/>
        </w:rPr>
        <w:t>analyses</w:t>
      </w:r>
      <w:r w:rsidRPr="00EB4CA0">
        <w:rPr>
          <w:rFonts w:ascii="Arial" w:hAnsi="Arial" w:cs="Arial"/>
        </w:rPr>
        <w:t xml:space="preserve"> the role of various types and levels of social support in the context of how it directly affects the psychological </w:t>
      </w:r>
      <w:r w:rsidR="00944EDE" w:rsidRPr="00EB4CA0">
        <w:rPr>
          <w:rFonts w:ascii="Arial" w:hAnsi="Arial" w:cs="Arial"/>
        </w:rPr>
        <w:t>wellbeing</w:t>
      </w:r>
      <w:r w:rsidRPr="00EB4CA0">
        <w:rPr>
          <w:rFonts w:ascii="Arial" w:hAnsi="Arial" w:cs="Arial"/>
        </w:rPr>
        <w:t xml:space="preserve"> in the institution. In addition, there is a lack of the assessment of the effectiveness of the current policies and care practices in incorporating social support into the regular care. This poses a great research gap between the theoretical knowledge and the applied results. Thus, the research is right to fill this gap by critically examining the connection between social support and mental health outcomes, as well as to review the current practice and provide evidence-based recommendations. Through this, the research would help in pertinent discussions about person-centred care as well as in the scholarly requirement of the holistic approach to elderly care in LTCFs. </w:t>
      </w:r>
      <w:r w:rsidRPr="00EB4CA0">
        <w:rPr>
          <w:rStyle w:val="eop"/>
          <w:rFonts w:ascii="Arial" w:hAnsi="Arial" w:cs="Arial"/>
        </w:rPr>
        <w:t> </w:t>
      </w:r>
    </w:p>
    <w:p w14:paraId="21B2B547" w14:textId="77777777" w:rsidR="00944EDE" w:rsidRPr="00EB4CA0" w:rsidRDefault="00944EDE" w:rsidP="00294293">
      <w:pPr>
        <w:spacing w:before="240"/>
        <w:jc w:val="left"/>
        <w:rPr>
          <w:rFonts w:ascii="Arial" w:hAnsi="Arial" w:cs="Arial"/>
        </w:rPr>
      </w:pPr>
    </w:p>
    <w:p w14:paraId="122EBF4F" w14:textId="77777777" w:rsidR="00093522" w:rsidRPr="00EB4CA0" w:rsidRDefault="00093522">
      <w:pPr>
        <w:pStyle w:val="Heading2"/>
        <w:numPr>
          <w:ilvl w:val="1"/>
          <w:numId w:val="2"/>
        </w:numPr>
        <w:spacing w:before="240" w:after="160"/>
        <w:jc w:val="left"/>
        <w:rPr>
          <w:rFonts w:ascii="Arial" w:hAnsi="Arial" w:cs="Arial"/>
          <w:b/>
          <w:bCs/>
          <w:color w:val="auto"/>
          <w:szCs w:val="24"/>
        </w:rPr>
      </w:pPr>
      <w:r w:rsidRPr="00EB4CA0">
        <w:rPr>
          <w:rStyle w:val="normaltextrun"/>
          <w:rFonts w:ascii="Arial" w:hAnsi="Arial" w:cs="Arial"/>
          <w:b/>
          <w:bCs/>
          <w:color w:val="auto"/>
          <w:szCs w:val="24"/>
        </w:rPr>
        <w:t xml:space="preserve"> </w:t>
      </w:r>
      <w:bookmarkStart w:id="4" w:name="_Toc234700970"/>
      <w:r w:rsidRPr="00EB4CA0">
        <w:rPr>
          <w:rStyle w:val="normaltextrun"/>
          <w:rFonts w:ascii="Arial" w:hAnsi="Arial" w:cs="Arial"/>
          <w:b/>
          <w:bCs/>
          <w:color w:val="auto"/>
          <w:szCs w:val="24"/>
        </w:rPr>
        <w:t>Aim and Objectives</w:t>
      </w:r>
      <w:bookmarkEnd w:id="4"/>
    </w:p>
    <w:p w14:paraId="266E0561" w14:textId="77777777" w:rsidR="00093522" w:rsidRPr="00EB4CA0" w:rsidRDefault="00093522" w:rsidP="00294293">
      <w:pPr>
        <w:pStyle w:val="paragraph"/>
        <w:spacing w:before="240" w:beforeAutospacing="0" w:after="160" w:afterAutospacing="0" w:line="360" w:lineRule="auto"/>
        <w:textAlignment w:val="baseline"/>
        <w:rPr>
          <w:rStyle w:val="normaltextrun"/>
          <w:rFonts w:ascii="Arial" w:hAnsi="Arial" w:cs="Arial"/>
          <w:b/>
          <w:bCs/>
          <w:sz w:val="22"/>
          <w:szCs w:val="22"/>
        </w:rPr>
      </w:pPr>
      <w:r w:rsidRPr="00EB4CA0">
        <w:rPr>
          <w:rStyle w:val="normaltextrun"/>
          <w:rFonts w:ascii="Arial" w:hAnsi="Arial" w:cs="Arial"/>
          <w:b/>
          <w:bCs/>
          <w:sz w:val="22"/>
          <w:szCs w:val="22"/>
        </w:rPr>
        <w:t>Research Aim</w:t>
      </w:r>
    </w:p>
    <w:p w14:paraId="65D11F3F" w14:textId="3CFC5B25" w:rsidR="00093522" w:rsidRPr="00EB4CA0" w:rsidRDefault="00093522" w:rsidP="00294293">
      <w:pPr>
        <w:pStyle w:val="paragraph"/>
        <w:spacing w:before="240" w:beforeAutospacing="0" w:after="160" w:afterAutospacing="0" w:line="360" w:lineRule="auto"/>
        <w:textAlignment w:val="baseline"/>
        <w:rPr>
          <w:rFonts w:ascii="Arial" w:hAnsi="Arial" w:cs="Arial"/>
          <w:sz w:val="22"/>
          <w:szCs w:val="22"/>
        </w:rPr>
      </w:pPr>
      <w:r w:rsidRPr="00EB4CA0">
        <w:rPr>
          <w:rFonts w:ascii="Arial" w:hAnsi="Arial" w:cs="Arial"/>
          <w:sz w:val="22"/>
          <w:szCs w:val="22"/>
          <w:lang w:eastAsia="en-US"/>
        </w:rPr>
        <w:t xml:space="preserve">The main objective of the study is to </w:t>
      </w:r>
      <w:r w:rsidR="006C4C22" w:rsidRPr="00EB4CA0">
        <w:rPr>
          <w:rFonts w:ascii="Arial" w:hAnsi="Arial" w:cs="Arial"/>
          <w:sz w:val="22"/>
          <w:szCs w:val="22"/>
          <w:lang w:eastAsia="en-US"/>
        </w:rPr>
        <w:t>analyse</w:t>
      </w:r>
      <w:r w:rsidRPr="00EB4CA0">
        <w:rPr>
          <w:rFonts w:ascii="Arial" w:hAnsi="Arial" w:cs="Arial"/>
          <w:sz w:val="22"/>
          <w:szCs w:val="22"/>
          <w:lang w:eastAsia="en-US"/>
        </w:rPr>
        <w:t xml:space="preserve"> how social support can be used to enhance the mental health of elderly people in a long-term care facility. The research examine</w:t>
      </w:r>
      <w:r w:rsidR="00A4355C" w:rsidRPr="00EB4CA0">
        <w:rPr>
          <w:rFonts w:ascii="Arial" w:hAnsi="Arial" w:cs="Arial"/>
          <w:sz w:val="22"/>
          <w:szCs w:val="22"/>
          <w:lang w:eastAsia="en-US"/>
        </w:rPr>
        <w:t>s</w:t>
      </w:r>
      <w:r w:rsidRPr="00EB4CA0">
        <w:rPr>
          <w:rFonts w:ascii="Arial" w:hAnsi="Arial" w:cs="Arial"/>
          <w:sz w:val="22"/>
          <w:szCs w:val="22"/>
          <w:lang w:eastAsia="en-US"/>
        </w:rPr>
        <w:t xml:space="preserve"> the impact of the different levels and type of social support on the psychological wellbeing of the residents such as depression, anxiety, and emotional strength in general.</w:t>
      </w:r>
    </w:p>
    <w:p w14:paraId="22A898E4" w14:textId="77777777" w:rsidR="00093522" w:rsidRPr="00EB4CA0" w:rsidRDefault="00093522" w:rsidP="00294293">
      <w:pPr>
        <w:spacing w:before="240"/>
        <w:jc w:val="left"/>
        <w:rPr>
          <w:rFonts w:ascii="Arial" w:hAnsi="Arial" w:cs="Arial"/>
          <w:b/>
          <w:bCs/>
        </w:rPr>
      </w:pPr>
      <w:r w:rsidRPr="00EB4CA0">
        <w:rPr>
          <w:rFonts w:ascii="Arial" w:hAnsi="Arial" w:cs="Arial"/>
          <w:b/>
          <w:bCs/>
        </w:rPr>
        <w:t>Research Objectives</w:t>
      </w:r>
    </w:p>
    <w:p w14:paraId="38FE36F9" w14:textId="77777777" w:rsidR="00093522" w:rsidRPr="00EB4CA0" w:rsidRDefault="00093522">
      <w:pPr>
        <w:numPr>
          <w:ilvl w:val="0"/>
          <w:numId w:val="1"/>
        </w:numPr>
        <w:spacing w:before="240"/>
        <w:contextualSpacing/>
        <w:jc w:val="left"/>
        <w:rPr>
          <w:rFonts w:ascii="Arial" w:hAnsi="Arial" w:cs="Arial"/>
        </w:rPr>
      </w:pPr>
      <w:r w:rsidRPr="00EB4CA0">
        <w:rPr>
          <w:rFonts w:ascii="Arial" w:hAnsi="Arial" w:cs="Arial"/>
        </w:rPr>
        <w:t>To define and explain the concept of social support and its relevance among the older adults within the long-term care facilities.</w:t>
      </w:r>
    </w:p>
    <w:p w14:paraId="0B8FC7A0" w14:textId="77777777" w:rsidR="00093522" w:rsidRPr="00EB4CA0" w:rsidRDefault="00093522">
      <w:pPr>
        <w:numPr>
          <w:ilvl w:val="0"/>
          <w:numId w:val="1"/>
        </w:numPr>
        <w:spacing w:before="240"/>
        <w:contextualSpacing/>
        <w:jc w:val="left"/>
        <w:rPr>
          <w:rFonts w:ascii="Arial" w:hAnsi="Arial" w:cs="Arial"/>
        </w:rPr>
      </w:pPr>
      <w:r w:rsidRPr="00EB4CA0">
        <w:rPr>
          <w:rFonts w:ascii="Arial" w:hAnsi="Arial" w:cs="Arial"/>
        </w:rPr>
        <w:t>To analyse the correlation between social support and mental health results, (depression, anxiety and emotional well-being).</w:t>
      </w:r>
    </w:p>
    <w:p w14:paraId="25E9FE72" w14:textId="77777777" w:rsidR="00093522" w:rsidRPr="00EB4CA0" w:rsidRDefault="00093522">
      <w:pPr>
        <w:numPr>
          <w:ilvl w:val="0"/>
          <w:numId w:val="1"/>
        </w:numPr>
        <w:spacing w:before="240"/>
        <w:contextualSpacing/>
        <w:jc w:val="left"/>
        <w:rPr>
          <w:rFonts w:ascii="Arial" w:hAnsi="Arial" w:cs="Arial"/>
        </w:rPr>
      </w:pPr>
      <w:r w:rsidRPr="00EB4CA0">
        <w:rPr>
          <w:rFonts w:ascii="Arial" w:hAnsi="Arial" w:cs="Arial"/>
        </w:rPr>
        <w:t>To evaluate existing policies, care practices and interventions that ought to enhance social support in the long term care setting.</w:t>
      </w:r>
    </w:p>
    <w:p w14:paraId="1CD33388" w14:textId="77777777" w:rsidR="00093522" w:rsidRPr="00EB4CA0" w:rsidRDefault="00093522">
      <w:pPr>
        <w:numPr>
          <w:ilvl w:val="0"/>
          <w:numId w:val="1"/>
        </w:numPr>
        <w:spacing w:before="240"/>
        <w:contextualSpacing/>
        <w:jc w:val="left"/>
        <w:rPr>
          <w:rFonts w:ascii="Arial" w:hAnsi="Arial" w:cs="Arial"/>
        </w:rPr>
      </w:pPr>
      <w:r w:rsidRPr="00EB4CA0">
        <w:rPr>
          <w:rFonts w:ascii="Arial" w:hAnsi="Arial" w:cs="Arial"/>
        </w:rPr>
        <w:t>To provide recommendations on how to improve mental health outcome through the improvement of social networks and supportive care plans.</w:t>
      </w:r>
      <w:r w:rsidRPr="00EB4CA0">
        <w:rPr>
          <w:rStyle w:val="eop"/>
          <w:rFonts w:ascii="Arial" w:hAnsi="Arial" w:cs="Arial"/>
        </w:rPr>
        <w:t> </w:t>
      </w:r>
    </w:p>
    <w:p w14:paraId="6D6CB342"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5" w:name="_Toc234700971"/>
      <w:r w:rsidRPr="00EB4CA0">
        <w:rPr>
          <w:rStyle w:val="normaltextrun"/>
          <w:rFonts w:ascii="Arial" w:hAnsi="Arial" w:cs="Arial"/>
          <w:b/>
          <w:bCs/>
          <w:color w:val="auto"/>
          <w:szCs w:val="24"/>
        </w:rPr>
        <w:t>Conclusion</w:t>
      </w:r>
      <w:bookmarkEnd w:id="5"/>
    </w:p>
    <w:p w14:paraId="63999016" w14:textId="7A521032" w:rsidR="00757ED6" w:rsidRPr="00EB4CA0" w:rsidRDefault="00093522" w:rsidP="00294293">
      <w:pPr>
        <w:spacing w:before="240"/>
        <w:jc w:val="left"/>
        <w:rPr>
          <w:rStyle w:val="eop"/>
          <w:rFonts w:ascii="Arial" w:hAnsi="Arial" w:cs="Arial"/>
        </w:rPr>
      </w:pPr>
      <w:r w:rsidRPr="00EB4CA0">
        <w:rPr>
          <w:rFonts w:ascii="Arial" w:hAnsi="Arial" w:cs="Arial"/>
        </w:rPr>
        <w:t xml:space="preserve">This chapter has presented the research context, which includes the importance of mental health among elderly in the long-term care facilities, and the importance of social support. The main concepts and terms were identified, and the justification indicated gaps in the existing research and practice. This goal and objectives were set to help direct the research in investigating the association between social support and mental health outcomes. In the following chapter, the literature review will be provided with a critical analysis of the available studies, theories, and evidence on social support and mental health in the context of long-term care. </w:t>
      </w:r>
      <w:r w:rsidRPr="00EB4CA0">
        <w:rPr>
          <w:rStyle w:val="eop"/>
          <w:rFonts w:ascii="Arial" w:hAnsi="Arial" w:cs="Arial"/>
        </w:rPr>
        <w:t> </w:t>
      </w:r>
    </w:p>
    <w:p w14:paraId="0F992DE5" w14:textId="77777777" w:rsidR="00A06CA9" w:rsidRPr="00EB4CA0" w:rsidRDefault="00A06CA9" w:rsidP="00294293">
      <w:pPr>
        <w:spacing w:before="240"/>
        <w:jc w:val="left"/>
        <w:rPr>
          <w:rStyle w:val="eop"/>
          <w:rFonts w:ascii="Arial" w:hAnsi="Arial" w:cs="Arial"/>
        </w:rPr>
      </w:pPr>
    </w:p>
    <w:p w14:paraId="5FEB484C" w14:textId="77777777" w:rsidR="00A06CA9" w:rsidRPr="00EB4CA0" w:rsidRDefault="00A06CA9" w:rsidP="00294293">
      <w:pPr>
        <w:spacing w:before="240"/>
        <w:jc w:val="left"/>
        <w:rPr>
          <w:rStyle w:val="eop"/>
          <w:rFonts w:ascii="Arial" w:hAnsi="Arial" w:cs="Arial"/>
        </w:rPr>
      </w:pPr>
    </w:p>
    <w:p w14:paraId="4415BEC6" w14:textId="77777777" w:rsidR="00A06CA9" w:rsidRPr="00EB4CA0" w:rsidRDefault="00A06CA9" w:rsidP="00294293">
      <w:pPr>
        <w:spacing w:before="240"/>
        <w:jc w:val="left"/>
        <w:rPr>
          <w:rStyle w:val="eop"/>
          <w:rFonts w:ascii="Arial" w:hAnsi="Arial" w:cs="Arial"/>
        </w:rPr>
      </w:pPr>
    </w:p>
    <w:p w14:paraId="5108B4FE" w14:textId="77777777" w:rsidR="00A06CA9" w:rsidRPr="00EB4CA0" w:rsidRDefault="00A06CA9" w:rsidP="00294293">
      <w:pPr>
        <w:spacing w:before="240"/>
        <w:jc w:val="left"/>
        <w:rPr>
          <w:rStyle w:val="eop"/>
          <w:rFonts w:ascii="Arial" w:hAnsi="Arial" w:cs="Arial"/>
        </w:rPr>
      </w:pPr>
    </w:p>
    <w:p w14:paraId="6756D23D" w14:textId="77777777" w:rsidR="00A06CA9" w:rsidRPr="00EB4CA0" w:rsidRDefault="00A06CA9" w:rsidP="00294293">
      <w:pPr>
        <w:spacing w:before="240"/>
        <w:jc w:val="left"/>
        <w:rPr>
          <w:rFonts w:ascii="Arial" w:hAnsi="Arial" w:cs="Arial"/>
        </w:rPr>
      </w:pPr>
    </w:p>
    <w:p w14:paraId="747ED27C" w14:textId="77777777" w:rsidR="00093522" w:rsidRPr="00EB4CA0" w:rsidRDefault="00093522">
      <w:pPr>
        <w:pStyle w:val="Heading1"/>
        <w:numPr>
          <w:ilvl w:val="0"/>
          <w:numId w:val="4"/>
        </w:numPr>
        <w:spacing w:before="240" w:after="160" w:line="360" w:lineRule="auto"/>
        <w:jc w:val="center"/>
        <w:rPr>
          <w:rFonts w:cs="Arial"/>
        </w:rPr>
      </w:pPr>
      <w:bookmarkStart w:id="6" w:name="_Toc234700972"/>
      <w:r w:rsidRPr="00EB4CA0">
        <w:rPr>
          <w:rFonts w:cs="Arial"/>
        </w:rPr>
        <w:t>CHAPTER 2 – Background Information and Analysis</w:t>
      </w:r>
      <w:bookmarkEnd w:id="6"/>
    </w:p>
    <w:p w14:paraId="405DD030"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7" w:name="_Toc234700973"/>
      <w:r w:rsidRPr="00EB4CA0">
        <w:rPr>
          <w:rStyle w:val="normaltextrun"/>
          <w:rFonts w:ascii="Arial" w:hAnsi="Arial" w:cs="Arial"/>
          <w:b/>
          <w:bCs/>
          <w:color w:val="auto"/>
          <w:szCs w:val="24"/>
        </w:rPr>
        <w:t>Introduction</w:t>
      </w:r>
      <w:bookmarkEnd w:id="7"/>
    </w:p>
    <w:p w14:paraId="6A08A610"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 xml:space="preserve">The chapter gives the background and contextual base of the research in the investigation of the broader issues of mental health, and social support among elderly in long term care facilities. It examines the pertinent historical trends, theoretical approaches and contemporary trends in the field of health and social care in order to provide the clear picture of the topic. This chapter tries to place the study in the broader academic and practical context by reviewing the existing knowledge and contextual factors. This background analysis will facilitate the following chapters, as it will provide an exhaustive insight into the major problems that affect the mental outcomes of people subjected to institutional care. </w:t>
      </w:r>
      <w:r w:rsidRPr="00EB4CA0">
        <w:rPr>
          <w:rStyle w:val="normaltextrun"/>
          <w:rFonts w:ascii="Arial" w:hAnsi="Arial" w:cs="Arial"/>
        </w:rPr>
        <w:t> </w:t>
      </w:r>
    </w:p>
    <w:p w14:paraId="68D7B1D7" w14:textId="77777777" w:rsidR="00093522" w:rsidRPr="00EB4CA0" w:rsidRDefault="00093522">
      <w:pPr>
        <w:pStyle w:val="Heading2"/>
        <w:numPr>
          <w:ilvl w:val="1"/>
          <w:numId w:val="2"/>
        </w:numPr>
        <w:spacing w:before="240" w:after="160"/>
        <w:jc w:val="left"/>
        <w:rPr>
          <w:rFonts w:ascii="Arial" w:hAnsi="Arial" w:cs="Arial"/>
          <w:b/>
          <w:bCs/>
          <w:color w:val="auto"/>
          <w:sz w:val="22"/>
          <w:szCs w:val="22"/>
        </w:rPr>
      </w:pPr>
      <w:bookmarkStart w:id="8" w:name="_Toc234700974"/>
      <w:r w:rsidRPr="00EB4CA0">
        <w:rPr>
          <w:rStyle w:val="normaltextrun"/>
          <w:rFonts w:ascii="Arial" w:hAnsi="Arial" w:cs="Arial"/>
          <w:b/>
          <w:bCs/>
          <w:color w:val="auto"/>
          <w:sz w:val="22"/>
          <w:szCs w:val="22"/>
        </w:rPr>
        <w:t>Historical Background</w:t>
      </w:r>
      <w:bookmarkEnd w:id="8"/>
    </w:p>
    <w:p w14:paraId="35CE72E0" w14:textId="77777777" w:rsidR="00093522" w:rsidRPr="00EB4CA0" w:rsidRDefault="00093522" w:rsidP="00780B32">
      <w:pPr>
        <w:spacing w:before="240"/>
        <w:jc w:val="left"/>
        <w:rPr>
          <w:rFonts w:ascii="Arial" w:hAnsi="Arial" w:cs="Arial"/>
        </w:rPr>
      </w:pPr>
      <w:r w:rsidRPr="00EB4CA0">
        <w:rPr>
          <w:rFonts w:ascii="Arial" w:hAnsi="Arial" w:cs="Arial"/>
        </w:rPr>
        <w:t>The evolution of mental health care among the elderly has come in a number of historical phases. At the beginning of the 19</w:t>
      </w:r>
      <w:r w:rsidRPr="00EB4CA0">
        <w:rPr>
          <w:rFonts w:ascii="Arial" w:hAnsi="Arial" w:cs="Arial"/>
          <w:vertAlign w:val="superscript"/>
        </w:rPr>
        <w:t>th</w:t>
      </w:r>
      <w:r w:rsidRPr="00EB4CA0">
        <w:rPr>
          <w:rFonts w:ascii="Arial" w:hAnsi="Arial" w:cs="Arial"/>
        </w:rPr>
        <w:t xml:space="preserve"> century, elderly care were informal and given by families or in poorhouses, and little attention was paid to mental health issues. One of the earliest significant changes towards institutional care was the creation of asylum in Europe and North America in the middle of nineteenth century (D’Antonio, 2011). Nevertheless, these facilities were usually overpopulated and aimed at confining people instead of treating them. Another defining moment was the moral treatment movement (late 18</w:t>
      </w:r>
      <w:r w:rsidRPr="00EB4CA0">
        <w:rPr>
          <w:rFonts w:ascii="Arial" w:hAnsi="Arial" w:cs="Arial"/>
          <w:vertAlign w:val="superscript"/>
        </w:rPr>
        <w:t>th</w:t>
      </w:r>
      <w:r w:rsidRPr="00EB4CA0">
        <w:rPr>
          <w:rFonts w:ascii="Arial" w:hAnsi="Arial" w:cs="Arial"/>
        </w:rPr>
        <w:t xml:space="preserve"> mid 19</w:t>
      </w:r>
      <w:r w:rsidRPr="00EB4CA0">
        <w:rPr>
          <w:rFonts w:ascii="Arial" w:hAnsi="Arial" w:cs="Arial"/>
          <w:vertAlign w:val="superscript"/>
        </w:rPr>
        <w:t>th</w:t>
      </w:r>
      <w:r w:rsidRPr="00EB4CA0">
        <w:rPr>
          <w:rFonts w:ascii="Arial" w:hAnsi="Arial" w:cs="Arial"/>
        </w:rPr>
        <w:t xml:space="preserve"> century), which encouraged humane treatment, interaction with others, and routine (Khan, 2022). Nonetheless, at the beginning of the 20th century, the institutional care was once again highly medicalised, with the focus on physical health rather than emotional and social well-being.</w:t>
      </w:r>
    </w:p>
    <w:p w14:paraId="4C19D92F" w14:textId="1F6B42B6" w:rsidR="00093522" w:rsidRPr="00EB4CA0" w:rsidRDefault="00093522" w:rsidP="00780B32">
      <w:pPr>
        <w:spacing w:before="240"/>
        <w:jc w:val="left"/>
        <w:rPr>
          <w:rFonts w:ascii="Arial" w:hAnsi="Arial" w:cs="Arial"/>
        </w:rPr>
      </w:pPr>
      <w:r w:rsidRPr="00EB4CA0">
        <w:rPr>
          <w:rFonts w:ascii="Arial" w:hAnsi="Arial" w:cs="Arial"/>
        </w:rPr>
        <w:t>Another significant shift came in the mid-20th century, with the process of</w:t>
      </w:r>
      <w:r w:rsidR="00281A44" w:rsidRPr="00EB4CA0">
        <w:rPr>
          <w:rFonts w:ascii="Arial" w:hAnsi="Arial" w:cs="Arial"/>
        </w:rPr>
        <w:t xml:space="preserve"> </w:t>
      </w:r>
      <w:r w:rsidRPr="00EB4CA0">
        <w:rPr>
          <w:rFonts w:ascii="Arial" w:hAnsi="Arial" w:cs="Arial"/>
        </w:rPr>
        <w:t>deinstitutionalisation (1950s-1970s), especially in the United States and the United Kingdom, with the massive psychiatric institutions gradually being shut down and their place being occupied with community-based services (Montenegro Cortés et al., 2023). This was predetermined by the increasing criticism of the institutional conditions and the new research of the significance of social environments on mental health. This was also influenced by theoretical contributions, such as the works of Émile Durkheim (1897), which showed that weak social integration makes a person more susceptible to mental distress (Crossman, 2020). Works by John Bowlby (1950s), who emphasized that emotional bonds and relationships can be of great importance throughout a human life (Horst, Rosmalen and Veer, 2024). These trends supported the perception that interacting with others is the key to psychological health, especially when it comes to vulnerable populations like the elderly.</w:t>
      </w:r>
    </w:p>
    <w:p w14:paraId="16ADC9CD" w14:textId="77777777" w:rsidR="00093522" w:rsidRPr="00EB4CA0" w:rsidRDefault="00093522" w:rsidP="00780B32">
      <w:pPr>
        <w:spacing w:before="240"/>
        <w:jc w:val="left"/>
        <w:rPr>
          <w:rFonts w:ascii="Arial" w:hAnsi="Arial" w:cs="Arial"/>
        </w:rPr>
      </w:pPr>
      <w:r w:rsidRPr="00EB4CA0">
        <w:rPr>
          <w:rFonts w:ascii="Arial" w:hAnsi="Arial" w:cs="Arial"/>
        </w:rPr>
        <w:t>Since the end of the 20th century, this emphasis has changed the goal towards enhancing the quality of care in the field of long-term care facilities (LTCFs). In the 90s and the first years of the 2000s, the models of person-centred care came into focus with their accent on dignity, autonomy, and social engagement as the primary aspects of care delivery (Švab and Cerovečki, 2024). Other organisations, including the World Health Organization, also promoted this agenda by developing programmes like the Active Ageing Framework (2002) that identified social participation as a (health) determinant (World Health Organization, 2002). More recently, the COVID-19 pandemic (2020-2022) revealed extreme vulnerabilities of LTCFs, with visitation bans causing even more isolation, depression, and anxiety in the residents (Benzinger et al., 2023). These historical processes show that there is a clear trend of institutional control to a more holistic concept of care, in which social support is currently identified as a core mental health element in older adults.</w:t>
      </w:r>
    </w:p>
    <w:p w14:paraId="24237C44"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9" w:name="_Toc234700975"/>
      <w:r w:rsidRPr="00EB4CA0">
        <w:rPr>
          <w:rStyle w:val="normaltextrun"/>
          <w:rFonts w:ascii="Arial" w:hAnsi="Arial" w:cs="Arial"/>
          <w:b/>
          <w:bCs/>
          <w:color w:val="auto"/>
          <w:szCs w:val="24"/>
        </w:rPr>
        <w:t>Theoretical Background</w:t>
      </w:r>
      <w:bookmarkEnd w:id="9"/>
      <w:r w:rsidRPr="00EB4CA0">
        <w:rPr>
          <w:rStyle w:val="eop"/>
          <w:rFonts w:ascii="Arial" w:eastAsia="Calibri Light" w:hAnsi="Arial" w:cs="Arial"/>
          <w:b/>
          <w:bCs/>
          <w:color w:val="auto"/>
          <w:szCs w:val="24"/>
        </w:rPr>
        <w:t> </w:t>
      </w:r>
    </w:p>
    <w:p w14:paraId="0062F86D" w14:textId="77777777" w:rsidR="00093522" w:rsidRPr="00EB4CA0" w:rsidRDefault="00093522" w:rsidP="00780B32">
      <w:pPr>
        <w:spacing w:before="240"/>
        <w:jc w:val="left"/>
        <w:rPr>
          <w:rFonts w:ascii="Arial" w:hAnsi="Arial" w:cs="Arial"/>
        </w:rPr>
      </w:pPr>
      <w:r w:rsidRPr="00EB4CA0">
        <w:rPr>
          <w:rFonts w:ascii="Arial" w:hAnsi="Arial" w:cs="Arial"/>
        </w:rPr>
        <w:t>Several key theories underpin this research on social support and mental health among older adults in long-term care facilities. Social Support Theory is central, suggesting that emotional, informational, and instrumental support directly influence psychological well-being (L. Boyar et al., 2014). This is closely linked to the Stress Buffering Hypothesis, which proposes that social support protects individuals from the negative effects of stress, such as depression and anxiety (Acoba, 2024). Additionally, Attachment Theory, developed by John Bowlby, highlights the importance of secure emotional bonds throughout the lifespan, including in later life (McLeod, 2025). These theories collectively emphasise that social relationships are fundamental determinants of mental health, particularly for vulnerable populations such as older adults in institutional settings.</w:t>
      </w:r>
    </w:p>
    <w:p w14:paraId="6FE11828" w14:textId="77777777" w:rsidR="00093522" w:rsidRPr="00EB4CA0" w:rsidRDefault="00093522" w:rsidP="00780B32">
      <w:pPr>
        <w:spacing w:before="240"/>
        <w:jc w:val="left"/>
        <w:rPr>
          <w:rFonts w:ascii="Arial" w:hAnsi="Arial" w:cs="Arial"/>
        </w:rPr>
      </w:pPr>
      <w:r w:rsidRPr="00EB4CA0">
        <w:rPr>
          <w:rFonts w:ascii="Arial" w:hAnsi="Arial" w:cs="Arial"/>
        </w:rPr>
        <w:t>These theories have been widely applied in research examining mental health outcomes in older adults. Studies based on Social Support Theory have demonstrated that residents in long-term care facilities with frequent family visits and strong peer relationships report lower levels of depression and higher life satisfaction (Underwood et al., 2013). Similarly, the Stress Buffering Hypothesis has been applied to show that social engagement activities, such as group programmes and caregiver interaction, reduce anxiety and emotional distress among elderly residents (Smulowitz et al., 2023). Attachment Theory has also been used to explain how the loss of close relationships or reduced family contact in LTCFs can lead to feelings of insecurity, loneliness, and psychological decline. These applications highlight how theoretical frameworks directly inform interventions aimed at improving mental health through enhanced social support systems.</w:t>
      </w:r>
    </w:p>
    <w:p w14:paraId="296896F8" w14:textId="77777777" w:rsidR="00093522" w:rsidRPr="00EB4CA0" w:rsidRDefault="00093522" w:rsidP="00780B32">
      <w:pPr>
        <w:spacing w:before="240"/>
        <w:jc w:val="left"/>
        <w:rPr>
          <w:rFonts w:ascii="Arial" w:hAnsi="Arial" w:cs="Arial"/>
        </w:rPr>
      </w:pPr>
      <w:r w:rsidRPr="00EB4CA0">
        <w:rPr>
          <w:rFonts w:ascii="Arial" w:hAnsi="Arial" w:cs="Arial"/>
        </w:rPr>
        <w:t>While these theories provide valuable insights, they also have limitations. Social Support Theory and the Stress Buffering Hypothesis often assume that all forms of support are beneficial, overlooking the potential for negative or inadequate support. Attachment Theory has been criticised for its strong focus on early-life relationships, which may not fully account for changing social dynamics in older adulthood (Thompson, Simpson and Berlin, 2022). Similarly, Maslow’s Hierarchy has been challenged for its lack of empirical consistency and cultural bias. There is also ongoing debate regarding whether social support acts as a direct determinant of mental health or as a mediating factor influenced by individual and environmental variables (Cohen, 2004). Therefore, while these theories offer a strong foundation, a more integrated and context-specific approach is necessary when applying them to long-term care settings.</w:t>
      </w:r>
      <w:r w:rsidRPr="00EB4CA0">
        <w:rPr>
          <w:rStyle w:val="eop"/>
          <w:rFonts w:ascii="Arial" w:eastAsia="Calibri Light" w:hAnsi="Arial" w:cs="Arial"/>
        </w:rPr>
        <w:t> </w:t>
      </w:r>
    </w:p>
    <w:p w14:paraId="2C746144"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10" w:name="_Toc234700976"/>
      <w:r w:rsidRPr="00EB4CA0">
        <w:rPr>
          <w:rStyle w:val="normaltextrun"/>
          <w:rFonts w:ascii="Arial" w:hAnsi="Arial" w:cs="Arial"/>
          <w:b/>
          <w:bCs/>
          <w:color w:val="auto"/>
          <w:szCs w:val="24"/>
        </w:rPr>
        <w:t>International Context</w:t>
      </w:r>
      <w:bookmarkEnd w:id="10"/>
    </w:p>
    <w:p w14:paraId="07C437E3"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On a national level, mental health of older people in long-term care facilities (LTCFs) is becoming a social health issue of concern due to the high rate of population ageing. The World Health Organization claimed that the percentage of individuals aged 60 to 80 and above is increasing in all countries, and it is likely to rise by 2050 (WHO, 2024). Awareness in the role of social support and person-centred care in elderly care in the international context is increasing. The concept of social participation, inclusion and mental well-being has become a priority in such policies, including the WHO Active Ageing Framework (2002) and Decade of Healthy Ageing (2021-2030) (WHO, 2020). On the same line, high income nations like the UK, Sweden and Japan have come up with national plans to alleviate loneliness and enhance the social interactions of elderly people, there is a close relationship between the social isolation and mental health outcomes (Dahlberg et al., 2024).</w:t>
      </w:r>
    </w:p>
    <w:p w14:paraId="0DA0AC33"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Comparative analysis has shown that there is a great difference in the way countries confront this issue. In Scandinavian countries including Sweden, LTCFs follow a very personal and socially based model, where the residents are stimulated to engage in community-based activities and have autonomy (Rostgaard et al., 2022). Conversely, such nations as Japan, though having one of the oldest populations in the world, have difficulties connected with the workforce shortages and the need to offer more and more institutional care, which can restrict one one-on-one social interaction (Edmond and North, 2023). The UK policies on the topic include the Care Act 2014, which focuses on well-being and social inclusion, but the availability of resources can be used to influence the uniformity of the implementation procedure (Care Act, 2014). Formal LTCFs are less developed in the lower and middle-income countries, with other parts of South Asia included, with the elderly traditionally being family-centred, though the support systems are increasingly being sapped by urbanisation and shifting social frameworks (Jahangir et al., 2025). This brings out a worldwide gap between policy wish and operational implementation.</w:t>
      </w:r>
    </w:p>
    <w:p w14:paraId="67FAE4DC"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 xml:space="preserve">The differences are also demonstrated by real-life case studies. The Hogeweyk Dementia Village model in the Netherlands has received worldwide popularity due to its development of a community-based living and care model in which the residents are exposed to normal social interactions leading to better well-being and minimized anxiety (Dementia Alliance International, 2025). Likewise, in the UK, social prescribing, and other related initiatives, enable someone to refer older adults to a social group or other community level activities, and these have been reported to have positive effects in alleviating loneliness (Liebmann et al., 2022). Nonetheless, the COVID-19 crisis revealed some of the biggest flaws in the world; for instance, the high rates of depression and mental loss in LTCF residents were caused by the strict restrictions on visitation in Europe and North America (Thompson et al., 2020). Despite having innovative practices, the effectiveness of social support intervention in the world is still hampered by factors like the lack of funds, staffing, and the implementation of policies.  </w:t>
      </w:r>
      <w:r w:rsidRPr="00EB4CA0">
        <w:rPr>
          <w:rStyle w:val="eop"/>
          <w:rFonts w:ascii="Arial" w:eastAsia="Calibri Light" w:hAnsi="Arial" w:cs="Arial"/>
        </w:rPr>
        <w:t> </w:t>
      </w:r>
    </w:p>
    <w:p w14:paraId="1F2ABEF0"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11" w:name="_Toc234700977"/>
      <w:r w:rsidRPr="00EB4CA0">
        <w:rPr>
          <w:rStyle w:val="normaltextrun"/>
          <w:rFonts w:ascii="Arial" w:hAnsi="Arial" w:cs="Arial"/>
          <w:b/>
          <w:bCs/>
          <w:color w:val="auto"/>
          <w:szCs w:val="24"/>
        </w:rPr>
        <w:t>National UK Context</w:t>
      </w:r>
      <w:bookmarkEnd w:id="11"/>
    </w:p>
    <w:p w14:paraId="45EBD00F"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The mental health of older adults in long-term care facilities (LTCFs) is becoming an increasingly demanding issue in the UK, especially considering that loneliness and depression are on high among the residents. A considerable percentage of the care home residents exhibit depressive symptoms, which are usually associated with lowered socialization and loss of autonomy (NHS England, 2025). The UK health and social care system has progressively turned to a person-centred care approach that lays stress not only on physical care but emotional well-being and social interaction as well. Nevertheless, irrespective of this change, the problem of staff shortages, high demands of care, and funding remains to impact the stable provision of the holistic care.</w:t>
      </w:r>
    </w:p>
    <w:p w14:paraId="0299A53F"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The Care Act 2014 is at the heart of policy level as it entails the local authorities to ensure well-being, which include mental health and social involvement. This can also be supported by the NHS England Long Term Plan which puts the emphasis on the idea of integrated mental health services provided to older adults (NHS England, 2020). Moreover, Care Quality Commission (CQC) monitors the compliance of care homes with the standards of emotional and social needs of residents (Care Quality Commission, 2024).</w:t>
      </w:r>
    </w:p>
    <w:p w14:paraId="5B651489"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At the local level, there are a few examples of how social support is applied in practice. The Social Prescribing programme that is commonly used throughout NHS primary care networks allows general practitioners to refer older adults to the community-based activities of walking groups, art therapy, and befriending services (NHS England, 2024). Organisations such as the Age UK operate befriending, where volunteers call in to offer regular companionship to older adults; assessment of the programs demonstrates that loneliness levels decrease and the overall mental health outcomes improve (Age UK, 2025). Music for Dementia 2020, where music-focused interventions are encouraged in the care facilities throughout the UK, and the results indicate the decreased levels of agitation and anxiety in patients with dementia (van der Steen et al., 2025).</w:t>
      </w:r>
    </w:p>
    <w:p w14:paraId="4FD1C3E2" w14:textId="77777777" w:rsidR="00093522" w:rsidRPr="00EB4CA0" w:rsidRDefault="00093522" w:rsidP="00780B32">
      <w:pPr>
        <w:spacing w:before="240"/>
        <w:jc w:val="left"/>
        <w:rPr>
          <w:rFonts w:ascii="Arial" w:eastAsia="Calibri Light" w:hAnsi="Arial" w:cs="Arial"/>
        </w:rPr>
      </w:pPr>
      <w:r w:rsidRPr="00EB4CA0">
        <w:rPr>
          <w:rFonts w:ascii="Arial" w:eastAsia="Calibri Light" w:hAnsi="Arial" w:cs="Arial"/>
        </w:rPr>
        <w:t xml:space="preserve">In spite of such achievements, regional disparities are still noticeable. Cities tend to have an advantage of such programmes whereas the countryside is hampered by fewer means of transport and a lack of community resources. There is also the problem of workforce pressure in the care homes that may restrict time in which meaningful social interaction can be done. Thus, though the UK has high-quality policy frameworks and local innovativeness, the success of the social support interventions remains largely contingent on the availability of resources and the local implementation.   </w:t>
      </w:r>
      <w:r w:rsidRPr="00EB4CA0">
        <w:rPr>
          <w:rStyle w:val="eop"/>
          <w:rFonts w:ascii="Arial" w:eastAsia="Calibri Light" w:hAnsi="Arial" w:cs="Arial"/>
        </w:rPr>
        <w:t>  </w:t>
      </w:r>
    </w:p>
    <w:p w14:paraId="3D548619" w14:textId="77777777" w:rsidR="00093522" w:rsidRPr="00EB4CA0" w:rsidRDefault="00093522">
      <w:pPr>
        <w:pStyle w:val="Heading2"/>
        <w:numPr>
          <w:ilvl w:val="1"/>
          <w:numId w:val="2"/>
        </w:numPr>
        <w:spacing w:before="240" w:after="160"/>
        <w:jc w:val="left"/>
        <w:rPr>
          <w:rFonts w:ascii="Arial" w:hAnsi="Arial" w:cs="Arial"/>
          <w:b/>
          <w:bCs/>
          <w:color w:val="auto"/>
          <w:szCs w:val="24"/>
        </w:rPr>
      </w:pPr>
      <w:bookmarkStart w:id="12" w:name="_Toc234700978"/>
      <w:r w:rsidRPr="00EB4CA0">
        <w:rPr>
          <w:rStyle w:val="normaltextrun"/>
          <w:rFonts w:ascii="Arial" w:hAnsi="Arial" w:cs="Arial"/>
          <w:b/>
          <w:bCs/>
          <w:color w:val="auto"/>
          <w:szCs w:val="24"/>
        </w:rPr>
        <w:t>Conclusion</w:t>
      </w:r>
      <w:bookmarkEnd w:id="12"/>
    </w:p>
    <w:p w14:paraId="6EA9547B" w14:textId="77777777" w:rsidR="00093522" w:rsidRPr="00EB4CA0" w:rsidRDefault="00093522" w:rsidP="00780B32">
      <w:pPr>
        <w:spacing w:before="240"/>
        <w:jc w:val="left"/>
        <w:rPr>
          <w:rFonts w:ascii="Arial" w:hAnsi="Arial" w:cs="Arial"/>
        </w:rPr>
      </w:pPr>
      <w:r w:rsidRPr="00EB4CA0">
        <w:rPr>
          <w:rFonts w:ascii="Arial" w:hAnsi="Arial" w:cs="Arial"/>
        </w:rPr>
        <w:t xml:space="preserve">The chapter has presented the whole background of the research as it has shown the historical background, essential theoretical frameworks as well as the international and UK-specific context of the social support and mental health of the long-term care facilities. It pointed out the development of the topic with time and the increasing significance of socially supportive, person-centred care. It was also revealed in the discussion that there are differences in policy and practice depending on the context as well as the challenges present. This background plays a central role in knowing how difficult the research issue is. The following chapter will describe the research methodology, the way the study will be carried out and how such contextual knowledge will be utilized in the research methodology. </w:t>
      </w:r>
    </w:p>
    <w:p w14:paraId="24577540" w14:textId="77777777" w:rsidR="00867E4D" w:rsidRPr="00EB4CA0" w:rsidRDefault="00867E4D" w:rsidP="00181096">
      <w:pPr>
        <w:spacing w:before="240"/>
        <w:rPr>
          <w:rFonts w:ascii="Arial" w:hAnsi="Arial" w:cs="Arial"/>
          <w:sz w:val="24"/>
          <w:szCs w:val="24"/>
        </w:rPr>
        <w:sectPr w:rsidR="00867E4D" w:rsidRPr="00EB4CA0" w:rsidSect="005C24CF">
          <w:footerReference w:type="default" r:id="rId9"/>
          <w:pgSz w:w="11906" w:h="16838"/>
          <w:pgMar w:top="1440" w:right="1440" w:bottom="1440" w:left="1440" w:header="708" w:footer="708" w:gutter="0"/>
          <w:cols w:space="708"/>
          <w:docGrid w:linePitch="360"/>
        </w:sectPr>
      </w:pPr>
    </w:p>
    <w:p w14:paraId="2A1B4FA9" w14:textId="2770C975" w:rsidR="00867E4D" w:rsidRPr="00EB4CA0" w:rsidRDefault="00867E4D">
      <w:pPr>
        <w:pStyle w:val="Heading1"/>
        <w:numPr>
          <w:ilvl w:val="0"/>
          <w:numId w:val="5"/>
        </w:numPr>
        <w:spacing w:before="240" w:after="160" w:line="360" w:lineRule="auto"/>
        <w:jc w:val="center"/>
        <w:rPr>
          <w:rFonts w:cs="Arial"/>
        </w:rPr>
      </w:pPr>
      <w:bookmarkStart w:id="13" w:name="_Toc234700979"/>
      <w:r w:rsidRPr="00EB4CA0">
        <w:rPr>
          <w:rFonts w:cs="Arial"/>
        </w:rPr>
        <w:t xml:space="preserve">CHAPTER 3 </w:t>
      </w:r>
      <w:r w:rsidR="00CC4545" w:rsidRPr="00EB4CA0">
        <w:rPr>
          <w:rFonts w:cs="Arial"/>
        </w:rPr>
        <w:t>-</w:t>
      </w:r>
      <w:r w:rsidRPr="00EB4CA0">
        <w:rPr>
          <w:rFonts w:cs="Arial"/>
        </w:rPr>
        <w:t xml:space="preserve"> Methods and Search Strategy</w:t>
      </w:r>
      <w:bookmarkEnd w:id="13"/>
    </w:p>
    <w:p w14:paraId="74CBD06C" w14:textId="00D7BF62" w:rsidR="00867E4D" w:rsidRPr="00EB4CA0" w:rsidRDefault="00867E4D">
      <w:pPr>
        <w:pStyle w:val="Heading2"/>
        <w:numPr>
          <w:ilvl w:val="1"/>
          <w:numId w:val="2"/>
        </w:numPr>
        <w:spacing w:before="240" w:after="160"/>
        <w:jc w:val="left"/>
        <w:rPr>
          <w:rFonts w:ascii="Arial" w:hAnsi="Arial" w:cs="Arial"/>
          <w:b/>
          <w:bCs/>
          <w:color w:val="auto"/>
          <w:szCs w:val="24"/>
        </w:rPr>
      </w:pPr>
      <w:bookmarkStart w:id="14" w:name="_Toc234700980"/>
      <w:r w:rsidRPr="00EB4CA0">
        <w:rPr>
          <w:rFonts w:ascii="Arial" w:hAnsi="Arial" w:cs="Arial"/>
          <w:b/>
          <w:bCs/>
          <w:color w:val="auto"/>
          <w:szCs w:val="24"/>
        </w:rPr>
        <w:t>Introduction</w:t>
      </w:r>
      <w:bookmarkEnd w:id="14"/>
    </w:p>
    <w:p w14:paraId="3291C77F" w14:textId="10FA24E9" w:rsidR="00867E4D" w:rsidRPr="00EB4CA0" w:rsidRDefault="0059109E" w:rsidP="002F350A">
      <w:pPr>
        <w:rPr>
          <w:rFonts w:ascii="Arial" w:hAnsi="Arial" w:cs="Arial"/>
          <w:lang w:val="en-US" w:eastAsia="en-US"/>
        </w:rPr>
      </w:pPr>
      <w:r w:rsidRPr="00EB4CA0">
        <w:rPr>
          <w:rFonts w:ascii="Arial" w:hAnsi="Arial" w:cs="Arial"/>
          <w:lang w:val="en-US" w:eastAsia="en-US"/>
        </w:rPr>
        <w:t>This chapter presents methodology for examining the association between social support and mental health in older people in long-term care facilities (LTCFs). This study was not conducted on primary data as it was fully based on Secondary Research.</w:t>
      </w:r>
      <w:r w:rsidR="00EF461E" w:rsidRPr="00EB4CA0">
        <w:rPr>
          <w:rFonts w:ascii="Arial" w:hAnsi="Arial" w:cs="Arial"/>
          <w:lang w:eastAsia="en-US"/>
        </w:rPr>
        <w:t xml:space="preserve"> Rather, the relevant literature in the academic field, government publications and policy documents were systematically identified, evaluated and analysed to address the research aim and objectives. </w:t>
      </w:r>
      <w:r w:rsidR="0099217B" w:rsidRPr="00EB4CA0">
        <w:rPr>
          <w:rFonts w:ascii="Arial" w:hAnsi="Arial" w:cs="Arial"/>
          <w:lang w:eastAsia="en-US"/>
        </w:rPr>
        <w:t>The methodology poster developed in Element 2 provided a visual summary of the research process, while this chapter explains the search strategy, source selection, validation, thematic analysis, and ethical considerations in greater detail.</w:t>
      </w:r>
    </w:p>
    <w:p w14:paraId="1D9F24E3" w14:textId="01E1A618" w:rsidR="00867E4D" w:rsidRPr="00EB4CA0" w:rsidRDefault="00867E4D">
      <w:pPr>
        <w:pStyle w:val="Heading2"/>
        <w:numPr>
          <w:ilvl w:val="1"/>
          <w:numId w:val="2"/>
        </w:numPr>
        <w:spacing w:before="240" w:after="160"/>
        <w:jc w:val="left"/>
        <w:rPr>
          <w:rFonts w:ascii="Arial" w:hAnsi="Arial" w:cs="Arial"/>
          <w:b/>
          <w:bCs/>
          <w:color w:val="auto"/>
          <w:szCs w:val="24"/>
        </w:rPr>
      </w:pPr>
      <w:bookmarkStart w:id="15" w:name="_Toc234700981"/>
      <w:r w:rsidRPr="00EB4CA0">
        <w:rPr>
          <w:rFonts w:ascii="Arial" w:hAnsi="Arial" w:cs="Arial"/>
          <w:b/>
          <w:bCs/>
          <w:color w:val="auto"/>
          <w:szCs w:val="24"/>
        </w:rPr>
        <w:t>Search Strategy</w:t>
      </w:r>
      <w:bookmarkEnd w:id="15"/>
      <w:r w:rsidRPr="00EB4CA0">
        <w:rPr>
          <w:rFonts w:ascii="Arial" w:hAnsi="Arial" w:cs="Arial"/>
          <w:b/>
          <w:bCs/>
          <w:color w:val="auto"/>
          <w:szCs w:val="24"/>
        </w:rPr>
        <w:t xml:space="preserve"> </w:t>
      </w:r>
    </w:p>
    <w:p w14:paraId="501C7CE4" w14:textId="255033B6" w:rsidR="00E503DB" w:rsidRPr="00EB4CA0" w:rsidRDefault="00E503DB" w:rsidP="00F268A6">
      <w:pPr>
        <w:spacing w:before="240"/>
        <w:jc w:val="left"/>
        <w:rPr>
          <w:rFonts w:ascii="Arial" w:hAnsi="Arial" w:cs="Arial"/>
          <w:lang w:eastAsia="en-US"/>
        </w:rPr>
      </w:pPr>
      <w:r w:rsidRPr="00EB4CA0">
        <w:rPr>
          <w:rFonts w:ascii="Arial" w:hAnsi="Arial" w:cs="Arial"/>
          <w:lang w:eastAsia="en-US"/>
        </w:rPr>
        <w:t>A framework search strategy was designed to find relevant literature directly related to the research topic</w:t>
      </w:r>
      <w:r w:rsidR="00E43992" w:rsidRPr="00EB4CA0">
        <w:rPr>
          <w:rFonts w:ascii="Arial" w:hAnsi="Arial" w:cs="Arial"/>
          <w:lang w:eastAsia="en-US"/>
        </w:rPr>
        <w:t xml:space="preserve"> (MacFarlane, Russell-Rose and Shokraneh, 2022)</w:t>
      </w:r>
      <w:r w:rsidRPr="00EB4CA0">
        <w:rPr>
          <w:rFonts w:ascii="Arial" w:hAnsi="Arial" w:cs="Arial"/>
          <w:lang w:eastAsia="en-US"/>
        </w:rPr>
        <w:t>. The terms used for searching were based on the dissertation title and research goals. The primary keywords used were</w:t>
      </w:r>
      <w:r w:rsidR="009C4834" w:rsidRPr="00EB4CA0">
        <w:rPr>
          <w:rFonts w:ascii="Arial" w:hAnsi="Arial" w:cs="Arial"/>
          <w:lang w:eastAsia="en-US"/>
        </w:rPr>
        <w:t xml:space="preserve"> </w:t>
      </w:r>
      <w:r w:rsidRPr="00EB4CA0">
        <w:rPr>
          <w:rFonts w:ascii="Arial" w:hAnsi="Arial" w:cs="Arial"/>
          <w:lang w:eastAsia="en-US"/>
        </w:rPr>
        <w:t>social support, mental health, older adults, elderly, long-term care facilities, nursing home, care home, depression, anxiety, emotional wellbeing, and psychological wellbeing.</w:t>
      </w:r>
    </w:p>
    <w:p w14:paraId="47384E64" w14:textId="36315329" w:rsidR="00867E4D" w:rsidRPr="00EB4CA0" w:rsidRDefault="00E503DB" w:rsidP="00F268A6">
      <w:pPr>
        <w:spacing w:before="240"/>
        <w:jc w:val="left"/>
        <w:rPr>
          <w:rFonts w:ascii="Arial" w:hAnsi="Arial" w:cs="Arial"/>
          <w:lang w:eastAsia="en-US"/>
        </w:rPr>
      </w:pPr>
      <w:r w:rsidRPr="00EB4CA0">
        <w:rPr>
          <w:rFonts w:ascii="Arial" w:hAnsi="Arial" w:cs="Arial"/>
          <w:lang w:eastAsia="en-US"/>
        </w:rPr>
        <w:t>Boolean operators are used for accuracy in search results</w:t>
      </w:r>
      <w:r w:rsidR="00F646ED" w:rsidRPr="00EB4CA0">
        <w:rPr>
          <w:rFonts w:ascii="Arial" w:hAnsi="Arial" w:cs="Arial"/>
          <w:lang w:eastAsia="en-US"/>
        </w:rPr>
        <w:t xml:space="preserve"> (Wong, 2024)</w:t>
      </w:r>
      <w:r w:rsidRPr="00EB4CA0">
        <w:rPr>
          <w:rFonts w:ascii="Arial" w:hAnsi="Arial" w:cs="Arial"/>
          <w:lang w:eastAsia="en-US"/>
        </w:rPr>
        <w:t>. The AND operator found articles that included multiple concepts and the OR operator was used to find articles that contained terms that varied from the concepts.</w:t>
      </w:r>
    </w:p>
    <w:p w14:paraId="46742BA3" w14:textId="14941FA6" w:rsidR="00867E4D" w:rsidRPr="00EB4CA0" w:rsidRDefault="00867E4D">
      <w:pPr>
        <w:pStyle w:val="Heading2"/>
        <w:numPr>
          <w:ilvl w:val="1"/>
          <w:numId w:val="2"/>
        </w:numPr>
        <w:spacing w:before="240" w:after="160"/>
        <w:jc w:val="left"/>
        <w:rPr>
          <w:rFonts w:ascii="Arial" w:hAnsi="Arial" w:cs="Arial"/>
          <w:b/>
          <w:bCs/>
          <w:color w:val="auto"/>
          <w:szCs w:val="24"/>
        </w:rPr>
      </w:pPr>
      <w:bookmarkStart w:id="16" w:name="_Toc234700982"/>
      <w:r w:rsidRPr="00EB4CA0">
        <w:rPr>
          <w:rFonts w:ascii="Arial" w:hAnsi="Arial" w:cs="Arial"/>
          <w:b/>
          <w:bCs/>
          <w:color w:val="auto"/>
          <w:szCs w:val="24"/>
        </w:rPr>
        <w:t>Searching for Information</w:t>
      </w:r>
      <w:bookmarkEnd w:id="16"/>
    </w:p>
    <w:p w14:paraId="03D7304B" w14:textId="4DC02357" w:rsidR="00BF645B" w:rsidRPr="00EB4CA0" w:rsidRDefault="00BF645B" w:rsidP="00F268A6">
      <w:pPr>
        <w:spacing w:before="240"/>
        <w:jc w:val="left"/>
        <w:rPr>
          <w:rFonts w:ascii="Arial" w:hAnsi="Arial" w:cs="Arial"/>
          <w:lang w:eastAsia="en-US"/>
        </w:rPr>
      </w:pPr>
      <w:r w:rsidRPr="00EB4CA0">
        <w:rPr>
          <w:rFonts w:ascii="Arial" w:hAnsi="Arial" w:cs="Arial"/>
          <w:lang w:eastAsia="en-US"/>
        </w:rPr>
        <w:t>The literature search was carried out in several well-respected academic databases such as PubMed, Google Scholar, ScienceDirect and the University of Wales Trinity Saint David online library. The choice of these databases has been made because they offer access to peer-reviewed journals, systematic reviews, government reports and other high-quality academic publications that are relevant to health, social care and mental health research. PubMed proved to be especially useful for finding health and psychological studies, and ScienceDirect was useful for finding multidisciplinary research in health and social sciences</w:t>
      </w:r>
      <w:r w:rsidR="008A3F0A" w:rsidRPr="00EB4CA0">
        <w:rPr>
          <w:rFonts w:ascii="Arial" w:hAnsi="Arial" w:cs="Arial"/>
          <w:lang w:eastAsia="en-US"/>
        </w:rPr>
        <w:t xml:space="preserve"> (Williamson and Minter, 2019)</w:t>
      </w:r>
      <w:r w:rsidRPr="00EB4CA0">
        <w:rPr>
          <w:rFonts w:ascii="Arial" w:hAnsi="Arial" w:cs="Arial"/>
          <w:lang w:eastAsia="en-US"/>
        </w:rPr>
        <w:t>. These databases were supplemented by Google Scholar, which found other scholarly publications and citations.</w:t>
      </w:r>
    </w:p>
    <w:p w14:paraId="71645C26" w14:textId="7411256A" w:rsidR="00BF645B" w:rsidRPr="00EB4CA0" w:rsidRDefault="00BF645B" w:rsidP="00F268A6">
      <w:pPr>
        <w:spacing w:before="240"/>
        <w:jc w:val="left"/>
        <w:rPr>
          <w:rFonts w:ascii="Arial" w:hAnsi="Arial" w:cs="Arial"/>
          <w:lang w:eastAsia="en-US"/>
        </w:rPr>
      </w:pPr>
      <w:r w:rsidRPr="00EB4CA0">
        <w:rPr>
          <w:rFonts w:ascii="Arial" w:hAnsi="Arial" w:cs="Arial"/>
          <w:lang w:eastAsia="en-US"/>
        </w:rPr>
        <w:t>Several filters were applied to search results to make them more relevant to the query. The studies published were mainly limited to those of the past decade to guarantee that the evidence is current and represents the latest healthcare policy. Only publications in the English language were considered, allow</w:t>
      </w:r>
      <w:r w:rsidR="00265339" w:rsidRPr="00EB4CA0">
        <w:rPr>
          <w:rFonts w:ascii="Arial" w:hAnsi="Arial" w:cs="Arial"/>
          <w:lang w:eastAsia="en-US"/>
        </w:rPr>
        <w:t>ing</w:t>
      </w:r>
      <w:r w:rsidRPr="00EB4CA0">
        <w:rPr>
          <w:rFonts w:ascii="Arial" w:hAnsi="Arial" w:cs="Arial"/>
          <w:lang w:eastAsia="en-US"/>
        </w:rPr>
        <w:t xml:space="preserve"> for accurate findings to be interpreted. Peer-reviewed journal articles, government-published reports, and recognised organisational reports were also taken into consideration. Studies that were specifically for older people living in long-term care facilities were preferred, where applicable.</w:t>
      </w:r>
    </w:p>
    <w:p w14:paraId="446B1268" w14:textId="1EFD50AB" w:rsidR="00867E4D" w:rsidRPr="00EB4CA0" w:rsidRDefault="00BF645B" w:rsidP="00F268A6">
      <w:pPr>
        <w:spacing w:before="240"/>
        <w:jc w:val="left"/>
        <w:rPr>
          <w:rFonts w:ascii="Arial" w:hAnsi="Arial" w:cs="Arial"/>
          <w:lang w:eastAsia="en-US"/>
        </w:rPr>
      </w:pPr>
      <w:r w:rsidRPr="00EB4CA0">
        <w:rPr>
          <w:rFonts w:ascii="Arial" w:hAnsi="Arial" w:cs="Arial"/>
          <w:lang w:eastAsia="en-US"/>
        </w:rPr>
        <w:t>Keywords were tweaked multiple times as a result of preliminary searches during the search process. This generated too much irrelevant literature at first, and the following keywords, institutional care, care homes and social isolation, were added to make it more relevant</w:t>
      </w:r>
      <w:r w:rsidR="00BB02FE" w:rsidRPr="00EB4CA0">
        <w:rPr>
          <w:rFonts w:ascii="Arial" w:hAnsi="Arial" w:cs="Arial"/>
          <w:lang w:eastAsia="en-US"/>
        </w:rPr>
        <w:t xml:space="preserve"> (World Health Organization, 2025)</w:t>
      </w:r>
      <w:r w:rsidRPr="00EB4CA0">
        <w:rPr>
          <w:rFonts w:ascii="Arial" w:hAnsi="Arial" w:cs="Arial"/>
          <w:lang w:eastAsia="en-US"/>
        </w:rPr>
        <w:t>. To track the literature search process, a literature tracking table was created that was updated throughout the search process, detailing the database searches, articles selected, publication details, key findings, and relevance to the research objectives. This systematic record facilitated organisation and transparency during the review</w:t>
      </w:r>
      <w:r w:rsidR="00044417" w:rsidRPr="00EB4CA0">
        <w:rPr>
          <w:rFonts w:ascii="Arial" w:hAnsi="Arial" w:cs="Arial"/>
          <w:lang w:eastAsia="en-US"/>
        </w:rPr>
        <w:t xml:space="preserve"> (Moher et al., 2021)</w:t>
      </w:r>
      <w:r w:rsidRPr="00EB4CA0">
        <w:rPr>
          <w:rFonts w:ascii="Arial" w:hAnsi="Arial" w:cs="Arial"/>
          <w:lang w:eastAsia="en-US"/>
        </w:rPr>
        <w:t>.</w:t>
      </w:r>
    </w:p>
    <w:p w14:paraId="14B7EECD" w14:textId="2DBF294E" w:rsidR="009D5F7B" w:rsidRPr="00BB07F8" w:rsidRDefault="00CD3F27" w:rsidP="00F268A6">
      <w:pPr>
        <w:spacing w:before="240"/>
        <w:jc w:val="left"/>
        <w:rPr>
          <w:rFonts w:ascii="Arial" w:hAnsi="Arial" w:cs="Arial"/>
          <w:lang w:val="en-US" w:eastAsia="en-US"/>
        </w:rPr>
      </w:pPr>
      <w:r w:rsidRPr="00BB07F8">
        <w:rPr>
          <w:rFonts w:ascii="Arial" w:hAnsi="Arial" w:cs="Arial"/>
          <w:lang w:val="en-US" w:eastAsia="en-US"/>
        </w:rPr>
        <w:t>Each search was documented on the literature tracking table and provided transparency, a systematic and reproducible search process throughout the review.</w:t>
      </w:r>
    </w:p>
    <w:p w14:paraId="5AADFECA" w14:textId="0398EC92" w:rsidR="00867E4D" w:rsidRPr="00EB4CA0" w:rsidRDefault="00867E4D">
      <w:pPr>
        <w:pStyle w:val="Heading2"/>
        <w:numPr>
          <w:ilvl w:val="1"/>
          <w:numId w:val="2"/>
        </w:numPr>
        <w:spacing w:before="240" w:after="160"/>
        <w:jc w:val="left"/>
        <w:rPr>
          <w:rFonts w:ascii="Arial" w:hAnsi="Arial" w:cs="Arial"/>
          <w:b/>
          <w:bCs/>
          <w:color w:val="auto"/>
          <w:szCs w:val="24"/>
        </w:rPr>
      </w:pPr>
      <w:bookmarkStart w:id="17" w:name="_Toc234700983"/>
      <w:r w:rsidRPr="00EB4CA0">
        <w:rPr>
          <w:rFonts w:ascii="Arial" w:hAnsi="Arial" w:cs="Arial"/>
          <w:b/>
          <w:bCs/>
          <w:color w:val="auto"/>
          <w:szCs w:val="24"/>
        </w:rPr>
        <w:t>Research Validation</w:t>
      </w:r>
      <w:bookmarkEnd w:id="17"/>
    </w:p>
    <w:p w14:paraId="4FFCAD82" w14:textId="5436E83B" w:rsidR="003F77CB" w:rsidRPr="00EB4CA0" w:rsidRDefault="003F77CB" w:rsidP="00F268A6">
      <w:pPr>
        <w:spacing w:before="240"/>
        <w:jc w:val="left"/>
        <w:rPr>
          <w:rFonts w:ascii="Arial" w:hAnsi="Arial" w:cs="Arial"/>
          <w:lang w:eastAsia="en-US"/>
        </w:rPr>
      </w:pPr>
      <w:r w:rsidRPr="00EB4CA0">
        <w:rPr>
          <w:rFonts w:ascii="Arial" w:hAnsi="Arial" w:cs="Arial"/>
          <w:lang w:eastAsia="en-US"/>
        </w:rPr>
        <w:t>After a literature search, the identified literature was validated for its appropriateness to be included. The initial screening process consisted of a quick scan of the article title, abstract, introduction and conclusion to determine if the article investigated the relationship between social support and mental health in older adults in long-term care facilities. Before detailed reading, articles which did not meet the research purposes were excluded</w:t>
      </w:r>
      <w:r w:rsidR="00BD46DF" w:rsidRPr="00EB4CA0">
        <w:rPr>
          <w:rFonts w:ascii="Arial" w:hAnsi="Arial" w:cs="Arial"/>
          <w:lang w:eastAsia="en-US"/>
        </w:rPr>
        <w:t>.</w:t>
      </w:r>
    </w:p>
    <w:p w14:paraId="602F25E2" w14:textId="4C0C04A8" w:rsidR="009A35EE" w:rsidRPr="00BB07F8" w:rsidRDefault="003F77CB" w:rsidP="00F268A6">
      <w:pPr>
        <w:spacing w:before="240"/>
        <w:jc w:val="left"/>
        <w:rPr>
          <w:rFonts w:ascii="Arial" w:hAnsi="Arial" w:cs="Arial"/>
          <w:lang w:eastAsia="en-US"/>
        </w:rPr>
      </w:pPr>
      <w:r w:rsidRPr="00BB07F8">
        <w:rPr>
          <w:rFonts w:ascii="Arial" w:hAnsi="Arial" w:cs="Arial"/>
          <w:lang w:eastAsia="en-US"/>
        </w:rPr>
        <w:t>The remaining sources were then assessed using CRAAP Test.</w:t>
      </w:r>
    </w:p>
    <w:p w14:paraId="0887D4E0" w14:textId="04750BE0" w:rsidR="00145372" w:rsidRPr="00BB07F8" w:rsidRDefault="0051191B" w:rsidP="00F268A6">
      <w:pPr>
        <w:spacing w:before="240"/>
        <w:jc w:val="left"/>
        <w:rPr>
          <w:rFonts w:ascii="Arial" w:hAnsi="Arial" w:cs="Arial"/>
          <w:lang w:val="en-US" w:eastAsia="en-US"/>
        </w:rPr>
      </w:pPr>
      <w:r w:rsidRPr="00BB07F8">
        <w:rPr>
          <w:rFonts w:ascii="Arial" w:hAnsi="Arial" w:cs="Arial"/>
          <w:lang w:val="en-US" w:eastAsia="en-US"/>
        </w:rPr>
        <w:t>Before being included, each study underwent an individual evaluation using all five of the CRAAP criteria. Studies not meeting one or more criteria were excluded from the review to ensure high-quality evidence was used for the thematic analysis.</w:t>
      </w:r>
    </w:p>
    <w:p w14:paraId="7AF91FB7" w14:textId="34A691F6" w:rsidR="00415C42" w:rsidRPr="00EB4CA0" w:rsidRDefault="003F77CB" w:rsidP="00F268A6">
      <w:pPr>
        <w:spacing w:before="240"/>
        <w:jc w:val="left"/>
        <w:rPr>
          <w:rFonts w:ascii="Arial" w:hAnsi="Arial" w:cs="Arial"/>
          <w:lang w:eastAsia="en-US"/>
        </w:rPr>
      </w:pPr>
      <w:r w:rsidRPr="00EB4CA0">
        <w:rPr>
          <w:rFonts w:ascii="Arial" w:hAnsi="Arial" w:cs="Arial"/>
          <w:b/>
          <w:bCs/>
          <w:lang w:eastAsia="en-US"/>
        </w:rPr>
        <w:t>Currency:</w:t>
      </w:r>
      <w:r w:rsidRPr="00EB4CA0">
        <w:rPr>
          <w:rFonts w:ascii="Arial" w:hAnsi="Arial" w:cs="Arial"/>
          <w:lang w:eastAsia="en-US"/>
        </w:rPr>
        <w:t xml:space="preserve"> </w:t>
      </w:r>
      <w:r w:rsidR="00A008BE" w:rsidRPr="00EB4CA0">
        <w:rPr>
          <w:rFonts w:ascii="Arial" w:hAnsi="Arial" w:cs="Arial"/>
          <w:lang w:eastAsia="en-US"/>
        </w:rPr>
        <w:t>P</w:t>
      </w:r>
      <w:r w:rsidRPr="00EB4CA0">
        <w:rPr>
          <w:rFonts w:ascii="Arial" w:hAnsi="Arial" w:cs="Arial"/>
          <w:lang w:eastAsia="en-US"/>
        </w:rPr>
        <w:t>ublications must be recent and reflect developments in health and social care</w:t>
      </w:r>
      <w:r w:rsidR="00D524BE" w:rsidRPr="00EB4CA0">
        <w:rPr>
          <w:rFonts w:ascii="Arial" w:hAnsi="Arial" w:cs="Arial"/>
          <w:lang w:eastAsia="en-US"/>
        </w:rPr>
        <w:t xml:space="preserve"> (Bauer et al., 2021)</w:t>
      </w:r>
      <w:r w:rsidR="00EF3E21" w:rsidRPr="00EB4CA0">
        <w:rPr>
          <w:rFonts w:ascii="Arial" w:hAnsi="Arial" w:cs="Arial"/>
          <w:lang w:eastAsia="en-US"/>
        </w:rPr>
        <w:t>.</w:t>
      </w:r>
    </w:p>
    <w:p w14:paraId="2CC7834A" w14:textId="40A6E140" w:rsidR="00801EDD" w:rsidRPr="00EB4CA0" w:rsidRDefault="003F77CB" w:rsidP="00F268A6">
      <w:pPr>
        <w:spacing w:before="240"/>
        <w:jc w:val="left"/>
        <w:rPr>
          <w:rFonts w:ascii="Arial" w:hAnsi="Arial" w:cs="Arial"/>
          <w:lang w:eastAsia="en-US"/>
        </w:rPr>
      </w:pPr>
      <w:r w:rsidRPr="00EB4CA0">
        <w:rPr>
          <w:rFonts w:ascii="Arial" w:hAnsi="Arial" w:cs="Arial"/>
          <w:b/>
          <w:bCs/>
          <w:lang w:eastAsia="en-US"/>
        </w:rPr>
        <w:t>Relevance:</w:t>
      </w:r>
      <w:r w:rsidRPr="00EB4CA0">
        <w:rPr>
          <w:rFonts w:ascii="Arial" w:hAnsi="Arial" w:cs="Arial"/>
          <w:lang w:eastAsia="en-US"/>
        </w:rPr>
        <w:t xml:space="preserve"> </w:t>
      </w:r>
      <w:r w:rsidR="00A008BE" w:rsidRPr="00EB4CA0">
        <w:rPr>
          <w:rFonts w:ascii="Arial" w:hAnsi="Arial" w:cs="Arial"/>
          <w:lang w:eastAsia="en-US"/>
        </w:rPr>
        <w:t>P</w:t>
      </w:r>
      <w:r w:rsidRPr="00EB4CA0">
        <w:rPr>
          <w:rFonts w:ascii="Arial" w:hAnsi="Arial" w:cs="Arial"/>
          <w:lang w:eastAsia="en-US"/>
        </w:rPr>
        <w:t>ublications are required to have a direct link to the research topic</w:t>
      </w:r>
    </w:p>
    <w:p w14:paraId="7FA5431B" w14:textId="333990D4" w:rsidR="00476E1F" w:rsidRPr="00EB4CA0" w:rsidRDefault="003F77CB" w:rsidP="00F268A6">
      <w:pPr>
        <w:spacing w:before="240"/>
        <w:jc w:val="left"/>
        <w:rPr>
          <w:rFonts w:ascii="Arial" w:hAnsi="Arial" w:cs="Arial"/>
          <w:lang w:eastAsia="en-US"/>
        </w:rPr>
      </w:pPr>
      <w:r w:rsidRPr="00EB4CA0">
        <w:rPr>
          <w:rFonts w:ascii="Arial" w:hAnsi="Arial" w:cs="Arial"/>
          <w:b/>
          <w:bCs/>
          <w:lang w:eastAsia="en-US"/>
        </w:rPr>
        <w:t>Authority:</w:t>
      </w:r>
      <w:r w:rsidRPr="00EB4CA0">
        <w:rPr>
          <w:rFonts w:ascii="Arial" w:hAnsi="Arial" w:cs="Arial"/>
          <w:lang w:eastAsia="en-US"/>
        </w:rPr>
        <w:t xml:space="preserve"> </w:t>
      </w:r>
      <w:r w:rsidR="00A008BE" w:rsidRPr="00EB4CA0">
        <w:rPr>
          <w:rFonts w:ascii="Arial" w:hAnsi="Arial" w:cs="Arial"/>
          <w:lang w:eastAsia="en-US"/>
        </w:rPr>
        <w:t>P</w:t>
      </w:r>
      <w:r w:rsidRPr="00EB4CA0">
        <w:rPr>
          <w:rFonts w:ascii="Arial" w:hAnsi="Arial" w:cs="Arial"/>
          <w:lang w:eastAsia="en-US"/>
        </w:rPr>
        <w:t xml:space="preserve">ublications must be from recognised academic journals, healthcare organisations and established researchers. </w:t>
      </w:r>
    </w:p>
    <w:p w14:paraId="1A168308" w14:textId="56F8C420" w:rsidR="008D449F" w:rsidRPr="00EB4CA0" w:rsidRDefault="00B421EF" w:rsidP="00F268A6">
      <w:pPr>
        <w:spacing w:before="240"/>
        <w:jc w:val="left"/>
        <w:rPr>
          <w:rFonts w:ascii="Arial" w:hAnsi="Arial" w:cs="Arial"/>
          <w:lang w:eastAsia="en-US"/>
        </w:rPr>
      </w:pPr>
      <w:r w:rsidRPr="00EB4CA0">
        <w:rPr>
          <w:rFonts w:ascii="Arial" w:hAnsi="Arial" w:cs="Arial"/>
          <w:b/>
          <w:bCs/>
          <w:lang w:eastAsia="en-US"/>
        </w:rPr>
        <w:t>Accurac</w:t>
      </w:r>
      <w:r w:rsidR="0022297E" w:rsidRPr="00EB4CA0">
        <w:rPr>
          <w:rFonts w:ascii="Arial" w:hAnsi="Arial" w:cs="Arial"/>
          <w:b/>
          <w:bCs/>
          <w:lang w:eastAsia="en-US"/>
        </w:rPr>
        <w:t>y</w:t>
      </w:r>
      <w:r w:rsidR="0022297E" w:rsidRPr="00EB4CA0">
        <w:rPr>
          <w:rFonts w:ascii="Arial" w:hAnsi="Arial" w:cs="Arial"/>
          <w:lang w:eastAsia="en-US"/>
        </w:rPr>
        <w:t xml:space="preserve">: </w:t>
      </w:r>
      <w:r w:rsidRPr="00EB4CA0">
        <w:rPr>
          <w:rFonts w:ascii="Arial" w:hAnsi="Arial" w:cs="Arial"/>
          <w:lang w:eastAsia="en-US"/>
        </w:rPr>
        <w:t xml:space="preserve"> </w:t>
      </w:r>
      <w:r w:rsidR="003C62D3" w:rsidRPr="00EB4CA0">
        <w:rPr>
          <w:rFonts w:ascii="Arial" w:hAnsi="Arial" w:cs="Arial"/>
          <w:lang w:eastAsia="en-US"/>
        </w:rPr>
        <w:t xml:space="preserve">It </w:t>
      </w:r>
      <w:r w:rsidRPr="00EB4CA0">
        <w:rPr>
          <w:rFonts w:ascii="Arial" w:hAnsi="Arial" w:cs="Arial"/>
          <w:lang w:eastAsia="en-US"/>
        </w:rPr>
        <w:t>was assessed by reviewing research methods and supporting evidence</w:t>
      </w:r>
      <w:r w:rsidR="008F1517" w:rsidRPr="00EB4CA0">
        <w:rPr>
          <w:rFonts w:ascii="Arial" w:hAnsi="Arial" w:cs="Arial"/>
          <w:lang w:eastAsia="en-US"/>
        </w:rPr>
        <w:t xml:space="preserve"> (Heale and Twycross, 2015).</w:t>
      </w:r>
    </w:p>
    <w:p w14:paraId="6FBDDC4D" w14:textId="5CEBC916" w:rsidR="00752830" w:rsidRPr="00EB4CA0" w:rsidRDefault="008D449F" w:rsidP="00F268A6">
      <w:pPr>
        <w:spacing w:before="240"/>
        <w:jc w:val="left"/>
        <w:rPr>
          <w:rFonts w:ascii="Arial" w:hAnsi="Arial" w:cs="Arial"/>
          <w:lang w:eastAsia="en-US"/>
        </w:rPr>
      </w:pPr>
      <w:r w:rsidRPr="00EB4CA0">
        <w:rPr>
          <w:rFonts w:ascii="Arial" w:hAnsi="Arial" w:cs="Arial"/>
          <w:b/>
          <w:bCs/>
          <w:lang w:eastAsia="en-US"/>
        </w:rPr>
        <w:t>Pu</w:t>
      </w:r>
      <w:r w:rsidR="00B421EF" w:rsidRPr="00EB4CA0">
        <w:rPr>
          <w:rFonts w:ascii="Arial" w:hAnsi="Arial" w:cs="Arial"/>
          <w:b/>
          <w:bCs/>
          <w:lang w:eastAsia="en-US"/>
        </w:rPr>
        <w:t>rpose</w:t>
      </w:r>
      <w:r w:rsidRPr="00EB4CA0">
        <w:rPr>
          <w:rFonts w:ascii="Arial" w:hAnsi="Arial" w:cs="Arial"/>
          <w:b/>
          <w:bCs/>
          <w:lang w:eastAsia="en-US"/>
        </w:rPr>
        <w:t>:</w:t>
      </w:r>
      <w:r w:rsidRPr="00EB4CA0">
        <w:rPr>
          <w:rFonts w:ascii="Arial" w:hAnsi="Arial" w:cs="Arial"/>
          <w:lang w:eastAsia="en-US"/>
        </w:rPr>
        <w:t xml:space="preserve"> E</w:t>
      </w:r>
      <w:r w:rsidR="00B421EF" w:rsidRPr="00EB4CA0">
        <w:rPr>
          <w:rFonts w:ascii="Arial" w:hAnsi="Arial" w:cs="Arial"/>
          <w:lang w:eastAsia="en-US"/>
        </w:rPr>
        <w:t>valuated to exclude opinion-based sources.</w:t>
      </w:r>
    </w:p>
    <w:p w14:paraId="275A5DC0" w14:textId="259DEE9E" w:rsidR="005E7DD5" w:rsidRPr="00EB4CA0" w:rsidRDefault="00B421EF" w:rsidP="00F268A6">
      <w:pPr>
        <w:spacing w:before="240"/>
        <w:jc w:val="left"/>
        <w:rPr>
          <w:rFonts w:ascii="Arial" w:hAnsi="Arial" w:cs="Arial"/>
          <w:lang w:eastAsia="en-US"/>
        </w:rPr>
      </w:pPr>
      <w:r w:rsidRPr="00EB4CA0">
        <w:rPr>
          <w:rFonts w:ascii="Arial" w:hAnsi="Arial" w:cs="Arial"/>
          <w:lang w:eastAsia="en-US"/>
        </w:rPr>
        <w:t>Peer-reviewed systematic reviews were prioritised over commentary pieces because they provided stronger and more reliable evidence</w:t>
      </w:r>
      <w:r w:rsidR="00F04920" w:rsidRPr="00EB4CA0">
        <w:rPr>
          <w:rFonts w:ascii="Arial" w:hAnsi="Arial" w:cs="Arial"/>
          <w:lang w:eastAsia="en-US"/>
        </w:rPr>
        <w:t xml:space="preserve"> (Critical Appraisal Skills Programme, 2023)</w:t>
      </w:r>
      <w:r w:rsidRPr="00EB4CA0">
        <w:rPr>
          <w:rFonts w:ascii="Arial" w:hAnsi="Arial" w:cs="Arial"/>
          <w:lang w:eastAsia="en-US"/>
        </w:rPr>
        <w:t>.</w:t>
      </w:r>
    </w:p>
    <w:p w14:paraId="439D9C10" w14:textId="50021BD0" w:rsidR="00867E4D" w:rsidRPr="00EB4CA0" w:rsidRDefault="00867E4D">
      <w:pPr>
        <w:pStyle w:val="Heading2"/>
        <w:numPr>
          <w:ilvl w:val="1"/>
          <w:numId w:val="2"/>
        </w:numPr>
        <w:spacing w:before="240" w:after="160"/>
        <w:jc w:val="left"/>
        <w:rPr>
          <w:rFonts w:ascii="Arial" w:hAnsi="Arial" w:cs="Arial"/>
          <w:b/>
          <w:bCs/>
          <w:color w:val="auto"/>
          <w:szCs w:val="24"/>
        </w:rPr>
      </w:pPr>
      <w:bookmarkStart w:id="18" w:name="_Toc234700984"/>
      <w:r w:rsidRPr="00EB4CA0">
        <w:rPr>
          <w:rStyle w:val="Heading2Char"/>
          <w:rFonts w:ascii="Arial" w:hAnsi="Arial" w:cs="Arial"/>
          <w:b/>
          <w:bCs/>
          <w:color w:val="auto"/>
          <w:szCs w:val="24"/>
        </w:rPr>
        <w:t>Inclusion and Exclusion Criteria</w:t>
      </w:r>
      <w:bookmarkEnd w:id="18"/>
    </w:p>
    <w:p w14:paraId="30B0A043" w14:textId="682A1EFF" w:rsidR="00867E4D" w:rsidRPr="00EB4CA0" w:rsidRDefault="000F4602" w:rsidP="00F268A6">
      <w:pPr>
        <w:spacing w:before="240"/>
        <w:jc w:val="left"/>
        <w:rPr>
          <w:rFonts w:ascii="Arial" w:hAnsi="Arial" w:cs="Arial"/>
          <w:lang w:eastAsia="en-US"/>
        </w:rPr>
      </w:pPr>
      <w:r w:rsidRPr="00EB4CA0">
        <w:rPr>
          <w:rFonts w:ascii="Arial" w:hAnsi="Arial" w:cs="Arial"/>
          <w:lang w:eastAsia="en-US"/>
        </w:rPr>
        <w:t xml:space="preserve">Peer-reviewed articles, systematic reviews, government publications and recognised organisational reports were included as long as they were published in the past decade. Sources had to be focused on older adults and social support, depression and anxiety or emotional wellbeing in a long-term care facility. </w:t>
      </w:r>
      <w:r w:rsidR="00913F34" w:rsidRPr="00EB4CA0">
        <w:rPr>
          <w:rFonts w:ascii="Arial" w:hAnsi="Arial" w:cs="Arial"/>
          <w:lang w:eastAsia="en-US"/>
        </w:rPr>
        <w:t>Moreover, o</w:t>
      </w:r>
      <w:r w:rsidRPr="00EB4CA0">
        <w:rPr>
          <w:rFonts w:ascii="Arial" w:hAnsi="Arial" w:cs="Arial"/>
          <w:lang w:eastAsia="en-US"/>
        </w:rPr>
        <w:t>nly full-text sources in English were used. Opinion pieces, blogs, duplicate studies and unfinished conference papers and unavailable articles were excluded. Studies not relevant or pertaining to older adults or long-term care facilities were also excluded for relevance and quality.</w:t>
      </w:r>
    </w:p>
    <w:p w14:paraId="71D3BC7E" w14:textId="77777777" w:rsidR="00897F16" w:rsidRPr="00EB4CA0" w:rsidRDefault="00897F16">
      <w:pPr>
        <w:pStyle w:val="Heading2"/>
        <w:numPr>
          <w:ilvl w:val="1"/>
          <w:numId w:val="2"/>
        </w:numPr>
        <w:spacing w:before="240" w:after="160"/>
        <w:jc w:val="left"/>
        <w:rPr>
          <w:rFonts w:ascii="Arial" w:hAnsi="Arial" w:cs="Arial"/>
          <w:b/>
          <w:bCs/>
          <w:color w:val="auto"/>
          <w:szCs w:val="24"/>
        </w:rPr>
      </w:pPr>
      <w:bookmarkStart w:id="19" w:name="_Toc234700985"/>
      <w:r w:rsidRPr="00EB4CA0">
        <w:rPr>
          <w:rFonts w:ascii="Arial" w:hAnsi="Arial" w:cs="Arial"/>
          <w:b/>
          <w:bCs/>
          <w:color w:val="auto"/>
          <w:szCs w:val="24"/>
        </w:rPr>
        <w:t>Analysing Research</w:t>
      </w:r>
      <w:bookmarkEnd w:id="19"/>
    </w:p>
    <w:p w14:paraId="5B96997F" w14:textId="6A489319" w:rsidR="003762F7" w:rsidRPr="00EB4CA0" w:rsidRDefault="003762F7" w:rsidP="00F268A6">
      <w:pPr>
        <w:spacing w:before="240"/>
        <w:jc w:val="left"/>
        <w:rPr>
          <w:rFonts w:ascii="Arial" w:hAnsi="Arial" w:cs="Arial"/>
          <w:lang w:eastAsia="en-US"/>
        </w:rPr>
      </w:pPr>
      <w:r w:rsidRPr="00EB4CA0">
        <w:rPr>
          <w:rFonts w:ascii="Arial" w:hAnsi="Arial" w:cs="Arial"/>
          <w:lang w:eastAsia="en-US"/>
        </w:rPr>
        <w:t>Thematic coding was used to analyse the selected literature as a way to identify and group together recurring patterns across several studies</w:t>
      </w:r>
      <w:r w:rsidR="004D6F32" w:rsidRPr="00EB4CA0">
        <w:rPr>
          <w:rFonts w:ascii="Arial" w:hAnsi="Arial" w:cs="Arial"/>
          <w:lang w:eastAsia="en-US"/>
        </w:rPr>
        <w:t xml:space="preserve"> (Naeem et al., 2023)</w:t>
      </w:r>
      <w:r w:rsidRPr="00EB4CA0">
        <w:rPr>
          <w:rFonts w:ascii="Arial" w:hAnsi="Arial" w:cs="Arial"/>
          <w:lang w:eastAsia="en-US"/>
        </w:rPr>
        <w:t>. Every article was read extensively, and initial descriptive codes were given to them. These codes were the most common notions and ideas, such as social isolation, family involvement, caregiver support, depression, anxiety, loneliness, emotional wellbeing, person-centred care and social interventions.</w:t>
      </w:r>
    </w:p>
    <w:p w14:paraId="79C27A96" w14:textId="12C3F252" w:rsidR="0076027C" w:rsidRPr="0076027C" w:rsidRDefault="0076027C" w:rsidP="0076027C">
      <w:pPr>
        <w:spacing w:before="240"/>
        <w:jc w:val="left"/>
        <w:rPr>
          <w:rFonts w:ascii="Arial" w:hAnsi="Arial" w:cs="Arial"/>
          <w:lang w:val="en-US" w:eastAsia="en-US"/>
        </w:rPr>
      </w:pPr>
      <w:r w:rsidRPr="00A24CD6">
        <w:rPr>
          <w:rFonts w:ascii="Arial" w:hAnsi="Arial" w:cs="Arial"/>
          <w:lang w:val="en-US" w:eastAsia="en-US"/>
        </w:rPr>
        <w:t>Following initial coding, codes were grouped into larger categories and then further narrowed down to three themes. Iterative process made sure that the resulting themes were present in multiple studies, and not just in individual studies</w:t>
      </w:r>
      <w:r w:rsidR="009A2070" w:rsidRPr="00A24CD6">
        <w:rPr>
          <w:rFonts w:ascii="Arial" w:hAnsi="Arial" w:cs="Arial"/>
          <w:lang w:val="en-US" w:eastAsia="en-US"/>
        </w:rPr>
        <w:t xml:space="preserve"> </w:t>
      </w:r>
      <w:r w:rsidR="009A2070" w:rsidRPr="00A24CD6">
        <w:rPr>
          <w:rFonts w:ascii="Arial" w:hAnsi="Arial" w:cs="Arial"/>
          <w:lang w:eastAsia="en-US"/>
        </w:rPr>
        <w:t>(Thematic, 2019)</w:t>
      </w:r>
      <w:r w:rsidRPr="00A24CD6">
        <w:rPr>
          <w:rFonts w:ascii="Arial" w:hAnsi="Arial" w:cs="Arial"/>
          <w:lang w:val="en-US" w:eastAsia="en-US"/>
        </w:rPr>
        <w:t>. Colour-coded tables in Microsoft Word, an initial coding table, a thematic coding matrix and a literature summary table were used to document the coding process so as to provide a transparent audit trail from the original evidence to the final themes.</w:t>
      </w:r>
    </w:p>
    <w:p w14:paraId="3168B56F" w14:textId="57E88DA5" w:rsidR="00867E4D" w:rsidRPr="00EB4CA0" w:rsidRDefault="00867E4D">
      <w:pPr>
        <w:pStyle w:val="Heading2"/>
        <w:numPr>
          <w:ilvl w:val="1"/>
          <w:numId w:val="2"/>
        </w:numPr>
        <w:spacing w:before="240" w:after="160"/>
        <w:jc w:val="left"/>
        <w:rPr>
          <w:rFonts w:ascii="Arial" w:hAnsi="Arial" w:cs="Arial"/>
          <w:b/>
          <w:bCs/>
          <w:color w:val="auto"/>
          <w:szCs w:val="24"/>
        </w:rPr>
      </w:pPr>
      <w:bookmarkStart w:id="20" w:name="_Toc234700986"/>
      <w:r w:rsidRPr="00EB4CA0">
        <w:rPr>
          <w:rFonts w:ascii="Arial" w:hAnsi="Arial" w:cs="Arial"/>
          <w:b/>
          <w:bCs/>
          <w:color w:val="auto"/>
          <w:szCs w:val="24"/>
        </w:rPr>
        <w:t>Ethical Considerations</w:t>
      </w:r>
      <w:bookmarkEnd w:id="20"/>
      <w:r w:rsidRPr="00EB4CA0">
        <w:rPr>
          <w:rFonts w:ascii="Arial" w:hAnsi="Arial" w:cs="Arial"/>
          <w:b/>
          <w:bCs/>
          <w:color w:val="auto"/>
          <w:szCs w:val="24"/>
        </w:rPr>
        <w:t xml:space="preserve"> </w:t>
      </w:r>
    </w:p>
    <w:p w14:paraId="0A224DC7" w14:textId="0FD4F636" w:rsidR="00867E4D" w:rsidRPr="00784352" w:rsidRDefault="005521FA" w:rsidP="00F268A6">
      <w:pPr>
        <w:spacing w:before="240"/>
        <w:jc w:val="left"/>
        <w:rPr>
          <w:rFonts w:ascii="Arial" w:hAnsi="Arial" w:cs="Arial"/>
          <w:lang w:val="en-US" w:eastAsia="en-US"/>
        </w:rPr>
      </w:pPr>
      <w:r w:rsidRPr="00784352">
        <w:rPr>
          <w:rFonts w:ascii="Arial" w:hAnsi="Arial" w:cs="Arial"/>
          <w:lang w:eastAsia="en-US"/>
        </w:rPr>
        <w:t xml:space="preserve">This study involved only secondary research and no human participants or primary research, so participant consent and associated ethical approvals were not necessary. </w:t>
      </w:r>
      <w:r w:rsidR="00EE32F7" w:rsidRPr="00784352">
        <w:rPr>
          <w:rFonts w:ascii="Arial" w:hAnsi="Arial" w:cs="Arial"/>
          <w:lang w:val="en-US" w:eastAsia="en-US"/>
        </w:rPr>
        <w:t>Academic integrity was upheld through accurate Harvard referencing, avoidance of plagiarism and fair representation of evidence</w:t>
      </w:r>
      <w:r w:rsidR="00684904" w:rsidRPr="00784352">
        <w:rPr>
          <w:rFonts w:ascii="Arial" w:hAnsi="Arial" w:cs="Arial"/>
          <w:lang w:eastAsia="en-US"/>
        </w:rPr>
        <w:t xml:space="preserve"> (Harvard, 2026)</w:t>
      </w:r>
      <w:r w:rsidRPr="00784352">
        <w:rPr>
          <w:rFonts w:ascii="Arial" w:hAnsi="Arial" w:cs="Arial"/>
          <w:lang w:eastAsia="en-US"/>
        </w:rPr>
        <w:t xml:space="preserve">. Credible peer-reviewed studies and official reports were given greater </w:t>
      </w:r>
      <w:r w:rsidR="00007BDF" w:rsidRPr="00784352">
        <w:rPr>
          <w:rFonts w:ascii="Arial" w:hAnsi="Arial" w:cs="Arial"/>
          <w:lang w:eastAsia="en-US"/>
        </w:rPr>
        <w:t>priority</w:t>
      </w:r>
      <w:r w:rsidRPr="00784352">
        <w:rPr>
          <w:rFonts w:ascii="Arial" w:hAnsi="Arial" w:cs="Arial"/>
          <w:lang w:eastAsia="en-US"/>
        </w:rPr>
        <w:t xml:space="preserve"> and care was taken to ensure that findings are presented objectively and that researcher bias is minimised in selecting the sources,</w:t>
      </w:r>
      <w:r w:rsidR="00070E1F" w:rsidRPr="00784352">
        <w:rPr>
          <w:rFonts w:ascii="Arial" w:hAnsi="Arial" w:cs="Arial"/>
          <w:lang w:eastAsia="en-US"/>
        </w:rPr>
        <w:t xml:space="preserve"> </w:t>
      </w:r>
      <w:r w:rsidRPr="00784352">
        <w:rPr>
          <w:rFonts w:ascii="Arial" w:hAnsi="Arial" w:cs="Arial"/>
          <w:lang w:eastAsia="en-US"/>
        </w:rPr>
        <w:t>analysis and reporting.</w:t>
      </w:r>
    </w:p>
    <w:p w14:paraId="026A5107" w14:textId="5A186566" w:rsidR="00867E4D" w:rsidRPr="00EB4CA0" w:rsidRDefault="00867E4D">
      <w:pPr>
        <w:pStyle w:val="Heading2"/>
        <w:numPr>
          <w:ilvl w:val="1"/>
          <w:numId w:val="2"/>
        </w:numPr>
        <w:spacing w:before="240" w:after="160"/>
        <w:jc w:val="left"/>
        <w:rPr>
          <w:rFonts w:ascii="Arial" w:hAnsi="Arial" w:cs="Arial"/>
          <w:b/>
          <w:bCs/>
          <w:color w:val="auto"/>
          <w:szCs w:val="24"/>
        </w:rPr>
      </w:pPr>
      <w:bookmarkStart w:id="21" w:name="_Toc234700987"/>
      <w:r w:rsidRPr="00EB4CA0">
        <w:rPr>
          <w:rFonts w:ascii="Arial" w:hAnsi="Arial" w:cs="Arial"/>
          <w:b/>
          <w:bCs/>
          <w:color w:val="auto"/>
          <w:szCs w:val="24"/>
        </w:rPr>
        <w:t>Chapter Conclusion</w:t>
      </w:r>
      <w:bookmarkEnd w:id="21"/>
    </w:p>
    <w:p w14:paraId="74A09E48" w14:textId="54988BAD" w:rsidR="00867E4D" w:rsidRPr="00EB4CA0" w:rsidRDefault="004E7073" w:rsidP="00F268A6">
      <w:pPr>
        <w:spacing w:before="240"/>
        <w:jc w:val="left"/>
        <w:rPr>
          <w:rFonts w:ascii="Arial" w:hAnsi="Arial" w:cs="Arial"/>
          <w:lang w:eastAsia="en-US"/>
        </w:rPr>
      </w:pPr>
      <w:r w:rsidRPr="00784352">
        <w:rPr>
          <w:rFonts w:ascii="Arial" w:hAnsi="Arial" w:cs="Arial"/>
          <w:lang w:eastAsia="en-US"/>
        </w:rPr>
        <w:t>This chapter outlined the methodology adopted for this secondary research study.</w:t>
      </w:r>
      <w:r w:rsidR="00CA79CF" w:rsidRPr="00784352">
        <w:rPr>
          <w:rFonts w:ascii="Arial" w:hAnsi="Arial" w:cs="Arial"/>
          <w:lang w:eastAsia="en-US"/>
        </w:rPr>
        <w:t xml:space="preserve"> The</w:t>
      </w:r>
      <w:r w:rsidR="00CA79CF" w:rsidRPr="00EB4CA0">
        <w:rPr>
          <w:rFonts w:ascii="Arial" w:hAnsi="Arial" w:cs="Arial"/>
          <w:lang w:eastAsia="en-US"/>
        </w:rPr>
        <w:t xml:space="preserve"> literature search involved a systematic search strategy using appropriate keywords, Boolean operators and established academic databases for the retrieval of relevant literature. Each source was evaluated based on the CRAAP model, and the inclusion and exclusion criteria were established and adhered to to ensure consistency and credibility. The evidence was then themed and analysed through thematic coding to identify recurring patterns and themes. These methodological procedures together give a solid and clear basis for the study.</w:t>
      </w:r>
    </w:p>
    <w:p w14:paraId="298543D5" w14:textId="77777777" w:rsidR="00D10520" w:rsidRPr="00EB4CA0" w:rsidRDefault="00D10520" w:rsidP="00181096">
      <w:pPr>
        <w:spacing w:before="240"/>
        <w:rPr>
          <w:rFonts w:ascii="Arial" w:hAnsi="Arial" w:cs="Arial"/>
          <w:sz w:val="24"/>
          <w:szCs w:val="24"/>
          <w:lang w:val="en-US" w:eastAsia="en-US"/>
        </w:rPr>
      </w:pPr>
    </w:p>
    <w:p w14:paraId="16E376B6" w14:textId="77777777" w:rsidR="00D10520" w:rsidRPr="00EB4CA0" w:rsidRDefault="00D10520" w:rsidP="00181096">
      <w:pPr>
        <w:spacing w:before="240"/>
        <w:rPr>
          <w:rFonts w:ascii="Arial" w:hAnsi="Arial" w:cs="Arial"/>
          <w:sz w:val="24"/>
          <w:szCs w:val="24"/>
          <w:lang w:val="en-US" w:eastAsia="en-US"/>
        </w:rPr>
      </w:pPr>
    </w:p>
    <w:p w14:paraId="595D27FE" w14:textId="77777777" w:rsidR="00D10520" w:rsidRPr="00EB4CA0" w:rsidRDefault="00D10520" w:rsidP="00181096">
      <w:pPr>
        <w:spacing w:before="240"/>
        <w:rPr>
          <w:rFonts w:ascii="Arial" w:hAnsi="Arial" w:cs="Arial"/>
          <w:sz w:val="24"/>
          <w:szCs w:val="24"/>
          <w:lang w:val="en-US" w:eastAsia="en-US"/>
        </w:rPr>
      </w:pPr>
    </w:p>
    <w:p w14:paraId="14D6043A" w14:textId="77777777" w:rsidR="00D10520" w:rsidRPr="00EB4CA0" w:rsidRDefault="00D10520" w:rsidP="00181096">
      <w:pPr>
        <w:spacing w:before="240"/>
        <w:rPr>
          <w:rFonts w:ascii="Arial" w:hAnsi="Arial" w:cs="Arial"/>
          <w:sz w:val="24"/>
          <w:szCs w:val="24"/>
          <w:lang w:val="en-US" w:eastAsia="en-US"/>
        </w:rPr>
      </w:pPr>
    </w:p>
    <w:p w14:paraId="2CC42BFF" w14:textId="77777777" w:rsidR="00D10520" w:rsidRPr="00EB4CA0" w:rsidRDefault="00D10520" w:rsidP="00181096">
      <w:pPr>
        <w:spacing w:before="240"/>
        <w:rPr>
          <w:rFonts w:ascii="Arial" w:hAnsi="Arial" w:cs="Arial"/>
          <w:sz w:val="24"/>
          <w:szCs w:val="24"/>
          <w:lang w:val="en-US" w:eastAsia="en-US"/>
        </w:rPr>
      </w:pPr>
    </w:p>
    <w:p w14:paraId="2781841F" w14:textId="77777777" w:rsidR="004B7522" w:rsidRPr="00EB4CA0" w:rsidRDefault="004B7522" w:rsidP="00181096">
      <w:pPr>
        <w:spacing w:before="240"/>
        <w:rPr>
          <w:rFonts w:ascii="Arial" w:hAnsi="Arial" w:cs="Arial"/>
          <w:sz w:val="24"/>
          <w:szCs w:val="24"/>
          <w:lang w:val="en-US" w:eastAsia="en-US"/>
        </w:rPr>
      </w:pPr>
    </w:p>
    <w:p w14:paraId="27454B4F" w14:textId="77777777" w:rsidR="004B7522" w:rsidRPr="00EB4CA0" w:rsidRDefault="004B7522" w:rsidP="00181096">
      <w:pPr>
        <w:spacing w:before="240"/>
        <w:rPr>
          <w:rFonts w:ascii="Arial" w:hAnsi="Arial" w:cs="Arial"/>
          <w:sz w:val="24"/>
          <w:szCs w:val="24"/>
          <w:lang w:val="en-US" w:eastAsia="en-US"/>
        </w:rPr>
      </w:pPr>
    </w:p>
    <w:p w14:paraId="4D977E27" w14:textId="77777777" w:rsidR="004B7522" w:rsidRPr="00EB4CA0" w:rsidRDefault="004B7522" w:rsidP="00181096">
      <w:pPr>
        <w:spacing w:before="240"/>
        <w:rPr>
          <w:rFonts w:ascii="Arial" w:hAnsi="Arial" w:cs="Arial"/>
          <w:sz w:val="24"/>
          <w:szCs w:val="24"/>
          <w:lang w:val="en-US" w:eastAsia="en-US"/>
        </w:rPr>
      </w:pPr>
    </w:p>
    <w:p w14:paraId="2201E0C5" w14:textId="77777777" w:rsidR="004B7522" w:rsidRPr="00EB4CA0" w:rsidRDefault="004B7522" w:rsidP="00181096">
      <w:pPr>
        <w:spacing w:before="240"/>
        <w:rPr>
          <w:rFonts w:ascii="Arial" w:hAnsi="Arial" w:cs="Arial"/>
          <w:sz w:val="24"/>
          <w:szCs w:val="24"/>
          <w:lang w:val="en-US" w:eastAsia="en-US"/>
        </w:rPr>
      </w:pPr>
    </w:p>
    <w:p w14:paraId="43172529" w14:textId="77777777" w:rsidR="004B7522" w:rsidRPr="00EB4CA0" w:rsidRDefault="004B7522" w:rsidP="00181096">
      <w:pPr>
        <w:spacing w:before="240"/>
        <w:rPr>
          <w:rFonts w:ascii="Arial" w:hAnsi="Arial" w:cs="Arial"/>
          <w:sz w:val="24"/>
          <w:szCs w:val="24"/>
          <w:lang w:val="en-US" w:eastAsia="en-US"/>
        </w:rPr>
      </w:pPr>
    </w:p>
    <w:p w14:paraId="50E53394" w14:textId="0718980B" w:rsidR="00867E4D" w:rsidRPr="00EB4CA0" w:rsidRDefault="00867E4D">
      <w:pPr>
        <w:pStyle w:val="Heading1"/>
        <w:numPr>
          <w:ilvl w:val="0"/>
          <w:numId w:val="6"/>
        </w:numPr>
        <w:spacing w:before="240" w:after="160" w:line="360" w:lineRule="auto"/>
        <w:jc w:val="center"/>
        <w:rPr>
          <w:rFonts w:cs="Arial"/>
        </w:rPr>
      </w:pPr>
      <w:bookmarkStart w:id="22" w:name="_Toc234700988"/>
      <w:r w:rsidRPr="00EB4CA0">
        <w:rPr>
          <w:rFonts w:cs="Arial"/>
        </w:rPr>
        <w:t xml:space="preserve">CHAPTER 4 </w:t>
      </w:r>
      <w:r w:rsidR="006823A8" w:rsidRPr="00EB4CA0">
        <w:rPr>
          <w:rFonts w:cs="Arial"/>
        </w:rPr>
        <w:t>-</w:t>
      </w:r>
      <w:r w:rsidRPr="00EB4CA0">
        <w:rPr>
          <w:rFonts w:cs="Arial"/>
        </w:rPr>
        <w:t xml:space="preserve"> Findings and Discussion</w:t>
      </w:r>
      <w:bookmarkEnd w:id="22"/>
    </w:p>
    <w:p w14:paraId="020715C4" w14:textId="3D2C451D" w:rsidR="00867E4D" w:rsidRPr="00EB4CA0" w:rsidRDefault="00867E4D">
      <w:pPr>
        <w:pStyle w:val="Heading2"/>
        <w:numPr>
          <w:ilvl w:val="1"/>
          <w:numId w:val="2"/>
        </w:numPr>
        <w:spacing w:before="240" w:after="160"/>
        <w:jc w:val="left"/>
        <w:rPr>
          <w:rFonts w:ascii="Arial" w:hAnsi="Arial" w:cs="Arial"/>
          <w:b/>
          <w:bCs/>
          <w:color w:val="auto"/>
          <w:szCs w:val="24"/>
        </w:rPr>
      </w:pPr>
      <w:bookmarkStart w:id="23" w:name="_Toc234700989"/>
      <w:r w:rsidRPr="00EB4CA0">
        <w:rPr>
          <w:rFonts w:ascii="Arial" w:hAnsi="Arial" w:cs="Arial"/>
          <w:b/>
          <w:bCs/>
          <w:color w:val="auto"/>
          <w:szCs w:val="24"/>
        </w:rPr>
        <w:t>Introduction</w:t>
      </w:r>
      <w:bookmarkEnd w:id="23"/>
    </w:p>
    <w:p w14:paraId="1A2F70D8" w14:textId="58CF880F" w:rsidR="00867E4D" w:rsidRPr="00EB4CA0" w:rsidRDefault="00764B98" w:rsidP="00867D64">
      <w:pPr>
        <w:spacing w:before="240"/>
        <w:jc w:val="left"/>
        <w:rPr>
          <w:rFonts w:ascii="Arial" w:hAnsi="Arial" w:cs="Arial"/>
        </w:rPr>
      </w:pPr>
      <w:r w:rsidRPr="00EB4CA0">
        <w:rPr>
          <w:rFonts w:ascii="Arial" w:hAnsi="Arial" w:cs="Arial"/>
        </w:rPr>
        <w:t>This chapter presents the findings and discussion generated from the thematic analysis of the selected literature on the impact of social support on the mental health of older adults living in long-term care facilities. Using the secondary research methodology described in Chapter 3, recurring patterns and concepts were identified, coded and organised into key themes. Each theme is critically analysed using evidence from peer-reviewed studies, policy documents and relevant theoretical frameworks. The discussion evaluates how the findings address the research aim and objectives while highlighting similarities, differences and implications within the existing literature.</w:t>
      </w:r>
      <w:r w:rsidR="00867E4D" w:rsidRPr="00EB4CA0">
        <w:rPr>
          <w:rFonts w:ascii="Arial" w:hAnsi="Arial" w:cs="Arial"/>
        </w:rPr>
        <w:t xml:space="preserve"> </w:t>
      </w:r>
    </w:p>
    <w:p w14:paraId="2908BD60" w14:textId="11705FDB" w:rsidR="00867E4D" w:rsidRPr="00EB4CA0" w:rsidRDefault="00867E4D">
      <w:pPr>
        <w:pStyle w:val="Heading2"/>
        <w:numPr>
          <w:ilvl w:val="1"/>
          <w:numId w:val="2"/>
        </w:numPr>
        <w:spacing w:before="240" w:after="160"/>
        <w:jc w:val="left"/>
        <w:rPr>
          <w:rFonts w:ascii="Arial" w:hAnsi="Arial" w:cs="Arial"/>
          <w:b/>
          <w:bCs/>
          <w:color w:val="auto"/>
          <w:szCs w:val="24"/>
        </w:rPr>
      </w:pPr>
      <w:bookmarkStart w:id="24" w:name="_Toc234700990"/>
      <w:r w:rsidRPr="00EB4CA0">
        <w:rPr>
          <w:rFonts w:ascii="Arial" w:hAnsi="Arial" w:cs="Arial"/>
          <w:b/>
          <w:bCs/>
          <w:color w:val="auto"/>
          <w:szCs w:val="24"/>
        </w:rPr>
        <w:t>Thematic Analysis</w:t>
      </w:r>
      <w:bookmarkEnd w:id="24"/>
    </w:p>
    <w:p w14:paraId="58D66706" w14:textId="1CA88D9E" w:rsidR="00E80228" w:rsidRPr="00EB4CA0" w:rsidRDefault="00E80228" w:rsidP="00867D64">
      <w:pPr>
        <w:spacing w:before="240"/>
        <w:jc w:val="left"/>
        <w:rPr>
          <w:rFonts w:ascii="Arial" w:hAnsi="Arial" w:cs="Arial"/>
          <w:lang w:eastAsia="en-US"/>
        </w:rPr>
      </w:pPr>
      <w:r w:rsidRPr="00EB4CA0">
        <w:rPr>
          <w:rFonts w:ascii="Arial" w:hAnsi="Arial" w:cs="Arial"/>
          <w:lang w:eastAsia="en-US"/>
        </w:rPr>
        <w:t>Thematic analysis is a way of analysing the data qualitatively, whereby elements are identified, organised and interpreted from the data set on regular recurring patterns or themes</w:t>
      </w:r>
      <w:r w:rsidR="005D4C39" w:rsidRPr="00EB4CA0">
        <w:rPr>
          <w:rFonts w:ascii="Arial" w:hAnsi="Arial" w:cs="Arial"/>
          <w:lang w:eastAsia="en-US"/>
        </w:rPr>
        <w:t xml:space="preserve"> (Braun and Clarke, 2026). </w:t>
      </w:r>
      <w:r w:rsidRPr="00EB4CA0">
        <w:rPr>
          <w:rFonts w:ascii="Arial" w:hAnsi="Arial" w:cs="Arial"/>
          <w:lang w:eastAsia="en-US"/>
        </w:rPr>
        <w:t>It can be used for secondary research to systematically synthesise findings from various pieces of research to answer the research question. The chosen literature has been analysed thoroughly, and initial codes have been given recurring concepts for this dissertation. Using the coding and literature summary table, which acted as a tool in the research process, similar codes were then grouped prior to the emergence of broader themes. This enabled evidence to be analysed in a structured and transparent manner and differences and similarities between studies to be noted</w:t>
      </w:r>
      <w:r w:rsidR="002A4CF0" w:rsidRPr="00EB4CA0">
        <w:rPr>
          <w:rFonts w:ascii="Arial" w:hAnsi="Arial" w:cs="Arial"/>
          <w:lang w:eastAsia="en-US"/>
        </w:rPr>
        <w:t xml:space="preserve"> (Dawadi, 2020)</w:t>
      </w:r>
      <w:r w:rsidRPr="00EB4CA0">
        <w:rPr>
          <w:rFonts w:ascii="Arial" w:hAnsi="Arial" w:cs="Arial"/>
          <w:lang w:eastAsia="en-US"/>
        </w:rPr>
        <w:t>.</w:t>
      </w:r>
    </w:p>
    <w:p w14:paraId="17D5C35B" w14:textId="77777777" w:rsidR="00CE7B19" w:rsidRPr="00EB4CA0" w:rsidRDefault="00E80228" w:rsidP="00867D64">
      <w:pPr>
        <w:spacing w:before="240"/>
        <w:jc w:val="left"/>
        <w:rPr>
          <w:rFonts w:ascii="Arial" w:hAnsi="Arial" w:cs="Arial"/>
          <w:lang w:eastAsia="en-US"/>
        </w:rPr>
      </w:pPr>
      <w:r w:rsidRPr="00EB4CA0">
        <w:rPr>
          <w:rFonts w:ascii="Arial" w:hAnsi="Arial" w:cs="Arial"/>
          <w:lang w:eastAsia="en-US"/>
        </w:rPr>
        <w:t>The analysis revealed three key themes</w:t>
      </w:r>
      <w:r w:rsidR="00CE7B19" w:rsidRPr="00EB4CA0">
        <w:rPr>
          <w:rFonts w:ascii="Arial" w:hAnsi="Arial" w:cs="Arial"/>
          <w:lang w:eastAsia="en-US"/>
        </w:rPr>
        <w:t>:</w:t>
      </w:r>
    </w:p>
    <w:p w14:paraId="14495E64" w14:textId="77777777" w:rsidR="00664AB6" w:rsidRPr="00EB4CA0" w:rsidRDefault="00E80228">
      <w:pPr>
        <w:pStyle w:val="ListParagraph"/>
        <w:numPr>
          <w:ilvl w:val="0"/>
          <w:numId w:val="3"/>
        </w:numPr>
        <w:spacing w:before="240"/>
        <w:rPr>
          <w:rFonts w:ascii="Arial" w:hAnsi="Arial" w:cs="Arial"/>
          <w:lang w:eastAsia="en-US"/>
        </w:rPr>
      </w:pPr>
      <w:r w:rsidRPr="00EB4CA0">
        <w:rPr>
          <w:rFonts w:ascii="Arial" w:hAnsi="Arial" w:cs="Arial"/>
          <w:lang w:eastAsia="en-US"/>
        </w:rPr>
        <w:t>Social support as a factor in the mental health of older people in long-term care facilities</w:t>
      </w:r>
    </w:p>
    <w:p w14:paraId="39CE9E49" w14:textId="77777777" w:rsidR="00147279" w:rsidRPr="00EB4CA0" w:rsidRDefault="00E80228">
      <w:pPr>
        <w:pStyle w:val="ListParagraph"/>
        <w:numPr>
          <w:ilvl w:val="0"/>
          <w:numId w:val="3"/>
        </w:numPr>
        <w:spacing w:before="240"/>
        <w:rPr>
          <w:rFonts w:ascii="Arial" w:hAnsi="Arial" w:cs="Arial"/>
          <w:lang w:eastAsia="en-US"/>
        </w:rPr>
      </w:pPr>
      <w:r w:rsidRPr="00EB4CA0">
        <w:rPr>
          <w:rFonts w:ascii="Arial" w:hAnsi="Arial" w:cs="Arial"/>
          <w:lang w:eastAsia="en-US"/>
        </w:rPr>
        <w:t>Factors hindering social support in LTC facilities</w:t>
      </w:r>
    </w:p>
    <w:p w14:paraId="43C86FD2" w14:textId="114DA926" w:rsidR="00867E4D" w:rsidRPr="00EB4CA0" w:rsidRDefault="00E80228">
      <w:pPr>
        <w:pStyle w:val="ListParagraph"/>
        <w:numPr>
          <w:ilvl w:val="0"/>
          <w:numId w:val="3"/>
        </w:numPr>
        <w:spacing w:before="240"/>
        <w:rPr>
          <w:rFonts w:ascii="Arial" w:hAnsi="Arial" w:cs="Arial"/>
          <w:lang w:eastAsia="en-US"/>
        </w:rPr>
      </w:pPr>
      <w:r w:rsidRPr="00EB4CA0">
        <w:rPr>
          <w:rFonts w:ascii="Arial" w:hAnsi="Arial" w:cs="Arial"/>
          <w:lang w:eastAsia="en-US"/>
        </w:rPr>
        <w:t>strategies and interventions to enhance social support and mental health in LTC settings.</w:t>
      </w:r>
    </w:p>
    <w:p w14:paraId="3724A46D" w14:textId="77777777" w:rsidR="00EF5088" w:rsidRPr="00EB4CA0" w:rsidRDefault="00867E4D">
      <w:pPr>
        <w:pStyle w:val="Heading2"/>
        <w:numPr>
          <w:ilvl w:val="1"/>
          <w:numId w:val="2"/>
        </w:numPr>
        <w:spacing w:before="240" w:after="160"/>
        <w:jc w:val="left"/>
        <w:rPr>
          <w:rFonts w:ascii="Arial" w:hAnsi="Arial" w:cs="Arial"/>
          <w:b/>
          <w:bCs/>
          <w:color w:val="auto"/>
          <w:szCs w:val="24"/>
        </w:rPr>
      </w:pPr>
      <w:bookmarkStart w:id="25" w:name="_Toc234700991"/>
      <w:r w:rsidRPr="00EB4CA0">
        <w:rPr>
          <w:rFonts w:ascii="Arial" w:hAnsi="Arial" w:cs="Arial"/>
          <w:b/>
          <w:bCs/>
          <w:color w:val="auto"/>
          <w:szCs w:val="24"/>
        </w:rPr>
        <w:t>Theme 1</w:t>
      </w:r>
      <w:r w:rsidR="006A5023" w:rsidRPr="00EB4CA0">
        <w:rPr>
          <w:rFonts w:ascii="Arial" w:hAnsi="Arial" w:cs="Arial"/>
          <w:b/>
          <w:bCs/>
          <w:color w:val="auto"/>
          <w:szCs w:val="24"/>
        </w:rPr>
        <w:t xml:space="preserve">: </w:t>
      </w:r>
      <w:r w:rsidR="00AB0A8C" w:rsidRPr="00EB4CA0">
        <w:rPr>
          <w:rFonts w:ascii="Arial" w:hAnsi="Arial" w:cs="Arial"/>
          <w:b/>
          <w:bCs/>
          <w:color w:val="auto"/>
          <w:szCs w:val="24"/>
        </w:rPr>
        <w:t>Social Support and Mental Health in Long-Term Care</w:t>
      </w:r>
      <w:bookmarkEnd w:id="25"/>
    </w:p>
    <w:p w14:paraId="1021FCA4" w14:textId="77777777" w:rsidR="00362893" w:rsidRPr="00EB4CA0" w:rsidRDefault="00362893">
      <w:pPr>
        <w:pStyle w:val="Heading3"/>
        <w:numPr>
          <w:ilvl w:val="2"/>
          <w:numId w:val="8"/>
        </w:numPr>
        <w:spacing w:before="240" w:after="160"/>
        <w:jc w:val="left"/>
        <w:rPr>
          <w:rFonts w:ascii="Arial" w:hAnsi="Arial" w:cs="Arial"/>
          <w:b/>
          <w:bCs/>
          <w:color w:val="auto"/>
          <w:sz w:val="22"/>
          <w:szCs w:val="22"/>
        </w:rPr>
      </w:pPr>
      <w:bookmarkStart w:id="26" w:name="_Toc234700992"/>
      <w:r w:rsidRPr="00EB4CA0">
        <w:rPr>
          <w:rFonts w:ascii="Arial" w:hAnsi="Arial" w:cs="Arial"/>
          <w:b/>
          <w:bCs/>
          <w:color w:val="auto"/>
          <w:sz w:val="22"/>
          <w:szCs w:val="22"/>
        </w:rPr>
        <w:t>Definition and Background</w:t>
      </w:r>
      <w:bookmarkEnd w:id="26"/>
    </w:p>
    <w:p w14:paraId="02E5E3EB" w14:textId="0002DE58" w:rsidR="00362893" w:rsidRPr="00EB4CA0" w:rsidRDefault="008A1DCF" w:rsidP="00867D64">
      <w:pPr>
        <w:spacing w:before="240"/>
        <w:jc w:val="left"/>
        <w:rPr>
          <w:rFonts w:ascii="Arial" w:hAnsi="Arial" w:cs="Arial"/>
          <w:lang w:eastAsia="en-US"/>
        </w:rPr>
      </w:pPr>
      <w:r w:rsidRPr="00EB4CA0">
        <w:rPr>
          <w:rFonts w:ascii="Arial" w:hAnsi="Arial" w:cs="Arial"/>
          <w:lang w:eastAsia="en-US"/>
        </w:rPr>
        <w:t>Social support is the emotional, informational, instrumental and companionship support that comes from family, friends, caregivers and community relationships</w:t>
      </w:r>
      <w:r w:rsidR="007001E0" w:rsidRPr="00EB4CA0">
        <w:rPr>
          <w:rFonts w:ascii="Arial" w:hAnsi="Arial" w:cs="Arial"/>
          <w:lang w:eastAsia="en-US"/>
        </w:rPr>
        <w:t xml:space="preserve"> (Drageset, 2021)</w:t>
      </w:r>
      <w:r w:rsidRPr="00EB4CA0">
        <w:rPr>
          <w:rFonts w:ascii="Arial" w:hAnsi="Arial" w:cs="Arial"/>
          <w:lang w:eastAsia="en-US"/>
        </w:rPr>
        <w:t>. There are four types of emotional support: empathy, encouragement, informational support (advice) and instrumental support (practical support). These types of support help build psychological resilience and will assist them in managing stressful circumstances in life. Social support is of critical importance in long-term care facilities (LTCFs), as a resident's family interaction, independence and social engagement are likely to decrease following admission to LTCF</w:t>
      </w:r>
      <w:r w:rsidR="003B07EF" w:rsidRPr="00EB4CA0">
        <w:rPr>
          <w:rFonts w:ascii="Arial" w:hAnsi="Arial" w:cs="Arial"/>
          <w:lang w:eastAsia="en-US"/>
        </w:rPr>
        <w:t xml:space="preserve"> (Bethell et al., 2021)</w:t>
      </w:r>
      <w:r w:rsidRPr="00EB4CA0">
        <w:rPr>
          <w:rFonts w:ascii="Arial" w:hAnsi="Arial" w:cs="Arial"/>
          <w:lang w:eastAsia="en-US"/>
        </w:rPr>
        <w:t>. To meet the research aim of this study, understanding how social support is indirectly associated with depression, anxiety and emotional wellbeing is crucial in the setting of institutional care, as population ageing is increasingly driving up the need for this type of care.</w:t>
      </w:r>
    </w:p>
    <w:p w14:paraId="486554A9" w14:textId="536CC16D" w:rsidR="00362893" w:rsidRPr="00EB4CA0" w:rsidRDefault="00362893">
      <w:pPr>
        <w:pStyle w:val="Heading3"/>
        <w:numPr>
          <w:ilvl w:val="2"/>
          <w:numId w:val="8"/>
        </w:numPr>
        <w:spacing w:before="240" w:after="160"/>
        <w:jc w:val="left"/>
        <w:rPr>
          <w:rFonts w:ascii="Arial" w:hAnsi="Arial" w:cs="Arial"/>
          <w:b/>
          <w:bCs/>
          <w:color w:val="auto"/>
          <w:sz w:val="22"/>
          <w:szCs w:val="22"/>
        </w:rPr>
      </w:pPr>
      <w:bookmarkStart w:id="27" w:name="_Toc234700993"/>
      <w:r w:rsidRPr="00EB4CA0">
        <w:rPr>
          <w:rFonts w:ascii="Arial" w:hAnsi="Arial" w:cs="Arial"/>
          <w:b/>
          <w:bCs/>
          <w:color w:val="auto"/>
          <w:sz w:val="22"/>
          <w:szCs w:val="22"/>
        </w:rPr>
        <w:t>Relationship Between Social Support and Mental Health</w:t>
      </w:r>
      <w:bookmarkEnd w:id="27"/>
    </w:p>
    <w:p w14:paraId="726DAA44" w14:textId="312CC956" w:rsidR="00362893" w:rsidRPr="00EB4CA0" w:rsidRDefault="004C1AD2" w:rsidP="00867D64">
      <w:pPr>
        <w:spacing w:before="240"/>
        <w:jc w:val="left"/>
        <w:rPr>
          <w:rFonts w:ascii="Arial" w:hAnsi="Arial" w:cs="Arial"/>
        </w:rPr>
      </w:pPr>
      <w:r w:rsidRPr="00EB4CA0">
        <w:rPr>
          <w:rFonts w:ascii="Arial" w:hAnsi="Arial" w:cs="Arial"/>
          <w:lang w:eastAsia="en-US"/>
        </w:rPr>
        <w:t xml:space="preserve">The literature reviewed in this study consistently identified social support as one of the most important protective factors which help maintain mental health amongst the elderly in long-term care facilities (LTCFs). Help and support from family, friends, people living within the household and the care staff lead to reduced depressive and anxiety symptoms and enhanced emotional wellbeing </w:t>
      </w:r>
      <w:r w:rsidR="009A18CB" w:rsidRPr="00EB4CA0">
        <w:rPr>
          <w:rFonts w:ascii="Arial" w:hAnsi="Arial" w:cs="Arial"/>
          <w:lang w:eastAsia="en-US"/>
        </w:rPr>
        <w:t>(Acoba, 2024)</w:t>
      </w:r>
      <w:r w:rsidR="007B706C" w:rsidRPr="00EB4CA0">
        <w:rPr>
          <w:rFonts w:ascii="Arial" w:hAnsi="Arial" w:cs="Arial"/>
          <w:lang w:eastAsia="en-US"/>
        </w:rPr>
        <w:t xml:space="preserve">. </w:t>
      </w:r>
      <w:r w:rsidRPr="00EB4CA0">
        <w:rPr>
          <w:rFonts w:ascii="Arial" w:hAnsi="Arial" w:cs="Arial"/>
          <w:lang w:eastAsia="en-US"/>
        </w:rPr>
        <w:t>The World Health Organization (2023) states that around 14% of adults aged 60 years and older are living with a mental disorder, the most prevalent being depression and anxiety</w:t>
      </w:r>
      <w:r w:rsidR="00F73502" w:rsidRPr="00EB4CA0">
        <w:rPr>
          <w:rFonts w:ascii="Arial" w:hAnsi="Arial" w:cs="Arial"/>
          <w:lang w:eastAsia="en-US"/>
        </w:rPr>
        <w:t xml:space="preserve">, </w:t>
      </w:r>
      <w:r w:rsidR="008F4206" w:rsidRPr="00EB4CA0">
        <w:rPr>
          <w:rFonts w:ascii="Arial" w:hAnsi="Arial" w:cs="Arial"/>
          <w:lang w:eastAsia="en-US"/>
        </w:rPr>
        <w:t xml:space="preserve">with </w:t>
      </w:r>
      <w:r w:rsidRPr="00EB4CA0">
        <w:rPr>
          <w:rFonts w:ascii="Arial" w:hAnsi="Arial" w:cs="Arial"/>
          <w:lang w:eastAsia="en-US"/>
        </w:rPr>
        <w:t xml:space="preserve">almost a quarter of older people are socially lonely, putting them at risk of poor mental and physical health outcomes </w:t>
      </w:r>
      <w:r w:rsidR="00C05BEC" w:rsidRPr="00EB4CA0">
        <w:rPr>
          <w:rFonts w:ascii="Arial" w:hAnsi="Arial" w:cs="Arial"/>
          <w:lang w:eastAsia="en-US"/>
        </w:rPr>
        <w:t xml:space="preserve">(World Health Organization, 2023). </w:t>
      </w:r>
      <w:r w:rsidRPr="00EB4CA0">
        <w:rPr>
          <w:rFonts w:ascii="Arial" w:hAnsi="Arial" w:cs="Arial"/>
          <w:lang w:eastAsia="en-US"/>
        </w:rPr>
        <w:t>Such risks are frequently aggravated in LTCFs due to less family contact for residents and restrictions on social interaction. Social and physical activity programmes are an effective intervention with success demonstrated in reducing depressive symptoms through meaningful engagement among care home residents</w:t>
      </w:r>
      <w:r w:rsidR="006D39D0" w:rsidRPr="00EB4CA0">
        <w:rPr>
          <w:rFonts w:ascii="Arial" w:hAnsi="Arial" w:cs="Arial"/>
          <w:lang w:eastAsia="en-US"/>
        </w:rPr>
        <w:t xml:space="preserve"> (Huang et al., 2025)</w:t>
      </w:r>
      <w:r w:rsidRPr="00EB4CA0">
        <w:rPr>
          <w:rFonts w:ascii="Arial" w:hAnsi="Arial" w:cs="Arial"/>
          <w:lang w:eastAsia="en-US"/>
        </w:rPr>
        <w:t>. Likewise, Smulowitz et al. (2023) found that an increase of one FOR by an increase of 10% of the three main components of social support was associated with a 25% reduced risk of cognitive impairment</w:t>
      </w:r>
      <w:r w:rsidR="00D80FD8" w:rsidRPr="00EB4CA0">
        <w:rPr>
          <w:rFonts w:ascii="Arial" w:hAnsi="Arial" w:cs="Arial"/>
          <w:lang w:eastAsia="en-US"/>
        </w:rPr>
        <w:t xml:space="preserve"> </w:t>
      </w:r>
      <w:r w:rsidR="00D80FD8" w:rsidRPr="00EB4CA0">
        <w:rPr>
          <w:rFonts w:ascii="Arial" w:hAnsi="Arial" w:cs="Arial"/>
        </w:rPr>
        <w:t>(Smulowitz et al., 2023)</w:t>
      </w:r>
      <w:r w:rsidRPr="00EB4CA0">
        <w:rPr>
          <w:rFonts w:ascii="Arial" w:hAnsi="Arial" w:cs="Arial"/>
          <w:lang w:eastAsia="en-US"/>
        </w:rPr>
        <w:t>. Conversely, Li et al. (2025) found loneliness to be a significant factor associated with depression and anxiety in the absence of meaningful relationships</w:t>
      </w:r>
      <w:r w:rsidR="005F37D6" w:rsidRPr="00EB4CA0">
        <w:rPr>
          <w:rFonts w:ascii="Arial" w:hAnsi="Arial" w:cs="Arial"/>
          <w:lang w:eastAsia="en-US"/>
        </w:rPr>
        <w:t xml:space="preserve"> </w:t>
      </w:r>
      <w:r w:rsidR="005F37D6" w:rsidRPr="00EB4CA0">
        <w:rPr>
          <w:rFonts w:ascii="Arial" w:hAnsi="Arial" w:cs="Arial"/>
        </w:rPr>
        <w:t>(Li et al., 2025)</w:t>
      </w:r>
      <w:r w:rsidRPr="00EB4CA0">
        <w:rPr>
          <w:rFonts w:ascii="Arial" w:hAnsi="Arial" w:cs="Arial"/>
          <w:lang w:eastAsia="en-US"/>
        </w:rPr>
        <w:t>. These data overall support the research question that social support plays an important role in enhancing resilience, psychological wellbeing and quality of life.</w:t>
      </w:r>
    </w:p>
    <w:p w14:paraId="7429DF7F" w14:textId="2719BBD8" w:rsidR="00362893" w:rsidRPr="00EB4CA0" w:rsidRDefault="00362893">
      <w:pPr>
        <w:pStyle w:val="Heading3"/>
        <w:numPr>
          <w:ilvl w:val="2"/>
          <w:numId w:val="7"/>
        </w:numPr>
        <w:spacing w:before="240" w:after="160"/>
        <w:jc w:val="left"/>
        <w:rPr>
          <w:rFonts w:ascii="Arial" w:hAnsi="Arial" w:cs="Arial"/>
          <w:b/>
          <w:bCs/>
          <w:color w:val="auto"/>
          <w:sz w:val="22"/>
          <w:szCs w:val="22"/>
        </w:rPr>
      </w:pPr>
      <w:bookmarkStart w:id="28" w:name="_Toc234700994"/>
      <w:r w:rsidRPr="00EB4CA0">
        <w:rPr>
          <w:rFonts w:ascii="Arial" w:hAnsi="Arial" w:cs="Arial"/>
          <w:b/>
          <w:bCs/>
          <w:color w:val="auto"/>
          <w:sz w:val="22"/>
          <w:szCs w:val="22"/>
        </w:rPr>
        <w:t>Theories, Policies and Literature Findings</w:t>
      </w:r>
      <w:bookmarkEnd w:id="28"/>
    </w:p>
    <w:p w14:paraId="7F5F5A5D" w14:textId="328B7A5A" w:rsidR="008D7450" w:rsidRPr="00EB4CA0" w:rsidRDefault="008D7450" w:rsidP="00867D64">
      <w:pPr>
        <w:spacing w:before="240"/>
        <w:jc w:val="left"/>
        <w:rPr>
          <w:rFonts w:ascii="Arial" w:hAnsi="Arial" w:cs="Arial"/>
          <w:lang w:eastAsia="en-US"/>
        </w:rPr>
      </w:pPr>
      <w:r w:rsidRPr="00EB4CA0">
        <w:rPr>
          <w:rFonts w:ascii="Arial" w:hAnsi="Arial" w:cs="Arial"/>
          <w:lang w:eastAsia="en-US"/>
        </w:rPr>
        <w:t xml:space="preserve">The barriers found in long-term care facilities (LTCFs) are explained from several theoretical points of view. The Stress Buffering Hypothesis indicates that social support minimizes the negative effects of stress by offering emotional support, instrumental support, or other practical supports to people facing stressful circumstances </w:t>
      </w:r>
      <w:r w:rsidR="00807415" w:rsidRPr="00EB4CA0">
        <w:rPr>
          <w:rFonts w:ascii="Arial" w:hAnsi="Arial" w:cs="Arial"/>
          <w:lang w:eastAsia="en-US"/>
        </w:rPr>
        <w:t>(Acoba, 2024)</w:t>
      </w:r>
      <w:r w:rsidRPr="00EB4CA0">
        <w:rPr>
          <w:rFonts w:ascii="Arial" w:hAnsi="Arial" w:cs="Arial"/>
          <w:lang w:eastAsia="en-US"/>
        </w:rPr>
        <w:t xml:space="preserve">. </w:t>
      </w:r>
      <w:r w:rsidR="00CB1435" w:rsidRPr="00EB4CA0">
        <w:rPr>
          <w:rFonts w:ascii="Arial" w:hAnsi="Arial" w:cs="Arial"/>
          <w:lang w:eastAsia="en-US"/>
        </w:rPr>
        <w:t>However,</w:t>
      </w:r>
      <w:r w:rsidRPr="00EB4CA0">
        <w:rPr>
          <w:rFonts w:ascii="Arial" w:hAnsi="Arial" w:cs="Arial"/>
          <w:lang w:eastAsia="en-US"/>
        </w:rPr>
        <w:t xml:space="preserve"> such limitations as lack of staff, lack of family contact and routine of the institution weaken this protective factor, raising the likelihood of depression or anxiety. Likewise, Attachment Theory proposes that the need for safe emotional bonding continues into adulthood, and diminished comfort with family can have a detrimental impact on older adults' feelings of security </w:t>
      </w:r>
      <w:r w:rsidR="0018173D" w:rsidRPr="00EB4CA0">
        <w:rPr>
          <w:rFonts w:ascii="Arial" w:hAnsi="Arial" w:cs="Arial"/>
          <w:lang w:eastAsia="en-US"/>
        </w:rPr>
        <w:t>(Carasso, Segel-Karpas and Estlein, 2026)</w:t>
      </w:r>
      <w:r w:rsidRPr="00EB4CA0">
        <w:rPr>
          <w:rFonts w:ascii="Arial" w:hAnsi="Arial" w:cs="Arial"/>
          <w:lang w:eastAsia="en-US"/>
        </w:rPr>
        <w:t>. Dignity, autonomy and meaningful relationships are also central tenets of Person-Centred Care, but the use of these is often limited by workforce shortages and lack of resources. This illustrates how these theoretical approaches may be ineffective, due to organisation constraints.</w:t>
      </w:r>
    </w:p>
    <w:p w14:paraId="081AA450" w14:textId="04178A1C" w:rsidR="008D7450" w:rsidRPr="00EB4CA0" w:rsidRDefault="008D7450" w:rsidP="00867D64">
      <w:pPr>
        <w:spacing w:before="240"/>
        <w:jc w:val="left"/>
        <w:rPr>
          <w:rFonts w:ascii="Arial" w:hAnsi="Arial" w:cs="Arial"/>
          <w:lang w:eastAsia="en-US"/>
        </w:rPr>
      </w:pPr>
      <w:r w:rsidRPr="00EB4CA0">
        <w:rPr>
          <w:rFonts w:ascii="Arial" w:hAnsi="Arial" w:cs="Arial"/>
          <w:lang w:eastAsia="en-US"/>
        </w:rPr>
        <w:t>There is value in the current policy; the importance of social support in improving residents' wellbeing. Person-centred care, emotional wellbeing and social participation are encouraged in the Care Act 2014, CQC Fundamental Standards, NHS Long Term Plan and WHO Decade of Healthy Ageing (2021-2030)</w:t>
      </w:r>
      <w:r w:rsidR="00C91FFC" w:rsidRPr="00EB4CA0">
        <w:rPr>
          <w:rFonts w:ascii="Arial" w:hAnsi="Arial" w:cs="Arial"/>
          <w:lang w:eastAsia="en-US"/>
        </w:rPr>
        <w:t xml:space="preserve"> (Care Quality Commission, 2024)</w:t>
      </w:r>
      <w:r w:rsidRPr="00EB4CA0">
        <w:rPr>
          <w:rFonts w:ascii="Arial" w:hAnsi="Arial" w:cs="Arial"/>
          <w:lang w:eastAsia="en-US"/>
        </w:rPr>
        <w:t xml:space="preserve">. </w:t>
      </w:r>
      <w:r w:rsidR="0075137B" w:rsidRPr="00EB4CA0">
        <w:rPr>
          <w:rFonts w:ascii="Arial" w:hAnsi="Arial" w:cs="Arial"/>
          <w:lang w:eastAsia="en-US"/>
        </w:rPr>
        <w:t>However,</w:t>
      </w:r>
      <w:r w:rsidRPr="00EB4CA0">
        <w:rPr>
          <w:rFonts w:ascii="Arial" w:hAnsi="Arial" w:cs="Arial"/>
          <w:lang w:eastAsia="en-US"/>
        </w:rPr>
        <w:t xml:space="preserve"> this is not always put in place due to staffing shortages, the pressures of funding and growing care needs. The difference between policy intent and practice is evident, with CQC reports indicating that those providers who are less suffering from recruitment problems are more likely to provide meaningful social engagement.</w:t>
      </w:r>
    </w:p>
    <w:p w14:paraId="34F46B6D" w14:textId="54BEB06D" w:rsidR="00362893" w:rsidRPr="00EB4CA0" w:rsidRDefault="008D7450" w:rsidP="00867D64">
      <w:pPr>
        <w:spacing w:before="240"/>
        <w:jc w:val="left"/>
        <w:rPr>
          <w:rFonts w:ascii="Arial" w:hAnsi="Arial" w:cs="Arial"/>
          <w:lang w:eastAsia="en-US"/>
        </w:rPr>
      </w:pPr>
      <w:r w:rsidRPr="00EB4CA0">
        <w:rPr>
          <w:rFonts w:ascii="Arial" w:hAnsi="Arial" w:cs="Arial"/>
          <w:lang w:eastAsia="en-US"/>
        </w:rPr>
        <w:t>The studies examined in this review all show organisational and social barriers as important factors in the lack of mental well-being in older people. Benzinger et al. (2023) and Thompson et al. (2020) reported a rise in feelings of loneliness, anxiety and depression stemming from a decrease in family visitation as a result of COVID-19 restrictions. Rostgaard et al. (2022), on the other hand, found that these effects can be minimised by applying Scandinavian models of person-centred care that foster residents' autonomy and social activity. Similarly, Edmond &amp; North (2023) emphasised that, despite the presence of developed long-term care systems, skilled workforce shortages posed a challenge in providing personalised care in Japan, and Jahangir et al. (2025) revealed that inadequate family support and limited resources were other issues in lower-income countries. Despite the differences in context, the studies are consistent enough to indicate that organisational barriers hamper opportunities for thoughtful social contact with others, which in turn can exacerbate residents' psychopathological well-being, and therefore answer the research question directly.</w:t>
      </w:r>
    </w:p>
    <w:p w14:paraId="1FC9F57D" w14:textId="77777777" w:rsidR="00362893" w:rsidRPr="00EB4CA0" w:rsidRDefault="00362893">
      <w:pPr>
        <w:pStyle w:val="Heading3"/>
        <w:numPr>
          <w:ilvl w:val="2"/>
          <w:numId w:val="7"/>
        </w:numPr>
        <w:spacing w:before="240" w:after="160"/>
        <w:jc w:val="left"/>
        <w:rPr>
          <w:rFonts w:ascii="Arial" w:hAnsi="Arial" w:cs="Arial"/>
          <w:b/>
          <w:bCs/>
          <w:color w:val="auto"/>
          <w:sz w:val="22"/>
          <w:szCs w:val="22"/>
        </w:rPr>
      </w:pPr>
      <w:bookmarkStart w:id="29" w:name="_Toc234700995"/>
      <w:r w:rsidRPr="00EB4CA0">
        <w:rPr>
          <w:rFonts w:ascii="Arial" w:hAnsi="Arial" w:cs="Arial"/>
          <w:b/>
          <w:bCs/>
          <w:color w:val="auto"/>
          <w:sz w:val="22"/>
          <w:szCs w:val="22"/>
        </w:rPr>
        <w:t>Implications and Links to Other Themes</w:t>
      </w:r>
      <w:bookmarkEnd w:id="29"/>
    </w:p>
    <w:p w14:paraId="58124E19" w14:textId="146037A5" w:rsidR="00867E4D" w:rsidRPr="00EB4CA0" w:rsidRDefault="00362893" w:rsidP="00867D64">
      <w:pPr>
        <w:spacing w:before="240"/>
        <w:jc w:val="left"/>
        <w:rPr>
          <w:rFonts w:ascii="Arial" w:hAnsi="Arial" w:cs="Arial"/>
        </w:rPr>
      </w:pPr>
      <w:r w:rsidRPr="00EB4CA0">
        <w:rPr>
          <w:rFonts w:ascii="Arial" w:hAnsi="Arial" w:cs="Arial"/>
        </w:rPr>
        <w:t>The results show that social support can have positive implications for older people living in long-term facilities. Frequency of social contact with family, carers and peers leads to reduced depression and anxiety, increased emotional wellbeing, enhanced cognition and higher quality of life. Individually, socially supported residents are more likely to engage in everyday activities, form meaningful relationships and feel more belonging and independent</w:t>
      </w:r>
      <w:r w:rsidR="003A382B" w:rsidRPr="00EB4CA0">
        <w:rPr>
          <w:rFonts w:ascii="Arial" w:hAnsi="Arial" w:cs="Arial"/>
        </w:rPr>
        <w:t xml:space="preserve"> (Haim-Litevsky, Komemi and Lipskaya-Velikovsky, 2023)</w:t>
      </w:r>
      <w:r w:rsidRPr="00EB4CA0">
        <w:rPr>
          <w:rFonts w:ascii="Arial" w:hAnsi="Arial" w:cs="Arial"/>
        </w:rPr>
        <w:t>. Healthcare workers and caregivers establish supportive relationships</w:t>
      </w:r>
      <w:r w:rsidR="00005959" w:rsidRPr="00EB4CA0">
        <w:rPr>
          <w:rFonts w:ascii="Arial" w:hAnsi="Arial" w:cs="Arial"/>
        </w:rPr>
        <w:t xml:space="preserve">, </w:t>
      </w:r>
      <w:r w:rsidRPr="00EB4CA0">
        <w:rPr>
          <w:rFonts w:ascii="Arial" w:hAnsi="Arial" w:cs="Arial"/>
        </w:rPr>
        <w:t>enhan</w:t>
      </w:r>
      <w:r w:rsidR="00005959" w:rsidRPr="00EB4CA0">
        <w:rPr>
          <w:rFonts w:ascii="Arial" w:hAnsi="Arial" w:cs="Arial"/>
        </w:rPr>
        <w:t>cing</w:t>
      </w:r>
      <w:r w:rsidRPr="00EB4CA0">
        <w:rPr>
          <w:rFonts w:ascii="Arial" w:hAnsi="Arial" w:cs="Arial"/>
        </w:rPr>
        <w:t xml:space="preserve"> resident-</w:t>
      </w:r>
      <w:r w:rsidR="000C0AC3" w:rsidRPr="00EB4CA0">
        <w:rPr>
          <w:rFonts w:ascii="Arial" w:hAnsi="Arial" w:cs="Arial"/>
        </w:rPr>
        <w:t>centred</w:t>
      </w:r>
      <w:r w:rsidRPr="00EB4CA0">
        <w:rPr>
          <w:rFonts w:ascii="Arial" w:hAnsi="Arial" w:cs="Arial"/>
        </w:rPr>
        <w:t xml:space="preserve"> care, fosters communication, serves to build trust among each other and allows a deeper understanding of emotional and psychological needs</w:t>
      </w:r>
      <w:r w:rsidR="00674537" w:rsidRPr="00EB4CA0">
        <w:rPr>
          <w:rFonts w:ascii="Arial" w:hAnsi="Arial" w:cs="Arial"/>
        </w:rPr>
        <w:t xml:space="preserve"> (Pan and Wang, 2025)</w:t>
      </w:r>
      <w:r w:rsidRPr="00EB4CA0">
        <w:rPr>
          <w:rFonts w:ascii="Arial" w:hAnsi="Arial" w:cs="Arial"/>
        </w:rPr>
        <w:t xml:space="preserve">. On the other hand, insufficient social support can lead to loneliness and social isolation, lower mental health and lead to depression and anxiety, increased </w:t>
      </w:r>
      <w:r w:rsidR="000C0AC3" w:rsidRPr="00EB4CA0">
        <w:rPr>
          <w:rFonts w:ascii="Arial" w:hAnsi="Arial" w:cs="Arial"/>
        </w:rPr>
        <w:t>behavioural</w:t>
      </w:r>
      <w:r w:rsidRPr="00EB4CA0">
        <w:rPr>
          <w:rFonts w:ascii="Arial" w:hAnsi="Arial" w:cs="Arial"/>
        </w:rPr>
        <w:t xml:space="preserve"> issues and more demands for social care and health care services. The importance of these results is to consider social support as an integral part of holistic care and not an optional part of the provision of a service. </w:t>
      </w:r>
      <w:r w:rsidR="005031EF" w:rsidRPr="00EB4CA0">
        <w:rPr>
          <w:rFonts w:ascii="Arial" w:hAnsi="Arial" w:cs="Arial"/>
        </w:rPr>
        <w:t>A</w:t>
      </w:r>
      <w:r w:rsidRPr="00EB4CA0">
        <w:rPr>
          <w:rFonts w:ascii="Arial" w:hAnsi="Arial" w:cs="Arial"/>
        </w:rPr>
        <w:t>lthough the benefits are acknowledged, the literature reveals that workforce shortage, available resources and organizational factors help limit meaningful social interaction within the long-term care setting.</w:t>
      </w:r>
      <w:r w:rsidR="00CC4D73" w:rsidRPr="00EB4CA0">
        <w:rPr>
          <w:rFonts w:ascii="Arial" w:hAnsi="Arial" w:cs="Arial"/>
        </w:rPr>
        <w:t xml:space="preserve"> </w:t>
      </w:r>
    </w:p>
    <w:p w14:paraId="63D5B793" w14:textId="6288AD35" w:rsidR="00BE2CD7" w:rsidRPr="00EB4CA0" w:rsidRDefault="00867E4D">
      <w:pPr>
        <w:pStyle w:val="Heading2"/>
        <w:numPr>
          <w:ilvl w:val="1"/>
          <w:numId w:val="2"/>
        </w:numPr>
        <w:spacing w:before="240" w:after="160"/>
        <w:jc w:val="left"/>
        <w:rPr>
          <w:rFonts w:ascii="Arial" w:hAnsi="Arial" w:cs="Arial"/>
          <w:b/>
          <w:bCs/>
          <w:color w:val="auto"/>
          <w:szCs w:val="24"/>
        </w:rPr>
      </w:pPr>
      <w:bookmarkStart w:id="30" w:name="_Toc234700996"/>
      <w:r w:rsidRPr="00EB4CA0">
        <w:rPr>
          <w:rFonts w:ascii="Arial" w:hAnsi="Arial" w:cs="Arial"/>
          <w:b/>
          <w:bCs/>
          <w:color w:val="auto"/>
          <w:szCs w:val="24"/>
        </w:rPr>
        <w:t>Theme 2</w:t>
      </w:r>
      <w:r w:rsidR="00776ACA" w:rsidRPr="00EB4CA0">
        <w:rPr>
          <w:rFonts w:ascii="Arial" w:hAnsi="Arial" w:cs="Arial"/>
          <w:b/>
          <w:bCs/>
          <w:color w:val="auto"/>
          <w:szCs w:val="24"/>
        </w:rPr>
        <w:t>: Barriers Affecting Social Support and Mental Health in Long-Term Care Facilities</w:t>
      </w:r>
      <w:bookmarkEnd w:id="30"/>
    </w:p>
    <w:p w14:paraId="10CD42B1" w14:textId="09DDF2F6" w:rsidR="00251017" w:rsidRPr="00EB4CA0" w:rsidRDefault="00251017">
      <w:pPr>
        <w:pStyle w:val="Heading3"/>
        <w:numPr>
          <w:ilvl w:val="2"/>
          <w:numId w:val="9"/>
        </w:numPr>
        <w:spacing w:before="240" w:after="160"/>
        <w:jc w:val="left"/>
        <w:rPr>
          <w:rFonts w:ascii="Arial" w:hAnsi="Arial" w:cs="Arial"/>
          <w:b/>
          <w:bCs/>
          <w:color w:val="auto"/>
          <w:sz w:val="22"/>
          <w:szCs w:val="22"/>
        </w:rPr>
      </w:pPr>
      <w:bookmarkStart w:id="31" w:name="_Toc234700997"/>
      <w:r w:rsidRPr="00EB4CA0">
        <w:rPr>
          <w:rFonts w:ascii="Arial" w:hAnsi="Arial" w:cs="Arial"/>
          <w:b/>
          <w:bCs/>
          <w:color w:val="auto"/>
          <w:sz w:val="22"/>
          <w:szCs w:val="22"/>
        </w:rPr>
        <w:t>Definition and Background</w:t>
      </w:r>
      <w:bookmarkEnd w:id="31"/>
    </w:p>
    <w:p w14:paraId="45023C9C" w14:textId="12BE47E1" w:rsidR="00251017" w:rsidRPr="00EB4CA0" w:rsidRDefault="0055639E" w:rsidP="00867D64">
      <w:pPr>
        <w:spacing w:before="240"/>
        <w:jc w:val="left"/>
        <w:rPr>
          <w:rFonts w:ascii="Arial" w:hAnsi="Arial" w:cs="Arial"/>
        </w:rPr>
      </w:pPr>
      <w:r w:rsidRPr="00EB4CA0">
        <w:rPr>
          <w:rFonts w:ascii="Arial" w:hAnsi="Arial" w:cs="Arial"/>
        </w:rPr>
        <w:t>Barriers in long-term care facilities (LTCFs) are organisational, environmental and social factors that limit older adults' access to meaningful social support and negatively affect their mental health</w:t>
      </w:r>
      <w:r w:rsidR="003316B5" w:rsidRPr="00EB4CA0">
        <w:rPr>
          <w:rFonts w:ascii="Arial" w:hAnsi="Arial" w:cs="Arial"/>
        </w:rPr>
        <w:t xml:space="preserve"> (Li et al., 2026)</w:t>
      </w:r>
      <w:r w:rsidRPr="00EB4CA0">
        <w:rPr>
          <w:rFonts w:ascii="Arial" w:hAnsi="Arial" w:cs="Arial"/>
        </w:rPr>
        <w:t>. Organisational barriers include staff shortages, heavy workloads, inadequate funding and institutional routines that reduce opportunities for person-centred care. Social barriers include limited family involvement, social isolation and reduced participation in activities, while environmental barriers restrict residents' autonomy and social relationships</w:t>
      </w:r>
      <w:r w:rsidR="00EF5E4B" w:rsidRPr="00EB4CA0">
        <w:rPr>
          <w:rFonts w:ascii="Arial" w:hAnsi="Arial" w:cs="Arial"/>
        </w:rPr>
        <w:t xml:space="preserve"> (Disability Unit, 2025)</w:t>
      </w:r>
      <w:r w:rsidRPr="00EB4CA0">
        <w:rPr>
          <w:rFonts w:ascii="Arial" w:hAnsi="Arial" w:cs="Arial"/>
        </w:rPr>
        <w:t>. Although modern care policies promote holistic, person-centred care, these barriers remain common. Understanding them is essential, as they reduce opportunities for social support and ultimately influence the mental health of older adults in LTCFs.</w:t>
      </w:r>
    </w:p>
    <w:p w14:paraId="01DC08FD" w14:textId="0390E5CC" w:rsidR="00251017" w:rsidRPr="00EB4CA0" w:rsidRDefault="00251017">
      <w:pPr>
        <w:pStyle w:val="Heading3"/>
        <w:numPr>
          <w:ilvl w:val="2"/>
          <w:numId w:val="9"/>
        </w:numPr>
        <w:spacing w:before="240" w:after="160"/>
        <w:jc w:val="left"/>
        <w:rPr>
          <w:rFonts w:ascii="Arial" w:hAnsi="Arial" w:cs="Arial"/>
          <w:b/>
          <w:bCs/>
          <w:color w:val="auto"/>
          <w:sz w:val="22"/>
          <w:szCs w:val="22"/>
        </w:rPr>
      </w:pPr>
      <w:bookmarkStart w:id="32" w:name="_Toc234700998"/>
      <w:r w:rsidRPr="00EB4CA0">
        <w:rPr>
          <w:rFonts w:ascii="Arial" w:hAnsi="Arial" w:cs="Arial"/>
          <w:b/>
          <w:bCs/>
          <w:color w:val="auto"/>
          <w:sz w:val="22"/>
          <w:szCs w:val="22"/>
        </w:rPr>
        <w:t>Organisational and Social Barriers Affecting Mental Health</w:t>
      </w:r>
      <w:bookmarkEnd w:id="32"/>
    </w:p>
    <w:p w14:paraId="5E35071F" w14:textId="59946E59" w:rsidR="00251017" w:rsidRPr="00EB4CA0" w:rsidRDefault="007D3DB9" w:rsidP="00867D64">
      <w:pPr>
        <w:spacing w:before="240"/>
        <w:jc w:val="left"/>
        <w:rPr>
          <w:rFonts w:ascii="Arial" w:hAnsi="Arial" w:cs="Arial"/>
          <w:lang w:eastAsia="en-US"/>
        </w:rPr>
      </w:pPr>
      <w:r w:rsidRPr="00EB4CA0">
        <w:rPr>
          <w:rFonts w:ascii="Arial" w:hAnsi="Arial" w:cs="Arial"/>
          <w:lang w:eastAsia="en-US"/>
        </w:rPr>
        <w:t>An issue raised by the literature is the ongoing labour shortage within adult care. Low staffing levels, high staff turnover and the increasing needs of the residents decrease the time available for meaningful contact and cause care to focus more on the physical aspects of residents' care, rather than emotional support</w:t>
      </w:r>
      <w:r w:rsidR="00007A88" w:rsidRPr="00EB4CA0">
        <w:rPr>
          <w:rFonts w:ascii="Arial" w:hAnsi="Arial" w:cs="Arial"/>
          <w:lang w:eastAsia="en-US"/>
        </w:rPr>
        <w:t xml:space="preserve"> (Caily, 2026)</w:t>
      </w:r>
      <w:r w:rsidRPr="00EB4CA0">
        <w:rPr>
          <w:rFonts w:ascii="Arial" w:hAnsi="Arial" w:cs="Arial"/>
          <w:lang w:eastAsia="en-US"/>
        </w:rPr>
        <w:t>. Workforce pressures are still a major issue, as the Care Quality Commission has reported that around 131,000 vacancies for adult social care staff were registered in England in 2023/24</w:t>
      </w:r>
      <w:r w:rsidR="001512A9" w:rsidRPr="00EB4CA0">
        <w:rPr>
          <w:rFonts w:ascii="Arial" w:hAnsi="Arial" w:cs="Arial"/>
          <w:lang w:eastAsia="en-US"/>
        </w:rPr>
        <w:t xml:space="preserve">, </w:t>
      </w:r>
      <w:r w:rsidRPr="00EB4CA0">
        <w:rPr>
          <w:rFonts w:ascii="Arial" w:hAnsi="Arial" w:cs="Arial"/>
          <w:lang w:eastAsia="en-US"/>
        </w:rPr>
        <w:t>equating to an 8.3% vacancy rate in a workforce of approximately 1.59 million</w:t>
      </w:r>
      <w:r w:rsidR="005A61AF" w:rsidRPr="00EB4CA0">
        <w:rPr>
          <w:rFonts w:ascii="Arial" w:hAnsi="Arial" w:cs="Arial"/>
          <w:lang w:eastAsia="en-US"/>
        </w:rPr>
        <w:t xml:space="preserve"> (Mutebi and Mian, 2025)</w:t>
      </w:r>
      <w:r w:rsidRPr="00EB4CA0">
        <w:rPr>
          <w:rFonts w:ascii="Arial" w:hAnsi="Arial" w:cs="Arial"/>
          <w:lang w:eastAsia="en-US"/>
        </w:rPr>
        <w:t>. Finding time for personalised care and avoiding feelings of social isolation for residents is further hindered by heavy workloads and burnout, and these are repeatedly identified in CQC State of Care reports to limit relationship centred care. Social barriers also impact mental health, as entry to long-term care facilities may lead to reduced independence, a different environment, and being separated from family and friends</w:t>
      </w:r>
      <w:r w:rsidR="003B1308" w:rsidRPr="00EB4CA0">
        <w:rPr>
          <w:rFonts w:ascii="Arial" w:hAnsi="Arial" w:cs="Arial"/>
          <w:lang w:eastAsia="en-US"/>
        </w:rPr>
        <w:t xml:space="preserve"> (Boamah et al., 2021)</w:t>
      </w:r>
      <w:r w:rsidRPr="00EB4CA0">
        <w:rPr>
          <w:rFonts w:ascii="Arial" w:hAnsi="Arial" w:cs="Arial"/>
          <w:lang w:eastAsia="en-US"/>
        </w:rPr>
        <w:t>. These difficulties were highlighted by the COVID-19 pandemic when families were not able to have the same level of visiting and contact within the community. Thompson et al. (2020) and Benzinger et al. (2023) found a decrease in emotional wellbeing and an increase in loneliness during prolonged isolation. The World Health Organisation also estimates that 14% of all adults aged 60 years and above suffer from a mental disorder, with loneliness and social isolation one of the identified risk factors</w:t>
      </w:r>
      <w:r w:rsidR="000B2766" w:rsidRPr="00EB4CA0">
        <w:rPr>
          <w:rFonts w:ascii="Arial" w:hAnsi="Arial" w:cs="Arial"/>
          <w:lang w:eastAsia="en-US"/>
        </w:rPr>
        <w:t xml:space="preserve"> (World Health Organization, 2023)</w:t>
      </w:r>
      <w:r w:rsidRPr="00EB4CA0">
        <w:rPr>
          <w:rFonts w:ascii="Arial" w:hAnsi="Arial" w:cs="Arial"/>
          <w:lang w:eastAsia="en-US"/>
        </w:rPr>
        <w:t>. While some of the cared-for population in the United Kingdom (UK) have been able to communicate remotely with their care home during the pandemic, this cannot replace face-to-face communication and helps to confirm that organisational and social barriers play a significant role in the poorer mental health outcomes of older people in long-term care facilities.</w:t>
      </w:r>
      <w:r w:rsidR="0080176B" w:rsidRPr="00EB4CA0">
        <w:rPr>
          <w:rFonts w:ascii="Arial" w:hAnsi="Arial" w:cs="Arial"/>
          <w:lang w:eastAsia="en-US"/>
        </w:rPr>
        <w:t xml:space="preserve"> </w:t>
      </w:r>
    </w:p>
    <w:p w14:paraId="3A72B6FC" w14:textId="5F7E01CA" w:rsidR="00FA2E13" w:rsidRPr="00EB4CA0" w:rsidRDefault="00FA2E13">
      <w:pPr>
        <w:pStyle w:val="Heading3"/>
        <w:numPr>
          <w:ilvl w:val="2"/>
          <w:numId w:val="9"/>
        </w:numPr>
        <w:spacing w:before="240" w:after="160"/>
        <w:jc w:val="left"/>
        <w:rPr>
          <w:rFonts w:ascii="Arial" w:hAnsi="Arial" w:cs="Arial"/>
          <w:b/>
          <w:bCs/>
          <w:color w:val="auto"/>
          <w:sz w:val="22"/>
          <w:szCs w:val="22"/>
        </w:rPr>
      </w:pPr>
      <w:bookmarkStart w:id="33" w:name="_Toc234700999"/>
      <w:r w:rsidRPr="00EB4CA0">
        <w:rPr>
          <w:rFonts w:ascii="Arial" w:hAnsi="Arial" w:cs="Arial"/>
          <w:b/>
          <w:bCs/>
          <w:color w:val="auto"/>
          <w:sz w:val="22"/>
          <w:szCs w:val="22"/>
        </w:rPr>
        <w:t>Theories, Policies and Literature Findings</w:t>
      </w:r>
      <w:bookmarkEnd w:id="33"/>
    </w:p>
    <w:p w14:paraId="3BDED695" w14:textId="716DA712" w:rsidR="00B41310" w:rsidRPr="00EB4CA0" w:rsidRDefault="00B41310" w:rsidP="00867D64">
      <w:pPr>
        <w:spacing w:before="240"/>
        <w:jc w:val="left"/>
        <w:rPr>
          <w:rFonts w:ascii="Arial" w:hAnsi="Arial" w:cs="Arial"/>
          <w:lang w:eastAsia="en-US"/>
        </w:rPr>
      </w:pPr>
      <w:r w:rsidRPr="00EB4CA0">
        <w:rPr>
          <w:rFonts w:ascii="Arial" w:hAnsi="Arial" w:cs="Arial"/>
          <w:lang w:eastAsia="en-US"/>
        </w:rPr>
        <w:t xml:space="preserve">Various theories may be used to explain the barriers that are discovered in long-term care environments. The Stress Buffering Hypothesis suggests that social support acts as a buffer for the psychological impact of stressful events in life, and that they exude emotional support, practical aid, and gives them a sense of belonging </w:t>
      </w:r>
      <w:r w:rsidR="00F81547" w:rsidRPr="00EB4CA0">
        <w:rPr>
          <w:rFonts w:ascii="Arial" w:hAnsi="Arial" w:cs="Arial"/>
          <w:lang w:eastAsia="en-US"/>
        </w:rPr>
        <w:t>(Bowen et al., 2014)</w:t>
      </w:r>
      <w:r w:rsidRPr="00EB4CA0">
        <w:rPr>
          <w:rFonts w:ascii="Arial" w:hAnsi="Arial" w:cs="Arial"/>
          <w:lang w:eastAsia="en-US"/>
        </w:rPr>
        <w:t xml:space="preserve">. </w:t>
      </w:r>
      <w:r w:rsidR="000778F1" w:rsidRPr="00EB4CA0">
        <w:rPr>
          <w:rFonts w:ascii="Arial" w:hAnsi="Arial" w:cs="Arial"/>
          <w:lang w:eastAsia="en-US"/>
        </w:rPr>
        <w:t>However</w:t>
      </w:r>
      <w:r w:rsidRPr="00EB4CA0">
        <w:rPr>
          <w:rFonts w:ascii="Arial" w:hAnsi="Arial" w:cs="Arial"/>
          <w:lang w:eastAsia="en-US"/>
        </w:rPr>
        <w:t xml:space="preserve"> the protective environment is undermined by organisational limitations (e.g. reduced access to family contacts, institutional routines, shortage of staff, etc.), which render residents vulnerable to depression and anxiety. According to Attachment Theory, the emotional bonds and connections are of lifelong significance, and when there are issues of separation from family or a decrease in interactions with caregivers, they can impact emotional security later in life </w:t>
      </w:r>
      <w:r w:rsidR="00C4233C" w:rsidRPr="00EB4CA0">
        <w:rPr>
          <w:rFonts w:ascii="Arial" w:hAnsi="Arial" w:cs="Arial"/>
          <w:lang w:eastAsia="en-US"/>
        </w:rPr>
        <w:t>(Cherry, 2025)</w:t>
      </w:r>
      <w:r w:rsidRPr="00EB4CA0">
        <w:rPr>
          <w:rFonts w:ascii="Arial" w:hAnsi="Arial" w:cs="Arial"/>
          <w:lang w:eastAsia="en-US"/>
        </w:rPr>
        <w:t>. In addition, Person Centred Care contributes the values of dignity, autonomy and meaningful relationships as vital aspects of good care. However, the ideas have some drawbacks, as often they ignore any need for the organisations' capacities to be supportive</w:t>
      </w:r>
      <w:r w:rsidR="00941B93" w:rsidRPr="00EB4CA0">
        <w:rPr>
          <w:rFonts w:ascii="Arial" w:hAnsi="Arial" w:cs="Arial"/>
          <w:lang w:eastAsia="en-US"/>
        </w:rPr>
        <w:t xml:space="preserve"> (Kazemi and Corlin, 2025)</w:t>
      </w:r>
      <w:r w:rsidRPr="00EB4CA0">
        <w:rPr>
          <w:rFonts w:ascii="Arial" w:hAnsi="Arial" w:cs="Arial"/>
          <w:lang w:eastAsia="en-US"/>
        </w:rPr>
        <w:t>. In reality, however, the factors that shape the quality of attendant care can often be as significant as aspects of individual care, as the workforce pressures, limited resources and institutional constraints often militate against the type of personalised interaction these theories suggest.</w:t>
      </w:r>
    </w:p>
    <w:p w14:paraId="6EDAEC44" w14:textId="40CFA3D5" w:rsidR="00B41310" w:rsidRPr="00EB4CA0" w:rsidRDefault="00B41310" w:rsidP="00867D64">
      <w:pPr>
        <w:spacing w:before="240"/>
        <w:jc w:val="left"/>
        <w:rPr>
          <w:rFonts w:ascii="Arial" w:hAnsi="Arial" w:cs="Arial"/>
          <w:lang w:eastAsia="en-US"/>
        </w:rPr>
      </w:pPr>
      <w:r w:rsidRPr="00EB4CA0">
        <w:rPr>
          <w:rFonts w:ascii="Arial" w:hAnsi="Arial" w:cs="Arial"/>
          <w:lang w:eastAsia="en-US"/>
        </w:rPr>
        <w:t>Many of these challenges are recognized in the current legislation and policy. The Care Act 2014 includes a legal requirement to help improve people's wellbeing, including their emotional health and social engagement, while the Care Quality Commission (CQC) has Fundamental Standards that include a requirement to provide person-centred, compassionate and responsive care</w:t>
      </w:r>
      <w:r w:rsidR="002D4C22" w:rsidRPr="00EB4CA0">
        <w:rPr>
          <w:rFonts w:ascii="Arial" w:hAnsi="Arial" w:cs="Arial"/>
          <w:lang w:eastAsia="en-US"/>
        </w:rPr>
        <w:t xml:space="preserve"> (Care Act, 2014)</w:t>
      </w:r>
      <w:r w:rsidRPr="00EB4CA0">
        <w:rPr>
          <w:rFonts w:ascii="Arial" w:hAnsi="Arial" w:cs="Arial"/>
          <w:lang w:eastAsia="en-US"/>
        </w:rPr>
        <w:t>. Also, the NHS Long Term Plan encourages an integrated approach to health care for older people, better mental health support is encouraged, and social participation is seen as a foundation for healthy ageing in the World Health Organization's Decade of Healthy Ageing (2021-2030)</w:t>
      </w:r>
      <w:r w:rsidR="001E6E30" w:rsidRPr="00EB4CA0">
        <w:rPr>
          <w:rFonts w:ascii="Arial" w:hAnsi="Arial" w:cs="Arial"/>
          <w:lang w:eastAsia="en-US"/>
        </w:rPr>
        <w:t xml:space="preserve"> (WHO, 2020)</w:t>
      </w:r>
      <w:r w:rsidRPr="00EB4CA0">
        <w:rPr>
          <w:rFonts w:ascii="Arial" w:hAnsi="Arial" w:cs="Arial"/>
          <w:lang w:eastAsia="en-US"/>
        </w:rPr>
        <w:t xml:space="preserve">. In spite of these ambitions, implementation is not consistent. The CQC has continued to highlight that the rising demand, financial strain and staff shortages have an impact on the quality and availability of adult social care, but that, while there may be improvement, the rates of staffing vacancies in the sector are still much higher than across the labour market as a whole. </w:t>
      </w:r>
      <w:r w:rsidR="00BB037D" w:rsidRPr="00EB4CA0">
        <w:rPr>
          <w:rFonts w:ascii="Arial" w:hAnsi="Arial" w:cs="Arial"/>
          <w:lang w:eastAsia="en-US"/>
        </w:rPr>
        <w:t>T</w:t>
      </w:r>
      <w:r w:rsidRPr="00EB4CA0">
        <w:rPr>
          <w:rFonts w:ascii="Arial" w:hAnsi="Arial" w:cs="Arial"/>
          <w:lang w:eastAsia="en-US"/>
        </w:rPr>
        <w:t xml:space="preserve">he very best providers of childcare in England tend to be those with a reasonably settled workforce, while those with a frequent high turnover of staff tend to struggle with regard to </w:t>
      </w:r>
      <w:r w:rsidR="00E607A7" w:rsidRPr="00EB4CA0">
        <w:rPr>
          <w:rFonts w:ascii="Arial" w:hAnsi="Arial" w:cs="Arial"/>
          <w:lang w:eastAsia="en-US"/>
        </w:rPr>
        <w:t>socialization (Education Policy Institute, 2025)</w:t>
      </w:r>
      <w:r w:rsidRPr="00EB4CA0">
        <w:rPr>
          <w:rFonts w:ascii="Arial" w:hAnsi="Arial" w:cs="Arial"/>
          <w:lang w:eastAsia="en-US"/>
        </w:rPr>
        <w:t>. These results indicate that policy frameworks can be effective if sufficient resources are dedicated to their operationalization, in terms of workforce and organisational leadership.</w:t>
      </w:r>
    </w:p>
    <w:p w14:paraId="0FA79ABB" w14:textId="605E8DBE" w:rsidR="00FA2E13" w:rsidRPr="00EB4CA0" w:rsidRDefault="00B41310" w:rsidP="00867D64">
      <w:pPr>
        <w:spacing w:before="240"/>
        <w:jc w:val="left"/>
        <w:rPr>
          <w:rFonts w:ascii="Arial" w:hAnsi="Arial" w:cs="Arial"/>
          <w:lang w:eastAsia="en-US"/>
        </w:rPr>
      </w:pPr>
      <w:r w:rsidRPr="00EB4CA0">
        <w:rPr>
          <w:rFonts w:ascii="Arial" w:hAnsi="Arial" w:cs="Arial"/>
          <w:lang w:eastAsia="en-US"/>
        </w:rPr>
        <w:t>The reviewed studies show different emphases on how organisational and social barriers negatively affect the mental health of residents, but all show this as a negative impact. Benzinger et al. (2023) looked at the impacts of COVID-19 restrictions in long-term care settings and found that extended visitation restrictions caused increased feelings of loneliness and greater anxiety and depressive symptoms due to families' lack of opportunity to interact. Those findings were consistent with Thompson et al (2020), who also suggested that infection-control measures, whilst essential, were a source of psychological distress, due to reduced social activities. In contrast, Rostgaard et al. (2022) pointed toward the mitigating effect of the Scandinavian person-centred care models, which partly counteracted these effects by ensuring, wherever possible, the autonomy of the residents and structuring their social relationships. At the same time, Edmond and North (2023) found that the ageing population and the shortage of the Japanese workforce dull opportunities for individualised care in spite of the advanced long-term care systems in Japan, which is not an isolated issue for the UK. Lastly, Jahangir et al. (2025) emphasized that there are more barriers to social support in the lower- and middle-income countries due to fragile families and poor institutional resources. As a whole, the studies show that restriction of meaningful social interaction is robustly related to negative mental health outcomes.</w:t>
      </w:r>
    </w:p>
    <w:p w14:paraId="4E2ACE9F" w14:textId="6CC3C621" w:rsidR="008B4C13" w:rsidRPr="00EB4CA0" w:rsidRDefault="00FA2E13">
      <w:pPr>
        <w:pStyle w:val="Heading3"/>
        <w:numPr>
          <w:ilvl w:val="2"/>
          <w:numId w:val="9"/>
        </w:numPr>
        <w:spacing w:before="240" w:after="160"/>
        <w:jc w:val="left"/>
        <w:rPr>
          <w:rFonts w:ascii="Arial" w:hAnsi="Arial" w:cs="Arial"/>
          <w:b/>
          <w:bCs/>
          <w:color w:val="auto"/>
          <w:sz w:val="22"/>
          <w:szCs w:val="22"/>
        </w:rPr>
      </w:pPr>
      <w:bookmarkStart w:id="34" w:name="_Toc234701000"/>
      <w:r w:rsidRPr="00EB4CA0">
        <w:rPr>
          <w:rFonts w:ascii="Arial" w:hAnsi="Arial" w:cs="Arial"/>
          <w:b/>
          <w:bCs/>
          <w:color w:val="auto"/>
          <w:sz w:val="22"/>
          <w:szCs w:val="22"/>
        </w:rPr>
        <w:t>Implications and Links to Other Themes</w:t>
      </w:r>
      <w:bookmarkEnd w:id="34"/>
    </w:p>
    <w:p w14:paraId="611CBC69" w14:textId="6338407D" w:rsidR="00FA2E13" w:rsidRPr="00EB4CA0" w:rsidRDefault="00022FAC" w:rsidP="00867D64">
      <w:pPr>
        <w:spacing w:before="240"/>
        <w:jc w:val="left"/>
        <w:rPr>
          <w:rFonts w:ascii="Arial" w:hAnsi="Arial" w:cs="Arial"/>
          <w:lang w:eastAsia="en-US"/>
        </w:rPr>
      </w:pPr>
      <w:r w:rsidRPr="00EB4CA0">
        <w:rPr>
          <w:rFonts w:ascii="Arial" w:hAnsi="Arial" w:cs="Arial"/>
          <w:lang w:eastAsia="en-US"/>
        </w:rPr>
        <w:t>Identifying the organisational and social barriers has implications for working within a health and social care setting. Identifying these issues can help managers and policy makers make better workforce planning, staff retention, family engagement and resource allocation decisions to assist in providing person-centred care. Social interaction between people receiving care and care providers, between care providers and families, and between families and community organisations can decrease the feeling of loneliness and increase the emotional wellbeing of the residents, and this can be strengthened by enhanced staffing</w:t>
      </w:r>
      <w:r w:rsidR="00414A9C" w:rsidRPr="00EB4CA0">
        <w:rPr>
          <w:rFonts w:ascii="Arial" w:hAnsi="Arial" w:cs="Arial"/>
          <w:lang w:eastAsia="en-US"/>
        </w:rPr>
        <w:t xml:space="preserve"> (Suragarn, Hain and Pfaff, 2021)</w:t>
      </w:r>
      <w:r w:rsidRPr="00EB4CA0">
        <w:rPr>
          <w:rFonts w:ascii="Arial" w:hAnsi="Arial" w:cs="Arial"/>
          <w:lang w:eastAsia="en-US"/>
        </w:rPr>
        <w:t>. However, when barriers are not addressed, they can lead to depression and anxiety, decreased quality of life, social isolation and staff burnout and turnover, as well as to higher healthcare costs. All of this shows a need to balance operational requirements with relationship-centred care and sufficient funding and workforce capacity to support policy. Despite evidence of a range of barriers to social support, there are also a number of evidence-based interventions that could be implemented to overcome barriers. These strategies for improving social support and mental wellbeing are discussed in the following theme.</w:t>
      </w:r>
    </w:p>
    <w:p w14:paraId="19166184" w14:textId="6711D0ED" w:rsidR="00A95B8B" w:rsidRPr="00EB4CA0" w:rsidRDefault="00867E4D">
      <w:pPr>
        <w:pStyle w:val="Heading2"/>
        <w:numPr>
          <w:ilvl w:val="1"/>
          <w:numId w:val="2"/>
        </w:numPr>
        <w:spacing w:before="240" w:after="160"/>
        <w:jc w:val="left"/>
        <w:rPr>
          <w:rFonts w:ascii="Arial" w:hAnsi="Arial" w:cs="Arial"/>
          <w:b/>
          <w:bCs/>
          <w:color w:val="auto"/>
          <w:szCs w:val="24"/>
        </w:rPr>
      </w:pPr>
      <w:bookmarkStart w:id="35" w:name="_Toc234701001"/>
      <w:r w:rsidRPr="00EB4CA0">
        <w:rPr>
          <w:rFonts w:ascii="Arial" w:hAnsi="Arial" w:cs="Arial"/>
          <w:b/>
          <w:bCs/>
          <w:color w:val="auto"/>
          <w:szCs w:val="24"/>
        </w:rPr>
        <w:t>Theme 3</w:t>
      </w:r>
      <w:r w:rsidR="00127BA6" w:rsidRPr="00EB4CA0">
        <w:rPr>
          <w:rFonts w:ascii="Arial" w:hAnsi="Arial" w:cs="Arial"/>
          <w:b/>
          <w:bCs/>
          <w:color w:val="auto"/>
          <w:szCs w:val="24"/>
        </w:rPr>
        <w:t>: Strategies and Interventions to Improve Social Support and Mental Wellbeing</w:t>
      </w:r>
      <w:bookmarkEnd w:id="35"/>
    </w:p>
    <w:p w14:paraId="137B1982" w14:textId="7EC09074" w:rsidR="005F12EE" w:rsidRPr="00EB4CA0" w:rsidRDefault="005F12EE">
      <w:pPr>
        <w:pStyle w:val="Heading3"/>
        <w:numPr>
          <w:ilvl w:val="2"/>
          <w:numId w:val="10"/>
        </w:numPr>
        <w:spacing w:before="240" w:after="160"/>
        <w:jc w:val="left"/>
        <w:rPr>
          <w:rFonts w:ascii="Arial" w:hAnsi="Arial" w:cs="Arial"/>
          <w:b/>
          <w:bCs/>
          <w:color w:val="auto"/>
          <w:sz w:val="22"/>
          <w:szCs w:val="22"/>
        </w:rPr>
      </w:pPr>
      <w:bookmarkStart w:id="36" w:name="_Toc234701002"/>
      <w:r w:rsidRPr="00EB4CA0">
        <w:rPr>
          <w:rFonts w:ascii="Arial" w:hAnsi="Arial" w:cs="Arial"/>
          <w:b/>
          <w:bCs/>
          <w:color w:val="auto"/>
          <w:sz w:val="22"/>
          <w:szCs w:val="22"/>
        </w:rPr>
        <w:t>Definition and Background</w:t>
      </w:r>
      <w:bookmarkEnd w:id="36"/>
    </w:p>
    <w:p w14:paraId="748E4EF0" w14:textId="4BC04545" w:rsidR="005F12EE" w:rsidRPr="00EB4CA0" w:rsidRDefault="004C39C9" w:rsidP="00867D64">
      <w:pPr>
        <w:spacing w:before="240"/>
        <w:jc w:val="left"/>
        <w:rPr>
          <w:rFonts w:ascii="Arial" w:hAnsi="Arial" w:cs="Arial"/>
          <w:lang w:eastAsia="en-US"/>
        </w:rPr>
      </w:pPr>
      <w:r w:rsidRPr="00EB4CA0">
        <w:rPr>
          <w:rFonts w:ascii="Arial" w:hAnsi="Arial" w:cs="Arial"/>
          <w:lang w:eastAsia="en-US"/>
        </w:rPr>
        <w:t>Social support interventions are systematic methods that can enhance relationships and promote emotional functioning</w:t>
      </w:r>
      <w:r w:rsidR="00B75A34" w:rsidRPr="00EB4CA0">
        <w:rPr>
          <w:rFonts w:ascii="Arial" w:hAnsi="Arial" w:cs="Arial"/>
          <w:lang w:eastAsia="en-US"/>
        </w:rPr>
        <w:t xml:space="preserve"> (Clemson, 2025)</w:t>
      </w:r>
      <w:r w:rsidRPr="00EB4CA0">
        <w:rPr>
          <w:rFonts w:ascii="Arial" w:hAnsi="Arial" w:cs="Arial"/>
          <w:lang w:eastAsia="en-US"/>
        </w:rPr>
        <w:t>. Person-centred interventions in LTCFs recognise the dignity, autonomy and preferences of the residents, and psychosocial interventions provide interventions through meaningful activities and psychosocial interaction to support mental health</w:t>
      </w:r>
      <w:r w:rsidR="00937F7D" w:rsidRPr="00EB4CA0">
        <w:rPr>
          <w:rFonts w:ascii="Arial" w:hAnsi="Arial" w:cs="Arial"/>
          <w:lang w:eastAsia="en-US"/>
        </w:rPr>
        <w:t xml:space="preserve"> (European Society of Medicine, 2026)</w:t>
      </w:r>
      <w:r w:rsidR="00121A70" w:rsidRPr="00EB4CA0">
        <w:rPr>
          <w:rFonts w:ascii="Arial" w:hAnsi="Arial" w:cs="Arial"/>
          <w:lang w:eastAsia="en-US"/>
        </w:rPr>
        <w:t xml:space="preserve">. </w:t>
      </w:r>
      <w:r w:rsidRPr="00EB4CA0">
        <w:rPr>
          <w:rFonts w:ascii="Arial" w:hAnsi="Arial" w:cs="Arial"/>
          <w:lang w:eastAsia="en-US"/>
        </w:rPr>
        <w:t>These can be things like family involvement, befriending, group activities, social prescribing, music therapy and video communication. These are the most relevant of these approaches since the role of long-term care has evolved from primarily physical care to a more holistic approach. They directly tackle the research aim by alleviating loneliness, depression and anxiety within the residents.</w:t>
      </w:r>
    </w:p>
    <w:p w14:paraId="6DEC2C87" w14:textId="7D6FEC5F" w:rsidR="005F12EE" w:rsidRPr="00EB4CA0" w:rsidRDefault="005F12EE">
      <w:pPr>
        <w:pStyle w:val="Heading3"/>
        <w:numPr>
          <w:ilvl w:val="2"/>
          <w:numId w:val="10"/>
        </w:numPr>
        <w:spacing w:before="240" w:after="160"/>
        <w:jc w:val="left"/>
        <w:rPr>
          <w:rFonts w:ascii="Arial" w:hAnsi="Arial" w:cs="Arial"/>
          <w:b/>
          <w:bCs/>
          <w:color w:val="auto"/>
          <w:sz w:val="22"/>
          <w:szCs w:val="22"/>
        </w:rPr>
      </w:pPr>
      <w:bookmarkStart w:id="37" w:name="_Toc234701003"/>
      <w:r w:rsidRPr="00EB4CA0">
        <w:rPr>
          <w:rFonts w:ascii="Arial" w:hAnsi="Arial" w:cs="Arial"/>
          <w:b/>
          <w:bCs/>
          <w:color w:val="auto"/>
          <w:sz w:val="22"/>
          <w:szCs w:val="22"/>
        </w:rPr>
        <w:t>Evidence-Based Strategies to Improve Mental Health</w:t>
      </w:r>
      <w:bookmarkEnd w:id="37"/>
    </w:p>
    <w:p w14:paraId="58081336" w14:textId="25FF110C" w:rsidR="00F24879" w:rsidRPr="00EB4CA0" w:rsidRDefault="00F24879" w:rsidP="00867D64">
      <w:pPr>
        <w:spacing w:before="240"/>
        <w:jc w:val="left"/>
        <w:rPr>
          <w:rFonts w:ascii="Arial" w:hAnsi="Arial" w:cs="Arial"/>
          <w:lang w:eastAsia="en-US"/>
        </w:rPr>
      </w:pPr>
      <w:r w:rsidRPr="00EB4CA0">
        <w:rPr>
          <w:rFonts w:ascii="Arial" w:hAnsi="Arial" w:cs="Arial"/>
          <w:lang w:eastAsia="en-US"/>
        </w:rPr>
        <w:t>Meeting regularly with family members, together supporting each other, being part of an exercise group or recreational activities can help lower loneliness levels and increase satisfaction with life</w:t>
      </w:r>
      <w:r w:rsidR="00EA60B6" w:rsidRPr="00EB4CA0">
        <w:rPr>
          <w:rFonts w:ascii="Arial" w:hAnsi="Arial" w:cs="Arial"/>
          <w:lang w:eastAsia="en-US"/>
        </w:rPr>
        <w:t xml:space="preserve"> (Li, Mirzaei and Jeon, 2024)</w:t>
      </w:r>
      <w:r w:rsidRPr="00EB4CA0">
        <w:rPr>
          <w:rFonts w:ascii="Arial" w:hAnsi="Arial" w:cs="Arial"/>
          <w:lang w:eastAsia="en-US"/>
        </w:rPr>
        <w:t>. WHO encourages social engagement as a component of healthy ageing, and NHS social prescribing is used to link older people to groups and befrienders in the community. The befriending programmes run by Age UK have found that regular help and companionship lead to a feeling of reduced loneliness and better wellbeing</w:t>
      </w:r>
      <w:r w:rsidR="00980976" w:rsidRPr="00EB4CA0">
        <w:rPr>
          <w:rFonts w:ascii="Arial" w:hAnsi="Arial" w:cs="Arial"/>
          <w:lang w:eastAsia="en-US"/>
        </w:rPr>
        <w:t xml:space="preserve"> (Age UK, 2024)</w:t>
      </w:r>
      <w:r w:rsidRPr="00EB4CA0">
        <w:rPr>
          <w:rFonts w:ascii="Arial" w:hAnsi="Arial" w:cs="Arial"/>
          <w:lang w:eastAsia="en-US"/>
        </w:rPr>
        <w:t>. All these interventions are useful, as they provide emotional support in addition to what is routinely provided in clinical care.</w:t>
      </w:r>
    </w:p>
    <w:p w14:paraId="41941D76" w14:textId="258C31A6" w:rsidR="00867E4D" w:rsidRPr="00EB4CA0" w:rsidRDefault="00F24879" w:rsidP="00867D64">
      <w:pPr>
        <w:spacing w:before="240"/>
        <w:jc w:val="left"/>
        <w:rPr>
          <w:rFonts w:ascii="Arial" w:hAnsi="Arial" w:cs="Arial"/>
          <w:lang w:eastAsia="en-US"/>
        </w:rPr>
      </w:pPr>
      <w:r w:rsidRPr="00EB4CA0">
        <w:rPr>
          <w:rFonts w:ascii="Arial" w:hAnsi="Arial" w:cs="Arial"/>
          <w:lang w:eastAsia="en-US"/>
        </w:rPr>
        <w:t>Some of the other options are music therapy, dementia-friendly environments or technology-assisted communication. For 'music for Dementia', the focus is put on individual music to diminish agitation and anxiety</w:t>
      </w:r>
      <w:r w:rsidR="00AB05E0" w:rsidRPr="00EB4CA0">
        <w:rPr>
          <w:rFonts w:ascii="Arial" w:hAnsi="Arial" w:cs="Arial"/>
          <w:lang w:eastAsia="en-US"/>
        </w:rPr>
        <w:t xml:space="preserve"> and </w:t>
      </w:r>
      <w:r w:rsidRPr="00EB4CA0">
        <w:rPr>
          <w:rFonts w:ascii="Arial" w:hAnsi="Arial" w:cs="Arial"/>
          <w:lang w:eastAsia="en-US"/>
        </w:rPr>
        <w:t>Hogeweyk Dementia Village in the Netherlands is dedicated to 'freedom, routine and community'</w:t>
      </w:r>
      <w:r w:rsidR="00D46A6A" w:rsidRPr="00EB4CA0">
        <w:rPr>
          <w:rFonts w:ascii="Arial" w:hAnsi="Arial" w:cs="Arial"/>
          <w:lang w:eastAsia="en-US"/>
        </w:rPr>
        <w:t xml:space="preserve"> (Dementia Village Associates, 2023)</w:t>
      </w:r>
      <w:r w:rsidRPr="00EB4CA0">
        <w:rPr>
          <w:rFonts w:ascii="Arial" w:hAnsi="Arial" w:cs="Arial"/>
          <w:lang w:eastAsia="en-US"/>
        </w:rPr>
        <w:t>. Video calls enabled residents to continue to have contact with families, which could not be replicated during physical distancing during COVID-19, especially for those with sensory impairments or who have dementia</w:t>
      </w:r>
      <w:r w:rsidR="00673243" w:rsidRPr="00EB4CA0">
        <w:rPr>
          <w:rFonts w:ascii="Arial" w:hAnsi="Arial" w:cs="Arial"/>
          <w:lang w:eastAsia="en-US"/>
        </w:rPr>
        <w:t xml:space="preserve"> (Céline Racin et al., 2023). </w:t>
      </w:r>
      <w:r w:rsidRPr="00EB4CA0">
        <w:rPr>
          <w:rFonts w:ascii="Arial" w:hAnsi="Arial" w:cs="Arial"/>
          <w:lang w:eastAsia="en-US"/>
        </w:rPr>
        <w:t>From a broad perspective, the impact of these strategies to enhance wellbeing is contingent on staffing, funding, digital skills and family engagement.</w:t>
      </w:r>
    </w:p>
    <w:p w14:paraId="383428A1" w14:textId="77777777" w:rsidR="005035AB" w:rsidRPr="00EB4CA0" w:rsidRDefault="005035AB">
      <w:pPr>
        <w:pStyle w:val="Heading3"/>
        <w:numPr>
          <w:ilvl w:val="2"/>
          <w:numId w:val="10"/>
        </w:numPr>
        <w:spacing w:before="240" w:after="160"/>
        <w:jc w:val="left"/>
        <w:rPr>
          <w:rFonts w:ascii="Arial" w:hAnsi="Arial" w:cs="Arial"/>
          <w:b/>
          <w:bCs/>
          <w:color w:val="auto"/>
          <w:sz w:val="22"/>
          <w:szCs w:val="22"/>
        </w:rPr>
      </w:pPr>
      <w:bookmarkStart w:id="38" w:name="_Toc234701004"/>
      <w:r w:rsidRPr="00EB4CA0">
        <w:rPr>
          <w:rFonts w:ascii="Arial" w:hAnsi="Arial" w:cs="Arial"/>
          <w:b/>
          <w:bCs/>
          <w:color w:val="auto"/>
          <w:sz w:val="22"/>
          <w:szCs w:val="22"/>
        </w:rPr>
        <w:t>Theories, Policies and Literature Findings</w:t>
      </w:r>
      <w:bookmarkEnd w:id="38"/>
    </w:p>
    <w:p w14:paraId="46EEF56B" w14:textId="51CF8EEE" w:rsidR="00D7240A" w:rsidRPr="00EB4CA0" w:rsidRDefault="00D7240A" w:rsidP="00867D64">
      <w:pPr>
        <w:spacing w:before="240"/>
        <w:jc w:val="left"/>
        <w:rPr>
          <w:rFonts w:ascii="Arial" w:hAnsi="Arial" w:cs="Arial"/>
          <w:lang w:eastAsia="en-US"/>
        </w:rPr>
      </w:pPr>
      <w:r w:rsidRPr="00EB4CA0">
        <w:rPr>
          <w:rFonts w:ascii="Arial" w:hAnsi="Arial" w:cs="Arial"/>
          <w:lang w:eastAsia="en-US"/>
        </w:rPr>
        <w:t>According to Social Support Theory, emotional, practical and companionship support increases wellbeing by increasing belonging and coping ability. Person-Centred Care also illuminates the reason for the effectiveness of intervention based on a resident's preferences rather than doing the same things for all residents, identity and relationships</w:t>
      </w:r>
      <w:r w:rsidR="006B5F9A" w:rsidRPr="00EB4CA0">
        <w:rPr>
          <w:rFonts w:ascii="Arial" w:hAnsi="Arial" w:cs="Arial"/>
          <w:lang w:eastAsia="en-US"/>
        </w:rPr>
        <w:t xml:space="preserve"> (Muhideen Ajibade, 2026)</w:t>
      </w:r>
      <w:r w:rsidRPr="00EB4CA0">
        <w:rPr>
          <w:rFonts w:ascii="Arial" w:hAnsi="Arial" w:cs="Arial"/>
          <w:lang w:eastAsia="en-US"/>
        </w:rPr>
        <w:t>. The WHO Active Ageing Framework also associates participation with health, independence and quality of life</w:t>
      </w:r>
      <w:r w:rsidR="0077117C" w:rsidRPr="00EB4CA0">
        <w:rPr>
          <w:rFonts w:ascii="Arial" w:hAnsi="Arial" w:cs="Arial"/>
          <w:lang w:eastAsia="en-US"/>
        </w:rPr>
        <w:t>,</w:t>
      </w:r>
      <w:r w:rsidRPr="00EB4CA0">
        <w:rPr>
          <w:rFonts w:ascii="Arial" w:hAnsi="Arial" w:cs="Arial"/>
          <w:lang w:eastAsia="en-US"/>
        </w:rPr>
        <w:t xml:space="preserve"> reinforc</w:t>
      </w:r>
      <w:r w:rsidR="0077117C" w:rsidRPr="00EB4CA0">
        <w:rPr>
          <w:rFonts w:ascii="Arial" w:hAnsi="Arial" w:cs="Arial"/>
          <w:lang w:eastAsia="en-US"/>
        </w:rPr>
        <w:t>ing</w:t>
      </w:r>
      <w:r w:rsidRPr="00EB4CA0">
        <w:rPr>
          <w:rFonts w:ascii="Arial" w:hAnsi="Arial" w:cs="Arial"/>
          <w:lang w:eastAsia="en-US"/>
        </w:rPr>
        <w:t xml:space="preserve"> the involvement of family relationships, befriending, music and group activities which promote connection and give personal meaning</w:t>
      </w:r>
      <w:r w:rsidR="00EF6D93" w:rsidRPr="00EB4CA0">
        <w:rPr>
          <w:rFonts w:ascii="Arial" w:hAnsi="Arial" w:cs="Arial"/>
          <w:lang w:eastAsia="en-US"/>
        </w:rPr>
        <w:t xml:space="preserve"> (World Health Organization, 2002)</w:t>
      </w:r>
      <w:r w:rsidRPr="00EB4CA0">
        <w:rPr>
          <w:rFonts w:ascii="Arial" w:hAnsi="Arial" w:cs="Arial"/>
          <w:lang w:eastAsia="en-US"/>
        </w:rPr>
        <w:t xml:space="preserve">. </w:t>
      </w:r>
      <w:r w:rsidR="00D5797A" w:rsidRPr="00EB4CA0">
        <w:rPr>
          <w:rFonts w:ascii="Arial" w:hAnsi="Arial" w:cs="Arial"/>
          <w:lang w:eastAsia="en-US"/>
        </w:rPr>
        <w:t>However,</w:t>
      </w:r>
      <w:r w:rsidRPr="00EB4CA0">
        <w:rPr>
          <w:rFonts w:ascii="Arial" w:hAnsi="Arial" w:cs="Arial"/>
          <w:lang w:eastAsia="en-US"/>
        </w:rPr>
        <w:t xml:space="preserve"> interventions can't work for everyone, all the time</w:t>
      </w:r>
      <w:r w:rsidR="0069735E" w:rsidRPr="00EB4CA0">
        <w:rPr>
          <w:rFonts w:ascii="Arial" w:hAnsi="Arial" w:cs="Arial"/>
          <w:lang w:eastAsia="en-US"/>
        </w:rPr>
        <w:t xml:space="preserve"> as</w:t>
      </w:r>
      <w:r w:rsidRPr="00EB4CA0">
        <w:rPr>
          <w:rFonts w:ascii="Arial" w:hAnsi="Arial" w:cs="Arial"/>
          <w:lang w:eastAsia="en-US"/>
        </w:rPr>
        <w:t xml:space="preserve"> </w:t>
      </w:r>
      <w:r w:rsidR="0069735E" w:rsidRPr="00EB4CA0">
        <w:rPr>
          <w:rFonts w:ascii="Arial" w:hAnsi="Arial" w:cs="Arial"/>
          <w:lang w:eastAsia="en-US"/>
        </w:rPr>
        <w:t>t</w:t>
      </w:r>
      <w:r w:rsidRPr="00EB4CA0">
        <w:rPr>
          <w:rFonts w:ascii="Arial" w:hAnsi="Arial" w:cs="Arial"/>
          <w:lang w:eastAsia="en-US"/>
        </w:rPr>
        <w:t>hree factors shape participation</w:t>
      </w:r>
      <w:r w:rsidR="007D44C7" w:rsidRPr="00EB4CA0">
        <w:rPr>
          <w:rFonts w:ascii="Arial" w:hAnsi="Arial" w:cs="Arial"/>
          <w:lang w:eastAsia="en-US"/>
        </w:rPr>
        <w:t>,</w:t>
      </w:r>
      <w:r w:rsidRPr="00EB4CA0">
        <w:rPr>
          <w:rFonts w:ascii="Arial" w:hAnsi="Arial" w:cs="Arial"/>
          <w:lang w:eastAsia="en-US"/>
        </w:rPr>
        <w:t xml:space="preserve"> the cognitive impairment, culture and individual preferences and three more are related to the sustainability of programmes</w:t>
      </w:r>
      <w:r w:rsidR="007D44C7" w:rsidRPr="00EB4CA0">
        <w:rPr>
          <w:rFonts w:ascii="Arial" w:hAnsi="Arial" w:cs="Arial"/>
          <w:lang w:eastAsia="en-US"/>
        </w:rPr>
        <w:t xml:space="preserve">, </w:t>
      </w:r>
      <w:r w:rsidRPr="00EB4CA0">
        <w:rPr>
          <w:rFonts w:ascii="Arial" w:hAnsi="Arial" w:cs="Arial"/>
          <w:lang w:eastAsia="en-US"/>
        </w:rPr>
        <w:t>staffing, funding and transport. It thus does not imply that the presence of an activity means there is meaningful social support.</w:t>
      </w:r>
    </w:p>
    <w:p w14:paraId="5849D82C" w14:textId="1DEC7FC6" w:rsidR="00D7240A" w:rsidRPr="00EB4CA0" w:rsidRDefault="00D7240A" w:rsidP="00867D64">
      <w:pPr>
        <w:spacing w:before="240"/>
        <w:jc w:val="left"/>
        <w:rPr>
          <w:rFonts w:ascii="Arial" w:hAnsi="Arial" w:cs="Arial"/>
          <w:lang w:eastAsia="en-US"/>
        </w:rPr>
      </w:pPr>
      <w:r w:rsidRPr="00EB4CA0">
        <w:rPr>
          <w:rFonts w:ascii="Arial" w:hAnsi="Arial" w:cs="Arial"/>
          <w:lang w:eastAsia="en-US"/>
        </w:rPr>
        <w:t>There is strong policy support for socially connected care. Wellbeing is integral to the Care Act 2014, and regulation 9 of the CQC is about individual needs and preferences</w:t>
      </w:r>
      <w:r w:rsidR="00F06113" w:rsidRPr="00EB4CA0">
        <w:rPr>
          <w:rFonts w:ascii="Arial" w:hAnsi="Arial" w:cs="Arial"/>
          <w:lang w:eastAsia="en-US"/>
        </w:rPr>
        <w:t xml:space="preserve"> (Care Quality Commission, 2024)</w:t>
      </w:r>
      <w:r w:rsidRPr="00EB4CA0">
        <w:rPr>
          <w:rFonts w:ascii="Arial" w:hAnsi="Arial" w:cs="Arial"/>
          <w:lang w:eastAsia="en-US"/>
        </w:rPr>
        <w:t>. Personalised care and social prescribing are central to the NHS Long Term Plan, while communities which support healthy ageing, integrated care and access to high-quality long-term care are global priorities according to the WHO Decade of Healthy Ageing</w:t>
      </w:r>
      <w:r w:rsidR="00560CCE" w:rsidRPr="00EB4CA0">
        <w:rPr>
          <w:rFonts w:ascii="Arial" w:hAnsi="Arial" w:cs="Arial"/>
          <w:lang w:eastAsia="en-US"/>
        </w:rPr>
        <w:t xml:space="preserve"> (NHS England, 2024)</w:t>
      </w:r>
      <w:r w:rsidRPr="00EB4CA0">
        <w:rPr>
          <w:rFonts w:ascii="Arial" w:hAnsi="Arial" w:cs="Arial"/>
          <w:lang w:eastAsia="en-US"/>
        </w:rPr>
        <w:t>. These policies make it essentially clear that emotional and social needs need to be addressed in addition to physical needs. Despite this, progress is still inconsistent, with some providers encountering staffing difficulties, financial restrictions, and a lack of available community services. Therefore, staffing, leadership and tangible evidence of social well-being outcomes are required to make robust policy commitments real.</w:t>
      </w:r>
    </w:p>
    <w:p w14:paraId="7F1D6B23" w14:textId="79CD5C8E" w:rsidR="00253D31" w:rsidRPr="00EB4CA0" w:rsidRDefault="00D7240A" w:rsidP="00867D64">
      <w:pPr>
        <w:spacing w:before="240"/>
        <w:jc w:val="left"/>
        <w:rPr>
          <w:rFonts w:ascii="Arial" w:hAnsi="Arial" w:cs="Arial"/>
          <w:lang w:eastAsia="en-US"/>
        </w:rPr>
      </w:pPr>
      <w:r w:rsidRPr="00EB4CA0">
        <w:rPr>
          <w:rFonts w:ascii="Arial" w:hAnsi="Arial" w:cs="Arial"/>
          <w:lang w:eastAsia="en-US"/>
        </w:rPr>
        <w:t>Literature strength is mixed, but it makes positive suggestions. By combining the findings of 19 qualitative analyses of 18 datasets, Liebmann et al. (2022) concluded that social prescribing could lower levels of perceived loneliness, though the benefits were not guaranteed for everyone, and could enhance wellbeing where it resulted in important connections, though effects were inconsistent. The personal experience represented in the qualitative evidence, however not an indication of causality. A broader meta-analysis revealed the types of interventions to be</w:t>
      </w:r>
      <w:r w:rsidR="00706CE3" w:rsidRPr="00EB4CA0">
        <w:rPr>
          <w:rFonts w:ascii="Arial" w:hAnsi="Arial" w:cs="Arial"/>
          <w:lang w:eastAsia="en-US"/>
        </w:rPr>
        <w:t xml:space="preserve"> </w:t>
      </w:r>
      <w:r w:rsidRPr="00EB4CA0">
        <w:rPr>
          <w:rFonts w:ascii="Arial" w:hAnsi="Arial" w:cs="Arial"/>
          <w:lang w:eastAsia="en-US"/>
        </w:rPr>
        <w:t>group, educational support group, recreation and communication technology, with the results mixed within programmes</w:t>
      </w:r>
      <w:r w:rsidR="00374031" w:rsidRPr="00EB4CA0">
        <w:rPr>
          <w:rFonts w:ascii="Arial" w:hAnsi="Arial" w:cs="Arial"/>
          <w:lang w:eastAsia="en-US"/>
        </w:rPr>
        <w:t xml:space="preserve"> (Zhang et al., 2023)</w:t>
      </w:r>
      <w:r w:rsidRPr="00EB4CA0">
        <w:rPr>
          <w:rFonts w:ascii="Arial" w:hAnsi="Arial" w:cs="Arial"/>
          <w:lang w:eastAsia="en-US"/>
        </w:rPr>
        <w:t xml:space="preserve">. There is a mixed effect for music interventions, too. According to a Cochrane review from 2025, music-based therapy likely results in a reduction of depression, and potentially in better social behaviour, but the effect may not last </w:t>
      </w:r>
      <w:r w:rsidR="00A80AC1" w:rsidRPr="00EB4CA0">
        <w:rPr>
          <w:rFonts w:ascii="Arial" w:hAnsi="Arial" w:cs="Arial"/>
          <w:lang w:eastAsia="en-US"/>
        </w:rPr>
        <w:t>follow</w:t>
      </w:r>
      <w:r w:rsidRPr="00EB4CA0">
        <w:rPr>
          <w:rFonts w:ascii="Arial" w:hAnsi="Arial" w:cs="Arial"/>
          <w:lang w:eastAsia="en-US"/>
        </w:rPr>
        <w:t xml:space="preserve"> the therapy and evidence of benefit for anxiety is inconclusive</w:t>
      </w:r>
      <w:r w:rsidR="00375B7A" w:rsidRPr="00EB4CA0">
        <w:rPr>
          <w:rFonts w:ascii="Arial" w:hAnsi="Arial" w:cs="Arial"/>
          <w:lang w:eastAsia="en-US"/>
        </w:rPr>
        <w:t xml:space="preserve"> (Cochrane, 2025)</w:t>
      </w:r>
      <w:r w:rsidRPr="00EB4CA0">
        <w:rPr>
          <w:rFonts w:ascii="Arial" w:hAnsi="Arial" w:cs="Arial"/>
          <w:lang w:eastAsia="en-US"/>
        </w:rPr>
        <w:t xml:space="preserve">. Together, these studies are unanimous that interventions are effective in enhancing social support for </w:t>
      </w:r>
      <w:r w:rsidR="00D16C72" w:rsidRPr="00EB4CA0">
        <w:rPr>
          <w:rFonts w:ascii="Arial" w:hAnsi="Arial" w:cs="Arial"/>
          <w:lang w:eastAsia="en-US"/>
        </w:rPr>
        <w:t>individuals but</w:t>
      </w:r>
      <w:r w:rsidRPr="00EB4CA0">
        <w:rPr>
          <w:rFonts w:ascii="Arial" w:hAnsi="Arial" w:cs="Arial"/>
          <w:lang w:eastAsia="en-US"/>
        </w:rPr>
        <w:t xml:space="preserve"> question the notion that one intervention is universally effective. There is greater evidence for personalised, repeated and relationship-based practices with sufficient resources.</w:t>
      </w:r>
    </w:p>
    <w:p w14:paraId="328861A8" w14:textId="005A1DAC" w:rsidR="009C0AC9" w:rsidRPr="00EB4CA0" w:rsidRDefault="009C0AC9">
      <w:pPr>
        <w:pStyle w:val="Heading3"/>
        <w:numPr>
          <w:ilvl w:val="2"/>
          <w:numId w:val="10"/>
        </w:numPr>
        <w:spacing w:before="240" w:after="160"/>
        <w:jc w:val="left"/>
        <w:rPr>
          <w:rFonts w:ascii="Arial" w:hAnsi="Arial" w:cs="Arial"/>
          <w:b/>
          <w:bCs/>
          <w:color w:val="auto"/>
          <w:sz w:val="22"/>
          <w:szCs w:val="22"/>
        </w:rPr>
      </w:pPr>
      <w:bookmarkStart w:id="39" w:name="_Toc234701005"/>
      <w:r w:rsidRPr="00EB4CA0">
        <w:rPr>
          <w:rFonts w:ascii="Arial" w:hAnsi="Arial" w:cs="Arial"/>
          <w:b/>
          <w:bCs/>
          <w:color w:val="auto"/>
          <w:sz w:val="22"/>
          <w:szCs w:val="22"/>
        </w:rPr>
        <w:t>Implications and Overall Discussion</w:t>
      </w:r>
      <w:bookmarkEnd w:id="39"/>
    </w:p>
    <w:p w14:paraId="481B48AC" w14:textId="7856B62F" w:rsidR="00B4437E" w:rsidRPr="00EB4CA0" w:rsidRDefault="007A75EB" w:rsidP="00867D64">
      <w:pPr>
        <w:spacing w:before="240"/>
        <w:jc w:val="left"/>
        <w:rPr>
          <w:rFonts w:ascii="Arial" w:hAnsi="Arial" w:cs="Arial"/>
          <w:lang w:eastAsia="en-US"/>
        </w:rPr>
      </w:pPr>
      <w:r w:rsidRPr="00EB4CA0">
        <w:rPr>
          <w:rFonts w:ascii="Arial" w:hAnsi="Arial" w:cs="Arial"/>
          <w:lang w:eastAsia="en-US"/>
        </w:rPr>
        <w:t>The results suggest that there are significant implications for social support interventions in health and social care practice. By increasing family involvement, social prescribing, befriending programmes, music therapy and meaningful social activities, the residents' mental wellbeing will be improved by reducing depression, anxiety and loneliness, and increasing residents' quality of life, cognitive function and satisfaction with care</w:t>
      </w:r>
      <w:r w:rsidR="00104A5E" w:rsidRPr="00EB4CA0">
        <w:rPr>
          <w:rFonts w:ascii="Arial" w:hAnsi="Arial" w:cs="Arial"/>
          <w:lang w:eastAsia="en-US"/>
        </w:rPr>
        <w:t xml:space="preserve"> (Reschke-Hernández et al., 2023)</w:t>
      </w:r>
      <w:r w:rsidRPr="00EB4CA0">
        <w:rPr>
          <w:rFonts w:ascii="Arial" w:hAnsi="Arial" w:cs="Arial"/>
          <w:lang w:eastAsia="en-US"/>
        </w:rPr>
        <w:t>. These interventions can also help to foster better connections between residents and caregivers, leading to better person-centred care and a possibility of fewer avoidable hospitalizations due to emotional and psychological well-being. Care planning increases involvement of family</w:t>
      </w:r>
      <w:r w:rsidR="00AF1F4B" w:rsidRPr="00EB4CA0">
        <w:rPr>
          <w:rFonts w:ascii="Arial" w:hAnsi="Arial" w:cs="Arial"/>
          <w:lang w:eastAsia="en-US"/>
        </w:rPr>
        <w:t>, e</w:t>
      </w:r>
      <w:r w:rsidRPr="00EB4CA0">
        <w:rPr>
          <w:rFonts w:ascii="Arial" w:hAnsi="Arial" w:cs="Arial"/>
          <w:lang w:eastAsia="en-US"/>
        </w:rPr>
        <w:t>nhanced communication and trust</w:t>
      </w:r>
      <w:r w:rsidR="00395A57" w:rsidRPr="00EB4CA0">
        <w:rPr>
          <w:rFonts w:ascii="Arial" w:hAnsi="Arial" w:cs="Arial"/>
          <w:lang w:eastAsia="en-US"/>
        </w:rPr>
        <w:t xml:space="preserve"> and</w:t>
      </w:r>
      <w:r w:rsidRPr="00EB4CA0">
        <w:rPr>
          <w:rFonts w:ascii="Arial" w:hAnsi="Arial" w:cs="Arial"/>
          <w:lang w:eastAsia="en-US"/>
        </w:rPr>
        <w:t xml:space="preserve"> staff know more about the resident's needs</w:t>
      </w:r>
      <w:r w:rsidR="002607D9" w:rsidRPr="00EB4CA0">
        <w:rPr>
          <w:rFonts w:ascii="Arial" w:hAnsi="Arial" w:cs="Arial"/>
          <w:lang w:eastAsia="en-US"/>
        </w:rPr>
        <w:t>,</w:t>
      </w:r>
      <w:r w:rsidR="008201CA" w:rsidRPr="00EB4CA0">
        <w:rPr>
          <w:rFonts w:ascii="Arial" w:hAnsi="Arial" w:cs="Arial"/>
          <w:lang w:eastAsia="en-US"/>
        </w:rPr>
        <w:t xml:space="preserve"> </w:t>
      </w:r>
      <w:r w:rsidRPr="00EB4CA0">
        <w:rPr>
          <w:rFonts w:ascii="Arial" w:hAnsi="Arial" w:cs="Arial"/>
          <w:lang w:eastAsia="en-US"/>
        </w:rPr>
        <w:t>families benefit</w:t>
      </w:r>
      <w:r w:rsidR="002E6A9D" w:rsidRPr="00EB4CA0">
        <w:rPr>
          <w:rFonts w:ascii="Arial" w:hAnsi="Arial" w:cs="Arial"/>
          <w:lang w:eastAsia="en-US"/>
        </w:rPr>
        <w:t xml:space="preserve"> (Community Care </w:t>
      </w:r>
      <w:r w:rsidR="009930B0" w:rsidRPr="00EB4CA0">
        <w:rPr>
          <w:rFonts w:ascii="Arial" w:hAnsi="Arial" w:cs="Arial"/>
          <w:lang w:eastAsia="en-US"/>
        </w:rPr>
        <w:t>on</w:t>
      </w:r>
      <w:r w:rsidR="002E6A9D" w:rsidRPr="00EB4CA0">
        <w:rPr>
          <w:rFonts w:ascii="Arial" w:hAnsi="Arial" w:cs="Arial"/>
          <w:lang w:eastAsia="en-US"/>
        </w:rPr>
        <w:t xml:space="preserve"> Palm, 2024)</w:t>
      </w:r>
      <w:r w:rsidRPr="00EB4CA0">
        <w:rPr>
          <w:rFonts w:ascii="Arial" w:hAnsi="Arial" w:cs="Arial"/>
          <w:lang w:eastAsia="en-US"/>
        </w:rPr>
        <w:t xml:space="preserve">. </w:t>
      </w:r>
      <w:r w:rsidR="00204FC3" w:rsidRPr="00EB4CA0">
        <w:rPr>
          <w:rFonts w:ascii="Arial" w:hAnsi="Arial" w:cs="Arial"/>
          <w:lang w:eastAsia="en-US"/>
        </w:rPr>
        <w:t>However</w:t>
      </w:r>
      <w:r w:rsidRPr="00EB4CA0">
        <w:rPr>
          <w:rFonts w:ascii="Arial" w:hAnsi="Arial" w:cs="Arial"/>
          <w:lang w:eastAsia="en-US"/>
        </w:rPr>
        <w:t xml:space="preserve"> there are many implementation challenges to consider. Many of these programmes require a long-term financial commitment, staff training, and sufficient staffing, which is a challenge for many LTC facilities experiencing staffing and workforce shortages. Additionally, service inequities between urban and rural areas and also organisational differences in resource capacity can lead to inequities in implementation and inequities in outcome</w:t>
      </w:r>
      <w:r w:rsidR="00230C20" w:rsidRPr="00EB4CA0">
        <w:rPr>
          <w:rFonts w:ascii="Arial" w:hAnsi="Arial" w:cs="Arial"/>
          <w:lang w:eastAsia="en-US"/>
        </w:rPr>
        <w:t xml:space="preserve"> (Oboche Agbo, 2026)</w:t>
      </w:r>
      <w:r w:rsidRPr="00EB4CA0">
        <w:rPr>
          <w:rFonts w:ascii="Arial" w:hAnsi="Arial" w:cs="Arial"/>
          <w:lang w:eastAsia="en-US"/>
        </w:rPr>
        <w:t>. This demands good leadership, workforce arrangement and partnership with community groups for home managers to achieve successful interventions. On a broader level, the NHS and policymakers need to provide adequate funding, long-term workforce planning, and back up existing policies with legislative guidance</w:t>
      </w:r>
      <w:r w:rsidR="00347C6F" w:rsidRPr="00EB4CA0">
        <w:rPr>
          <w:rFonts w:ascii="Arial" w:hAnsi="Arial" w:cs="Arial"/>
          <w:lang w:eastAsia="en-US"/>
        </w:rPr>
        <w:t xml:space="preserve"> (Kirk-Wade et al., 2024)</w:t>
      </w:r>
      <w:r w:rsidRPr="00EB4CA0">
        <w:rPr>
          <w:rFonts w:ascii="Arial" w:hAnsi="Arial" w:cs="Arial"/>
          <w:lang w:eastAsia="en-US"/>
        </w:rPr>
        <w:t>. However, despite the positive impact of evidence-based interventions on improving mental health for older adults, there is a need to continue to invest in services, organisational commitment and a workforce supported to provide high-quality, person-centred services for long-term success.</w:t>
      </w:r>
    </w:p>
    <w:p w14:paraId="790EA84F" w14:textId="3BB22D1D" w:rsidR="00867E4D" w:rsidRPr="00EB4CA0" w:rsidRDefault="00867E4D">
      <w:pPr>
        <w:pStyle w:val="Heading2"/>
        <w:numPr>
          <w:ilvl w:val="1"/>
          <w:numId w:val="2"/>
        </w:numPr>
        <w:spacing w:before="240" w:after="160"/>
        <w:jc w:val="left"/>
        <w:rPr>
          <w:rFonts w:ascii="Arial" w:hAnsi="Arial" w:cs="Arial"/>
          <w:b/>
          <w:bCs/>
          <w:color w:val="auto"/>
          <w:szCs w:val="24"/>
        </w:rPr>
      </w:pPr>
      <w:bookmarkStart w:id="40" w:name="_Toc234701006"/>
      <w:r w:rsidRPr="00EB4CA0">
        <w:rPr>
          <w:rFonts w:ascii="Arial" w:hAnsi="Arial" w:cs="Arial"/>
          <w:b/>
          <w:bCs/>
          <w:color w:val="auto"/>
          <w:szCs w:val="24"/>
        </w:rPr>
        <w:t>Chapter Conclusion</w:t>
      </w:r>
      <w:bookmarkEnd w:id="40"/>
      <w:r w:rsidRPr="00EB4CA0">
        <w:rPr>
          <w:rFonts w:ascii="Arial" w:hAnsi="Arial" w:cs="Arial"/>
          <w:b/>
          <w:bCs/>
          <w:color w:val="auto"/>
          <w:szCs w:val="24"/>
        </w:rPr>
        <w:t xml:space="preserve"> </w:t>
      </w:r>
    </w:p>
    <w:p w14:paraId="77758C88" w14:textId="6A96793B" w:rsidR="00BD517F" w:rsidRPr="00EB4CA0" w:rsidRDefault="00DF3742" w:rsidP="00867D64">
      <w:pPr>
        <w:spacing w:before="240"/>
        <w:jc w:val="left"/>
        <w:rPr>
          <w:rFonts w:ascii="Arial" w:hAnsi="Arial" w:cs="Arial"/>
          <w:lang w:eastAsia="en-US"/>
        </w:rPr>
      </w:pPr>
      <w:r w:rsidRPr="00EB4CA0">
        <w:rPr>
          <w:rFonts w:ascii="Arial" w:hAnsi="Arial" w:cs="Arial"/>
          <w:lang w:eastAsia="en-US"/>
        </w:rPr>
        <w:t>The results of the thematic analysis of the literature on social support and mental health for older people in long-term care are presented. The findings indicated that meaningful relationships were found to have a tendency to reduce depression, anxiety and loneliness, and an increase in emotional wellbeing and quality of life. The provision of effective support, however, is often limited by person-power shortages, lack of funding, lack of access to transportation and inefficient institutional procedures that prevent the families of children from participating. Where appropriate, staffing levels, resources and ways of people receiving intervention in an individualised manner can increase the success of interventions, which include befriending, social prescribing, music therapy, and digital communication. The results will be summarised, and practice, policy and future research suggestions will be discussed in the next chapter.</w:t>
      </w:r>
    </w:p>
    <w:p w14:paraId="1AD1868B" w14:textId="77777777" w:rsidR="00D10520" w:rsidRPr="00EB4CA0" w:rsidRDefault="00D10520" w:rsidP="00181096">
      <w:pPr>
        <w:spacing w:before="240"/>
        <w:rPr>
          <w:rFonts w:ascii="Arial" w:hAnsi="Arial" w:cs="Arial"/>
          <w:sz w:val="24"/>
          <w:szCs w:val="24"/>
          <w:lang w:val="en-US" w:eastAsia="en-US"/>
        </w:rPr>
      </w:pPr>
    </w:p>
    <w:p w14:paraId="2D696EA0" w14:textId="77777777" w:rsidR="00D10520" w:rsidRPr="00EB4CA0" w:rsidRDefault="00D10520" w:rsidP="00181096">
      <w:pPr>
        <w:spacing w:before="240"/>
        <w:rPr>
          <w:rFonts w:ascii="Arial" w:hAnsi="Arial" w:cs="Arial"/>
          <w:sz w:val="24"/>
          <w:szCs w:val="24"/>
          <w:lang w:val="en-US" w:eastAsia="en-US"/>
        </w:rPr>
      </w:pPr>
    </w:p>
    <w:p w14:paraId="7B4A03C9" w14:textId="77777777" w:rsidR="00D10520" w:rsidRPr="00EB4CA0" w:rsidRDefault="00D10520" w:rsidP="00181096">
      <w:pPr>
        <w:spacing w:before="240"/>
        <w:rPr>
          <w:rFonts w:ascii="Arial" w:hAnsi="Arial" w:cs="Arial"/>
          <w:sz w:val="24"/>
          <w:szCs w:val="24"/>
          <w:lang w:val="en-US" w:eastAsia="en-US"/>
        </w:rPr>
      </w:pPr>
    </w:p>
    <w:p w14:paraId="0B03E49E" w14:textId="77777777" w:rsidR="00D10520" w:rsidRPr="00EB4CA0" w:rsidRDefault="00D10520" w:rsidP="00181096">
      <w:pPr>
        <w:spacing w:before="240"/>
        <w:rPr>
          <w:rFonts w:ascii="Arial" w:hAnsi="Arial" w:cs="Arial"/>
          <w:sz w:val="24"/>
          <w:szCs w:val="24"/>
          <w:lang w:val="en-US" w:eastAsia="en-US"/>
        </w:rPr>
      </w:pPr>
    </w:p>
    <w:p w14:paraId="001E1A82" w14:textId="77777777" w:rsidR="00D10520" w:rsidRPr="00EB4CA0" w:rsidRDefault="00D10520" w:rsidP="00181096">
      <w:pPr>
        <w:spacing w:before="240"/>
        <w:rPr>
          <w:rFonts w:ascii="Arial" w:hAnsi="Arial" w:cs="Arial"/>
          <w:sz w:val="24"/>
          <w:szCs w:val="24"/>
          <w:lang w:val="en-US" w:eastAsia="en-US"/>
        </w:rPr>
      </w:pPr>
    </w:p>
    <w:p w14:paraId="047E8A68" w14:textId="77777777" w:rsidR="00A10672" w:rsidRPr="00EB4CA0" w:rsidRDefault="00A10672" w:rsidP="00181096">
      <w:pPr>
        <w:spacing w:before="240"/>
        <w:rPr>
          <w:rFonts w:ascii="Arial" w:hAnsi="Arial" w:cs="Arial"/>
          <w:sz w:val="24"/>
          <w:szCs w:val="24"/>
          <w:lang w:val="en-US" w:eastAsia="en-US"/>
        </w:rPr>
      </w:pPr>
    </w:p>
    <w:p w14:paraId="0DD1D2C9" w14:textId="77777777" w:rsidR="00A10672" w:rsidRPr="00EB4CA0" w:rsidRDefault="00A10672" w:rsidP="00181096">
      <w:pPr>
        <w:spacing w:before="240"/>
        <w:rPr>
          <w:rFonts w:ascii="Arial" w:hAnsi="Arial" w:cs="Arial"/>
          <w:sz w:val="24"/>
          <w:szCs w:val="24"/>
          <w:lang w:val="en-US" w:eastAsia="en-US"/>
        </w:rPr>
      </w:pPr>
    </w:p>
    <w:p w14:paraId="0548C4C0" w14:textId="77777777" w:rsidR="00EE07E2" w:rsidRPr="00EB4CA0" w:rsidRDefault="00EE07E2" w:rsidP="00181096">
      <w:pPr>
        <w:spacing w:before="240"/>
        <w:rPr>
          <w:rFonts w:ascii="Arial" w:hAnsi="Arial" w:cs="Arial"/>
          <w:sz w:val="24"/>
          <w:szCs w:val="24"/>
          <w:lang w:val="en-US" w:eastAsia="en-US"/>
        </w:rPr>
      </w:pPr>
    </w:p>
    <w:p w14:paraId="4B362CB9" w14:textId="6AF66C69" w:rsidR="001E1776" w:rsidRPr="00EB4CA0" w:rsidRDefault="00867E4D">
      <w:pPr>
        <w:pStyle w:val="Heading1"/>
        <w:numPr>
          <w:ilvl w:val="0"/>
          <w:numId w:val="11"/>
        </w:numPr>
        <w:spacing w:before="240" w:after="160" w:line="360" w:lineRule="auto"/>
        <w:jc w:val="both"/>
        <w:rPr>
          <w:rFonts w:cs="Arial"/>
        </w:rPr>
      </w:pPr>
      <w:bookmarkStart w:id="41" w:name="_Toc234701007"/>
      <w:r w:rsidRPr="00EB4CA0">
        <w:rPr>
          <w:rFonts w:cs="Arial"/>
        </w:rPr>
        <w:t xml:space="preserve">CHAPTER 5 </w:t>
      </w:r>
      <w:r w:rsidR="00EB2FEF" w:rsidRPr="00EB4CA0">
        <w:rPr>
          <w:rFonts w:cs="Arial"/>
        </w:rPr>
        <w:t>-</w:t>
      </w:r>
      <w:r w:rsidRPr="00EB4CA0">
        <w:rPr>
          <w:rFonts w:cs="Arial"/>
        </w:rPr>
        <w:t xml:space="preserve"> Conclusion and Recommendations</w:t>
      </w:r>
      <w:bookmarkEnd w:id="41"/>
    </w:p>
    <w:p w14:paraId="4755E729" w14:textId="77777777" w:rsidR="00AB23C4" w:rsidRPr="00EB4CA0" w:rsidRDefault="00867E4D">
      <w:pPr>
        <w:pStyle w:val="Heading2"/>
        <w:numPr>
          <w:ilvl w:val="1"/>
          <w:numId w:val="2"/>
        </w:numPr>
        <w:spacing w:before="240" w:after="160"/>
        <w:jc w:val="left"/>
        <w:rPr>
          <w:rFonts w:ascii="Arial" w:hAnsi="Arial" w:cs="Arial"/>
          <w:b/>
          <w:bCs/>
          <w:color w:val="auto"/>
          <w:szCs w:val="24"/>
        </w:rPr>
      </w:pPr>
      <w:bookmarkStart w:id="42" w:name="_Toc234701008"/>
      <w:r w:rsidRPr="00EB4CA0">
        <w:rPr>
          <w:rFonts w:ascii="Arial" w:hAnsi="Arial" w:cs="Arial"/>
          <w:b/>
          <w:bCs/>
          <w:color w:val="auto"/>
          <w:szCs w:val="24"/>
        </w:rPr>
        <w:t>Overall Conclusion</w:t>
      </w:r>
      <w:bookmarkEnd w:id="42"/>
    </w:p>
    <w:p w14:paraId="4B0CC7E8" w14:textId="2B8EC319" w:rsidR="00867E4D" w:rsidRPr="00EB4CA0" w:rsidRDefault="00001FC3" w:rsidP="008066F4">
      <w:pPr>
        <w:spacing w:before="240"/>
        <w:jc w:val="left"/>
        <w:rPr>
          <w:rFonts w:ascii="Arial" w:hAnsi="Arial" w:cs="Arial"/>
          <w:lang w:eastAsia="en-US"/>
        </w:rPr>
      </w:pPr>
      <w:r w:rsidRPr="00EB4CA0">
        <w:rPr>
          <w:rFonts w:ascii="Arial" w:hAnsi="Arial" w:cs="Arial"/>
          <w:lang w:eastAsia="en-US"/>
        </w:rPr>
        <w:t>This dissertation was intended to look at the effects of social support on the psychological well-being of older people in long-term care. The study examined social support and mental wellbeing, assessed current policies and care practice and identified ways to support supportive care. The background chapters highlighted the importance of mental health and social support in long-term care, and the methodology chapter detailed the systematic secondary research method which was followed to identify and analyse literature relevant to the setting. The results confirmed that meaningful social support is important for minimizing depression, anxiety and loneliness and enhancing emotional wellbeing and quality of life. However, organisational challenges</w:t>
      </w:r>
      <w:r w:rsidR="007A1CAD" w:rsidRPr="00EB4CA0">
        <w:rPr>
          <w:rFonts w:ascii="Arial" w:hAnsi="Arial" w:cs="Arial"/>
          <w:lang w:eastAsia="en-US"/>
        </w:rPr>
        <w:t xml:space="preserve">, </w:t>
      </w:r>
      <w:r w:rsidRPr="00EB4CA0">
        <w:rPr>
          <w:rFonts w:ascii="Arial" w:hAnsi="Arial" w:cs="Arial"/>
          <w:lang w:eastAsia="en-US"/>
        </w:rPr>
        <w:t>workforce shortages, funding and less family involvement</w:t>
      </w:r>
      <w:r w:rsidR="00CE7BBB" w:rsidRPr="00EB4CA0">
        <w:rPr>
          <w:rFonts w:ascii="Arial" w:hAnsi="Arial" w:cs="Arial"/>
          <w:lang w:eastAsia="en-US"/>
        </w:rPr>
        <w:t>,</w:t>
      </w:r>
      <w:r w:rsidRPr="00EB4CA0">
        <w:rPr>
          <w:rFonts w:ascii="Arial" w:hAnsi="Arial" w:cs="Arial"/>
          <w:lang w:eastAsia="en-US"/>
        </w:rPr>
        <w:t xml:space="preserve"> are still limiting the effective provision of person-centred care. In achieving the research objectives, the analysis of existing evidence revealed evidence-based interventions like social prescribing, befriending programmes and person-centred care, supported by adequate resources, workforce capacity and organisational commitment, can lead to increased mental wellbeing for residents.</w:t>
      </w:r>
    </w:p>
    <w:p w14:paraId="1C9DC06A" w14:textId="161FD089" w:rsidR="00B64D1C" w:rsidRPr="00EB4CA0" w:rsidRDefault="00867E4D">
      <w:pPr>
        <w:pStyle w:val="Heading2"/>
        <w:numPr>
          <w:ilvl w:val="1"/>
          <w:numId w:val="2"/>
        </w:numPr>
        <w:spacing w:before="240" w:after="160"/>
        <w:jc w:val="left"/>
        <w:rPr>
          <w:rFonts w:ascii="Arial" w:hAnsi="Arial" w:cs="Arial"/>
          <w:b/>
          <w:bCs/>
          <w:color w:val="auto"/>
          <w:szCs w:val="24"/>
        </w:rPr>
      </w:pPr>
      <w:bookmarkStart w:id="43" w:name="_Toc234701009"/>
      <w:r w:rsidRPr="00EB4CA0">
        <w:rPr>
          <w:rFonts w:ascii="Arial" w:hAnsi="Arial" w:cs="Arial"/>
          <w:b/>
          <w:bCs/>
          <w:color w:val="auto"/>
          <w:szCs w:val="24"/>
        </w:rPr>
        <w:t>Recommendations</w:t>
      </w:r>
      <w:bookmarkEnd w:id="43"/>
    </w:p>
    <w:p w14:paraId="2BB72660" w14:textId="2894B466" w:rsidR="00A01F17" w:rsidRPr="00EB4CA0" w:rsidRDefault="00A01F17">
      <w:pPr>
        <w:pStyle w:val="ListParagraph"/>
        <w:numPr>
          <w:ilvl w:val="0"/>
          <w:numId w:val="12"/>
        </w:numPr>
        <w:spacing w:before="240"/>
        <w:rPr>
          <w:rFonts w:ascii="Arial" w:hAnsi="Arial" w:cs="Arial"/>
          <w:b/>
          <w:bCs/>
        </w:rPr>
      </w:pPr>
      <w:r w:rsidRPr="00EB4CA0">
        <w:rPr>
          <w:rFonts w:ascii="Arial" w:hAnsi="Arial" w:cs="Arial"/>
          <w:b/>
          <w:bCs/>
        </w:rPr>
        <w:t>Strengthen Person-Centred Social Support Programmes</w:t>
      </w:r>
    </w:p>
    <w:p w14:paraId="3AE9C0E5" w14:textId="7F916669" w:rsidR="00C35A59" w:rsidRPr="00EB4CA0" w:rsidRDefault="00C35A59" w:rsidP="008066F4">
      <w:pPr>
        <w:spacing w:before="240"/>
        <w:jc w:val="left"/>
        <w:rPr>
          <w:rFonts w:ascii="Arial" w:hAnsi="Arial" w:cs="Arial"/>
        </w:rPr>
      </w:pPr>
      <w:r w:rsidRPr="00EB4CA0">
        <w:rPr>
          <w:rFonts w:ascii="Arial" w:hAnsi="Arial" w:cs="Arial"/>
        </w:rPr>
        <w:t>Long-term care facilities should upgrade their person-centred social support programmes so as to enhance individualised social activities, promote family participation, implement larger befriending schemes and draw up care plans for each resident that are tailored to their tastes and social desires. Instead of introducing standardised activities, it is best to adapt activities to each individual's cognitive level, interests and cultural needs. Group activities should also be included as part of routine care and exercise groups and reminiscence programmes regularly provided to encourage social interaction in a meaningful way</w:t>
      </w:r>
      <w:r w:rsidR="00201255" w:rsidRPr="00EB4CA0">
        <w:rPr>
          <w:rFonts w:ascii="Arial" w:hAnsi="Arial" w:cs="Arial"/>
        </w:rPr>
        <w:t xml:space="preserve"> (Cohen-Mansfield, 2018)</w:t>
      </w:r>
      <w:r w:rsidRPr="00EB4CA0">
        <w:rPr>
          <w:rFonts w:ascii="Arial" w:hAnsi="Arial" w:cs="Arial"/>
        </w:rPr>
        <w:t>. One example is Age UK's Befriending Service, in which trained volunteers visit targeted older people regularly, providing companionship to them</w:t>
      </w:r>
      <w:r w:rsidR="009349F5" w:rsidRPr="00EB4CA0">
        <w:rPr>
          <w:rFonts w:ascii="Arial" w:hAnsi="Arial" w:cs="Arial"/>
        </w:rPr>
        <w:t xml:space="preserve"> (TrustedCare, 2019)</w:t>
      </w:r>
      <w:r w:rsidRPr="00EB4CA0">
        <w:rPr>
          <w:rFonts w:ascii="Arial" w:hAnsi="Arial" w:cs="Arial"/>
        </w:rPr>
        <w:t>. This is a good example of the benefits that can be seen from ongoing social engagement, with the organisation reporting improvements in loneliness and emotional wellbeing among participants. The Dementia Village of Hogeweyk in the Netherlands is the same, fostering independence and social contact with the surrounding community through designers who have implemented both social care and design elements to enhance the quality of life for those living there</w:t>
      </w:r>
      <w:r w:rsidR="003F472D" w:rsidRPr="00EB4CA0">
        <w:rPr>
          <w:rFonts w:ascii="Arial" w:hAnsi="Arial" w:cs="Arial"/>
        </w:rPr>
        <w:t xml:space="preserve"> (Dementia Alliance International, 2025)</w:t>
      </w:r>
      <w:r w:rsidRPr="00EB4CA0">
        <w:rPr>
          <w:rFonts w:ascii="Arial" w:hAnsi="Arial" w:cs="Arial"/>
        </w:rPr>
        <w:t>.</w:t>
      </w:r>
    </w:p>
    <w:p w14:paraId="631A9CCA" w14:textId="070356F8" w:rsidR="00A01F17" w:rsidRPr="00EB4CA0" w:rsidRDefault="00C35A59" w:rsidP="008066F4">
      <w:pPr>
        <w:spacing w:before="240"/>
        <w:jc w:val="left"/>
        <w:rPr>
          <w:rFonts w:ascii="Arial" w:hAnsi="Arial" w:cs="Arial"/>
        </w:rPr>
      </w:pPr>
      <w:r w:rsidRPr="00EB4CA0">
        <w:rPr>
          <w:rFonts w:ascii="Arial" w:hAnsi="Arial" w:cs="Arial"/>
        </w:rPr>
        <w:t xml:space="preserve">It is likely that these interventions will lead to less depression, less anxiety and loneliness, and more emotional wellbeing, satisfaction with life and overall quality of life. </w:t>
      </w:r>
      <w:r w:rsidR="00D02A03" w:rsidRPr="00EB4CA0">
        <w:rPr>
          <w:rFonts w:ascii="Arial" w:hAnsi="Arial" w:cs="Arial"/>
        </w:rPr>
        <w:t>However,</w:t>
      </w:r>
      <w:r w:rsidRPr="00EB4CA0">
        <w:rPr>
          <w:rFonts w:ascii="Arial" w:hAnsi="Arial" w:cs="Arial"/>
        </w:rPr>
        <w:t xml:space="preserve"> obstacles to personal </w:t>
      </w:r>
      <w:r w:rsidR="002A4387" w:rsidRPr="00EB4CA0">
        <w:rPr>
          <w:rFonts w:ascii="Arial" w:hAnsi="Arial" w:cs="Arial"/>
        </w:rPr>
        <w:t xml:space="preserve">interaction, </w:t>
      </w:r>
      <w:r w:rsidRPr="00EB4CA0">
        <w:rPr>
          <w:rFonts w:ascii="Arial" w:hAnsi="Arial" w:cs="Arial"/>
        </w:rPr>
        <w:t>e.g. staff and funding shortage, lack of time</w:t>
      </w:r>
      <w:r w:rsidR="0063056A" w:rsidRPr="00EB4CA0">
        <w:rPr>
          <w:rFonts w:ascii="Arial" w:hAnsi="Arial" w:cs="Arial"/>
        </w:rPr>
        <w:t>, m</w:t>
      </w:r>
      <w:r w:rsidRPr="00EB4CA0">
        <w:rPr>
          <w:rFonts w:ascii="Arial" w:hAnsi="Arial" w:cs="Arial"/>
        </w:rPr>
        <w:t>ay lessen opportunities for interaction to be personal. Regular staff training in person-centred approaches, increased family and volunteer participation and enhanced collaboration with community organisations and charities will help to map out and address these challenges</w:t>
      </w:r>
      <w:r w:rsidR="00DF00E7" w:rsidRPr="00EB4CA0">
        <w:rPr>
          <w:rFonts w:ascii="Arial" w:hAnsi="Arial" w:cs="Arial"/>
        </w:rPr>
        <w:t xml:space="preserve"> (McCausland et al., 2021)</w:t>
      </w:r>
      <w:r w:rsidRPr="00EB4CA0">
        <w:rPr>
          <w:rFonts w:ascii="Arial" w:hAnsi="Arial" w:cs="Arial"/>
        </w:rPr>
        <w:t>. More careful scheduling of activities and devoting time and space to meaningful staff-resident interaction would also aid the equal regard for emotional needs along with physical needs. Long-term facilities can create more comprehensive, more sustaining improvements in the mental health of residents by including person-centred social support as part of the normal way of doing business.</w:t>
      </w:r>
    </w:p>
    <w:p w14:paraId="3A898E72" w14:textId="236CAF40" w:rsidR="00A01F17" w:rsidRPr="00EB4CA0" w:rsidRDefault="00A01F17">
      <w:pPr>
        <w:pStyle w:val="ListParagraph"/>
        <w:numPr>
          <w:ilvl w:val="0"/>
          <w:numId w:val="12"/>
        </w:numPr>
        <w:spacing w:before="240"/>
        <w:rPr>
          <w:rFonts w:ascii="Arial" w:hAnsi="Arial" w:cs="Arial"/>
          <w:b/>
          <w:bCs/>
        </w:rPr>
      </w:pPr>
      <w:r w:rsidRPr="00EB4CA0">
        <w:rPr>
          <w:rFonts w:ascii="Arial" w:hAnsi="Arial" w:cs="Arial"/>
          <w:b/>
          <w:bCs/>
        </w:rPr>
        <w:t>Improve Workforce Capacity and Staff Training</w:t>
      </w:r>
    </w:p>
    <w:p w14:paraId="6071C395" w14:textId="75EBD031" w:rsidR="00394AD4" w:rsidRPr="00EB4CA0" w:rsidRDefault="00394AD4" w:rsidP="008D1FF0">
      <w:pPr>
        <w:spacing w:before="240"/>
        <w:jc w:val="left"/>
        <w:rPr>
          <w:rFonts w:ascii="Arial" w:hAnsi="Arial" w:cs="Arial"/>
        </w:rPr>
      </w:pPr>
      <w:r w:rsidRPr="00EB4CA0">
        <w:rPr>
          <w:rFonts w:ascii="Arial" w:hAnsi="Arial" w:cs="Arial"/>
        </w:rPr>
        <w:t>The second recommendation is about building workforce capacity</w:t>
      </w:r>
      <w:r w:rsidR="00E21E58" w:rsidRPr="00EB4CA0">
        <w:rPr>
          <w:rFonts w:ascii="Arial" w:hAnsi="Arial" w:cs="Arial"/>
        </w:rPr>
        <w:t>,</w:t>
      </w:r>
      <w:r w:rsidRPr="00EB4CA0">
        <w:rPr>
          <w:rFonts w:ascii="Arial" w:hAnsi="Arial" w:cs="Arial"/>
        </w:rPr>
        <w:t xml:space="preserve"> enhancing the number of people being recruited and ongoing professional development. Regular training of care staff in mental health awareness, dementia communication, and relationship-centred care and emotional support to enhance staff understanding and response to residents' psychological needs</w:t>
      </w:r>
      <w:r w:rsidR="0089674B" w:rsidRPr="00EB4CA0">
        <w:rPr>
          <w:rFonts w:ascii="Arial" w:hAnsi="Arial" w:cs="Arial"/>
        </w:rPr>
        <w:t xml:space="preserve"> (Interactive Healthcare Training, 2026)</w:t>
      </w:r>
      <w:r w:rsidRPr="00EB4CA0">
        <w:rPr>
          <w:rFonts w:ascii="Arial" w:hAnsi="Arial" w:cs="Arial"/>
        </w:rPr>
        <w:t>. Despite the improvement in overall adult social care workforce gaps, the huge volume of long-term vacancies suggests that these workforce pressures are continuing to impact care quality in England. Skills for Care recorded 131,000 adult care roles unavailable across England in 2023/24, a vacancy rate of 8.3%</w:t>
      </w:r>
      <w:r w:rsidR="00A864FD" w:rsidRPr="00EB4CA0">
        <w:rPr>
          <w:rFonts w:ascii="Arial" w:hAnsi="Arial" w:cs="Arial"/>
        </w:rPr>
        <w:t xml:space="preserve"> (McIvor and McIvor, 2024)</w:t>
      </w:r>
      <w:r w:rsidRPr="00EB4CA0">
        <w:rPr>
          <w:rFonts w:ascii="Arial" w:hAnsi="Arial" w:cs="Arial"/>
        </w:rPr>
        <w:t xml:space="preserve">. Due to </w:t>
      </w:r>
      <w:r w:rsidR="008D1FF0" w:rsidRPr="00EB4CA0">
        <w:rPr>
          <w:rFonts w:ascii="Arial" w:hAnsi="Arial" w:cs="Arial"/>
        </w:rPr>
        <w:t>this lack</w:t>
      </w:r>
      <w:r w:rsidRPr="00EB4CA0">
        <w:rPr>
          <w:rFonts w:ascii="Arial" w:hAnsi="Arial" w:cs="Arial"/>
        </w:rPr>
        <w:t xml:space="preserve"> of resources, opportunities for meaningful engagement are limited, and sometimes staff are more focused on physical care than emotional support. Workforce capacity has also been a key contributor to the quality of person-centred care provided across England, as identified a number of times by the Care Quality Commission (CQC)</w:t>
      </w:r>
      <w:r w:rsidR="00524C30" w:rsidRPr="00EB4CA0">
        <w:rPr>
          <w:rFonts w:ascii="Arial" w:hAnsi="Arial" w:cs="Arial"/>
        </w:rPr>
        <w:t xml:space="preserve"> (CQC, 2023)</w:t>
      </w:r>
      <w:r w:rsidRPr="00EB4CA0">
        <w:rPr>
          <w:rFonts w:ascii="Arial" w:hAnsi="Arial" w:cs="Arial"/>
        </w:rPr>
        <w:t>.</w:t>
      </w:r>
    </w:p>
    <w:p w14:paraId="5DB10FFD" w14:textId="04D4FEDB" w:rsidR="00A01F17" w:rsidRPr="00EB4CA0" w:rsidRDefault="00394AD4" w:rsidP="008066F4">
      <w:pPr>
        <w:spacing w:before="240"/>
        <w:jc w:val="left"/>
        <w:rPr>
          <w:rFonts w:ascii="Arial" w:hAnsi="Arial" w:cs="Arial"/>
        </w:rPr>
      </w:pPr>
      <w:r w:rsidRPr="00EB4CA0">
        <w:rPr>
          <w:rFonts w:ascii="Arial" w:hAnsi="Arial" w:cs="Arial"/>
        </w:rPr>
        <w:t xml:space="preserve">Maintain adequate staffing and professional development to enhance resident/staff relationships, mental health </w:t>
      </w:r>
      <w:r w:rsidR="008D1FF0" w:rsidRPr="00EB4CA0">
        <w:rPr>
          <w:rFonts w:ascii="Arial" w:hAnsi="Arial" w:cs="Arial"/>
        </w:rPr>
        <w:t>behaviours</w:t>
      </w:r>
      <w:r w:rsidRPr="00EB4CA0">
        <w:rPr>
          <w:rFonts w:ascii="Arial" w:hAnsi="Arial" w:cs="Arial"/>
        </w:rPr>
        <w:t xml:space="preserve"> and quality of care. Workers who are more experienced and trained will be able to assess, understand and respond in a more compassionate and individualised way to the early signs of depression, anxiety and loneliness</w:t>
      </w:r>
      <w:r w:rsidR="0070195B" w:rsidRPr="00EB4CA0">
        <w:rPr>
          <w:rFonts w:ascii="Arial" w:hAnsi="Arial" w:cs="Arial"/>
        </w:rPr>
        <w:t xml:space="preserve"> (Morera et al., 2025)</w:t>
      </w:r>
      <w:r w:rsidRPr="00EB4CA0">
        <w:rPr>
          <w:rFonts w:ascii="Arial" w:hAnsi="Arial" w:cs="Arial"/>
        </w:rPr>
        <w:t>. Moreover, better working conditions can result in increased employee satisfaction and decreased employee turnover, which can improve continuity of care. However, challenges in recruitment, financial stresses and growing workloads pose problems. The solutions to these challenges might be to better invest in adult social care services from the government, provide better development and career progression opportunities for staff, and also to provide incentives for staff to stay via flexible working opportunities, as well as funded wellbeing and professional development plans</w:t>
      </w:r>
      <w:r w:rsidR="008E0A5C" w:rsidRPr="00EB4CA0">
        <w:rPr>
          <w:rFonts w:ascii="Arial" w:hAnsi="Arial" w:cs="Arial"/>
        </w:rPr>
        <w:t xml:space="preserve"> (Bottery, 2019)</w:t>
      </w:r>
      <w:r w:rsidRPr="00EB4CA0">
        <w:rPr>
          <w:rFonts w:ascii="Arial" w:hAnsi="Arial" w:cs="Arial"/>
        </w:rPr>
        <w:t>. Building partnerships with universities and healthcare providers to broaden placements may also aid in creating a sustainable workforce, ready to deliver high-quality person-centred care.</w:t>
      </w:r>
    </w:p>
    <w:p w14:paraId="013F176C" w14:textId="141E7966" w:rsidR="00A01F17" w:rsidRPr="00EB4CA0" w:rsidRDefault="00A01F17">
      <w:pPr>
        <w:pStyle w:val="ListParagraph"/>
        <w:numPr>
          <w:ilvl w:val="0"/>
          <w:numId w:val="12"/>
        </w:numPr>
        <w:spacing w:before="240"/>
        <w:rPr>
          <w:rFonts w:ascii="Arial" w:hAnsi="Arial" w:cs="Arial"/>
          <w:b/>
          <w:bCs/>
        </w:rPr>
      </w:pPr>
      <w:r w:rsidRPr="00EB4CA0">
        <w:rPr>
          <w:rFonts w:ascii="Arial" w:hAnsi="Arial" w:cs="Arial"/>
          <w:b/>
          <w:bCs/>
        </w:rPr>
        <w:t>Expand Community and Technology-Based Social Support</w:t>
      </w:r>
    </w:p>
    <w:p w14:paraId="630A32E8" w14:textId="45AA014D" w:rsidR="002D6719" w:rsidRPr="00EB4CA0" w:rsidRDefault="002D6719" w:rsidP="008066F4">
      <w:pPr>
        <w:spacing w:before="240"/>
        <w:jc w:val="left"/>
        <w:rPr>
          <w:rFonts w:ascii="Arial" w:hAnsi="Arial" w:cs="Arial"/>
        </w:rPr>
      </w:pPr>
      <w:r w:rsidRPr="00EB4CA0">
        <w:rPr>
          <w:rFonts w:ascii="Arial" w:hAnsi="Arial" w:cs="Arial"/>
        </w:rPr>
        <w:t>Long-term care institutions need to better connect with community agencies and increase the use of technology to enhance social services. A range of social prescribing, volunteering programmes, music therapy, dementia friendly activities and the use of technology to communicate can help address social isolation and improve relationships. Community and health-based organisations can be utilized to address loneliness, such as befriending services, arts programmes and walking groups, as part of NHS Social Prescribing programmes for older people</w:t>
      </w:r>
      <w:r w:rsidR="00B811B1" w:rsidRPr="00EB4CA0">
        <w:rPr>
          <w:rFonts w:ascii="Arial" w:hAnsi="Arial" w:cs="Arial"/>
        </w:rPr>
        <w:t xml:space="preserve"> (Tierney et al., 2024)</w:t>
      </w:r>
      <w:r w:rsidRPr="00EB4CA0">
        <w:rPr>
          <w:rFonts w:ascii="Arial" w:hAnsi="Arial" w:cs="Arial"/>
        </w:rPr>
        <w:t>. Some UK care homes have been able to successfully integrate video calling systems during the COVID-19 pandemic to support residents who have limited access to visitors. Likewise, the benefits of personalised music for people with dementia have been shown in the Music for Dementia campaign, to lower levels of anxiety, agitation and behavioural distress, and to increase emotional wellbeing</w:t>
      </w:r>
      <w:r w:rsidR="00A65C41" w:rsidRPr="00EB4CA0">
        <w:rPr>
          <w:rFonts w:ascii="Arial" w:hAnsi="Arial" w:cs="Arial"/>
        </w:rPr>
        <w:t xml:space="preserve"> (Bonakdarpour, 2022)</w:t>
      </w:r>
      <w:r w:rsidRPr="00EB4CA0">
        <w:rPr>
          <w:rFonts w:ascii="Arial" w:hAnsi="Arial" w:cs="Arial"/>
        </w:rPr>
        <w:t>.</w:t>
      </w:r>
    </w:p>
    <w:p w14:paraId="08561F9D" w14:textId="3978BA35" w:rsidR="00462770" w:rsidRPr="00EB4CA0" w:rsidRDefault="002D6719" w:rsidP="008066F4">
      <w:pPr>
        <w:spacing w:before="240"/>
        <w:jc w:val="left"/>
        <w:rPr>
          <w:rFonts w:ascii="Arial" w:hAnsi="Arial" w:cs="Arial"/>
        </w:rPr>
      </w:pPr>
      <w:r w:rsidRPr="00EB4CA0">
        <w:rPr>
          <w:rFonts w:ascii="Arial" w:hAnsi="Arial" w:cs="Arial"/>
        </w:rPr>
        <w:t>These strategies will help alleviate the feeling of loneliness, help us build relationships with our families and friends, involve residents in activities they love and help us care for each person. Implementation is hindered by issues of poor digital literacy, lack of internet facilities, financial strains and lack of usage of community services in the rural areas. To overcome those challenges, care providers should provide digital skills learning for staff and residents, invest in robust technology and broadband and partner with charities, volunteer groups and local government. Digital equipment for the community and public-private partnerships may be further avenues for funding, while structured volunteer schemes may provide opportunities for social engagement</w:t>
      </w:r>
      <w:r w:rsidR="00F24010" w:rsidRPr="00EB4CA0">
        <w:rPr>
          <w:rFonts w:ascii="Arial" w:hAnsi="Arial" w:cs="Arial"/>
        </w:rPr>
        <w:t xml:space="preserve"> (UNDP, 2024)</w:t>
      </w:r>
      <w:r w:rsidRPr="00EB4CA0">
        <w:rPr>
          <w:rFonts w:ascii="Arial" w:hAnsi="Arial" w:cs="Arial"/>
        </w:rPr>
        <w:t>. Using community resources with technology-based interventions can create more sustainable, inclusive and accessible social support in long-term care facilities, enhancing long-term mental wellbeing among the elderly.</w:t>
      </w:r>
    </w:p>
    <w:p w14:paraId="22702EAF" w14:textId="77777777" w:rsidR="00643529" w:rsidRPr="00EB4CA0" w:rsidRDefault="00643529" w:rsidP="00181096">
      <w:pPr>
        <w:spacing w:before="240"/>
        <w:rPr>
          <w:rFonts w:ascii="Arial" w:hAnsi="Arial" w:cs="Arial"/>
          <w:sz w:val="24"/>
          <w:szCs w:val="24"/>
          <w:lang w:val="en-US"/>
        </w:rPr>
      </w:pPr>
    </w:p>
    <w:p w14:paraId="6D8D79D7" w14:textId="77777777" w:rsidR="00643529" w:rsidRPr="00EB4CA0" w:rsidRDefault="00643529" w:rsidP="00181096">
      <w:pPr>
        <w:spacing w:before="240"/>
        <w:rPr>
          <w:rFonts w:ascii="Arial" w:hAnsi="Arial" w:cs="Arial"/>
          <w:sz w:val="24"/>
          <w:szCs w:val="24"/>
          <w:lang w:val="en-US"/>
        </w:rPr>
      </w:pPr>
    </w:p>
    <w:p w14:paraId="6C84555C" w14:textId="77777777" w:rsidR="00643529" w:rsidRPr="00EB4CA0" w:rsidRDefault="00643529" w:rsidP="00181096">
      <w:pPr>
        <w:spacing w:before="240"/>
        <w:rPr>
          <w:rFonts w:ascii="Arial" w:hAnsi="Arial" w:cs="Arial"/>
          <w:sz w:val="24"/>
          <w:szCs w:val="24"/>
          <w:lang w:val="en-US"/>
        </w:rPr>
      </w:pPr>
    </w:p>
    <w:p w14:paraId="08442846" w14:textId="77777777" w:rsidR="002011CD" w:rsidRPr="00EB4CA0" w:rsidRDefault="002011CD" w:rsidP="00181096">
      <w:pPr>
        <w:spacing w:before="240"/>
        <w:rPr>
          <w:rFonts w:ascii="Arial" w:hAnsi="Arial" w:cs="Arial"/>
          <w:sz w:val="24"/>
          <w:szCs w:val="24"/>
          <w:lang w:val="en-US"/>
        </w:rPr>
      </w:pPr>
    </w:p>
    <w:p w14:paraId="720CFA31" w14:textId="255DB5DF" w:rsidR="00867E4D" w:rsidRPr="00EB4CA0" w:rsidRDefault="00867E4D">
      <w:pPr>
        <w:pStyle w:val="Heading1"/>
        <w:numPr>
          <w:ilvl w:val="0"/>
          <w:numId w:val="13"/>
        </w:numPr>
        <w:spacing w:before="240" w:after="160" w:line="360" w:lineRule="auto"/>
        <w:jc w:val="both"/>
        <w:rPr>
          <w:rFonts w:cs="Arial"/>
          <w:sz w:val="24"/>
          <w:szCs w:val="24"/>
        </w:rPr>
      </w:pPr>
      <w:bookmarkStart w:id="44" w:name="_Toc234701010"/>
      <w:r w:rsidRPr="00EB4CA0">
        <w:rPr>
          <w:rFonts w:cs="Arial"/>
          <w:sz w:val="24"/>
          <w:szCs w:val="24"/>
        </w:rPr>
        <w:t>CHAPTER 6 – References and Appendices</w:t>
      </w:r>
      <w:bookmarkEnd w:id="44"/>
      <w:r w:rsidRPr="00EB4CA0">
        <w:rPr>
          <w:rFonts w:cs="Arial"/>
          <w:sz w:val="24"/>
          <w:szCs w:val="24"/>
        </w:rPr>
        <w:t xml:space="preserve"> </w:t>
      </w:r>
    </w:p>
    <w:p w14:paraId="76E729C6" w14:textId="21752F68" w:rsidR="00867E4D" w:rsidRPr="00EB4CA0" w:rsidRDefault="00867E4D">
      <w:pPr>
        <w:pStyle w:val="Heading2"/>
        <w:numPr>
          <w:ilvl w:val="1"/>
          <w:numId w:val="2"/>
        </w:numPr>
        <w:spacing w:before="240" w:after="160"/>
        <w:rPr>
          <w:rFonts w:ascii="Arial" w:hAnsi="Arial" w:cs="Arial"/>
          <w:b/>
          <w:bCs/>
          <w:color w:val="auto"/>
          <w:szCs w:val="24"/>
        </w:rPr>
      </w:pPr>
      <w:bookmarkStart w:id="45" w:name="_Toc234701011"/>
      <w:r w:rsidRPr="00EB4CA0">
        <w:rPr>
          <w:rFonts w:ascii="Arial" w:hAnsi="Arial" w:cs="Arial"/>
          <w:b/>
          <w:bCs/>
          <w:color w:val="auto"/>
          <w:szCs w:val="24"/>
        </w:rPr>
        <w:t>References</w:t>
      </w:r>
      <w:bookmarkEnd w:id="45"/>
      <w:r w:rsidRPr="00EB4CA0">
        <w:rPr>
          <w:rFonts w:ascii="Arial" w:hAnsi="Arial" w:cs="Arial"/>
          <w:b/>
          <w:bCs/>
          <w:color w:val="auto"/>
          <w:szCs w:val="24"/>
        </w:rPr>
        <w:t xml:space="preserve"> </w:t>
      </w:r>
    </w:p>
    <w:p w14:paraId="5A473558" w14:textId="78D648B5" w:rsidR="00144B12" w:rsidRPr="00EB4CA0" w:rsidRDefault="00903DC9" w:rsidP="00144B12">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Acoba, E.F. (2024). Social Support and Mental health: The Mediating Role of Perceived Stress. </w:t>
      </w:r>
      <w:r w:rsidRPr="00EB4CA0">
        <w:rPr>
          <w:rFonts w:ascii="Arial" w:hAnsi="Arial" w:cs="Arial"/>
          <w:i/>
          <w:iCs/>
          <w:sz w:val="22"/>
          <w:szCs w:val="22"/>
        </w:rPr>
        <w:t>Frontiers in Psychology</w:t>
      </w:r>
      <w:r w:rsidRPr="00EB4CA0">
        <w:rPr>
          <w:rFonts w:ascii="Arial" w:hAnsi="Arial" w:cs="Arial"/>
          <w:sz w:val="22"/>
          <w:szCs w:val="22"/>
        </w:rPr>
        <w:t>, 15(15), pp.1–12. doi:https://doi.org/10.3389/fpsyg.2024.1330720.</w:t>
      </w:r>
    </w:p>
    <w:p w14:paraId="5729F21B"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Acoba, E.F. (2024). Social Support and Mental health: The Mediating Role of Perceived Stress. </w:t>
      </w:r>
      <w:r w:rsidRPr="00EB4CA0">
        <w:rPr>
          <w:rFonts w:ascii="Arial" w:hAnsi="Arial" w:cs="Arial"/>
          <w:i/>
          <w:iCs/>
          <w:sz w:val="22"/>
          <w:szCs w:val="22"/>
          <w:lang w:val="en-US"/>
        </w:rPr>
        <w:t>Frontiers in Psychology</w:t>
      </w:r>
      <w:r w:rsidRPr="00EB4CA0">
        <w:rPr>
          <w:rFonts w:ascii="Arial" w:hAnsi="Arial" w:cs="Arial"/>
          <w:sz w:val="22"/>
          <w:szCs w:val="22"/>
          <w:lang w:val="en-US"/>
        </w:rPr>
        <w:t>, 15(15), pp.1–12. doi:10.3389/fpsyg.2024.1330720.</w:t>
      </w:r>
    </w:p>
    <w:p w14:paraId="7F39D544" w14:textId="18E46375" w:rsidR="00903DC9" w:rsidRPr="00EB4CA0" w:rsidRDefault="00903DC9" w:rsidP="00144B12">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Age UK (2024). </w:t>
      </w:r>
      <w:r w:rsidRPr="00EB4CA0">
        <w:rPr>
          <w:rFonts w:ascii="Arial" w:hAnsi="Arial" w:cs="Arial"/>
          <w:i/>
          <w:iCs/>
          <w:sz w:val="22"/>
          <w:szCs w:val="22"/>
          <w:lang w:val="en-US"/>
        </w:rPr>
        <w:t>Befriending services | Combating loneliness</w:t>
      </w:r>
      <w:r w:rsidRPr="00EB4CA0">
        <w:rPr>
          <w:rFonts w:ascii="Arial" w:hAnsi="Arial" w:cs="Arial"/>
          <w:sz w:val="22"/>
          <w:szCs w:val="22"/>
          <w:lang w:val="en-US"/>
        </w:rPr>
        <w:t xml:space="preserve">. [online] Ageuk.org.uk. Available at: </w:t>
      </w:r>
      <w:hyperlink r:id="rId10" w:history="1">
        <w:r w:rsidR="00144B12" w:rsidRPr="00EB4CA0">
          <w:rPr>
            <w:rStyle w:val="Hyperlink"/>
            <w:rFonts w:ascii="Arial" w:hAnsi="Arial" w:cs="Arial"/>
            <w:color w:val="auto"/>
            <w:sz w:val="22"/>
            <w:szCs w:val="22"/>
            <w:lang w:val="en-US"/>
          </w:rPr>
          <w:t>https://www.ageuk.org.uk/services/befriending-services/</w:t>
        </w:r>
      </w:hyperlink>
      <w:r w:rsidR="00144B12"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5E6853" w:rsidRPr="00EB4CA0">
        <w:rPr>
          <w:rFonts w:ascii="Arial" w:hAnsi="Arial" w:cs="Arial"/>
          <w:sz w:val="22"/>
          <w:szCs w:val="22"/>
          <w:lang w:val="en-US"/>
        </w:rPr>
        <w:t>2</w:t>
      </w:r>
      <w:r w:rsidRPr="00EB4CA0">
        <w:rPr>
          <w:rFonts w:ascii="Arial" w:hAnsi="Arial" w:cs="Arial"/>
          <w:sz w:val="22"/>
          <w:szCs w:val="22"/>
          <w:lang w:val="en-US"/>
        </w:rPr>
        <w:t xml:space="preserve"> Ju</w:t>
      </w:r>
      <w:r w:rsidR="005E6853" w:rsidRPr="00EB4CA0">
        <w:rPr>
          <w:rFonts w:ascii="Arial" w:hAnsi="Arial" w:cs="Arial"/>
          <w:sz w:val="22"/>
          <w:szCs w:val="22"/>
          <w:lang w:val="en-US"/>
        </w:rPr>
        <w:t>ne</w:t>
      </w:r>
      <w:r w:rsidRPr="00EB4CA0">
        <w:rPr>
          <w:rFonts w:ascii="Arial" w:hAnsi="Arial" w:cs="Arial"/>
          <w:sz w:val="22"/>
          <w:szCs w:val="22"/>
          <w:lang w:val="en-US"/>
        </w:rPr>
        <w:t xml:space="preserve"> 2026].</w:t>
      </w:r>
    </w:p>
    <w:p w14:paraId="68B77B46" w14:textId="20EC492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Age UK (2025). </w:t>
      </w:r>
      <w:r w:rsidRPr="00EB4CA0">
        <w:rPr>
          <w:rFonts w:ascii="Arial" w:hAnsi="Arial" w:cs="Arial"/>
          <w:i/>
          <w:iCs/>
          <w:sz w:val="22"/>
          <w:szCs w:val="22"/>
        </w:rPr>
        <w:t>Reducing loneliness | Programmes and innovation</w:t>
      </w:r>
      <w:r w:rsidRPr="00EB4CA0">
        <w:rPr>
          <w:rFonts w:ascii="Arial" w:hAnsi="Arial" w:cs="Arial"/>
          <w:sz w:val="22"/>
          <w:szCs w:val="22"/>
        </w:rPr>
        <w:t xml:space="preserve">. [online] Age UK. Available at: </w:t>
      </w:r>
      <w:hyperlink r:id="rId11" w:history="1">
        <w:r w:rsidR="00144B12" w:rsidRPr="00EB4CA0">
          <w:rPr>
            <w:rStyle w:val="Hyperlink"/>
            <w:rFonts w:ascii="Arial" w:hAnsi="Arial" w:cs="Arial"/>
            <w:color w:val="auto"/>
            <w:sz w:val="22"/>
            <w:szCs w:val="22"/>
          </w:rPr>
          <w:t>https://www.ageuk.org.uk/our-impact/programmes/reducing-loneliness/</w:t>
        </w:r>
      </w:hyperlink>
      <w:r w:rsidRPr="00EB4CA0">
        <w:rPr>
          <w:rFonts w:ascii="Arial" w:hAnsi="Arial" w:cs="Arial"/>
          <w:sz w:val="22"/>
          <w:szCs w:val="22"/>
        </w:rPr>
        <w:t>.</w:t>
      </w:r>
    </w:p>
    <w:p w14:paraId="62012A15"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Bauer, A., Tinelli, M., Weatherly, H., Anderson, B., Li, B., Naidoo, B., Kettle, R. and Knapp, M. (2021). Value for Money in Social Care: The Role of Economic Evidence in the Guideline Development Process of the National Institute for Health and Care Excellence in England. </w:t>
      </w:r>
      <w:r w:rsidRPr="00EB4CA0">
        <w:rPr>
          <w:rFonts w:ascii="Arial" w:hAnsi="Arial" w:cs="Arial"/>
          <w:i/>
          <w:iCs/>
          <w:sz w:val="22"/>
          <w:szCs w:val="22"/>
          <w:lang w:val="en-US"/>
        </w:rPr>
        <w:t>Journal of Long Term Care</w:t>
      </w:r>
      <w:r w:rsidRPr="00EB4CA0">
        <w:rPr>
          <w:rFonts w:ascii="Arial" w:hAnsi="Arial" w:cs="Arial"/>
          <w:sz w:val="22"/>
          <w:szCs w:val="22"/>
          <w:lang w:val="en-US"/>
        </w:rPr>
        <w:t>, pp.303–317. doi:10.31389/jltc.84.</w:t>
      </w:r>
    </w:p>
    <w:p w14:paraId="61B858EB"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Benzinger, P., Wahl, H.-W., Bauer, J.M., Keilhauer, A., Dutzi, I., Maier, S., Hölzer, N., Achterberg, W.P. and Denninger, N.-E. (2023). Consequences of contact restrictions for long-term care residents during the first months of COVID-19 pandemic: a scoping review. </w:t>
      </w:r>
      <w:r w:rsidRPr="00EB4CA0">
        <w:rPr>
          <w:rFonts w:ascii="Arial" w:hAnsi="Arial" w:cs="Arial"/>
          <w:i/>
          <w:iCs/>
          <w:sz w:val="22"/>
          <w:szCs w:val="22"/>
        </w:rPr>
        <w:t>European Journal of Ageing</w:t>
      </w:r>
      <w:r w:rsidRPr="00EB4CA0">
        <w:rPr>
          <w:rFonts w:ascii="Arial" w:hAnsi="Arial" w:cs="Arial"/>
          <w:sz w:val="22"/>
          <w:szCs w:val="22"/>
        </w:rPr>
        <w:t>, [online] 20(1), p.39. doi:https://doi.org/10.1007/s10433-023-00787-6.</w:t>
      </w:r>
    </w:p>
    <w:p w14:paraId="783821C9"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Bethell, J., Aelick, K., Babineau, J., Bretzlaff, M., Edwards, C., Gibson, J.-L., Hewitt Colborne, D., Iaboni, A., Lender, D., Schon, D. and McGilton, K.S. (2021). Social connection in long-term care homes: A scoping review of published research on the mental health impacts and potential strategies during COVID-19. </w:t>
      </w:r>
      <w:r w:rsidRPr="00EB4CA0">
        <w:rPr>
          <w:rFonts w:ascii="Arial" w:hAnsi="Arial" w:cs="Arial"/>
          <w:i/>
          <w:iCs/>
          <w:sz w:val="22"/>
          <w:szCs w:val="22"/>
          <w:lang w:val="en-US"/>
        </w:rPr>
        <w:t>Journal of the American Medical Directors Association</w:t>
      </w:r>
      <w:r w:rsidRPr="00EB4CA0">
        <w:rPr>
          <w:rFonts w:ascii="Arial" w:hAnsi="Arial" w:cs="Arial"/>
          <w:sz w:val="22"/>
          <w:szCs w:val="22"/>
          <w:lang w:val="en-US"/>
        </w:rPr>
        <w:t>, 22(2), pp.228–237. doi:10.1016/j.jamda.2020.11.025.</w:t>
      </w:r>
    </w:p>
    <w:p w14:paraId="1C7503DF"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Boamah, S.A., Weldrick, R., Lee, T.-S.J. and Taylor, N. (2021). Social Isolation among Older Adults in Long-Term Care: A Scoping Review. </w:t>
      </w:r>
      <w:r w:rsidRPr="00EB4CA0">
        <w:rPr>
          <w:rFonts w:ascii="Arial" w:hAnsi="Arial" w:cs="Arial"/>
          <w:i/>
          <w:iCs/>
          <w:sz w:val="22"/>
          <w:szCs w:val="22"/>
          <w:lang w:val="en-US"/>
        </w:rPr>
        <w:t>Journal of Aging and Health</w:t>
      </w:r>
      <w:r w:rsidRPr="00EB4CA0">
        <w:rPr>
          <w:rFonts w:ascii="Arial" w:hAnsi="Arial" w:cs="Arial"/>
          <w:sz w:val="22"/>
          <w:szCs w:val="22"/>
          <w:lang w:val="en-US"/>
        </w:rPr>
        <w:t>, 33(7–8), pp.618–632. doi:10.1177/08982643211004174.</w:t>
      </w:r>
    </w:p>
    <w:p w14:paraId="5022528F" w14:textId="3470E5D2" w:rsidR="00903DC9" w:rsidRPr="00EB4CA0" w:rsidRDefault="00903DC9" w:rsidP="00144B12">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Bonakdarpour, B. (2022). </w:t>
      </w:r>
      <w:r w:rsidRPr="00EB4CA0">
        <w:rPr>
          <w:rFonts w:ascii="Arial" w:hAnsi="Arial" w:cs="Arial"/>
          <w:i/>
          <w:iCs/>
          <w:sz w:val="22"/>
          <w:szCs w:val="22"/>
          <w:lang w:val="en-US"/>
        </w:rPr>
        <w:t>Music as Medicine for Alzheimer’s Disease and Dementia</w:t>
      </w:r>
      <w:r w:rsidRPr="00EB4CA0">
        <w:rPr>
          <w:rFonts w:ascii="Arial" w:hAnsi="Arial" w:cs="Arial"/>
          <w:sz w:val="22"/>
          <w:szCs w:val="22"/>
          <w:lang w:val="en-US"/>
        </w:rPr>
        <w:t xml:space="preserve">. [online] Northwestern Medicine. Available at: </w:t>
      </w:r>
      <w:hyperlink r:id="rId12" w:history="1">
        <w:r w:rsidR="00144B12" w:rsidRPr="00EB4CA0">
          <w:rPr>
            <w:rStyle w:val="Hyperlink"/>
            <w:rFonts w:ascii="Arial" w:hAnsi="Arial" w:cs="Arial"/>
            <w:color w:val="auto"/>
            <w:sz w:val="22"/>
            <w:szCs w:val="22"/>
            <w:lang w:val="en-US"/>
          </w:rPr>
          <w:t>https://www.nm.org/healthbeat/healthy-tips/emotional-health/music-as-medicine-alzheimers-dementia</w:t>
        </w:r>
      </w:hyperlink>
      <w:r w:rsidR="00144B12"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144B12" w:rsidRPr="00EB4CA0">
        <w:rPr>
          <w:rFonts w:ascii="Arial" w:hAnsi="Arial" w:cs="Arial"/>
          <w:sz w:val="22"/>
          <w:szCs w:val="22"/>
          <w:lang w:val="en-US"/>
        </w:rPr>
        <w:t>26</w:t>
      </w:r>
      <w:r w:rsidRPr="00EB4CA0">
        <w:rPr>
          <w:rFonts w:ascii="Arial" w:hAnsi="Arial" w:cs="Arial"/>
          <w:sz w:val="22"/>
          <w:szCs w:val="22"/>
          <w:lang w:val="en-US"/>
        </w:rPr>
        <w:t xml:space="preserve"> Ju</w:t>
      </w:r>
      <w:r w:rsidR="00144B12" w:rsidRPr="00EB4CA0">
        <w:rPr>
          <w:rFonts w:ascii="Arial" w:hAnsi="Arial" w:cs="Arial"/>
          <w:sz w:val="22"/>
          <w:szCs w:val="22"/>
          <w:lang w:val="en-US"/>
        </w:rPr>
        <w:t>ne</w:t>
      </w:r>
      <w:r w:rsidRPr="00EB4CA0">
        <w:rPr>
          <w:rFonts w:ascii="Arial" w:hAnsi="Arial" w:cs="Arial"/>
          <w:sz w:val="22"/>
          <w:szCs w:val="22"/>
          <w:lang w:val="en-US"/>
        </w:rPr>
        <w:t xml:space="preserve"> 2026].</w:t>
      </w:r>
    </w:p>
    <w:p w14:paraId="4FC61BE7" w14:textId="1116B838" w:rsidR="00903DC9" w:rsidRPr="00EB4CA0" w:rsidRDefault="00903DC9" w:rsidP="00762858">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Bottery, S. (2019). </w:t>
      </w:r>
      <w:r w:rsidRPr="00EB4CA0">
        <w:rPr>
          <w:rFonts w:ascii="Arial" w:hAnsi="Arial" w:cs="Arial"/>
          <w:i/>
          <w:iCs/>
          <w:sz w:val="22"/>
          <w:szCs w:val="22"/>
          <w:lang w:val="en-US"/>
        </w:rPr>
        <w:t>What’s Your Problem, Social Care? The Eight Key Areas for Reform</w:t>
      </w:r>
      <w:r w:rsidRPr="00EB4CA0">
        <w:rPr>
          <w:rFonts w:ascii="Arial" w:hAnsi="Arial" w:cs="Arial"/>
          <w:sz w:val="22"/>
          <w:szCs w:val="22"/>
          <w:lang w:val="en-US"/>
        </w:rPr>
        <w:t xml:space="preserve">. [online] The King’s Fund. Available at: </w:t>
      </w:r>
      <w:hyperlink r:id="rId13" w:history="1">
        <w:r w:rsidR="00762858" w:rsidRPr="00EB4CA0">
          <w:rPr>
            <w:rStyle w:val="Hyperlink"/>
            <w:rFonts w:ascii="Arial" w:hAnsi="Arial" w:cs="Arial"/>
            <w:color w:val="auto"/>
            <w:sz w:val="22"/>
            <w:szCs w:val="22"/>
            <w:lang w:val="en-US"/>
          </w:rPr>
          <w:t>https://www.kingsfund.org.uk/insight-and-analysis/long-reads/whats-your-problem-social-care</w:t>
        </w:r>
      </w:hyperlink>
      <w:r w:rsidR="00762858"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762858" w:rsidRPr="00EB4CA0">
        <w:rPr>
          <w:rFonts w:ascii="Arial" w:hAnsi="Arial" w:cs="Arial"/>
          <w:sz w:val="22"/>
          <w:szCs w:val="22"/>
          <w:lang w:val="en-US"/>
        </w:rPr>
        <w:t>2</w:t>
      </w:r>
      <w:r w:rsidRPr="00EB4CA0">
        <w:rPr>
          <w:rFonts w:ascii="Arial" w:hAnsi="Arial" w:cs="Arial"/>
          <w:sz w:val="22"/>
          <w:szCs w:val="22"/>
          <w:lang w:val="en-US"/>
        </w:rPr>
        <w:t xml:space="preserve"> Ju</w:t>
      </w:r>
      <w:r w:rsidR="00762858" w:rsidRPr="00EB4CA0">
        <w:rPr>
          <w:rFonts w:ascii="Arial" w:hAnsi="Arial" w:cs="Arial"/>
          <w:sz w:val="22"/>
          <w:szCs w:val="22"/>
          <w:lang w:val="en-US"/>
        </w:rPr>
        <w:t>ne</w:t>
      </w:r>
      <w:r w:rsidRPr="00EB4CA0">
        <w:rPr>
          <w:rFonts w:ascii="Arial" w:hAnsi="Arial" w:cs="Arial"/>
          <w:sz w:val="22"/>
          <w:szCs w:val="22"/>
          <w:lang w:val="en-US"/>
        </w:rPr>
        <w:t xml:space="preserve"> 2026].</w:t>
      </w:r>
    </w:p>
    <w:p w14:paraId="7E295298"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Bowen, K.S., Uchino, B.N., Birmingham, W., Carlisle, M., Smith, T.W. and Light, K.C. (2014). The stress-buffering effects of functional social support on ambulatory blood pressure. </w:t>
      </w:r>
      <w:r w:rsidRPr="00EB4CA0">
        <w:rPr>
          <w:rFonts w:ascii="Arial" w:hAnsi="Arial" w:cs="Arial"/>
          <w:i/>
          <w:iCs/>
          <w:sz w:val="22"/>
          <w:szCs w:val="22"/>
          <w:lang w:val="en-US"/>
        </w:rPr>
        <w:t>Health Psychology</w:t>
      </w:r>
      <w:r w:rsidRPr="00EB4CA0">
        <w:rPr>
          <w:rFonts w:ascii="Arial" w:hAnsi="Arial" w:cs="Arial"/>
          <w:sz w:val="22"/>
          <w:szCs w:val="22"/>
          <w:lang w:val="en-US"/>
        </w:rPr>
        <w:t>, [online] 33(11), pp.1440–1443. doi:10.1037/hea0000005.</w:t>
      </w:r>
    </w:p>
    <w:p w14:paraId="12527DB8" w14:textId="1A4D8A21" w:rsidR="00903DC9" w:rsidRPr="00EB4CA0" w:rsidRDefault="00903DC9" w:rsidP="005F5922">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Braun and Clarke (2026). </w:t>
      </w:r>
      <w:r w:rsidRPr="00EB4CA0">
        <w:rPr>
          <w:rFonts w:ascii="Arial" w:hAnsi="Arial" w:cs="Arial"/>
          <w:i/>
          <w:iCs/>
          <w:sz w:val="22"/>
          <w:szCs w:val="22"/>
          <w:lang w:val="en-US"/>
        </w:rPr>
        <w:t>What is thematic analysis? Steps, types and examples</w:t>
      </w:r>
      <w:r w:rsidRPr="00EB4CA0">
        <w:rPr>
          <w:rFonts w:ascii="Arial" w:hAnsi="Arial" w:cs="Arial"/>
          <w:sz w:val="22"/>
          <w:szCs w:val="22"/>
          <w:lang w:val="en-US"/>
        </w:rPr>
        <w:t xml:space="preserve">. [online] Skimle.com. Available at: </w:t>
      </w:r>
      <w:hyperlink r:id="rId14" w:history="1">
        <w:r w:rsidR="005F5922" w:rsidRPr="00EB4CA0">
          <w:rPr>
            <w:rStyle w:val="Hyperlink"/>
            <w:rFonts w:ascii="Arial" w:hAnsi="Arial" w:cs="Arial"/>
            <w:color w:val="auto"/>
            <w:sz w:val="22"/>
            <w:szCs w:val="22"/>
            <w:lang w:val="en-US"/>
          </w:rPr>
          <w:t>https://skimle.com/blog/thematic-analysis</w:t>
        </w:r>
      </w:hyperlink>
      <w:r w:rsidR="005F5922"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5F5922" w:rsidRPr="00EB4CA0">
        <w:rPr>
          <w:rFonts w:ascii="Arial" w:hAnsi="Arial" w:cs="Arial"/>
          <w:sz w:val="22"/>
          <w:szCs w:val="22"/>
          <w:lang w:val="en-US"/>
        </w:rPr>
        <w:t>8</w:t>
      </w:r>
      <w:r w:rsidRPr="00EB4CA0">
        <w:rPr>
          <w:rFonts w:ascii="Arial" w:hAnsi="Arial" w:cs="Arial"/>
          <w:sz w:val="22"/>
          <w:szCs w:val="22"/>
          <w:lang w:val="en-US"/>
        </w:rPr>
        <w:t xml:space="preserve"> Ju</w:t>
      </w:r>
      <w:r w:rsidR="005F5922" w:rsidRPr="00EB4CA0">
        <w:rPr>
          <w:rFonts w:ascii="Arial" w:hAnsi="Arial" w:cs="Arial"/>
          <w:sz w:val="22"/>
          <w:szCs w:val="22"/>
          <w:lang w:val="en-US"/>
        </w:rPr>
        <w:t>ne</w:t>
      </w:r>
      <w:r w:rsidRPr="00EB4CA0">
        <w:rPr>
          <w:rFonts w:ascii="Arial" w:hAnsi="Arial" w:cs="Arial"/>
          <w:sz w:val="22"/>
          <w:szCs w:val="22"/>
          <w:lang w:val="en-US"/>
        </w:rPr>
        <w:t xml:space="preserve"> 2026].</w:t>
      </w:r>
    </w:p>
    <w:p w14:paraId="01ADAFEC" w14:textId="406B9ACD" w:rsidR="00903DC9" w:rsidRPr="00EB4CA0" w:rsidRDefault="00903DC9" w:rsidP="003E1FF9">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Caily (2026). </w:t>
      </w:r>
      <w:r w:rsidRPr="00EB4CA0">
        <w:rPr>
          <w:rFonts w:ascii="Arial" w:hAnsi="Arial" w:cs="Arial"/>
          <w:i/>
          <w:iCs/>
          <w:sz w:val="22"/>
          <w:szCs w:val="22"/>
          <w:lang w:val="en-US"/>
        </w:rPr>
        <w:t>How Staffing Shortages Affect Care in Nursing Home Communiti</w:t>
      </w:r>
      <w:r w:rsidRPr="00EB4CA0">
        <w:rPr>
          <w:rFonts w:ascii="Arial" w:hAnsi="Arial" w:cs="Arial"/>
          <w:sz w:val="22"/>
          <w:szCs w:val="22"/>
          <w:lang w:val="en-US"/>
        </w:rPr>
        <w:t xml:space="preserve">. [online] Caily.com. Available at: </w:t>
      </w:r>
      <w:hyperlink r:id="rId15" w:history="1">
        <w:r w:rsidR="003E1FF9" w:rsidRPr="00EB4CA0">
          <w:rPr>
            <w:rStyle w:val="Hyperlink"/>
            <w:rFonts w:ascii="Arial" w:hAnsi="Arial" w:cs="Arial"/>
            <w:color w:val="auto"/>
            <w:sz w:val="22"/>
            <w:szCs w:val="22"/>
            <w:lang w:val="en-US"/>
          </w:rPr>
          <w:t>https://www.caily.com/blog/how-staffing-shortages-impact-care-continuity-in-nursing-home-communities</w:t>
        </w:r>
      </w:hyperlink>
      <w:r w:rsidR="003E1FF9"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3E1FF9" w:rsidRPr="00EB4CA0">
        <w:rPr>
          <w:rFonts w:ascii="Arial" w:hAnsi="Arial" w:cs="Arial"/>
          <w:sz w:val="22"/>
          <w:szCs w:val="22"/>
          <w:lang w:val="en-US"/>
        </w:rPr>
        <w:t>12</w:t>
      </w:r>
      <w:r w:rsidRPr="00EB4CA0">
        <w:rPr>
          <w:rFonts w:ascii="Arial" w:hAnsi="Arial" w:cs="Arial"/>
          <w:sz w:val="22"/>
          <w:szCs w:val="22"/>
          <w:lang w:val="en-US"/>
        </w:rPr>
        <w:t xml:space="preserve"> Ju</w:t>
      </w:r>
      <w:r w:rsidR="003E1FF9" w:rsidRPr="00EB4CA0">
        <w:rPr>
          <w:rFonts w:ascii="Arial" w:hAnsi="Arial" w:cs="Arial"/>
          <w:sz w:val="22"/>
          <w:szCs w:val="22"/>
          <w:lang w:val="en-US"/>
        </w:rPr>
        <w:t>ne</w:t>
      </w:r>
      <w:r w:rsidRPr="00EB4CA0">
        <w:rPr>
          <w:rFonts w:ascii="Arial" w:hAnsi="Arial" w:cs="Arial"/>
          <w:sz w:val="22"/>
          <w:szCs w:val="22"/>
          <w:lang w:val="en-US"/>
        </w:rPr>
        <w:t xml:space="preserve"> 2026].</w:t>
      </w:r>
    </w:p>
    <w:p w14:paraId="7F42AD6C"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07475B">
        <w:rPr>
          <w:rFonts w:ascii="Arial" w:hAnsi="Arial" w:cs="Arial"/>
          <w:sz w:val="22"/>
          <w:szCs w:val="22"/>
        </w:rPr>
        <w:t xml:space="preserve">Carasso, E., Segel-Karpas, D. and Estlein, R. (2026). </w:t>
      </w:r>
      <w:r w:rsidRPr="00EB4CA0">
        <w:rPr>
          <w:rFonts w:ascii="Arial" w:hAnsi="Arial" w:cs="Arial"/>
          <w:sz w:val="22"/>
          <w:szCs w:val="22"/>
          <w:lang w:val="en-US"/>
        </w:rPr>
        <w:t xml:space="preserve">The Role of Attachment in Emotional Support Provision in Adult Child–Parent Relationships: A Dyadic Response Surface Analysis. </w:t>
      </w:r>
      <w:r w:rsidRPr="00EB4CA0">
        <w:rPr>
          <w:rFonts w:ascii="Arial" w:hAnsi="Arial" w:cs="Arial"/>
          <w:i/>
          <w:iCs/>
          <w:sz w:val="22"/>
          <w:szCs w:val="22"/>
          <w:lang w:val="en-US"/>
        </w:rPr>
        <w:t>Behavioral Sciences</w:t>
      </w:r>
      <w:r w:rsidRPr="00EB4CA0">
        <w:rPr>
          <w:rFonts w:ascii="Arial" w:hAnsi="Arial" w:cs="Arial"/>
          <w:sz w:val="22"/>
          <w:szCs w:val="22"/>
          <w:lang w:val="en-US"/>
        </w:rPr>
        <w:t>, [online] 16(1), p.106. doi:10.3390/bs16010106.</w:t>
      </w:r>
    </w:p>
    <w:p w14:paraId="3C040D63" w14:textId="300E9543"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Care Act (2014). </w:t>
      </w:r>
      <w:r w:rsidRPr="00EB4CA0">
        <w:rPr>
          <w:rFonts w:ascii="Arial" w:hAnsi="Arial" w:cs="Arial"/>
          <w:i/>
          <w:iCs/>
          <w:sz w:val="22"/>
          <w:szCs w:val="22"/>
        </w:rPr>
        <w:t>Care Act 2014</w:t>
      </w:r>
      <w:r w:rsidRPr="00EB4CA0">
        <w:rPr>
          <w:rFonts w:ascii="Arial" w:hAnsi="Arial" w:cs="Arial"/>
          <w:sz w:val="22"/>
          <w:szCs w:val="22"/>
        </w:rPr>
        <w:t xml:space="preserve">. [online] Legislation.gov.uk. Available at: </w:t>
      </w:r>
      <w:hyperlink r:id="rId16" w:history="1">
        <w:r w:rsidR="00552523" w:rsidRPr="00EB4CA0">
          <w:rPr>
            <w:rStyle w:val="Hyperlink"/>
            <w:rFonts w:ascii="Arial" w:hAnsi="Arial" w:cs="Arial"/>
            <w:color w:val="auto"/>
            <w:sz w:val="22"/>
            <w:szCs w:val="22"/>
          </w:rPr>
          <w:t>https://www.legislation.gov.uk/ukpga/2014/23/contents</w:t>
        </w:r>
      </w:hyperlink>
      <w:r w:rsidRPr="00EB4CA0">
        <w:rPr>
          <w:rFonts w:ascii="Arial" w:hAnsi="Arial" w:cs="Arial"/>
          <w:sz w:val="22"/>
          <w:szCs w:val="22"/>
        </w:rPr>
        <w:t>.</w:t>
      </w:r>
    </w:p>
    <w:p w14:paraId="028250D5" w14:textId="568151AD" w:rsidR="00903DC9" w:rsidRPr="00EB4CA0" w:rsidRDefault="00903DC9" w:rsidP="0055252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Care Act (2014). </w:t>
      </w:r>
      <w:r w:rsidRPr="00EB4CA0">
        <w:rPr>
          <w:rFonts w:ascii="Arial" w:hAnsi="Arial" w:cs="Arial"/>
          <w:i/>
          <w:iCs/>
          <w:sz w:val="22"/>
          <w:szCs w:val="22"/>
          <w:lang w:val="en-US"/>
        </w:rPr>
        <w:t>Care Act 2014</w:t>
      </w:r>
      <w:r w:rsidRPr="00EB4CA0">
        <w:rPr>
          <w:rFonts w:ascii="Arial" w:hAnsi="Arial" w:cs="Arial"/>
          <w:sz w:val="22"/>
          <w:szCs w:val="22"/>
          <w:lang w:val="en-US"/>
        </w:rPr>
        <w:t xml:space="preserve">. [online] Legislation.gov.uk. Available at: </w:t>
      </w:r>
      <w:hyperlink r:id="rId17" w:history="1">
        <w:r w:rsidR="00552523" w:rsidRPr="00EB4CA0">
          <w:rPr>
            <w:rStyle w:val="Hyperlink"/>
            <w:rFonts w:ascii="Arial" w:hAnsi="Arial" w:cs="Arial"/>
            <w:color w:val="auto"/>
            <w:sz w:val="22"/>
            <w:szCs w:val="22"/>
            <w:lang w:val="en-US"/>
          </w:rPr>
          <w:t>https://www.legislation.gov.uk/ukpga/2014/23/contents</w:t>
        </w:r>
      </w:hyperlink>
      <w:r w:rsidR="00552523"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552523" w:rsidRPr="00EB4CA0">
        <w:rPr>
          <w:rFonts w:ascii="Arial" w:hAnsi="Arial" w:cs="Arial"/>
          <w:sz w:val="22"/>
          <w:szCs w:val="22"/>
          <w:lang w:val="en-US"/>
        </w:rPr>
        <w:t>13</w:t>
      </w:r>
      <w:r w:rsidRPr="00EB4CA0">
        <w:rPr>
          <w:rFonts w:ascii="Arial" w:hAnsi="Arial" w:cs="Arial"/>
          <w:sz w:val="22"/>
          <w:szCs w:val="22"/>
          <w:lang w:val="en-US"/>
        </w:rPr>
        <w:t xml:space="preserve"> Ju</w:t>
      </w:r>
      <w:r w:rsidR="00552523" w:rsidRPr="00EB4CA0">
        <w:rPr>
          <w:rFonts w:ascii="Arial" w:hAnsi="Arial" w:cs="Arial"/>
          <w:sz w:val="22"/>
          <w:szCs w:val="22"/>
          <w:lang w:val="en-US"/>
        </w:rPr>
        <w:t>ne</w:t>
      </w:r>
      <w:r w:rsidRPr="00EB4CA0">
        <w:rPr>
          <w:rFonts w:ascii="Arial" w:hAnsi="Arial" w:cs="Arial"/>
          <w:sz w:val="22"/>
          <w:szCs w:val="22"/>
          <w:lang w:val="en-US"/>
        </w:rPr>
        <w:t xml:space="preserve"> 2026].</w:t>
      </w:r>
    </w:p>
    <w:p w14:paraId="5C63A1E4" w14:textId="0333A47D" w:rsidR="00903DC9" w:rsidRPr="00EB4CA0" w:rsidRDefault="00903DC9" w:rsidP="00CC2A38">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Care Quality Commission (2024). </w:t>
      </w:r>
      <w:r w:rsidRPr="00EB4CA0">
        <w:rPr>
          <w:rFonts w:ascii="Arial" w:hAnsi="Arial" w:cs="Arial"/>
          <w:i/>
          <w:iCs/>
          <w:sz w:val="22"/>
          <w:szCs w:val="22"/>
          <w:lang w:val="en-US"/>
        </w:rPr>
        <w:t>Regulations for service providers and managers</w:t>
      </w:r>
      <w:r w:rsidRPr="00EB4CA0">
        <w:rPr>
          <w:rFonts w:ascii="Arial" w:hAnsi="Arial" w:cs="Arial"/>
          <w:sz w:val="22"/>
          <w:szCs w:val="22"/>
          <w:lang w:val="en-US"/>
        </w:rPr>
        <w:t xml:space="preserve">. [online] Cqc.org.uk. Available at: </w:t>
      </w:r>
      <w:hyperlink r:id="rId18" w:history="1">
        <w:r w:rsidR="00CC2A38" w:rsidRPr="00EB4CA0">
          <w:rPr>
            <w:rStyle w:val="Hyperlink"/>
            <w:rFonts w:ascii="Arial" w:hAnsi="Arial" w:cs="Arial"/>
            <w:color w:val="auto"/>
            <w:sz w:val="22"/>
            <w:szCs w:val="22"/>
            <w:lang w:val="en-US"/>
          </w:rPr>
          <w:t>https://www.cqc.org.uk/guidance-regulation/providers/regulations-service-providers-and-managers/health-social-care-act/regulation-9</w:t>
        </w:r>
      </w:hyperlink>
      <w:r w:rsidR="00CC2A38"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CC2A38" w:rsidRPr="00EB4CA0">
        <w:rPr>
          <w:rFonts w:ascii="Arial" w:hAnsi="Arial" w:cs="Arial"/>
          <w:sz w:val="22"/>
          <w:szCs w:val="22"/>
          <w:lang w:val="en-US"/>
        </w:rPr>
        <w:t>22</w:t>
      </w:r>
      <w:r w:rsidRPr="00EB4CA0">
        <w:rPr>
          <w:rFonts w:ascii="Arial" w:hAnsi="Arial" w:cs="Arial"/>
          <w:sz w:val="22"/>
          <w:szCs w:val="22"/>
          <w:lang w:val="en-US"/>
        </w:rPr>
        <w:t xml:space="preserve"> Ju</w:t>
      </w:r>
      <w:r w:rsidR="00CC2A38" w:rsidRPr="00EB4CA0">
        <w:rPr>
          <w:rFonts w:ascii="Arial" w:hAnsi="Arial" w:cs="Arial"/>
          <w:sz w:val="22"/>
          <w:szCs w:val="22"/>
          <w:lang w:val="en-US"/>
        </w:rPr>
        <w:t>ne</w:t>
      </w:r>
      <w:r w:rsidRPr="00EB4CA0">
        <w:rPr>
          <w:rFonts w:ascii="Arial" w:hAnsi="Arial" w:cs="Arial"/>
          <w:sz w:val="22"/>
          <w:szCs w:val="22"/>
          <w:lang w:val="en-US"/>
        </w:rPr>
        <w:t xml:space="preserve"> 2026].</w:t>
      </w:r>
    </w:p>
    <w:p w14:paraId="75468F9A" w14:textId="551C91F4"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Care Quality Commission (2024). </w:t>
      </w:r>
      <w:r w:rsidRPr="00EB4CA0">
        <w:rPr>
          <w:rFonts w:ascii="Arial" w:hAnsi="Arial" w:cs="Arial"/>
          <w:i/>
          <w:iCs/>
          <w:sz w:val="22"/>
          <w:szCs w:val="22"/>
        </w:rPr>
        <w:t>The Fundamental Standards - Care Quality Commission</w:t>
      </w:r>
      <w:r w:rsidRPr="00EB4CA0">
        <w:rPr>
          <w:rFonts w:ascii="Arial" w:hAnsi="Arial" w:cs="Arial"/>
          <w:sz w:val="22"/>
          <w:szCs w:val="22"/>
        </w:rPr>
        <w:t xml:space="preserve">. [online] www.cqc.org.uk. Available at: </w:t>
      </w:r>
      <w:hyperlink r:id="rId19" w:history="1">
        <w:r w:rsidR="00CC2A38" w:rsidRPr="00EB4CA0">
          <w:rPr>
            <w:rStyle w:val="Hyperlink"/>
            <w:rFonts w:ascii="Arial" w:hAnsi="Arial" w:cs="Arial"/>
            <w:color w:val="auto"/>
            <w:sz w:val="22"/>
            <w:szCs w:val="22"/>
          </w:rPr>
          <w:t>https://www.cqc.org.uk/about-us/fundamental-standards</w:t>
        </w:r>
      </w:hyperlink>
      <w:r w:rsidRPr="00EB4CA0">
        <w:rPr>
          <w:rFonts w:ascii="Arial" w:hAnsi="Arial" w:cs="Arial"/>
          <w:sz w:val="22"/>
          <w:szCs w:val="22"/>
        </w:rPr>
        <w:t>.</w:t>
      </w:r>
    </w:p>
    <w:p w14:paraId="1E543E3D" w14:textId="77777777" w:rsidR="00CC2A38" w:rsidRPr="00EB4CA0" w:rsidRDefault="00CC2A38" w:rsidP="00B17614">
      <w:pPr>
        <w:pStyle w:val="NormalWeb"/>
        <w:spacing w:before="240" w:beforeAutospacing="0" w:after="240" w:afterAutospacing="0" w:line="360" w:lineRule="auto"/>
        <w:rPr>
          <w:rFonts w:ascii="Arial" w:hAnsi="Arial" w:cs="Arial"/>
          <w:sz w:val="22"/>
          <w:szCs w:val="22"/>
        </w:rPr>
      </w:pPr>
    </w:p>
    <w:p w14:paraId="2F000DBE" w14:textId="6FCA23E3" w:rsidR="00903DC9" w:rsidRPr="00EB4CA0" w:rsidRDefault="00903DC9" w:rsidP="00CC2A38">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Care Quality Commission (2024). </w:t>
      </w:r>
      <w:r w:rsidRPr="00EB4CA0">
        <w:rPr>
          <w:rFonts w:ascii="Arial" w:hAnsi="Arial" w:cs="Arial"/>
          <w:i/>
          <w:iCs/>
          <w:sz w:val="22"/>
          <w:szCs w:val="22"/>
          <w:lang w:val="en-US"/>
        </w:rPr>
        <w:t>The Fundamental Standards - Care Quality Commission</w:t>
      </w:r>
      <w:r w:rsidRPr="00EB4CA0">
        <w:rPr>
          <w:rFonts w:ascii="Arial" w:hAnsi="Arial" w:cs="Arial"/>
          <w:sz w:val="22"/>
          <w:szCs w:val="22"/>
          <w:lang w:val="en-US"/>
        </w:rPr>
        <w:t xml:space="preserve">. [online] Www.cqc.org.uk. Available at: </w:t>
      </w:r>
      <w:hyperlink r:id="rId20" w:history="1">
        <w:r w:rsidR="00CC2A38" w:rsidRPr="00EB4CA0">
          <w:rPr>
            <w:rStyle w:val="Hyperlink"/>
            <w:rFonts w:ascii="Arial" w:hAnsi="Arial" w:cs="Arial"/>
            <w:color w:val="auto"/>
            <w:sz w:val="22"/>
            <w:szCs w:val="22"/>
            <w:lang w:val="en-US"/>
          </w:rPr>
          <w:t>https://www.cqc.org.uk/about-us/fundamental-standards</w:t>
        </w:r>
      </w:hyperlink>
      <w:r w:rsidR="00CC2A38" w:rsidRPr="00EB4CA0">
        <w:rPr>
          <w:rFonts w:ascii="Arial" w:hAnsi="Arial" w:cs="Arial"/>
          <w:sz w:val="22"/>
          <w:szCs w:val="22"/>
          <w:lang w:val="en-US"/>
        </w:rPr>
        <w:t>.</w:t>
      </w:r>
      <w:r w:rsidRPr="00EB4CA0">
        <w:rPr>
          <w:rFonts w:ascii="Arial" w:hAnsi="Arial" w:cs="Arial"/>
          <w:sz w:val="22"/>
          <w:szCs w:val="22"/>
          <w:lang w:val="en-US"/>
        </w:rPr>
        <w:t>[Accessed 1</w:t>
      </w:r>
      <w:r w:rsidR="00CC2A38" w:rsidRPr="00EB4CA0">
        <w:rPr>
          <w:rFonts w:ascii="Arial" w:hAnsi="Arial" w:cs="Arial"/>
          <w:sz w:val="22"/>
          <w:szCs w:val="22"/>
          <w:lang w:val="en-US"/>
        </w:rPr>
        <w:t>8</w:t>
      </w:r>
      <w:r w:rsidRPr="00EB4CA0">
        <w:rPr>
          <w:rFonts w:ascii="Arial" w:hAnsi="Arial" w:cs="Arial"/>
          <w:sz w:val="22"/>
          <w:szCs w:val="22"/>
          <w:lang w:val="en-US"/>
        </w:rPr>
        <w:t xml:space="preserve"> Ju</w:t>
      </w:r>
      <w:r w:rsidR="00CC2A38" w:rsidRPr="00EB4CA0">
        <w:rPr>
          <w:rFonts w:ascii="Arial" w:hAnsi="Arial" w:cs="Arial"/>
          <w:sz w:val="22"/>
          <w:szCs w:val="22"/>
          <w:lang w:val="en-US"/>
        </w:rPr>
        <w:t>ne</w:t>
      </w:r>
      <w:r w:rsidRPr="00EB4CA0">
        <w:rPr>
          <w:rFonts w:ascii="Arial" w:hAnsi="Arial" w:cs="Arial"/>
          <w:sz w:val="22"/>
          <w:szCs w:val="22"/>
          <w:lang w:val="en-US"/>
        </w:rPr>
        <w:t xml:space="preserve"> 2026].</w:t>
      </w:r>
    </w:p>
    <w:p w14:paraId="301C032C"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Céline Racin, Raphaël Minjard, Humbert, C., Braccini, V., Capelli, F., Cédric Sueur and Lemaire, C. (2023). Analyzing the use of videoconference by and for older adults in nursing homes: An interdisciplinary approach to learn from the pandemic. </w:t>
      </w:r>
      <w:r w:rsidRPr="00EB4CA0">
        <w:rPr>
          <w:rFonts w:ascii="Arial" w:hAnsi="Arial" w:cs="Arial"/>
          <w:i/>
          <w:iCs/>
          <w:sz w:val="22"/>
          <w:szCs w:val="22"/>
          <w:lang w:val="en-US"/>
        </w:rPr>
        <w:t>Frontiers in Psychology</w:t>
      </w:r>
      <w:r w:rsidRPr="00EB4CA0">
        <w:rPr>
          <w:rFonts w:ascii="Arial" w:hAnsi="Arial" w:cs="Arial"/>
          <w:sz w:val="22"/>
          <w:szCs w:val="22"/>
          <w:lang w:val="en-US"/>
        </w:rPr>
        <w:t>, 14. doi:10.3389/fpsyg.2023.1154657.</w:t>
      </w:r>
    </w:p>
    <w:p w14:paraId="3DB27DF6" w14:textId="16333C60"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Chand, S. and Arif, H. (2023). </w:t>
      </w:r>
      <w:r w:rsidRPr="00EB4CA0">
        <w:rPr>
          <w:rFonts w:ascii="Arial" w:hAnsi="Arial" w:cs="Arial"/>
          <w:i/>
          <w:iCs/>
          <w:sz w:val="22"/>
          <w:szCs w:val="22"/>
        </w:rPr>
        <w:t>Depression</w:t>
      </w:r>
      <w:r w:rsidRPr="00EB4CA0">
        <w:rPr>
          <w:rFonts w:ascii="Arial" w:hAnsi="Arial" w:cs="Arial"/>
          <w:sz w:val="22"/>
          <w:szCs w:val="22"/>
        </w:rPr>
        <w:t xml:space="preserve">. [online] National Library of Medicine. Available at: </w:t>
      </w:r>
      <w:hyperlink r:id="rId21" w:history="1">
        <w:r w:rsidR="00CC2A38" w:rsidRPr="00EB4CA0">
          <w:rPr>
            <w:rStyle w:val="Hyperlink"/>
            <w:rFonts w:ascii="Arial" w:hAnsi="Arial" w:cs="Arial"/>
            <w:color w:val="auto"/>
            <w:sz w:val="22"/>
            <w:szCs w:val="22"/>
          </w:rPr>
          <w:t>https://www.ncbi.nlm.nih.gov/books/NBK430847/</w:t>
        </w:r>
      </w:hyperlink>
      <w:r w:rsidRPr="00EB4CA0">
        <w:rPr>
          <w:rFonts w:ascii="Arial" w:hAnsi="Arial" w:cs="Arial"/>
          <w:sz w:val="22"/>
          <w:szCs w:val="22"/>
        </w:rPr>
        <w:t>.</w:t>
      </w:r>
    </w:p>
    <w:p w14:paraId="03970B15" w14:textId="4AB54C85" w:rsidR="00903DC9" w:rsidRPr="00EB4CA0" w:rsidRDefault="00903DC9" w:rsidP="00CC2A38">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Cherry, K. (2025). </w:t>
      </w:r>
      <w:r w:rsidRPr="00EB4CA0">
        <w:rPr>
          <w:rFonts w:ascii="Arial" w:hAnsi="Arial" w:cs="Arial"/>
          <w:i/>
          <w:iCs/>
          <w:sz w:val="22"/>
          <w:szCs w:val="22"/>
          <w:lang w:val="en-US"/>
        </w:rPr>
        <w:t>What is attachment theory?</w:t>
      </w:r>
      <w:r w:rsidRPr="00EB4CA0">
        <w:rPr>
          <w:rFonts w:ascii="Arial" w:hAnsi="Arial" w:cs="Arial"/>
          <w:sz w:val="22"/>
          <w:szCs w:val="22"/>
          <w:lang w:val="en-US"/>
        </w:rPr>
        <w:t xml:space="preserve"> [online] Verywell Mind. Available at: </w:t>
      </w:r>
      <w:hyperlink r:id="rId22" w:history="1">
        <w:r w:rsidR="00CC2A38" w:rsidRPr="00EB4CA0">
          <w:rPr>
            <w:rStyle w:val="Hyperlink"/>
            <w:rFonts w:ascii="Arial" w:hAnsi="Arial" w:cs="Arial"/>
            <w:color w:val="auto"/>
            <w:sz w:val="22"/>
            <w:szCs w:val="22"/>
            <w:lang w:val="en-US"/>
          </w:rPr>
          <w:t>https://www.verywellmind.com/what-is-attachment-theory-2795337</w:t>
        </w:r>
      </w:hyperlink>
      <w:r w:rsidR="00CC2A38"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CC2A38" w:rsidRPr="00EB4CA0">
        <w:rPr>
          <w:rFonts w:ascii="Arial" w:hAnsi="Arial" w:cs="Arial"/>
          <w:sz w:val="22"/>
          <w:szCs w:val="22"/>
          <w:lang w:val="en-US"/>
        </w:rPr>
        <w:t>2</w:t>
      </w:r>
      <w:r w:rsidRPr="00EB4CA0">
        <w:rPr>
          <w:rFonts w:ascii="Arial" w:hAnsi="Arial" w:cs="Arial"/>
          <w:sz w:val="22"/>
          <w:szCs w:val="22"/>
          <w:lang w:val="en-US"/>
        </w:rPr>
        <w:t xml:space="preserve"> July 2026].</w:t>
      </w:r>
    </w:p>
    <w:p w14:paraId="5490C765" w14:textId="59BF4BF4" w:rsidR="00903DC9" w:rsidRPr="00EB4CA0" w:rsidRDefault="00903DC9" w:rsidP="00DB38C5">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Clemson, K. (2025). </w:t>
      </w:r>
      <w:r w:rsidRPr="00EB4CA0">
        <w:rPr>
          <w:rFonts w:ascii="Arial" w:hAnsi="Arial" w:cs="Arial"/>
          <w:i/>
          <w:iCs/>
          <w:sz w:val="22"/>
          <w:szCs w:val="22"/>
          <w:lang w:val="en-US"/>
        </w:rPr>
        <w:t>Understanding Person Focused Therapy: Techniques and Benefits</w:t>
      </w:r>
      <w:r w:rsidRPr="00EB4CA0">
        <w:rPr>
          <w:rFonts w:ascii="Arial" w:hAnsi="Arial" w:cs="Arial"/>
          <w:sz w:val="22"/>
          <w:szCs w:val="22"/>
          <w:lang w:val="en-US"/>
        </w:rPr>
        <w:t xml:space="preserve">. [online] Therapy Group of DC. Available at: </w:t>
      </w:r>
      <w:hyperlink r:id="rId23" w:history="1">
        <w:r w:rsidR="00DB38C5" w:rsidRPr="00EB4CA0">
          <w:rPr>
            <w:rStyle w:val="Hyperlink"/>
            <w:rFonts w:ascii="Arial" w:hAnsi="Arial" w:cs="Arial"/>
            <w:color w:val="auto"/>
            <w:sz w:val="22"/>
            <w:szCs w:val="22"/>
            <w:lang w:val="en-US"/>
          </w:rPr>
          <w:t>https://therapygroupdc.com/therapist-dc-blog/understanding-person-focused-therapy-techniques-and-benefits/</w:t>
        </w:r>
      </w:hyperlink>
      <w:r w:rsidR="00DB38C5"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DB38C5" w:rsidRPr="00EB4CA0">
        <w:rPr>
          <w:rFonts w:ascii="Arial" w:hAnsi="Arial" w:cs="Arial"/>
          <w:sz w:val="22"/>
          <w:szCs w:val="22"/>
          <w:lang w:val="en-US"/>
        </w:rPr>
        <w:t>2</w:t>
      </w:r>
      <w:r w:rsidRPr="00EB4CA0">
        <w:rPr>
          <w:rFonts w:ascii="Arial" w:hAnsi="Arial" w:cs="Arial"/>
          <w:sz w:val="22"/>
          <w:szCs w:val="22"/>
          <w:lang w:val="en-US"/>
        </w:rPr>
        <w:t xml:space="preserve"> July 2026].</w:t>
      </w:r>
    </w:p>
    <w:p w14:paraId="513E5252" w14:textId="7EBFE2CC" w:rsidR="00903DC9" w:rsidRPr="00EB4CA0" w:rsidRDefault="00903DC9" w:rsidP="000C6E52">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Cochrane (2025). </w:t>
      </w:r>
      <w:r w:rsidRPr="00EB4CA0">
        <w:rPr>
          <w:rFonts w:ascii="Arial" w:hAnsi="Arial" w:cs="Arial"/>
          <w:i/>
          <w:iCs/>
          <w:sz w:val="22"/>
          <w:szCs w:val="22"/>
          <w:lang w:val="en-US"/>
        </w:rPr>
        <w:t>Music-based therapy may improve depressive symptoms in people with dementia | Cochrane</w:t>
      </w:r>
      <w:r w:rsidRPr="00EB4CA0">
        <w:rPr>
          <w:rFonts w:ascii="Arial" w:hAnsi="Arial" w:cs="Arial"/>
          <w:sz w:val="22"/>
          <w:szCs w:val="22"/>
          <w:lang w:val="en-US"/>
        </w:rPr>
        <w:t xml:space="preserve">. [online] Cochrane.org. Available at: </w:t>
      </w:r>
      <w:hyperlink r:id="rId24" w:history="1">
        <w:r w:rsidR="000C6E52" w:rsidRPr="00EB4CA0">
          <w:rPr>
            <w:rStyle w:val="Hyperlink"/>
            <w:rFonts w:ascii="Arial" w:hAnsi="Arial" w:cs="Arial"/>
            <w:color w:val="auto"/>
            <w:sz w:val="22"/>
            <w:szCs w:val="22"/>
            <w:lang w:val="en-US"/>
          </w:rPr>
          <w:t>https://www.cochrane.org/about-us/news/music-based-therapy-may-improve-depressive-symptoms-people-dementia</w:t>
        </w:r>
      </w:hyperlink>
      <w:r w:rsidR="000C6E52"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0C6E52" w:rsidRPr="00EB4CA0">
        <w:rPr>
          <w:rFonts w:ascii="Arial" w:hAnsi="Arial" w:cs="Arial"/>
          <w:sz w:val="22"/>
          <w:szCs w:val="22"/>
          <w:lang w:val="en-US"/>
        </w:rPr>
        <w:t>4</w:t>
      </w:r>
      <w:r w:rsidRPr="00EB4CA0">
        <w:rPr>
          <w:rFonts w:ascii="Arial" w:hAnsi="Arial" w:cs="Arial"/>
          <w:sz w:val="22"/>
          <w:szCs w:val="22"/>
          <w:lang w:val="en-US"/>
        </w:rPr>
        <w:t xml:space="preserve"> July 2026].</w:t>
      </w:r>
    </w:p>
    <w:p w14:paraId="5EE8EB74"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lang w:val="de-DE"/>
        </w:rPr>
        <w:t xml:space="preserve">Cohen, C., Abt, M., Bélanger, L. and Ortoleva Bucher, C. (2024). </w:t>
      </w:r>
      <w:r w:rsidRPr="00EB4CA0">
        <w:rPr>
          <w:rFonts w:ascii="Arial" w:hAnsi="Arial" w:cs="Arial"/>
          <w:sz w:val="22"/>
          <w:szCs w:val="22"/>
        </w:rPr>
        <w:t xml:space="preserve">COVID </w:t>
      </w:r>
      <w:r w:rsidRPr="00EB4CA0">
        <w:rPr>
          <w:rFonts w:ascii="Cambria Math" w:hAnsi="Cambria Math" w:cs="Cambria Math"/>
          <w:sz w:val="22"/>
          <w:szCs w:val="22"/>
        </w:rPr>
        <w:t>‐</w:t>
      </w:r>
      <w:r w:rsidRPr="00EB4CA0">
        <w:rPr>
          <w:rFonts w:ascii="Arial" w:hAnsi="Arial" w:cs="Arial"/>
          <w:sz w:val="22"/>
          <w:szCs w:val="22"/>
        </w:rPr>
        <w:t>19’s Impact in Long</w:t>
      </w:r>
      <w:r w:rsidRPr="00EB4CA0">
        <w:rPr>
          <w:rFonts w:ascii="Cambria Math" w:hAnsi="Cambria Math" w:cs="Cambria Math"/>
          <w:sz w:val="22"/>
          <w:szCs w:val="22"/>
        </w:rPr>
        <w:t>‐</w:t>
      </w:r>
      <w:r w:rsidRPr="00EB4CA0">
        <w:rPr>
          <w:rFonts w:ascii="Arial" w:hAnsi="Arial" w:cs="Arial"/>
          <w:sz w:val="22"/>
          <w:szCs w:val="22"/>
        </w:rPr>
        <w:t xml:space="preserve">Term Care Facilities: The Health and Coping Strategies of Older Adults and Their Families. </w:t>
      </w:r>
      <w:r w:rsidRPr="00EB4CA0">
        <w:rPr>
          <w:rFonts w:ascii="Arial" w:hAnsi="Arial" w:cs="Arial"/>
          <w:i/>
          <w:iCs/>
          <w:sz w:val="22"/>
          <w:szCs w:val="22"/>
        </w:rPr>
        <w:t>Journal of Advanced Nursing</w:t>
      </w:r>
      <w:r w:rsidRPr="00EB4CA0">
        <w:rPr>
          <w:rFonts w:ascii="Arial" w:hAnsi="Arial" w:cs="Arial"/>
          <w:sz w:val="22"/>
          <w:szCs w:val="22"/>
        </w:rPr>
        <w:t>, [online] 81(6), pp.3226–3239. doi:https://doi.org/10.1111/jan.16530.</w:t>
      </w:r>
    </w:p>
    <w:p w14:paraId="289DAEEA" w14:textId="12821829"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Cohen, S. (2004). </w:t>
      </w:r>
      <w:r w:rsidRPr="00EB4CA0">
        <w:rPr>
          <w:rFonts w:ascii="Arial" w:hAnsi="Arial" w:cs="Arial"/>
          <w:i/>
          <w:iCs/>
          <w:sz w:val="22"/>
          <w:szCs w:val="22"/>
        </w:rPr>
        <w:t>APA PsycNet</w:t>
      </w:r>
      <w:r w:rsidRPr="00EB4CA0">
        <w:rPr>
          <w:rFonts w:ascii="Arial" w:hAnsi="Arial" w:cs="Arial"/>
          <w:sz w:val="22"/>
          <w:szCs w:val="22"/>
        </w:rPr>
        <w:t xml:space="preserve">. [online] psycnet.apa.org. Available at: </w:t>
      </w:r>
      <w:hyperlink r:id="rId25" w:history="1">
        <w:r w:rsidR="000C6E52" w:rsidRPr="00EB4CA0">
          <w:rPr>
            <w:rStyle w:val="Hyperlink"/>
            <w:rFonts w:ascii="Arial" w:hAnsi="Arial" w:cs="Arial"/>
            <w:color w:val="auto"/>
            <w:sz w:val="22"/>
            <w:szCs w:val="22"/>
          </w:rPr>
          <w:t>https://psycnet.apa.org/record/2004-20395-002</w:t>
        </w:r>
      </w:hyperlink>
      <w:r w:rsidRPr="00EB4CA0">
        <w:rPr>
          <w:rFonts w:ascii="Arial" w:hAnsi="Arial" w:cs="Arial"/>
          <w:sz w:val="22"/>
          <w:szCs w:val="22"/>
        </w:rPr>
        <w:t>.</w:t>
      </w:r>
    </w:p>
    <w:p w14:paraId="444BFE74"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Cohen-Mansfield, J. (2018). The Impact of Group Activities and Their Content on Persons with Dementia Attending Them. </w:t>
      </w:r>
      <w:r w:rsidRPr="00EB4CA0">
        <w:rPr>
          <w:rFonts w:ascii="Arial" w:hAnsi="Arial" w:cs="Arial"/>
          <w:i/>
          <w:iCs/>
          <w:sz w:val="22"/>
          <w:szCs w:val="22"/>
          <w:lang w:val="en-US"/>
        </w:rPr>
        <w:t>Alzheimer’s Research &amp; Therapy</w:t>
      </w:r>
      <w:r w:rsidRPr="00EB4CA0">
        <w:rPr>
          <w:rFonts w:ascii="Arial" w:hAnsi="Arial" w:cs="Arial"/>
          <w:sz w:val="22"/>
          <w:szCs w:val="22"/>
          <w:lang w:val="en-US"/>
        </w:rPr>
        <w:t>, [online] 10(1). doi:10.1186/s13195-018-0357-z.</w:t>
      </w:r>
    </w:p>
    <w:p w14:paraId="326D91DE" w14:textId="3EC357AD" w:rsidR="00903DC9" w:rsidRPr="00EB4CA0" w:rsidRDefault="00903DC9" w:rsidP="000C6E52">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Community Care On Palm (2024). </w:t>
      </w:r>
      <w:r w:rsidRPr="00EB4CA0">
        <w:rPr>
          <w:rFonts w:ascii="Arial" w:hAnsi="Arial" w:cs="Arial"/>
          <w:i/>
          <w:iCs/>
          <w:sz w:val="22"/>
          <w:szCs w:val="22"/>
          <w:lang w:val="en-US"/>
        </w:rPr>
        <w:t>The Role Of Family Involvement In Assisted Living Care Plans</w:t>
      </w:r>
      <w:r w:rsidRPr="00EB4CA0">
        <w:rPr>
          <w:rFonts w:ascii="Arial" w:hAnsi="Arial" w:cs="Arial"/>
          <w:sz w:val="22"/>
          <w:szCs w:val="22"/>
          <w:lang w:val="en-US"/>
        </w:rPr>
        <w:t xml:space="preserve">. [online] Community Care on Palm. Available at: </w:t>
      </w:r>
      <w:hyperlink r:id="rId26" w:history="1">
        <w:r w:rsidR="000C6E52" w:rsidRPr="00EB4CA0">
          <w:rPr>
            <w:rStyle w:val="Hyperlink"/>
            <w:rFonts w:ascii="Arial" w:hAnsi="Arial" w:cs="Arial"/>
            <w:color w:val="auto"/>
            <w:sz w:val="22"/>
            <w:szCs w:val="22"/>
            <w:lang w:val="en-US"/>
          </w:rPr>
          <w:t>https://cconpalm.com/the-role-of-family-involvement-in-assisted-living-care-plans/</w:t>
        </w:r>
      </w:hyperlink>
      <w:r w:rsidR="000C6E52"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0C6E52" w:rsidRPr="00EB4CA0">
        <w:rPr>
          <w:rFonts w:ascii="Arial" w:hAnsi="Arial" w:cs="Arial"/>
          <w:sz w:val="22"/>
          <w:szCs w:val="22"/>
          <w:lang w:val="en-US"/>
        </w:rPr>
        <w:t>5</w:t>
      </w:r>
      <w:r w:rsidRPr="00EB4CA0">
        <w:rPr>
          <w:rFonts w:ascii="Arial" w:hAnsi="Arial" w:cs="Arial"/>
          <w:sz w:val="22"/>
          <w:szCs w:val="22"/>
          <w:lang w:val="en-US"/>
        </w:rPr>
        <w:t xml:space="preserve"> July 2026].</w:t>
      </w:r>
    </w:p>
    <w:p w14:paraId="3081B071" w14:textId="1E258633" w:rsidR="00903DC9" w:rsidRPr="00EB4CA0" w:rsidRDefault="00903DC9" w:rsidP="00F311EC">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CQC (2023). </w:t>
      </w:r>
      <w:r w:rsidRPr="00EB4CA0">
        <w:rPr>
          <w:rFonts w:ascii="Arial" w:hAnsi="Arial" w:cs="Arial"/>
          <w:i/>
          <w:iCs/>
          <w:sz w:val="22"/>
          <w:szCs w:val="22"/>
          <w:lang w:val="en-US"/>
        </w:rPr>
        <w:t>The Health and Care Workforce</w:t>
      </w:r>
      <w:r w:rsidRPr="00EB4CA0">
        <w:rPr>
          <w:rFonts w:ascii="Arial" w:hAnsi="Arial" w:cs="Arial"/>
          <w:sz w:val="22"/>
          <w:szCs w:val="22"/>
          <w:lang w:val="en-US"/>
        </w:rPr>
        <w:t xml:space="preserve">. [online] Www.cqc.org.uk. Available at: </w:t>
      </w:r>
      <w:hyperlink r:id="rId27" w:history="1">
        <w:r w:rsidR="00F311EC" w:rsidRPr="00EB4CA0">
          <w:rPr>
            <w:rStyle w:val="Hyperlink"/>
            <w:rFonts w:ascii="Arial" w:hAnsi="Arial" w:cs="Arial"/>
            <w:color w:val="auto"/>
            <w:sz w:val="22"/>
            <w:szCs w:val="22"/>
            <w:lang w:val="en-US"/>
          </w:rPr>
          <w:t>https://www.cqc.org.uk/publications/major-report/state-care/2022-2023/workforce</w:t>
        </w:r>
      </w:hyperlink>
      <w:r w:rsidR="00F311EC" w:rsidRPr="00EB4CA0">
        <w:rPr>
          <w:rFonts w:ascii="Arial" w:hAnsi="Arial" w:cs="Arial"/>
          <w:sz w:val="22"/>
          <w:szCs w:val="22"/>
          <w:lang w:val="en-US"/>
        </w:rPr>
        <w:t xml:space="preserve">. </w:t>
      </w:r>
      <w:r w:rsidRPr="00EB4CA0">
        <w:rPr>
          <w:rFonts w:ascii="Arial" w:hAnsi="Arial" w:cs="Arial"/>
          <w:sz w:val="22"/>
          <w:szCs w:val="22"/>
          <w:lang w:val="en-US"/>
        </w:rPr>
        <w:t>[Accessed 11 July 2026].</w:t>
      </w:r>
    </w:p>
    <w:p w14:paraId="7A5A9AC4" w14:textId="70C7C625" w:rsidR="00903DC9" w:rsidRPr="00EB4CA0" w:rsidRDefault="00903DC9" w:rsidP="00F311EC">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Critical Appraisal Skills Programme (2023). </w:t>
      </w:r>
      <w:r w:rsidRPr="00EB4CA0">
        <w:rPr>
          <w:rFonts w:ascii="Arial" w:hAnsi="Arial" w:cs="Arial"/>
          <w:i/>
          <w:iCs/>
          <w:sz w:val="22"/>
          <w:szCs w:val="22"/>
          <w:lang w:val="en-US"/>
        </w:rPr>
        <w:t>What is a systematic review &amp; why are they important?</w:t>
      </w:r>
      <w:r w:rsidRPr="00EB4CA0">
        <w:rPr>
          <w:rFonts w:ascii="Arial" w:hAnsi="Arial" w:cs="Arial"/>
          <w:sz w:val="22"/>
          <w:szCs w:val="22"/>
          <w:lang w:val="en-US"/>
        </w:rPr>
        <w:t xml:space="preserve"> [online] CASP - Critical Appraisal Skills Programme. Available at: </w:t>
      </w:r>
      <w:hyperlink r:id="rId28" w:history="1">
        <w:r w:rsidR="00F311EC" w:rsidRPr="00EB4CA0">
          <w:rPr>
            <w:rStyle w:val="Hyperlink"/>
            <w:rFonts w:ascii="Arial" w:hAnsi="Arial" w:cs="Arial"/>
            <w:color w:val="auto"/>
            <w:sz w:val="22"/>
            <w:szCs w:val="22"/>
            <w:lang w:val="en-US"/>
          </w:rPr>
          <w:t>https://casp-uk.net/news/what-is-a-systematic-review/</w:t>
        </w:r>
      </w:hyperlink>
      <w:r w:rsidR="00F311EC"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F311EC" w:rsidRPr="00EB4CA0">
        <w:rPr>
          <w:rFonts w:ascii="Arial" w:hAnsi="Arial" w:cs="Arial"/>
          <w:sz w:val="22"/>
          <w:szCs w:val="22"/>
          <w:lang w:val="en-US"/>
        </w:rPr>
        <w:t>3</w:t>
      </w:r>
      <w:r w:rsidRPr="00EB4CA0">
        <w:rPr>
          <w:rFonts w:ascii="Arial" w:hAnsi="Arial" w:cs="Arial"/>
          <w:sz w:val="22"/>
          <w:szCs w:val="22"/>
          <w:lang w:val="en-US"/>
        </w:rPr>
        <w:t xml:space="preserve"> July 2026].</w:t>
      </w:r>
    </w:p>
    <w:p w14:paraId="00F0487E"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Crossman, A. (2020). </w:t>
      </w:r>
      <w:r w:rsidRPr="00EB4CA0">
        <w:rPr>
          <w:rFonts w:ascii="Arial" w:hAnsi="Arial" w:cs="Arial"/>
          <w:i/>
          <w:iCs/>
          <w:sz w:val="22"/>
          <w:szCs w:val="22"/>
        </w:rPr>
        <w:t>Learn About Emile Durkheim’s Classic Study of Suicide in Sociology</w:t>
      </w:r>
      <w:r w:rsidRPr="00EB4CA0">
        <w:rPr>
          <w:rFonts w:ascii="Arial" w:hAnsi="Arial" w:cs="Arial"/>
          <w:sz w:val="22"/>
          <w:szCs w:val="22"/>
        </w:rPr>
        <w:t>. [online] ThoughtCo. Available at: https://www.thoughtco.com/study-of-suicide-by-emile-durkheim-3026758.</w:t>
      </w:r>
    </w:p>
    <w:p w14:paraId="1D19C3D8" w14:textId="5B4A073B"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D’Antonio, P. (2011). </w:t>
      </w:r>
      <w:r w:rsidRPr="00EB4CA0">
        <w:rPr>
          <w:rFonts w:ascii="Arial" w:hAnsi="Arial" w:cs="Arial"/>
          <w:i/>
          <w:iCs/>
          <w:sz w:val="22"/>
          <w:szCs w:val="22"/>
        </w:rPr>
        <w:t>History of Psychiatric Hospitals</w:t>
      </w:r>
      <w:r w:rsidRPr="00EB4CA0">
        <w:rPr>
          <w:rFonts w:ascii="Arial" w:hAnsi="Arial" w:cs="Arial"/>
          <w:sz w:val="22"/>
          <w:szCs w:val="22"/>
        </w:rPr>
        <w:t xml:space="preserve">. [online] upenn.edu. Available at: </w:t>
      </w:r>
      <w:hyperlink r:id="rId29" w:history="1">
        <w:r w:rsidR="00A2716B" w:rsidRPr="00EB4CA0">
          <w:rPr>
            <w:rStyle w:val="Hyperlink"/>
            <w:rFonts w:ascii="Arial" w:hAnsi="Arial" w:cs="Arial"/>
            <w:color w:val="auto"/>
            <w:sz w:val="22"/>
            <w:szCs w:val="22"/>
          </w:rPr>
          <w:t>https://www.nursing.upenn.edu/nhhc/nurses-institutions-caring/history-of-psychiatric-hospitals/</w:t>
        </w:r>
      </w:hyperlink>
      <w:r w:rsidRPr="00EB4CA0">
        <w:rPr>
          <w:rFonts w:ascii="Arial" w:hAnsi="Arial" w:cs="Arial"/>
          <w:sz w:val="22"/>
          <w:szCs w:val="22"/>
        </w:rPr>
        <w:t>.</w:t>
      </w:r>
    </w:p>
    <w:p w14:paraId="007B068C"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lang w:val="de-DE"/>
        </w:rPr>
        <w:t xml:space="preserve">Dahlberg, L., Isabelle von Saenger, Naseer, M., Lennartsson, C. and Agahi, N. (2024). </w:t>
      </w:r>
      <w:r w:rsidRPr="00EB4CA0">
        <w:rPr>
          <w:rFonts w:ascii="Arial" w:hAnsi="Arial" w:cs="Arial"/>
          <w:sz w:val="22"/>
          <w:szCs w:val="22"/>
        </w:rPr>
        <w:t xml:space="preserve">National trends in loneliness and social isolation in older adults: an examination of subgroup trends over three decades in Sweden. </w:t>
      </w:r>
      <w:r w:rsidRPr="00EB4CA0">
        <w:rPr>
          <w:rFonts w:ascii="Arial" w:hAnsi="Arial" w:cs="Arial"/>
          <w:i/>
          <w:iCs/>
          <w:sz w:val="22"/>
          <w:szCs w:val="22"/>
        </w:rPr>
        <w:t>Frontiers in Public Health</w:t>
      </w:r>
      <w:r w:rsidRPr="00EB4CA0">
        <w:rPr>
          <w:rFonts w:ascii="Arial" w:hAnsi="Arial" w:cs="Arial"/>
          <w:sz w:val="22"/>
          <w:szCs w:val="22"/>
        </w:rPr>
        <w:t>, 12. doi:https://doi.org/10.3389/fpubh.2024.1444990.</w:t>
      </w:r>
    </w:p>
    <w:p w14:paraId="0AB6D602"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Dawadi, S. (2020). Thematic Analysis approach: A Step by Step Guide for ELT Research Practitioners. </w:t>
      </w:r>
      <w:r w:rsidRPr="00EB4CA0">
        <w:rPr>
          <w:rFonts w:ascii="Arial" w:hAnsi="Arial" w:cs="Arial"/>
          <w:i/>
          <w:iCs/>
          <w:sz w:val="22"/>
          <w:szCs w:val="22"/>
          <w:lang w:val="en-US"/>
        </w:rPr>
        <w:t>Journal of NELTA</w:t>
      </w:r>
      <w:r w:rsidRPr="00EB4CA0">
        <w:rPr>
          <w:rFonts w:ascii="Arial" w:hAnsi="Arial" w:cs="Arial"/>
          <w:sz w:val="22"/>
          <w:szCs w:val="22"/>
          <w:lang w:val="en-US"/>
        </w:rPr>
        <w:t>, 25(1–2), pp.62–71.</w:t>
      </w:r>
    </w:p>
    <w:p w14:paraId="233CBBD8" w14:textId="12F3E8AC"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Dementia Alliance International (2025). </w:t>
      </w:r>
      <w:r w:rsidRPr="00EB4CA0">
        <w:rPr>
          <w:rFonts w:ascii="Arial" w:hAnsi="Arial" w:cs="Arial"/>
          <w:i/>
          <w:iCs/>
          <w:sz w:val="22"/>
          <w:szCs w:val="22"/>
        </w:rPr>
        <w:t>The Remarkable De Hogeweyk ‘Dementia Village’- A Blueprint For Living With End Stage Dementia</w:t>
      </w:r>
      <w:r w:rsidRPr="00EB4CA0">
        <w:rPr>
          <w:rFonts w:ascii="Arial" w:hAnsi="Arial" w:cs="Arial"/>
          <w:sz w:val="22"/>
          <w:szCs w:val="22"/>
        </w:rPr>
        <w:t xml:space="preserve">. [online] Dementia Alliance International. Available at: </w:t>
      </w:r>
      <w:hyperlink r:id="rId30" w:history="1">
        <w:r w:rsidR="00A2716B" w:rsidRPr="00EB4CA0">
          <w:rPr>
            <w:rStyle w:val="Hyperlink"/>
            <w:rFonts w:ascii="Arial" w:hAnsi="Arial" w:cs="Arial"/>
            <w:color w:val="auto"/>
            <w:sz w:val="22"/>
            <w:szCs w:val="22"/>
          </w:rPr>
          <w:t>https://dementiaallianceinternational.org/blog/the-remarkable-de-hogeweyk-dementia-village-a-blueprint-for-living-with-end-stage-dementia</w:t>
        </w:r>
      </w:hyperlink>
      <w:r w:rsidRPr="00EB4CA0">
        <w:rPr>
          <w:rFonts w:ascii="Arial" w:hAnsi="Arial" w:cs="Arial"/>
          <w:sz w:val="22"/>
          <w:szCs w:val="22"/>
        </w:rPr>
        <w:t>.</w:t>
      </w:r>
    </w:p>
    <w:p w14:paraId="6BFF2223" w14:textId="2E4CF291" w:rsidR="00903DC9" w:rsidRPr="00EB4CA0" w:rsidRDefault="00903DC9" w:rsidP="00A2716B">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Dementia Alliance International (2025). </w:t>
      </w:r>
      <w:r w:rsidRPr="00EB4CA0">
        <w:rPr>
          <w:rFonts w:ascii="Arial" w:hAnsi="Arial" w:cs="Arial"/>
          <w:i/>
          <w:iCs/>
          <w:sz w:val="22"/>
          <w:szCs w:val="22"/>
          <w:lang w:val="en-US"/>
        </w:rPr>
        <w:t>The Remarkable De Hogeweyk “Dementia Village”- A Blueprint For Living With End Stage Dementia</w:t>
      </w:r>
      <w:r w:rsidRPr="00EB4CA0">
        <w:rPr>
          <w:rFonts w:ascii="Arial" w:hAnsi="Arial" w:cs="Arial"/>
          <w:sz w:val="22"/>
          <w:szCs w:val="22"/>
          <w:lang w:val="en-US"/>
        </w:rPr>
        <w:t xml:space="preserve">. [online] Dementia Alliance International. Available at: </w:t>
      </w:r>
      <w:hyperlink r:id="rId31" w:history="1">
        <w:r w:rsidR="00A2716B" w:rsidRPr="00EB4CA0">
          <w:rPr>
            <w:rStyle w:val="Hyperlink"/>
            <w:rFonts w:ascii="Arial" w:hAnsi="Arial" w:cs="Arial"/>
            <w:color w:val="auto"/>
            <w:sz w:val="22"/>
            <w:szCs w:val="22"/>
            <w:lang w:val="en-US"/>
          </w:rPr>
          <w:t>https://dementiaallianceinternational.org/blog/the-remarkable-de-hogeweyk-dementia-village-a-blueprint-for-living-with-end-stage-dementia</w:t>
        </w:r>
      </w:hyperlink>
      <w:r w:rsidR="00A2716B" w:rsidRPr="00EB4CA0">
        <w:rPr>
          <w:rFonts w:ascii="Arial" w:hAnsi="Arial" w:cs="Arial"/>
          <w:sz w:val="22"/>
          <w:szCs w:val="22"/>
          <w:lang w:val="en-US"/>
        </w:rPr>
        <w:t>.</w:t>
      </w:r>
      <w:r w:rsidRPr="00EB4CA0">
        <w:rPr>
          <w:rFonts w:ascii="Arial" w:hAnsi="Arial" w:cs="Arial"/>
          <w:sz w:val="22"/>
          <w:szCs w:val="22"/>
          <w:lang w:val="en-US"/>
        </w:rPr>
        <w:t>[Accessed 1</w:t>
      </w:r>
      <w:r w:rsidR="00A2716B" w:rsidRPr="00EB4CA0">
        <w:rPr>
          <w:rFonts w:ascii="Arial" w:hAnsi="Arial" w:cs="Arial"/>
          <w:sz w:val="22"/>
          <w:szCs w:val="22"/>
          <w:lang w:val="en-US"/>
        </w:rPr>
        <w:t>5</w:t>
      </w:r>
      <w:r w:rsidRPr="00EB4CA0">
        <w:rPr>
          <w:rFonts w:ascii="Arial" w:hAnsi="Arial" w:cs="Arial"/>
          <w:sz w:val="22"/>
          <w:szCs w:val="22"/>
          <w:lang w:val="en-US"/>
        </w:rPr>
        <w:t xml:space="preserve"> July 2026].</w:t>
      </w:r>
    </w:p>
    <w:p w14:paraId="35CD7C4C" w14:textId="50C163A5" w:rsidR="00903DC9" w:rsidRPr="00EB4CA0" w:rsidRDefault="00903DC9" w:rsidP="00A2716B">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fr-FR"/>
        </w:rPr>
        <w:t xml:space="preserve">Dementia Village Associates (2023). </w:t>
      </w:r>
      <w:r w:rsidRPr="00EB4CA0">
        <w:rPr>
          <w:rFonts w:ascii="Arial" w:hAnsi="Arial" w:cs="Arial"/>
          <w:i/>
          <w:iCs/>
          <w:sz w:val="22"/>
          <w:szCs w:val="22"/>
          <w:lang w:val="fr-FR"/>
        </w:rPr>
        <w:t>Hogeweyk</w:t>
      </w:r>
      <w:r w:rsidRPr="00EB4CA0">
        <w:rPr>
          <w:rFonts w:ascii="Arial" w:hAnsi="Arial" w:cs="Arial"/>
          <w:sz w:val="22"/>
          <w:szCs w:val="22"/>
          <w:lang w:val="fr-FR"/>
        </w:rPr>
        <w:t xml:space="preserve">. [online] Dementia Village Associates. </w:t>
      </w:r>
      <w:r w:rsidRPr="00EB4CA0">
        <w:rPr>
          <w:rFonts w:ascii="Arial" w:hAnsi="Arial" w:cs="Arial"/>
          <w:sz w:val="22"/>
          <w:szCs w:val="22"/>
          <w:lang w:val="en-US"/>
        </w:rPr>
        <w:t xml:space="preserve">Available at: </w:t>
      </w:r>
      <w:hyperlink r:id="rId32" w:history="1">
        <w:r w:rsidR="00A2716B" w:rsidRPr="00EB4CA0">
          <w:rPr>
            <w:rStyle w:val="Hyperlink"/>
            <w:rFonts w:ascii="Arial" w:hAnsi="Arial" w:cs="Arial"/>
            <w:color w:val="auto"/>
            <w:sz w:val="22"/>
            <w:szCs w:val="22"/>
            <w:lang w:val="en-US"/>
          </w:rPr>
          <w:t>https://hogeweyk.dementiavillage.com/</w:t>
        </w:r>
      </w:hyperlink>
      <w:r w:rsidR="00A2716B"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A2716B" w:rsidRPr="00EB4CA0">
        <w:rPr>
          <w:rFonts w:ascii="Arial" w:hAnsi="Arial" w:cs="Arial"/>
          <w:sz w:val="22"/>
          <w:szCs w:val="22"/>
          <w:lang w:val="en-US"/>
        </w:rPr>
        <w:t>8</w:t>
      </w:r>
      <w:r w:rsidRPr="00EB4CA0">
        <w:rPr>
          <w:rFonts w:ascii="Arial" w:hAnsi="Arial" w:cs="Arial"/>
          <w:sz w:val="22"/>
          <w:szCs w:val="22"/>
          <w:lang w:val="en-US"/>
        </w:rPr>
        <w:t xml:space="preserve"> July 2026].</w:t>
      </w:r>
    </w:p>
    <w:p w14:paraId="27263286" w14:textId="0C4D1045" w:rsidR="00903DC9" w:rsidRPr="00EB4CA0" w:rsidRDefault="00903DC9" w:rsidP="00A2716B">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Disability Unit (2025). </w:t>
      </w:r>
      <w:r w:rsidRPr="00EB4CA0">
        <w:rPr>
          <w:rFonts w:ascii="Arial" w:hAnsi="Arial" w:cs="Arial"/>
          <w:i/>
          <w:iCs/>
          <w:sz w:val="22"/>
          <w:szCs w:val="22"/>
          <w:lang w:val="en-US"/>
        </w:rPr>
        <w:t>Disability, loneliness and relationships: A thematic report</w:t>
      </w:r>
      <w:r w:rsidRPr="00EB4CA0">
        <w:rPr>
          <w:rFonts w:ascii="Arial" w:hAnsi="Arial" w:cs="Arial"/>
          <w:sz w:val="22"/>
          <w:szCs w:val="22"/>
          <w:lang w:val="en-US"/>
        </w:rPr>
        <w:t xml:space="preserve">. [online] GOV.UK. Available at: </w:t>
      </w:r>
      <w:hyperlink r:id="rId33" w:history="1">
        <w:r w:rsidR="00A2716B" w:rsidRPr="00EB4CA0">
          <w:rPr>
            <w:rStyle w:val="Hyperlink"/>
            <w:rFonts w:ascii="Arial" w:hAnsi="Arial" w:cs="Arial"/>
            <w:color w:val="auto"/>
            <w:sz w:val="22"/>
            <w:szCs w:val="22"/>
            <w:lang w:val="en-US"/>
          </w:rPr>
          <w:t>https://www.gov.uk/government/publications/disability-loneliness-and-relationships-a-thematic-report/disability-loneliness-and-relationships-a-thematic-report</w:t>
        </w:r>
      </w:hyperlink>
      <w:r w:rsidR="00A2716B" w:rsidRPr="00EB4CA0">
        <w:rPr>
          <w:rFonts w:ascii="Arial" w:hAnsi="Arial" w:cs="Arial"/>
          <w:sz w:val="22"/>
          <w:szCs w:val="22"/>
          <w:lang w:val="en-US"/>
        </w:rPr>
        <w:t xml:space="preserve">. </w:t>
      </w:r>
      <w:r w:rsidRPr="00EB4CA0">
        <w:rPr>
          <w:rFonts w:ascii="Arial" w:hAnsi="Arial" w:cs="Arial"/>
          <w:sz w:val="22"/>
          <w:szCs w:val="22"/>
          <w:lang w:val="en-US"/>
        </w:rPr>
        <w:t>[Accessed 1</w:t>
      </w:r>
      <w:r w:rsidR="00A2716B" w:rsidRPr="00EB4CA0">
        <w:rPr>
          <w:rFonts w:ascii="Arial" w:hAnsi="Arial" w:cs="Arial"/>
          <w:sz w:val="22"/>
          <w:szCs w:val="22"/>
          <w:lang w:val="en-US"/>
        </w:rPr>
        <w:t>5</w:t>
      </w:r>
      <w:r w:rsidRPr="00EB4CA0">
        <w:rPr>
          <w:rFonts w:ascii="Arial" w:hAnsi="Arial" w:cs="Arial"/>
          <w:sz w:val="22"/>
          <w:szCs w:val="22"/>
          <w:lang w:val="en-US"/>
        </w:rPr>
        <w:t xml:space="preserve"> July 2026].</w:t>
      </w:r>
    </w:p>
    <w:p w14:paraId="7F6CFA05" w14:textId="6F7712A8"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Drageset, J. (2021). </w:t>
      </w:r>
      <w:r w:rsidRPr="00EB4CA0">
        <w:rPr>
          <w:rFonts w:ascii="Arial" w:hAnsi="Arial" w:cs="Arial"/>
          <w:i/>
          <w:iCs/>
          <w:sz w:val="22"/>
          <w:szCs w:val="22"/>
        </w:rPr>
        <w:t>Social Support</w:t>
      </w:r>
      <w:r w:rsidRPr="00EB4CA0">
        <w:rPr>
          <w:rFonts w:ascii="Arial" w:hAnsi="Arial" w:cs="Arial"/>
          <w:sz w:val="22"/>
          <w:szCs w:val="22"/>
        </w:rPr>
        <w:t xml:space="preserve">. [online] PubMed. Available at: </w:t>
      </w:r>
      <w:hyperlink r:id="rId34" w:history="1">
        <w:r w:rsidR="00A2716B" w:rsidRPr="00EB4CA0">
          <w:rPr>
            <w:rStyle w:val="Hyperlink"/>
            <w:rFonts w:ascii="Arial" w:hAnsi="Arial" w:cs="Arial"/>
            <w:color w:val="auto"/>
            <w:sz w:val="22"/>
            <w:szCs w:val="22"/>
          </w:rPr>
          <w:t>https://www.ncbi.nlm.nih.gov/books/NBK585650/</w:t>
        </w:r>
      </w:hyperlink>
      <w:r w:rsidRPr="00EB4CA0">
        <w:rPr>
          <w:rFonts w:ascii="Arial" w:hAnsi="Arial" w:cs="Arial"/>
          <w:sz w:val="22"/>
          <w:szCs w:val="22"/>
        </w:rPr>
        <w:t>.</w:t>
      </w:r>
    </w:p>
    <w:p w14:paraId="12C08CA1" w14:textId="564209A1" w:rsidR="00903DC9" w:rsidRPr="00EB4CA0" w:rsidRDefault="00903DC9" w:rsidP="00A2716B">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Drageset, J. (2021). </w:t>
      </w:r>
      <w:r w:rsidRPr="00EB4CA0">
        <w:rPr>
          <w:rFonts w:ascii="Arial" w:hAnsi="Arial" w:cs="Arial"/>
          <w:i/>
          <w:iCs/>
          <w:sz w:val="22"/>
          <w:szCs w:val="22"/>
          <w:lang w:val="en-US"/>
        </w:rPr>
        <w:t>Social Support</w:t>
      </w:r>
      <w:r w:rsidRPr="00EB4CA0">
        <w:rPr>
          <w:rFonts w:ascii="Arial" w:hAnsi="Arial" w:cs="Arial"/>
          <w:sz w:val="22"/>
          <w:szCs w:val="22"/>
          <w:lang w:val="en-US"/>
        </w:rPr>
        <w:t xml:space="preserve">. [online] PubMed. Available at: </w:t>
      </w:r>
      <w:hyperlink r:id="rId35" w:history="1">
        <w:r w:rsidR="00A2716B" w:rsidRPr="00EB4CA0">
          <w:rPr>
            <w:rStyle w:val="Hyperlink"/>
            <w:rFonts w:ascii="Arial" w:hAnsi="Arial" w:cs="Arial"/>
            <w:color w:val="auto"/>
            <w:sz w:val="22"/>
            <w:szCs w:val="22"/>
            <w:lang w:val="en-US"/>
          </w:rPr>
          <w:t>https://www.ncbi.nlm.nih.gov/books/NBK585650/</w:t>
        </w:r>
      </w:hyperlink>
      <w:r w:rsidR="00A2716B" w:rsidRPr="00EB4CA0">
        <w:rPr>
          <w:rFonts w:ascii="Arial" w:hAnsi="Arial" w:cs="Arial"/>
          <w:sz w:val="22"/>
          <w:szCs w:val="22"/>
          <w:lang w:val="en-US"/>
        </w:rPr>
        <w:t xml:space="preserve"> </w:t>
      </w:r>
      <w:r w:rsidRPr="00EB4CA0">
        <w:rPr>
          <w:rFonts w:ascii="Arial" w:hAnsi="Arial" w:cs="Arial"/>
          <w:sz w:val="22"/>
          <w:szCs w:val="22"/>
          <w:lang w:val="en-US"/>
        </w:rPr>
        <w:t>[Accessed 1</w:t>
      </w:r>
      <w:r w:rsidR="00A2716B" w:rsidRPr="00EB4CA0">
        <w:rPr>
          <w:rFonts w:ascii="Arial" w:hAnsi="Arial" w:cs="Arial"/>
          <w:sz w:val="22"/>
          <w:szCs w:val="22"/>
          <w:lang w:val="en-US"/>
        </w:rPr>
        <w:t>3</w:t>
      </w:r>
      <w:r w:rsidRPr="00EB4CA0">
        <w:rPr>
          <w:rFonts w:ascii="Arial" w:hAnsi="Arial" w:cs="Arial"/>
          <w:sz w:val="22"/>
          <w:szCs w:val="22"/>
          <w:lang w:val="en-US"/>
        </w:rPr>
        <w:t xml:space="preserve"> July 2026].</w:t>
      </w:r>
    </w:p>
    <w:p w14:paraId="7FDFA4DF" w14:textId="4A3EC749"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Edmond, C. and North, M. (2023). </w:t>
      </w:r>
      <w:r w:rsidRPr="00EB4CA0">
        <w:rPr>
          <w:rFonts w:ascii="Arial" w:hAnsi="Arial" w:cs="Arial"/>
          <w:i/>
          <w:iCs/>
          <w:sz w:val="22"/>
          <w:szCs w:val="22"/>
        </w:rPr>
        <w:t>More than 1 in 10 People in Japan Are Aged 80 or over. Here’s How Its Ageing Population Is Reshaping the Country</w:t>
      </w:r>
      <w:r w:rsidRPr="00EB4CA0">
        <w:rPr>
          <w:rFonts w:ascii="Arial" w:hAnsi="Arial" w:cs="Arial"/>
          <w:sz w:val="22"/>
          <w:szCs w:val="22"/>
        </w:rPr>
        <w:t xml:space="preserve">. [online] World Economic Forum. Available at: </w:t>
      </w:r>
      <w:hyperlink r:id="rId36" w:history="1">
        <w:r w:rsidR="00A2716B" w:rsidRPr="00EB4CA0">
          <w:rPr>
            <w:rStyle w:val="Hyperlink"/>
            <w:rFonts w:ascii="Arial" w:hAnsi="Arial" w:cs="Arial"/>
            <w:color w:val="auto"/>
            <w:sz w:val="22"/>
            <w:szCs w:val="22"/>
          </w:rPr>
          <w:t>https://www.weforum.org/stories/2023/09/elderly-oldest-population-world-japan/</w:t>
        </w:r>
      </w:hyperlink>
      <w:r w:rsidRPr="00EB4CA0">
        <w:rPr>
          <w:rFonts w:ascii="Arial" w:hAnsi="Arial" w:cs="Arial"/>
          <w:sz w:val="22"/>
          <w:szCs w:val="22"/>
        </w:rPr>
        <w:t>.</w:t>
      </w:r>
    </w:p>
    <w:p w14:paraId="41C4FB8B" w14:textId="11E6CB8C" w:rsidR="00903DC9" w:rsidRPr="00EB4CA0" w:rsidRDefault="00903DC9" w:rsidP="00A2716B">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Education Policy Institute (2025). </w:t>
      </w:r>
      <w:r w:rsidRPr="00EB4CA0">
        <w:rPr>
          <w:rFonts w:ascii="Arial" w:hAnsi="Arial" w:cs="Arial"/>
          <w:i/>
          <w:iCs/>
          <w:sz w:val="22"/>
          <w:szCs w:val="22"/>
          <w:lang w:val="en-US"/>
        </w:rPr>
        <w:t>The stability of the early years workforce in England</w:t>
      </w:r>
      <w:r w:rsidRPr="00EB4CA0">
        <w:rPr>
          <w:rFonts w:ascii="Arial" w:hAnsi="Arial" w:cs="Arial"/>
          <w:sz w:val="22"/>
          <w:szCs w:val="22"/>
          <w:lang w:val="en-US"/>
        </w:rPr>
        <w:t xml:space="preserve">. [online] Education Policy Institute. Available at: </w:t>
      </w:r>
      <w:hyperlink r:id="rId37" w:history="1">
        <w:r w:rsidR="00A2716B" w:rsidRPr="00EB4CA0">
          <w:rPr>
            <w:rStyle w:val="Hyperlink"/>
            <w:rFonts w:ascii="Arial" w:hAnsi="Arial" w:cs="Arial"/>
            <w:color w:val="auto"/>
            <w:sz w:val="22"/>
            <w:szCs w:val="22"/>
            <w:lang w:val="en-US"/>
          </w:rPr>
          <w:t>https://epi.org.uk/publications-and-research/the-stability-of-the-early-years-workforce-in-england/</w:t>
        </w:r>
      </w:hyperlink>
      <w:r w:rsidR="00A2716B"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A2716B" w:rsidRPr="00EB4CA0">
        <w:rPr>
          <w:rFonts w:ascii="Arial" w:hAnsi="Arial" w:cs="Arial"/>
          <w:sz w:val="22"/>
          <w:szCs w:val="22"/>
          <w:lang w:val="en-US"/>
        </w:rPr>
        <w:t>03</w:t>
      </w:r>
      <w:r w:rsidRPr="00EB4CA0">
        <w:rPr>
          <w:rFonts w:ascii="Arial" w:hAnsi="Arial" w:cs="Arial"/>
          <w:sz w:val="22"/>
          <w:szCs w:val="22"/>
          <w:lang w:val="en-US"/>
        </w:rPr>
        <w:t xml:space="preserve"> July 2026].</w:t>
      </w:r>
    </w:p>
    <w:p w14:paraId="3CF2D924" w14:textId="79699FD8" w:rsidR="00903DC9" w:rsidRPr="00EB4CA0" w:rsidRDefault="00903DC9" w:rsidP="00B91BA5">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European Society of Medicine (2026). </w:t>
      </w:r>
      <w:r w:rsidRPr="00EB4CA0">
        <w:rPr>
          <w:rFonts w:ascii="Arial" w:hAnsi="Arial" w:cs="Arial"/>
          <w:i/>
          <w:iCs/>
          <w:sz w:val="22"/>
          <w:szCs w:val="22"/>
          <w:lang w:val="en-US"/>
        </w:rPr>
        <w:t>Impact of Person-Centered Care on Nursing Home Mental Health - European Society of Medicine</w:t>
      </w:r>
      <w:r w:rsidRPr="00EB4CA0">
        <w:rPr>
          <w:rFonts w:ascii="Arial" w:hAnsi="Arial" w:cs="Arial"/>
          <w:sz w:val="22"/>
          <w:szCs w:val="22"/>
          <w:lang w:val="en-US"/>
        </w:rPr>
        <w:t xml:space="preserve">. [online] European Society of Medicine -. Available at: </w:t>
      </w:r>
      <w:hyperlink r:id="rId38" w:history="1">
        <w:r w:rsidR="00B91BA5" w:rsidRPr="00EB4CA0">
          <w:rPr>
            <w:rStyle w:val="Hyperlink"/>
            <w:rFonts w:ascii="Arial" w:hAnsi="Arial" w:cs="Arial"/>
            <w:color w:val="auto"/>
            <w:sz w:val="22"/>
            <w:szCs w:val="22"/>
            <w:lang w:val="en-US"/>
          </w:rPr>
          <w:t>https://esmed.org/impact-of-person-centered-care-on-nursing-home-mental-health/</w:t>
        </w:r>
      </w:hyperlink>
      <w:r w:rsidR="00B91BA5"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B91BA5" w:rsidRPr="00EB4CA0">
        <w:rPr>
          <w:rFonts w:ascii="Arial" w:hAnsi="Arial" w:cs="Arial"/>
          <w:sz w:val="22"/>
          <w:szCs w:val="22"/>
          <w:lang w:val="en-US"/>
        </w:rPr>
        <w:t>29</w:t>
      </w:r>
      <w:r w:rsidRPr="00EB4CA0">
        <w:rPr>
          <w:rFonts w:ascii="Arial" w:hAnsi="Arial" w:cs="Arial"/>
          <w:sz w:val="22"/>
          <w:szCs w:val="22"/>
          <w:lang w:val="en-US"/>
        </w:rPr>
        <w:t xml:space="preserve"> Ju</w:t>
      </w:r>
      <w:r w:rsidR="00B91BA5" w:rsidRPr="00EB4CA0">
        <w:rPr>
          <w:rFonts w:ascii="Arial" w:hAnsi="Arial" w:cs="Arial"/>
          <w:sz w:val="22"/>
          <w:szCs w:val="22"/>
          <w:lang w:val="en-US"/>
        </w:rPr>
        <w:t>ne</w:t>
      </w:r>
      <w:r w:rsidRPr="00EB4CA0">
        <w:rPr>
          <w:rFonts w:ascii="Arial" w:hAnsi="Arial" w:cs="Arial"/>
          <w:sz w:val="22"/>
          <w:szCs w:val="22"/>
          <w:lang w:val="en-US"/>
        </w:rPr>
        <w:t xml:space="preserve"> 2026].</w:t>
      </w:r>
    </w:p>
    <w:p w14:paraId="4B810528"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Haim-Litevsky, D., Komemi, R. and Lipskaya-Velikovsky, L. (2023). Sense of Belonging, Meaningful Daily Life Participation, and Well-Being: Integrated Investigation. </w:t>
      </w:r>
      <w:r w:rsidRPr="00EB4CA0">
        <w:rPr>
          <w:rFonts w:ascii="Arial" w:hAnsi="Arial" w:cs="Arial"/>
          <w:i/>
          <w:iCs/>
          <w:sz w:val="22"/>
          <w:szCs w:val="22"/>
          <w:lang w:val="en-US"/>
        </w:rPr>
        <w:t>International Journal of Environmental Research and Public Health</w:t>
      </w:r>
      <w:r w:rsidRPr="00EB4CA0">
        <w:rPr>
          <w:rFonts w:ascii="Arial" w:hAnsi="Arial" w:cs="Arial"/>
          <w:sz w:val="22"/>
          <w:szCs w:val="22"/>
          <w:lang w:val="en-US"/>
        </w:rPr>
        <w:t>, 20(5), p.4121. doi:10.3390/ijerph20054121.</w:t>
      </w:r>
    </w:p>
    <w:p w14:paraId="2FAFA985" w14:textId="581DAF7F" w:rsidR="00903DC9" w:rsidRPr="00EB4CA0" w:rsidRDefault="00903DC9" w:rsidP="00FF5F4E">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Harvard (2026). </w:t>
      </w:r>
      <w:r w:rsidRPr="00EB4CA0">
        <w:rPr>
          <w:rFonts w:ascii="Arial" w:hAnsi="Arial" w:cs="Arial"/>
          <w:i/>
          <w:iCs/>
          <w:sz w:val="22"/>
          <w:szCs w:val="22"/>
          <w:lang w:val="en-US"/>
        </w:rPr>
        <w:t>Avoiding Plagiarism</w:t>
      </w:r>
      <w:r w:rsidRPr="00EB4CA0">
        <w:rPr>
          <w:rFonts w:ascii="Arial" w:hAnsi="Arial" w:cs="Arial"/>
          <w:sz w:val="22"/>
          <w:szCs w:val="22"/>
          <w:lang w:val="en-US"/>
        </w:rPr>
        <w:t xml:space="preserve">. [online] Usingsources.fas.harvard.edu. Available at: </w:t>
      </w:r>
      <w:hyperlink r:id="rId39" w:history="1">
        <w:r w:rsidR="00FF5F4E" w:rsidRPr="00EB4CA0">
          <w:rPr>
            <w:rStyle w:val="Hyperlink"/>
            <w:rFonts w:ascii="Arial" w:hAnsi="Arial" w:cs="Arial"/>
            <w:color w:val="auto"/>
            <w:sz w:val="22"/>
            <w:szCs w:val="22"/>
            <w:lang w:val="en-US"/>
          </w:rPr>
          <w:t>https://usingsources.fas.harvard.edu/avoiding-plagiarism-0</w:t>
        </w:r>
      </w:hyperlink>
      <w:r w:rsidR="00FF5F4E"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FF5F4E" w:rsidRPr="00EB4CA0">
        <w:rPr>
          <w:rFonts w:ascii="Arial" w:hAnsi="Arial" w:cs="Arial"/>
          <w:sz w:val="22"/>
          <w:szCs w:val="22"/>
          <w:lang w:val="en-US"/>
        </w:rPr>
        <w:t>15</w:t>
      </w:r>
      <w:r w:rsidRPr="00EB4CA0">
        <w:rPr>
          <w:rFonts w:ascii="Arial" w:hAnsi="Arial" w:cs="Arial"/>
          <w:sz w:val="22"/>
          <w:szCs w:val="22"/>
          <w:lang w:val="en-US"/>
        </w:rPr>
        <w:t xml:space="preserve"> July 2026].</w:t>
      </w:r>
    </w:p>
    <w:p w14:paraId="010732EE"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nl-NL"/>
        </w:rPr>
      </w:pPr>
      <w:r w:rsidRPr="00EB4CA0">
        <w:rPr>
          <w:rFonts w:ascii="Arial" w:hAnsi="Arial" w:cs="Arial"/>
          <w:sz w:val="22"/>
          <w:szCs w:val="22"/>
          <w:lang w:val="en-US"/>
        </w:rPr>
        <w:t xml:space="preserve">Heale, R. and Twycross, A. (2015). Validity and reliability in quantitative studies. </w:t>
      </w:r>
      <w:r w:rsidRPr="00EB4CA0">
        <w:rPr>
          <w:rFonts w:ascii="Arial" w:hAnsi="Arial" w:cs="Arial"/>
          <w:i/>
          <w:iCs/>
          <w:sz w:val="22"/>
          <w:szCs w:val="22"/>
          <w:lang w:val="nl-NL"/>
        </w:rPr>
        <w:t>Evidence Based Nursing</w:t>
      </w:r>
      <w:r w:rsidRPr="00EB4CA0">
        <w:rPr>
          <w:rFonts w:ascii="Arial" w:hAnsi="Arial" w:cs="Arial"/>
          <w:sz w:val="22"/>
          <w:szCs w:val="22"/>
          <w:lang w:val="nl-NL"/>
        </w:rPr>
        <w:t>, 18(3), pp.66–67. doi:https://doi.org/10.1136/eb-2015-102129.</w:t>
      </w:r>
    </w:p>
    <w:p w14:paraId="0C397F40"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lang w:val="nl-NL"/>
        </w:rPr>
        <w:t xml:space="preserve">Horst, F.C.P. van der, Rosmalen, L. van and Veer, R. van der (2024). </w:t>
      </w:r>
      <w:r w:rsidRPr="00EB4CA0">
        <w:rPr>
          <w:rFonts w:ascii="Arial" w:hAnsi="Arial" w:cs="Arial"/>
          <w:sz w:val="22"/>
          <w:szCs w:val="22"/>
        </w:rPr>
        <w:t xml:space="preserve">The American contribution to attachment theory: John Bowlby’s WHO trip to the USA in 1950 and the development of his ideas on separation and attachment. </w:t>
      </w:r>
      <w:r w:rsidRPr="00EB4CA0">
        <w:rPr>
          <w:rFonts w:ascii="Arial" w:hAnsi="Arial" w:cs="Arial"/>
          <w:i/>
          <w:iCs/>
          <w:sz w:val="22"/>
          <w:szCs w:val="22"/>
        </w:rPr>
        <w:t>Attachment &amp; human development</w:t>
      </w:r>
      <w:r w:rsidRPr="00EB4CA0">
        <w:rPr>
          <w:rFonts w:ascii="Arial" w:hAnsi="Arial" w:cs="Arial"/>
          <w:sz w:val="22"/>
          <w:szCs w:val="22"/>
        </w:rPr>
        <w:t>, pp.1–22. doi:https://doi.org/10.1080/14616734.2024.2342665.</w:t>
      </w:r>
    </w:p>
    <w:p w14:paraId="6EDEC462" w14:textId="77777777" w:rsidR="00A371FA" w:rsidRPr="00EB4CA0" w:rsidRDefault="00A371FA" w:rsidP="00B17614">
      <w:pPr>
        <w:pStyle w:val="NormalWeb"/>
        <w:spacing w:before="240" w:beforeAutospacing="0" w:after="240" w:afterAutospacing="0" w:line="360" w:lineRule="auto"/>
        <w:rPr>
          <w:rFonts w:ascii="Arial" w:hAnsi="Arial" w:cs="Arial"/>
          <w:sz w:val="22"/>
          <w:szCs w:val="22"/>
        </w:rPr>
      </w:pPr>
    </w:p>
    <w:p w14:paraId="14D362DE"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Huang, K., Zhan, G., Gains, H., He, R., Jiao, Y., Jia, Y. and Chen, L. (2025). Effectiveness of Exercise-Based Interventions on Depressive Symptoms in Older Adults: A Systematic Review and Network Meta-Analysis. </w:t>
      </w:r>
      <w:r w:rsidRPr="00EB4CA0">
        <w:rPr>
          <w:rFonts w:ascii="Arial" w:hAnsi="Arial" w:cs="Arial"/>
          <w:i/>
          <w:iCs/>
          <w:sz w:val="22"/>
          <w:szCs w:val="22"/>
          <w:lang w:val="en-US"/>
        </w:rPr>
        <w:t>PubMed</w:t>
      </w:r>
      <w:r w:rsidRPr="00EB4CA0">
        <w:rPr>
          <w:rFonts w:ascii="Arial" w:hAnsi="Arial" w:cs="Arial"/>
          <w:sz w:val="22"/>
          <w:szCs w:val="22"/>
          <w:lang w:val="en-US"/>
        </w:rPr>
        <w:t>, [online] pp.105583–105583. doi:10.1016/j.jamda.2025.105583.</w:t>
      </w:r>
    </w:p>
    <w:p w14:paraId="0C848880" w14:textId="643E03B3" w:rsidR="00903DC9" w:rsidRPr="00EB4CA0" w:rsidRDefault="00903DC9" w:rsidP="00A371FA">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Interactive Healthcare Training (2026). </w:t>
      </w:r>
      <w:r w:rsidRPr="00EB4CA0">
        <w:rPr>
          <w:rFonts w:ascii="Arial" w:hAnsi="Arial" w:cs="Arial"/>
          <w:i/>
          <w:iCs/>
          <w:sz w:val="22"/>
          <w:szCs w:val="22"/>
          <w:lang w:val="en-US"/>
        </w:rPr>
        <w:t>Dementia Awareness Training for Healthcare Staff: Supporting Independence and Quality of Life - Interactive Healthcare Training Blog</w:t>
      </w:r>
      <w:r w:rsidRPr="00EB4CA0">
        <w:rPr>
          <w:rFonts w:ascii="Arial" w:hAnsi="Arial" w:cs="Arial"/>
          <w:sz w:val="22"/>
          <w:szCs w:val="22"/>
          <w:lang w:val="en-US"/>
        </w:rPr>
        <w:t xml:space="preserve">. [online] Interactive Healthcare Training Blog. Available at: </w:t>
      </w:r>
      <w:hyperlink r:id="rId40" w:history="1">
        <w:r w:rsidR="00A371FA" w:rsidRPr="00EB4CA0">
          <w:rPr>
            <w:rStyle w:val="Hyperlink"/>
            <w:rFonts w:ascii="Arial" w:hAnsi="Arial" w:cs="Arial"/>
            <w:color w:val="auto"/>
            <w:sz w:val="22"/>
            <w:szCs w:val="22"/>
            <w:lang w:val="en-US"/>
          </w:rPr>
          <w:t>https://www.interactivehealthcaretraining.co.uk/blog/dementia-awareness-training-for-healthcare-staff-supporting-independence-and-quality-of-life/</w:t>
        </w:r>
      </w:hyperlink>
      <w:r w:rsidR="00A371FA" w:rsidRPr="00EB4CA0">
        <w:rPr>
          <w:rFonts w:ascii="Arial" w:hAnsi="Arial" w:cs="Arial"/>
          <w:sz w:val="22"/>
          <w:szCs w:val="22"/>
          <w:lang w:val="en-US"/>
        </w:rPr>
        <w:t xml:space="preserve"> </w:t>
      </w:r>
      <w:r w:rsidRPr="00EB4CA0">
        <w:rPr>
          <w:rFonts w:ascii="Arial" w:hAnsi="Arial" w:cs="Arial"/>
          <w:sz w:val="22"/>
          <w:szCs w:val="22"/>
          <w:lang w:val="en-US"/>
        </w:rPr>
        <w:t>[Accessed 1</w:t>
      </w:r>
      <w:r w:rsidR="00A371FA" w:rsidRPr="00EB4CA0">
        <w:rPr>
          <w:rFonts w:ascii="Arial" w:hAnsi="Arial" w:cs="Arial"/>
          <w:sz w:val="22"/>
          <w:szCs w:val="22"/>
          <w:lang w:val="en-US"/>
        </w:rPr>
        <w:t>5</w:t>
      </w:r>
      <w:r w:rsidRPr="00EB4CA0">
        <w:rPr>
          <w:rFonts w:ascii="Arial" w:hAnsi="Arial" w:cs="Arial"/>
          <w:sz w:val="22"/>
          <w:szCs w:val="22"/>
          <w:lang w:val="en-US"/>
        </w:rPr>
        <w:t xml:space="preserve"> July 2026].</w:t>
      </w:r>
    </w:p>
    <w:p w14:paraId="537547EA"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Jahangir, S., Patil, D.S., Gangopadhyay, J. and Vogt, T.C. (2025). Understanding intergenerational dynamics and social support’s impact on health and well-being of older adults in South Asia: a scoping review. </w:t>
      </w:r>
      <w:r w:rsidRPr="00EB4CA0">
        <w:rPr>
          <w:rFonts w:ascii="Arial" w:hAnsi="Arial" w:cs="Arial"/>
          <w:i/>
          <w:iCs/>
          <w:sz w:val="22"/>
          <w:szCs w:val="22"/>
        </w:rPr>
        <w:t>Systematic Reviews</w:t>
      </w:r>
      <w:r w:rsidRPr="00EB4CA0">
        <w:rPr>
          <w:rFonts w:ascii="Arial" w:hAnsi="Arial" w:cs="Arial"/>
          <w:sz w:val="22"/>
          <w:szCs w:val="22"/>
        </w:rPr>
        <w:t>, 14(1). doi:https://doi.org/10.1186/s13643-025-02833-z.</w:t>
      </w:r>
    </w:p>
    <w:p w14:paraId="5554C10C"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Kazemi, A. and Corlin, T.E. (2025). Person-centered care revisited: From problematizing its conceptual and methodological assumptions to proposing alternative foundations. </w:t>
      </w:r>
      <w:r w:rsidRPr="00EB4CA0">
        <w:rPr>
          <w:rFonts w:ascii="Arial" w:hAnsi="Arial" w:cs="Arial"/>
          <w:i/>
          <w:iCs/>
          <w:sz w:val="22"/>
          <w:szCs w:val="22"/>
          <w:lang w:val="en-US"/>
        </w:rPr>
        <w:t>International Journal of Nursing Studies</w:t>
      </w:r>
      <w:r w:rsidRPr="00EB4CA0">
        <w:rPr>
          <w:rFonts w:ascii="Arial" w:hAnsi="Arial" w:cs="Arial"/>
          <w:sz w:val="22"/>
          <w:szCs w:val="22"/>
          <w:lang w:val="en-US"/>
        </w:rPr>
        <w:t>, [online] p.105325. doi:10.1016/j.ijnurstu.2025.105325.</w:t>
      </w:r>
    </w:p>
    <w:p w14:paraId="2F7ED435"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Khan, S. (2022). Medicine and the critique of war: military psychiatry, social classification and the malingering patient in colonial India. </w:t>
      </w:r>
      <w:r w:rsidRPr="00EB4CA0">
        <w:rPr>
          <w:rFonts w:ascii="Arial" w:hAnsi="Arial" w:cs="Arial"/>
          <w:i/>
          <w:iCs/>
          <w:sz w:val="22"/>
          <w:szCs w:val="22"/>
        </w:rPr>
        <w:t>Medical History</w:t>
      </w:r>
      <w:r w:rsidRPr="00EB4CA0">
        <w:rPr>
          <w:rFonts w:ascii="Arial" w:hAnsi="Arial" w:cs="Arial"/>
          <w:sz w:val="22"/>
          <w:szCs w:val="22"/>
        </w:rPr>
        <w:t>, 66(1), pp.47–63. doi:https://doi.org/10.1017/mdh.2021.38.</w:t>
      </w:r>
    </w:p>
    <w:p w14:paraId="2F9FCFD8" w14:textId="0E1597D6" w:rsidR="00903DC9" w:rsidRPr="00EB4CA0" w:rsidRDefault="00903DC9" w:rsidP="00A371FA">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Kirk-Wade, E., Mirza-Davies, J., Garratt, K. and Harker, R. (2024). </w:t>
      </w:r>
      <w:r w:rsidRPr="00EB4CA0">
        <w:rPr>
          <w:rFonts w:ascii="Arial" w:hAnsi="Arial" w:cs="Arial"/>
          <w:i/>
          <w:iCs/>
          <w:sz w:val="22"/>
          <w:szCs w:val="22"/>
          <w:lang w:val="en-US"/>
        </w:rPr>
        <w:t>The NHS workforce in England</w:t>
      </w:r>
      <w:r w:rsidRPr="00EB4CA0">
        <w:rPr>
          <w:rFonts w:ascii="Arial" w:hAnsi="Arial" w:cs="Arial"/>
          <w:sz w:val="22"/>
          <w:szCs w:val="22"/>
          <w:lang w:val="en-US"/>
        </w:rPr>
        <w:t xml:space="preserve">. [online] House of Commons Library. Available at: </w:t>
      </w:r>
      <w:hyperlink r:id="rId41" w:history="1">
        <w:r w:rsidR="00A371FA" w:rsidRPr="00EB4CA0">
          <w:rPr>
            <w:rStyle w:val="Hyperlink"/>
            <w:rFonts w:ascii="Arial" w:hAnsi="Arial" w:cs="Arial"/>
            <w:color w:val="auto"/>
            <w:sz w:val="22"/>
            <w:szCs w:val="22"/>
            <w:lang w:val="en-US"/>
          </w:rPr>
          <w:t>https://commonslibrary.parliament.uk/research-briefings/cbp-9731/</w:t>
        </w:r>
      </w:hyperlink>
      <w:r w:rsidR="00A371FA" w:rsidRPr="00EB4CA0">
        <w:rPr>
          <w:rFonts w:ascii="Arial" w:hAnsi="Arial" w:cs="Arial"/>
          <w:sz w:val="22"/>
          <w:szCs w:val="22"/>
          <w:lang w:val="en-US"/>
        </w:rPr>
        <w:t xml:space="preserve"> </w:t>
      </w:r>
      <w:r w:rsidRPr="00EB4CA0">
        <w:rPr>
          <w:rFonts w:ascii="Arial" w:hAnsi="Arial" w:cs="Arial"/>
          <w:sz w:val="22"/>
          <w:szCs w:val="22"/>
          <w:lang w:val="en-US"/>
        </w:rPr>
        <w:t>[Accessed 1</w:t>
      </w:r>
      <w:r w:rsidR="00A371FA" w:rsidRPr="00EB4CA0">
        <w:rPr>
          <w:rFonts w:ascii="Arial" w:hAnsi="Arial" w:cs="Arial"/>
          <w:sz w:val="22"/>
          <w:szCs w:val="22"/>
          <w:lang w:val="en-US"/>
        </w:rPr>
        <w:t>2</w:t>
      </w:r>
      <w:r w:rsidRPr="00EB4CA0">
        <w:rPr>
          <w:rFonts w:ascii="Arial" w:hAnsi="Arial" w:cs="Arial"/>
          <w:sz w:val="22"/>
          <w:szCs w:val="22"/>
          <w:lang w:val="en-US"/>
        </w:rPr>
        <w:t xml:space="preserve"> July 2026].</w:t>
      </w:r>
    </w:p>
    <w:p w14:paraId="20F55C19"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L. Boyar, S., S. Campbell, N., C. Mosley Jr, D. and M. Carson, C. (2014). Development of a work/family social support measure. </w:t>
      </w:r>
      <w:r w:rsidRPr="00EB4CA0">
        <w:rPr>
          <w:rFonts w:ascii="Arial" w:hAnsi="Arial" w:cs="Arial"/>
          <w:i/>
          <w:iCs/>
          <w:sz w:val="22"/>
          <w:szCs w:val="22"/>
        </w:rPr>
        <w:t>Journal of Managerial Psychology</w:t>
      </w:r>
      <w:r w:rsidRPr="00EB4CA0">
        <w:rPr>
          <w:rFonts w:ascii="Arial" w:hAnsi="Arial" w:cs="Arial"/>
          <w:sz w:val="22"/>
          <w:szCs w:val="22"/>
        </w:rPr>
        <w:t>, 29(7), pp.901–920. doi:https://doi.org/10.1108/jmp-06-2012-0189.</w:t>
      </w:r>
    </w:p>
    <w:p w14:paraId="7FDB019F"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it-IT"/>
        </w:rPr>
        <w:t xml:space="preserve">Li, W., Mei, Z., Tu, W., Song, Y., Zhao, Y., Bai, Y. and Xu, G. (2026). </w:t>
      </w:r>
      <w:r w:rsidRPr="00EB4CA0">
        <w:rPr>
          <w:rFonts w:ascii="Arial" w:hAnsi="Arial" w:cs="Arial"/>
          <w:sz w:val="22"/>
          <w:szCs w:val="22"/>
          <w:lang w:val="en-US"/>
        </w:rPr>
        <w:t xml:space="preserve">“Living Inside the Walls”: Systematic Review and Qualitative Meta-Synthesis. </w:t>
      </w:r>
      <w:r w:rsidRPr="00EB4CA0">
        <w:rPr>
          <w:rFonts w:ascii="Arial" w:hAnsi="Arial" w:cs="Arial"/>
          <w:i/>
          <w:iCs/>
          <w:sz w:val="22"/>
          <w:szCs w:val="22"/>
          <w:lang w:val="en-US"/>
        </w:rPr>
        <w:t>JMIR Aging</w:t>
      </w:r>
      <w:r w:rsidRPr="00EB4CA0">
        <w:rPr>
          <w:rFonts w:ascii="Arial" w:hAnsi="Arial" w:cs="Arial"/>
          <w:sz w:val="22"/>
          <w:szCs w:val="22"/>
          <w:lang w:val="en-US"/>
        </w:rPr>
        <w:t>, [online] 9, pp.e78142-e78142. doi:10.2196/78142.</w:t>
      </w:r>
    </w:p>
    <w:p w14:paraId="0FDA291A"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Li, W., Wang, M., Tu, W., Zhao, Y., Song, Y., Yang, W., Mei, Z., Ding, Z., Xu, G. and Bai, Y. (2025). Social isolation risks and preventive strategies for residents in long-term care facilities in China: an interview-based study with staff in facilities. </w:t>
      </w:r>
      <w:r w:rsidRPr="00EB4CA0">
        <w:rPr>
          <w:rFonts w:ascii="Arial" w:hAnsi="Arial" w:cs="Arial"/>
          <w:i/>
          <w:iCs/>
          <w:sz w:val="22"/>
          <w:szCs w:val="22"/>
        </w:rPr>
        <w:t>BMC Geriatrics</w:t>
      </w:r>
      <w:r w:rsidRPr="00EB4CA0">
        <w:rPr>
          <w:rFonts w:ascii="Arial" w:hAnsi="Arial" w:cs="Arial"/>
          <w:sz w:val="22"/>
          <w:szCs w:val="22"/>
        </w:rPr>
        <w:t>, 25(1), pp.823–823. doi:https://doi.org/10.1186/s12877-025-05991-w.</w:t>
      </w:r>
    </w:p>
    <w:p w14:paraId="3F677322"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Li, Z., Mirzaei, F. and Jeon, H.S. (2024). Exercise Individually or as a Collective Family Activity? A Semi-Experimental Comparison on the Increase in Subjective Vitality and Happiness. </w:t>
      </w:r>
      <w:r w:rsidRPr="00EB4CA0">
        <w:rPr>
          <w:rFonts w:ascii="Arial" w:hAnsi="Arial" w:cs="Arial"/>
          <w:i/>
          <w:iCs/>
          <w:sz w:val="22"/>
          <w:szCs w:val="22"/>
          <w:lang w:val="en-US"/>
        </w:rPr>
        <w:t>Journal of Multidisciplinary Healthcare</w:t>
      </w:r>
      <w:r w:rsidRPr="00EB4CA0">
        <w:rPr>
          <w:rFonts w:ascii="Arial" w:hAnsi="Arial" w:cs="Arial"/>
          <w:sz w:val="22"/>
          <w:szCs w:val="22"/>
          <w:lang w:val="en-US"/>
        </w:rPr>
        <w:t>, [online] Volume 17, pp.6229–6239. doi:10.2147/jmdh.s493261.</w:t>
      </w:r>
    </w:p>
    <w:p w14:paraId="7EB8AB07"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Liebmann, M., Pitman, A., Hsueh, Y.-C., Bertotti, M. and Pearce, E. (2022). Do people perceive benefits in the use of social prescribing to address loneliness and/or social isolation? A qualitative meta-synthesis of the literature. </w:t>
      </w:r>
      <w:r w:rsidRPr="00EB4CA0">
        <w:rPr>
          <w:rFonts w:ascii="Arial" w:hAnsi="Arial" w:cs="Arial"/>
          <w:i/>
          <w:iCs/>
          <w:sz w:val="22"/>
          <w:szCs w:val="22"/>
        </w:rPr>
        <w:t>BMC Health Services Research</w:t>
      </w:r>
      <w:r w:rsidRPr="00EB4CA0">
        <w:rPr>
          <w:rFonts w:ascii="Arial" w:hAnsi="Arial" w:cs="Arial"/>
          <w:sz w:val="22"/>
          <w:szCs w:val="22"/>
        </w:rPr>
        <w:t>, [online] 22(1). doi:https://doi.org/10.1186/s12913-022-08656-1.</w:t>
      </w:r>
    </w:p>
    <w:p w14:paraId="0D8616EB"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MacFarlane, A., Russell-Rose, T. and Shokraneh, F. (2022). Search Strategy Formulation for Systematic Reviews: Issues, Challenges and Opportunities. </w:t>
      </w:r>
      <w:r w:rsidRPr="00EB4CA0">
        <w:rPr>
          <w:rFonts w:ascii="Arial" w:hAnsi="Arial" w:cs="Arial"/>
          <w:i/>
          <w:iCs/>
          <w:sz w:val="22"/>
          <w:szCs w:val="22"/>
          <w:lang w:val="en-US"/>
        </w:rPr>
        <w:t>Intelligent Systems with Applications</w:t>
      </w:r>
      <w:r w:rsidRPr="00EB4CA0">
        <w:rPr>
          <w:rFonts w:ascii="Arial" w:hAnsi="Arial" w:cs="Arial"/>
          <w:sz w:val="22"/>
          <w:szCs w:val="22"/>
          <w:lang w:val="en-US"/>
        </w:rPr>
        <w:t>, 15(1). doi:https://doi.org/10.1016/j.iswa.2022.200091.</w:t>
      </w:r>
    </w:p>
    <w:p w14:paraId="6C29F415"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McCausland, D., Murphy, E., McCarron, M. and McCallion, P. (2021). The potential for person-centred planning to support the community participation of adults with an intellectual disability. </w:t>
      </w:r>
      <w:r w:rsidRPr="00EB4CA0">
        <w:rPr>
          <w:rFonts w:ascii="Arial" w:hAnsi="Arial" w:cs="Arial"/>
          <w:i/>
          <w:iCs/>
          <w:sz w:val="22"/>
          <w:szCs w:val="22"/>
          <w:lang w:val="en-US"/>
        </w:rPr>
        <w:t>Journal of Intellectual Disabilities</w:t>
      </w:r>
      <w:r w:rsidRPr="00EB4CA0">
        <w:rPr>
          <w:rFonts w:ascii="Arial" w:hAnsi="Arial" w:cs="Arial"/>
          <w:sz w:val="22"/>
          <w:szCs w:val="22"/>
          <w:lang w:val="en-US"/>
        </w:rPr>
        <w:t>, 26(3), p.174462952110221. doi:10.1177/17446295211022125.</w:t>
      </w:r>
    </w:p>
    <w:p w14:paraId="2085CB1B" w14:textId="476C5D6B" w:rsidR="00903DC9" w:rsidRPr="00EB4CA0" w:rsidRDefault="00903DC9" w:rsidP="00A371FA">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McIvor, L. and McIvor, L. (2024). </w:t>
      </w:r>
      <w:r w:rsidRPr="00EB4CA0">
        <w:rPr>
          <w:rFonts w:ascii="Arial" w:hAnsi="Arial" w:cs="Arial"/>
          <w:i/>
          <w:iCs/>
          <w:sz w:val="22"/>
          <w:szCs w:val="22"/>
          <w:lang w:val="en-US"/>
        </w:rPr>
        <w:t>Skills for Care report reveals how international recruitment is growing social care workforce - THIIS Magazine</w:t>
      </w:r>
      <w:r w:rsidRPr="00EB4CA0">
        <w:rPr>
          <w:rFonts w:ascii="Arial" w:hAnsi="Arial" w:cs="Arial"/>
          <w:sz w:val="22"/>
          <w:szCs w:val="22"/>
          <w:lang w:val="en-US"/>
        </w:rPr>
        <w:t xml:space="preserve">. [online] THIIS Magazine - News, views &amp; products for mobility, access and independent living professionals. Available at: </w:t>
      </w:r>
      <w:hyperlink r:id="rId42" w:history="1">
        <w:r w:rsidR="00A371FA" w:rsidRPr="00EB4CA0">
          <w:rPr>
            <w:rStyle w:val="Hyperlink"/>
            <w:rFonts w:ascii="Arial" w:hAnsi="Arial" w:cs="Arial"/>
            <w:color w:val="auto"/>
            <w:sz w:val="22"/>
            <w:szCs w:val="22"/>
            <w:lang w:val="en-US"/>
          </w:rPr>
          <w:t>https://thiis.co.uk/skills-for-care-report-reveals-how-international-recruitment-is-growing-social-care-workforce/</w:t>
        </w:r>
      </w:hyperlink>
      <w:r w:rsidR="00A371FA"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A371FA" w:rsidRPr="00EB4CA0">
        <w:rPr>
          <w:rFonts w:ascii="Arial" w:hAnsi="Arial" w:cs="Arial"/>
          <w:sz w:val="22"/>
          <w:szCs w:val="22"/>
          <w:lang w:val="en-US"/>
        </w:rPr>
        <w:t>08</w:t>
      </w:r>
      <w:r w:rsidRPr="00EB4CA0">
        <w:rPr>
          <w:rFonts w:ascii="Arial" w:hAnsi="Arial" w:cs="Arial"/>
          <w:sz w:val="22"/>
          <w:szCs w:val="22"/>
          <w:lang w:val="en-US"/>
        </w:rPr>
        <w:t xml:space="preserve"> July 2026].</w:t>
      </w:r>
    </w:p>
    <w:p w14:paraId="47CD9FDA"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McLeod, S. (2025). </w:t>
      </w:r>
      <w:r w:rsidRPr="00EB4CA0">
        <w:rPr>
          <w:rFonts w:ascii="Arial" w:hAnsi="Arial" w:cs="Arial"/>
          <w:i/>
          <w:iCs/>
          <w:sz w:val="22"/>
          <w:szCs w:val="22"/>
        </w:rPr>
        <w:t>John Bowlby’s Attachment Theory</w:t>
      </w:r>
      <w:r w:rsidRPr="00EB4CA0">
        <w:rPr>
          <w:rFonts w:ascii="Arial" w:hAnsi="Arial" w:cs="Arial"/>
          <w:sz w:val="22"/>
          <w:szCs w:val="22"/>
        </w:rPr>
        <w:t>. [online] Simply Psychology. Available at: https://www.simplypsychology.org/bowlby.html.</w:t>
      </w:r>
    </w:p>
    <w:p w14:paraId="367A4E41"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Moher, D., Bossuyt, P.M., Boutron, I., Hoffmann, T.C., Mulrow, C. D, Shamseer, L., Tetzlaff, J.M., Akl, E.A., Brennan, S.E., Chou, R., Glanville, J., Grimshaw, J.M., Hróbjartsson, A., Lalu, M.M., Li, T., Loder, E.W., Mayo-Wilson, E., McDonald, S., McGuinness, L.A., Stewart, L.A., Thomas, J., Tricco, A.C., Welch, V.A., Whiting, P. and McKenzie, J.E. (2021). PRISMA 2020 Explanation and elaboration: Updated Guidance and Exemplars for Reporting Systematic Reviews. </w:t>
      </w:r>
      <w:r w:rsidRPr="00EB4CA0">
        <w:rPr>
          <w:rFonts w:ascii="Arial" w:hAnsi="Arial" w:cs="Arial"/>
          <w:i/>
          <w:iCs/>
          <w:sz w:val="22"/>
          <w:szCs w:val="22"/>
          <w:lang w:val="en-US"/>
        </w:rPr>
        <w:t>British Medical Journal</w:t>
      </w:r>
      <w:r w:rsidRPr="00EB4CA0">
        <w:rPr>
          <w:rFonts w:ascii="Arial" w:hAnsi="Arial" w:cs="Arial"/>
          <w:sz w:val="22"/>
          <w:szCs w:val="22"/>
          <w:lang w:val="en-US"/>
        </w:rPr>
        <w:t>, 372(160). doi:10.1136/bmj.n160.</w:t>
      </w:r>
    </w:p>
    <w:p w14:paraId="0D18E836"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Montenegro Cortés, C., González Moller, J., Irarrázaval Dominguez, M., Thomas, F. and Urrutia Ortiz, J. (2023). Moving psychiatric deinstitutionalisation forward: A scoping review of barriers and facilitators. </w:t>
      </w:r>
      <w:r w:rsidRPr="00EB4CA0">
        <w:rPr>
          <w:rFonts w:ascii="Arial" w:hAnsi="Arial" w:cs="Arial"/>
          <w:i/>
          <w:iCs/>
          <w:sz w:val="22"/>
          <w:szCs w:val="22"/>
        </w:rPr>
        <w:t>Cambridge Prisms: Global Mental Health</w:t>
      </w:r>
      <w:r w:rsidRPr="00EB4CA0">
        <w:rPr>
          <w:rFonts w:ascii="Arial" w:hAnsi="Arial" w:cs="Arial"/>
          <w:sz w:val="22"/>
          <w:szCs w:val="22"/>
        </w:rPr>
        <w:t>, 10(e29), pp.1–26. doi:https://doi.org/10.1017/gmh.2023.18.</w:t>
      </w:r>
    </w:p>
    <w:p w14:paraId="0F9115DE"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it-IT"/>
        </w:rPr>
        <w:t xml:space="preserve">Morera, Y., Callejas, E., Lorenzo, E., Mahtani-Chugani, V. and Delgado, N. (2025). </w:t>
      </w:r>
      <w:r w:rsidRPr="00EB4CA0">
        <w:rPr>
          <w:rFonts w:ascii="Arial" w:hAnsi="Arial" w:cs="Arial"/>
          <w:sz w:val="22"/>
          <w:szCs w:val="22"/>
          <w:lang w:val="en-US"/>
        </w:rPr>
        <w:t xml:space="preserve">The role of loneliness, work meaning and organizational support in compassion satisfaction among primary care professionals during the pandemic. </w:t>
      </w:r>
      <w:r w:rsidRPr="00EB4CA0">
        <w:rPr>
          <w:rFonts w:ascii="Arial" w:hAnsi="Arial" w:cs="Arial"/>
          <w:i/>
          <w:iCs/>
          <w:sz w:val="22"/>
          <w:szCs w:val="22"/>
          <w:lang w:val="en-US"/>
        </w:rPr>
        <w:t>Scientific Reports</w:t>
      </w:r>
      <w:r w:rsidRPr="00EB4CA0">
        <w:rPr>
          <w:rFonts w:ascii="Arial" w:hAnsi="Arial" w:cs="Arial"/>
          <w:sz w:val="22"/>
          <w:szCs w:val="22"/>
          <w:lang w:val="en-US"/>
        </w:rPr>
        <w:t>, 15(1). doi:10.1038/s41598-025-14602-y.</w:t>
      </w:r>
    </w:p>
    <w:p w14:paraId="4C00AC9B" w14:textId="3D09A071" w:rsidR="00903DC9" w:rsidRPr="00EB4CA0" w:rsidRDefault="00903DC9" w:rsidP="00A371FA">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Muhideen Ajibade (2026). </w:t>
      </w:r>
      <w:r w:rsidRPr="00EB4CA0">
        <w:rPr>
          <w:rFonts w:ascii="Arial" w:hAnsi="Arial" w:cs="Arial"/>
          <w:i/>
          <w:iCs/>
          <w:sz w:val="22"/>
          <w:szCs w:val="22"/>
          <w:lang w:val="en-US"/>
        </w:rPr>
        <w:t>What Is Person Centred Care? 2026 Guide</w:t>
      </w:r>
      <w:r w:rsidRPr="00EB4CA0">
        <w:rPr>
          <w:rFonts w:ascii="Arial" w:hAnsi="Arial" w:cs="Arial"/>
          <w:sz w:val="22"/>
          <w:szCs w:val="22"/>
          <w:lang w:val="en-US"/>
        </w:rPr>
        <w:t xml:space="preserve">. [online] Care Sync Experts. Available at: </w:t>
      </w:r>
      <w:hyperlink r:id="rId43" w:history="1">
        <w:r w:rsidR="00A371FA" w:rsidRPr="00EB4CA0">
          <w:rPr>
            <w:rStyle w:val="Hyperlink"/>
            <w:rFonts w:ascii="Arial" w:hAnsi="Arial" w:cs="Arial"/>
            <w:color w:val="auto"/>
            <w:sz w:val="22"/>
            <w:szCs w:val="22"/>
            <w:lang w:val="en-US"/>
          </w:rPr>
          <w:t>https://www.caresyncexperts.co.uk/blogs/what-is-person-centred-care-2026-guide</w:t>
        </w:r>
      </w:hyperlink>
      <w:r w:rsidR="00A371FA"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A371FA" w:rsidRPr="00EB4CA0">
        <w:rPr>
          <w:rFonts w:ascii="Arial" w:hAnsi="Arial" w:cs="Arial"/>
          <w:sz w:val="22"/>
          <w:szCs w:val="22"/>
          <w:lang w:val="en-US"/>
        </w:rPr>
        <w:t>13</w:t>
      </w:r>
      <w:r w:rsidRPr="00EB4CA0">
        <w:rPr>
          <w:rFonts w:ascii="Arial" w:hAnsi="Arial" w:cs="Arial"/>
          <w:sz w:val="22"/>
          <w:szCs w:val="22"/>
          <w:lang w:val="en-US"/>
        </w:rPr>
        <w:t xml:space="preserve"> July 2026].</w:t>
      </w:r>
    </w:p>
    <w:p w14:paraId="50EA90AC" w14:textId="4B2AB655" w:rsidR="00903DC9" w:rsidRPr="00EB4CA0" w:rsidRDefault="00903DC9" w:rsidP="00A371FA">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Mutebi, N. and Mian, S. (2025). </w:t>
      </w:r>
      <w:r w:rsidRPr="00EB4CA0">
        <w:rPr>
          <w:rFonts w:ascii="Arial" w:hAnsi="Arial" w:cs="Arial"/>
          <w:i/>
          <w:iCs/>
          <w:sz w:val="22"/>
          <w:szCs w:val="22"/>
          <w:lang w:val="en-US"/>
        </w:rPr>
        <w:t>Sustaining the health and adult social care workforce</w:t>
      </w:r>
      <w:r w:rsidRPr="00EB4CA0">
        <w:rPr>
          <w:rFonts w:ascii="Arial" w:hAnsi="Arial" w:cs="Arial"/>
          <w:sz w:val="22"/>
          <w:szCs w:val="22"/>
          <w:lang w:val="en-US"/>
        </w:rPr>
        <w:t xml:space="preserve">. [online] POST. Available at: </w:t>
      </w:r>
      <w:hyperlink r:id="rId44" w:history="1">
        <w:r w:rsidR="00A371FA" w:rsidRPr="00EB4CA0">
          <w:rPr>
            <w:rStyle w:val="Hyperlink"/>
            <w:rFonts w:ascii="Arial" w:hAnsi="Arial" w:cs="Arial"/>
            <w:color w:val="auto"/>
            <w:sz w:val="22"/>
            <w:szCs w:val="22"/>
            <w:lang w:val="en-US"/>
          </w:rPr>
          <w:t>https://post.parliament.uk/sustaining-the-health-and-adult-social-care-workforce/</w:t>
        </w:r>
      </w:hyperlink>
      <w:r w:rsidR="00A371FA" w:rsidRPr="00EB4CA0">
        <w:rPr>
          <w:rFonts w:ascii="Arial" w:hAnsi="Arial" w:cs="Arial"/>
          <w:sz w:val="22"/>
          <w:szCs w:val="22"/>
          <w:lang w:val="en-US"/>
        </w:rPr>
        <w:t xml:space="preserve"> </w:t>
      </w:r>
      <w:r w:rsidRPr="00EB4CA0">
        <w:rPr>
          <w:rFonts w:ascii="Arial" w:hAnsi="Arial" w:cs="Arial"/>
          <w:sz w:val="22"/>
          <w:szCs w:val="22"/>
          <w:lang w:val="en-US"/>
        </w:rPr>
        <w:t>[Accessed 11 July 2026].</w:t>
      </w:r>
    </w:p>
    <w:p w14:paraId="51BCF292"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Naeem, M., Ozuem, W., Howell, K. and Ranfagni, S. (2023). A step-by-step Process of Thematic Analysis to Develop a Conceptual Model in Qualitative Research. </w:t>
      </w:r>
      <w:r w:rsidRPr="00EB4CA0">
        <w:rPr>
          <w:rFonts w:ascii="Arial" w:hAnsi="Arial" w:cs="Arial"/>
          <w:i/>
          <w:iCs/>
          <w:sz w:val="22"/>
          <w:szCs w:val="22"/>
          <w:lang w:val="en-US"/>
        </w:rPr>
        <w:t>International Journal of Qualitative Methods</w:t>
      </w:r>
      <w:r w:rsidRPr="00EB4CA0">
        <w:rPr>
          <w:rFonts w:ascii="Arial" w:hAnsi="Arial" w:cs="Arial"/>
          <w:sz w:val="22"/>
          <w:szCs w:val="22"/>
          <w:lang w:val="en-US"/>
        </w:rPr>
        <w:t>, 22(1), pp.1–18. doi:10.1177/16094069231205789.</w:t>
      </w:r>
    </w:p>
    <w:p w14:paraId="58B2ADF1"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National Institute on Aging (2023). </w:t>
      </w:r>
      <w:r w:rsidRPr="00EB4CA0">
        <w:rPr>
          <w:rFonts w:ascii="Arial" w:hAnsi="Arial" w:cs="Arial"/>
          <w:i/>
          <w:iCs/>
          <w:sz w:val="22"/>
          <w:szCs w:val="22"/>
        </w:rPr>
        <w:t>Long-Term care facilities: Assisted living, nursing homes, and other residential care</w:t>
      </w:r>
      <w:r w:rsidRPr="00EB4CA0">
        <w:rPr>
          <w:rFonts w:ascii="Arial" w:hAnsi="Arial" w:cs="Arial"/>
          <w:sz w:val="22"/>
          <w:szCs w:val="22"/>
        </w:rPr>
        <w:t>. [online] National Institute on Aging. Available at: https://www.nia.nih.gov/health/assisted-living-and-nursing-homes/long-term-care-facilities-assisted-living-nursing-homes.</w:t>
      </w:r>
    </w:p>
    <w:p w14:paraId="59C7EDC3" w14:textId="279AA360"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NHS England (2020). </w:t>
      </w:r>
      <w:r w:rsidRPr="00EB4CA0">
        <w:rPr>
          <w:rFonts w:ascii="Arial" w:hAnsi="Arial" w:cs="Arial"/>
          <w:i/>
          <w:iCs/>
          <w:sz w:val="22"/>
          <w:szCs w:val="22"/>
        </w:rPr>
        <w:t>Adult and older adult mental health</w:t>
      </w:r>
      <w:r w:rsidRPr="00EB4CA0">
        <w:rPr>
          <w:rFonts w:ascii="Arial" w:hAnsi="Arial" w:cs="Arial"/>
          <w:sz w:val="22"/>
          <w:szCs w:val="22"/>
        </w:rPr>
        <w:t xml:space="preserve">. [online] NHS England. Available at: </w:t>
      </w:r>
      <w:hyperlink r:id="rId45" w:history="1">
        <w:r w:rsidR="00EF2983" w:rsidRPr="00EB4CA0">
          <w:rPr>
            <w:rStyle w:val="Hyperlink"/>
            <w:rFonts w:ascii="Arial" w:hAnsi="Arial" w:cs="Arial"/>
            <w:color w:val="auto"/>
            <w:sz w:val="22"/>
            <w:szCs w:val="22"/>
          </w:rPr>
          <w:t>https://www.england.nhs.uk/mental-health/adults/</w:t>
        </w:r>
      </w:hyperlink>
      <w:r w:rsidRPr="00EB4CA0">
        <w:rPr>
          <w:rFonts w:ascii="Arial" w:hAnsi="Arial" w:cs="Arial"/>
          <w:sz w:val="22"/>
          <w:szCs w:val="22"/>
        </w:rPr>
        <w:t>.</w:t>
      </w:r>
    </w:p>
    <w:p w14:paraId="65F92B4D" w14:textId="3E3B7663"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NHS England (2024). </w:t>
      </w:r>
      <w:r w:rsidRPr="00EB4CA0">
        <w:rPr>
          <w:rFonts w:ascii="Arial" w:hAnsi="Arial" w:cs="Arial"/>
          <w:i/>
          <w:iCs/>
          <w:sz w:val="22"/>
          <w:szCs w:val="22"/>
        </w:rPr>
        <w:t>Social Prescribing</w:t>
      </w:r>
      <w:r w:rsidRPr="00EB4CA0">
        <w:rPr>
          <w:rFonts w:ascii="Arial" w:hAnsi="Arial" w:cs="Arial"/>
          <w:sz w:val="22"/>
          <w:szCs w:val="22"/>
        </w:rPr>
        <w:t xml:space="preserve">. [online] NHS England. Available at: </w:t>
      </w:r>
      <w:hyperlink r:id="rId46" w:history="1">
        <w:r w:rsidR="00EF2983" w:rsidRPr="00EB4CA0">
          <w:rPr>
            <w:rStyle w:val="Hyperlink"/>
            <w:rFonts w:ascii="Arial" w:hAnsi="Arial" w:cs="Arial"/>
            <w:color w:val="auto"/>
            <w:sz w:val="22"/>
            <w:szCs w:val="22"/>
          </w:rPr>
          <w:t>https://www.england.nhs.uk/personalisedcare/social-prescribing/</w:t>
        </w:r>
      </w:hyperlink>
      <w:r w:rsidRPr="00EB4CA0">
        <w:rPr>
          <w:rFonts w:ascii="Arial" w:hAnsi="Arial" w:cs="Arial"/>
          <w:sz w:val="22"/>
          <w:szCs w:val="22"/>
        </w:rPr>
        <w:t>.</w:t>
      </w:r>
    </w:p>
    <w:p w14:paraId="22FF2488" w14:textId="39D6CB47"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NHS England (2024). </w:t>
      </w:r>
      <w:r w:rsidRPr="00EB4CA0">
        <w:rPr>
          <w:rFonts w:ascii="Arial" w:hAnsi="Arial" w:cs="Arial"/>
          <w:i/>
          <w:iCs/>
          <w:sz w:val="22"/>
          <w:szCs w:val="22"/>
          <w:lang w:val="en-US"/>
        </w:rPr>
        <w:t>Social Prescribing</w:t>
      </w:r>
      <w:r w:rsidRPr="00EB4CA0">
        <w:rPr>
          <w:rFonts w:ascii="Arial" w:hAnsi="Arial" w:cs="Arial"/>
          <w:sz w:val="22"/>
          <w:szCs w:val="22"/>
          <w:lang w:val="en-US"/>
        </w:rPr>
        <w:t xml:space="preserve">. [online] NHS England. Available at: </w:t>
      </w:r>
      <w:hyperlink r:id="rId47" w:history="1">
        <w:r w:rsidR="00EF2983" w:rsidRPr="00EB4CA0">
          <w:rPr>
            <w:rStyle w:val="Hyperlink"/>
            <w:rFonts w:ascii="Arial" w:hAnsi="Arial" w:cs="Arial"/>
            <w:color w:val="auto"/>
            <w:sz w:val="22"/>
            <w:szCs w:val="22"/>
            <w:lang w:val="en-US"/>
          </w:rPr>
          <w:t>https://www.england.nhs.uk/personalisedcare/social-prescribing/</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EF2983" w:rsidRPr="00EB4CA0">
        <w:rPr>
          <w:rFonts w:ascii="Arial" w:hAnsi="Arial" w:cs="Arial"/>
          <w:sz w:val="22"/>
          <w:szCs w:val="22"/>
          <w:lang w:val="en-US"/>
        </w:rPr>
        <w:t>05</w:t>
      </w:r>
      <w:r w:rsidRPr="00EB4CA0">
        <w:rPr>
          <w:rFonts w:ascii="Arial" w:hAnsi="Arial" w:cs="Arial"/>
          <w:sz w:val="22"/>
          <w:szCs w:val="22"/>
          <w:lang w:val="en-US"/>
        </w:rPr>
        <w:t xml:space="preserve"> July 2026].</w:t>
      </w:r>
    </w:p>
    <w:p w14:paraId="31293D0A"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NHS England (2025). </w:t>
      </w:r>
      <w:r w:rsidRPr="00EB4CA0">
        <w:rPr>
          <w:rFonts w:ascii="Arial" w:hAnsi="Arial" w:cs="Arial"/>
          <w:i/>
          <w:iCs/>
          <w:sz w:val="22"/>
          <w:szCs w:val="22"/>
        </w:rPr>
        <w:t>Chapter 1: Common mental health conditions</w:t>
      </w:r>
      <w:r w:rsidRPr="00EB4CA0">
        <w:rPr>
          <w:rFonts w:ascii="Arial" w:hAnsi="Arial" w:cs="Arial"/>
          <w:sz w:val="22"/>
          <w:szCs w:val="22"/>
        </w:rPr>
        <w:t>. [online] Digital.nhs.uk. Available at: https://digital.nhs.uk/data-and-information/publications/statistical/adult-psychiatric-morbidity-survey/survey-of-mental-health-and-wellbeing-england-2023-24/common-mental-health-conditions.</w:t>
      </w:r>
    </w:p>
    <w:p w14:paraId="161774FD"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Oboche Agbo, S. (2026). Invisible Fault Lines: Health Inequities and Resilience in Informal Urban Settlements. </w:t>
      </w:r>
      <w:r w:rsidRPr="00EB4CA0">
        <w:rPr>
          <w:rFonts w:ascii="Arial" w:hAnsi="Arial" w:cs="Arial"/>
          <w:i/>
          <w:iCs/>
          <w:sz w:val="22"/>
          <w:szCs w:val="22"/>
          <w:lang w:val="en-US"/>
        </w:rPr>
        <w:t>Urban Environments and Human Health [Working Title]</w:t>
      </w:r>
      <w:r w:rsidRPr="00EB4CA0">
        <w:rPr>
          <w:rFonts w:ascii="Arial" w:hAnsi="Arial" w:cs="Arial"/>
          <w:sz w:val="22"/>
          <w:szCs w:val="22"/>
          <w:lang w:val="en-US"/>
        </w:rPr>
        <w:t>. doi:10.5772/intechopen.1012697.</w:t>
      </w:r>
    </w:p>
    <w:p w14:paraId="1CEFC4E9"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Pan, W.-J. and Wang, S.-F. (2025). Understanding patients’ emotional needs to strengthen therapeutic relationships: A deep insight into narrative nursing. </w:t>
      </w:r>
      <w:r w:rsidRPr="00EB4CA0">
        <w:rPr>
          <w:rFonts w:ascii="Arial" w:hAnsi="Arial" w:cs="Arial"/>
          <w:i/>
          <w:iCs/>
          <w:sz w:val="22"/>
          <w:szCs w:val="22"/>
          <w:lang w:val="en-US"/>
        </w:rPr>
        <w:t>World Journal of Psychiatry</w:t>
      </w:r>
      <w:r w:rsidRPr="00EB4CA0">
        <w:rPr>
          <w:rFonts w:ascii="Arial" w:hAnsi="Arial" w:cs="Arial"/>
          <w:sz w:val="22"/>
          <w:szCs w:val="22"/>
          <w:lang w:val="en-US"/>
        </w:rPr>
        <w:t>, [online] 15(3), p.103093. doi:10.5498/wjp.v15.i3.103093.</w:t>
      </w:r>
    </w:p>
    <w:p w14:paraId="3561DE8F"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Reschke-Hernández, A.E., Gfeller, K., Oleson, J. and Tranel, D. (2023). Music Therapy Increases Social and Emotional Well-Being in Persons With Dementia: A Randomized Clinical Crossover Trial Comparing Singing to Verbal Discussion. </w:t>
      </w:r>
      <w:r w:rsidRPr="00EB4CA0">
        <w:rPr>
          <w:rFonts w:ascii="Arial" w:hAnsi="Arial" w:cs="Arial"/>
          <w:i/>
          <w:iCs/>
          <w:sz w:val="22"/>
          <w:szCs w:val="22"/>
          <w:lang w:val="en-US"/>
        </w:rPr>
        <w:t>Journal of Music Therapy</w:t>
      </w:r>
      <w:r w:rsidRPr="00EB4CA0">
        <w:rPr>
          <w:rFonts w:ascii="Arial" w:hAnsi="Arial" w:cs="Arial"/>
          <w:sz w:val="22"/>
          <w:szCs w:val="22"/>
          <w:lang w:val="en-US"/>
        </w:rPr>
        <w:t>, 60(3), pp.314–342. doi:10.1093/jmt/thad015.</w:t>
      </w:r>
    </w:p>
    <w:p w14:paraId="06A3EB78"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Rostgaard, T., Jacobsen, F., Kröger, T. and Peterson, E. (2022). Revisiting the Nordic long-term care model for older people—still equal? Special issue EJA, edited by Fritzell, Jylhä and Rostgaard. </w:t>
      </w:r>
      <w:r w:rsidRPr="00EB4CA0">
        <w:rPr>
          <w:rFonts w:ascii="Arial" w:hAnsi="Arial" w:cs="Arial"/>
          <w:i/>
          <w:iCs/>
          <w:sz w:val="22"/>
          <w:szCs w:val="22"/>
        </w:rPr>
        <w:t>European Journal of Ageing</w:t>
      </w:r>
      <w:r w:rsidRPr="00EB4CA0">
        <w:rPr>
          <w:rFonts w:ascii="Arial" w:hAnsi="Arial" w:cs="Arial"/>
          <w:sz w:val="22"/>
          <w:szCs w:val="22"/>
        </w:rPr>
        <w:t>. doi:https://doi.org/10.1007/s10433-022-00703-4.</w:t>
      </w:r>
    </w:p>
    <w:p w14:paraId="598D1410"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Smulowitz, P.B., Weinreb, G., J. Michael McWilliams, A. James O’Malley and Landon, B.E. (2023). Association of Functional Status, Cognition, Social Support, and Geriatric Syndrome With Admission From the Emergency Department. </w:t>
      </w:r>
      <w:r w:rsidRPr="00EB4CA0">
        <w:rPr>
          <w:rFonts w:ascii="Arial" w:hAnsi="Arial" w:cs="Arial"/>
          <w:i/>
          <w:iCs/>
          <w:sz w:val="22"/>
          <w:szCs w:val="22"/>
        </w:rPr>
        <w:t>JAMA Internal Medicine</w:t>
      </w:r>
      <w:r w:rsidRPr="00EB4CA0">
        <w:rPr>
          <w:rFonts w:ascii="Arial" w:hAnsi="Arial" w:cs="Arial"/>
          <w:sz w:val="22"/>
          <w:szCs w:val="22"/>
        </w:rPr>
        <w:t>, 183(8), pp.784–784. doi:https://doi.org/10.1001/jamainternmed.2023.2149.</w:t>
      </w:r>
    </w:p>
    <w:p w14:paraId="14478FDE"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Suragarn, U., Hain, D. and Pfaff, G. (2021). Approaches to enhance social connection in older adults: An integrative review of literature. </w:t>
      </w:r>
      <w:r w:rsidRPr="00EB4CA0">
        <w:rPr>
          <w:rFonts w:ascii="Arial" w:hAnsi="Arial" w:cs="Arial"/>
          <w:i/>
          <w:iCs/>
          <w:sz w:val="22"/>
          <w:szCs w:val="22"/>
          <w:lang w:val="en-US"/>
        </w:rPr>
        <w:t>Aging and Health Research</w:t>
      </w:r>
      <w:r w:rsidRPr="00EB4CA0">
        <w:rPr>
          <w:rFonts w:ascii="Arial" w:hAnsi="Arial" w:cs="Arial"/>
          <w:sz w:val="22"/>
          <w:szCs w:val="22"/>
          <w:lang w:val="en-US"/>
        </w:rPr>
        <w:t>, [online] 1(3). doi:10.1016/j.ahr.2021.100029.</w:t>
      </w:r>
    </w:p>
    <w:p w14:paraId="1866FA43"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Švab, I. and Cerovečki, V. (2024). Person-centred care, a core concept of family medicine. </w:t>
      </w:r>
      <w:r w:rsidRPr="00EB4CA0">
        <w:rPr>
          <w:rFonts w:ascii="Arial" w:hAnsi="Arial" w:cs="Arial"/>
          <w:i/>
          <w:iCs/>
          <w:sz w:val="22"/>
          <w:szCs w:val="22"/>
        </w:rPr>
        <w:t>European Journal of General Practice</w:t>
      </w:r>
      <w:r w:rsidRPr="00EB4CA0">
        <w:rPr>
          <w:rFonts w:ascii="Arial" w:hAnsi="Arial" w:cs="Arial"/>
          <w:sz w:val="22"/>
          <w:szCs w:val="22"/>
        </w:rPr>
        <w:t>, [online] 30(1), pp.1–5. doi:https://doi.org/10.1080/13814788.2024.2393860.</w:t>
      </w:r>
    </w:p>
    <w:p w14:paraId="419BA22C" w14:textId="2B0C63AB"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Thematic (2019). </w:t>
      </w:r>
      <w:r w:rsidRPr="00EB4CA0">
        <w:rPr>
          <w:rFonts w:ascii="Arial" w:hAnsi="Arial" w:cs="Arial"/>
          <w:i/>
          <w:iCs/>
          <w:sz w:val="22"/>
          <w:szCs w:val="22"/>
          <w:lang w:val="en-US"/>
        </w:rPr>
        <w:t>Coding Qualitative Data: How To Code Qualitative Research (2021)</w:t>
      </w:r>
      <w:r w:rsidRPr="00EB4CA0">
        <w:rPr>
          <w:rFonts w:ascii="Arial" w:hAnsi="Arial" w:cs="Arial"/>
          <w:sz w:val="22"/>
          <w:szCs w:val="22"/>
          <w:lang w:val="en-US"/>
        </w:rPr>
        <w:t xml:space="preserve">. [online] Thematic. Available at: </w:t>
      </w:r>
      <w:hyperlink r:id="rId48" w:history="1">
        <w:r w:rsidR="00EF2983" w:rsidRPr="00EB4CA0">
          <w:rPr>
            <w:rStyle w:val="Hyperlink"/>
            <w:rFonts w:ascii="Arial" w:hAnsi="Arial" w:cs="Arial"/>
            <w:color w:val="auto"/>
            <w:sz w:val="22"/>
            <w:szCs w:val="22"/>
            <w:lang w:val="en-US"/>
          </w:rPr>
          <w:t>https://getthematic.com/insights/coding-qualitative-data</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EF2983" w:rsidRPr="00EB4CA0">
        <w:rPr>
          <w:rFonts w:ascii="Arial" w:hAnsi="Arial" w:cs="Arial"/>
          <w:sz w:val="22"/>
          <w:szCs w:val="22"/>
          <w:lang w:val="en-US"/>
        </w:rPr>
        <w:t>09</w:t>
      </w:r>
      <w:r w:rsidRPr="00EB4CA0">
        <w:rPr>
          <w:rFonts w:ascii="Arial" w:hAnsi="Arial" w:cs="Arial"/>
          <w:sz w:val="22"/>
          <w:szCs w:val="22"/>
          <w:lang w:val="en-US"/>
        </w:rPr>
        <w:t xml:space="preserve"> July 2026].</w:t>
      </w:r>
    </w:p>
    <w:p w14:paraId="0AA956EB"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Thompson, D.-C., Barbu, M.-G., Beiu, C., Popa, L.G., Mihai, M.M., Berteanu, M. and Popescu, M.N. (2020). The Impact of COVID-19 Pandemic on Long-Term Care Facilities Worldwide: An Overview on International Issues. </w:t>
      </w:r>
      <w:r w:rsidRPr="00EB4CA0">
        <w:rPr>
          <w:rFonts w:ascii="Arial" w:hAnsi="Arial" w:cs="Arial"/>
          <w:i/>
          <w:iCs/>
          <w:sz w:val="22"/>
          <w:szCs w:val="22"/>
        </w:rPr>
        <w:t>BioMed Research International</w:t>
      </w:r>
      <w:r w:rsidRPr="00EB4CA0">
        <w:rPr>
          <w:rFonts w:ascii="Arial" w:hAnsi="Arial" w:cs="Arial"/>
          <w:sz w:val="22"/>
          <w:szCs w:val="22"/>
        </w:rPr>
        <w:t>, 2020, pp.1–7. doi:https://doi.org/10.1155/2020/8870249.</w:t>
      </w:r>
    </w:p>
    <w:p w14:paraId="1D781C30"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Thompson, R.A., Simpson, J.A. and Berlin, L.J. (2022). Taking perspective on attachment theory and research: Nine fundamental questions. </w:t>
      </w:r>
      <w:r w:rsidRPr="00EB4CA0">
        <w:rPr>
          <w:rFonts w:ascii="Arial" w:hAnsi="Arial" w:cs="Arial"/>
          <w:i/>
          <w:iCs/>
          <w:sz w:val="22"/>
          <w:szCs w:val="22"/>
        </w:rPr>
        <w:t>Attachment &amp; Human Development</w:t>
      </w:r>
      <w:r w:rsidRPr="00EB4CA0">
        <w:rPr>
          <w:rFonts w:ascii="Arial" w:hAnsi="Arial" w:cs="Arial"/>
          <w:sz w:val="22"/>
          <w:szCs w:val="22"/>
        </w:rPr>
        <w:t>, [online] 24(5), pp.543–560. doi:https://doi.org/10.1080/14616734.2022.2030132.</w:t>
      </w:r>
    </w:p>
    <w:p w14:paraId="23DE145D"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Tierney, S., Rowe, R., Connally, E.L., Roberts, N.W., Mahtani, K.R. and Gorenberg, J. (2024). Community initiatives for well</w:t>
      </w:r>
      <w:r w:rsidRPr="00EB4CA0">
        <w:rPr>
          <w:rFonts w:ascii="Cambria Math" w:hAnsi="Cambria Math" w:cs="Cambria Math"/>
          <w:sz w:val="22"/>
          <w:szCs w:val="22"/>
          <w:lang w:val="en-US"/>
        </w:rPr>
        <w:t>‐</w:t>
      </w:r>
      <w:r w:rsidRPr="00EB4CA0">
        <w:rPr>
          <w:rFonts w:ascii="Arial" w:hAnsi="Arial" w:cs="Arial"/>
          <w:sz w:val="22"/>
          <w:szCs w:val="22"/>
          <w:lang w:val="en-US"/>
        </w:rPr>
        <w:t xml:space="preserve">being in the United Kingdom and their role in developing social capital and addressing loneliness: A scoping review. </w:t>
      </w:r>
      <w:r w:rsidRPr="00EB4CA0">
        <w:rPr>
          <w:rFonts w:ascii="Arial" w:hAnsi="Arial" w:cs="Arial"/>
          <w:i/>
          <w:iCs/>
          <w:sz w:val="22"/>
          <w:szCs w:val="22"/>
          <w:lang w:val="en-US"/>
        </w:rPr>
        <w:t>Lifestyle medicine</w:t>
      </w:r>
      <w:r w:rsidRPr="00EB4CA0">
        <w:rPr>
          <w:rFonts w:ascii="Arial" w:hAnsi="Arial" w:cs="Arial"/>
          <w:sz w:val="22"/>
          <w:szCs w:val="22"/>
          <w:lang w:val="en-US"/>
        </w:rPr>
        <w:t>, 5(1). doi:10.1002/lim2.98.</w:t>
      </w:r>
    </w:p>
    <w:p w14:paraId="19BFECBC" w14:textId="65C089CC"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TrustedCare (2019). </w:t>
      </w:r>
      <w:r w:rsidRPr="00EB4CA0">
        <w:rPr>
          <w:rFonts w:ascii="Arial" w:hAnsi="Arial" w:cs="Arial"/>
          <w:i/>
          <w:iCs/>
          <w:sz w:val="22"/>
          <w:szCs w:val="22"/>
          <w:lang w:val="en-US"/>
        </w:rPr>
        <w:t>Age UK’s Befriending Services</w:t>
      </w:r>
      <w:r w:rsidRPr="00EB4CA0">
        <w:rPr>
          <w:rFonts w:ascii="Arial" w:hAnsi="Arial" w:cs="Arial"/>
          <w:sz w:val="22"/>
          <w:szCs w:val="22"/>
          <w:lang w:val="en-US"/>
        </w:rPr>
        <w:t xml:space="preserve">. [online] TrustedCare. Available at: </w:t>
      </w:r>
      <w:hyperlink r:id="rId49" w:history="1">
        <w:r w:rsidR="00EF2983" w:rsidRPr="00EB4CA0">
          <w:rPr>
            <w:rStyle w:val="Hyperlink"/>
            <w:rFonts w:ascii="Arial" w:hAnsi="Arial" w:cs="Arial"/>
            <w:color w:val="auto"/>
            <w:sz w:val="22"/>
            <w:szCs w:val="22"/>
            <w:lang w:val="en-US"/>
          </w:rPr>
          <w:t>https://www.trustedcare.co.uk/help-and-advice/age-uks-befriending-services</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EF2983" w:rsidRPr="00EB4CA0">
        <w:rPr>
          <w:rFonts w:ascii="Arial" w:hAnsi="Arial" w:cs="Arial"/>
          <w:sz w:val="22"/>
          <w:szCs w:val="22"/>
          <w:lang w:val="en-US"/>
        </w:rPr>
        <w:t>05</w:t>
      </w:r>
      <w:r w:rsidRPr="00EB4CA0">
        <w:rPr>
          <w:rFonts w:ascii="Arial" w:hAnsi="Arial" w:cs="Arial"/>
          <w:sz w:val="22"/>
          <w:szCs w:val="22"/>
          <w:lang w:val="en-US"/>
        </w:rPr>
        <w:t xml:space="preserve"> July 2026].</w:t>
      </w:r>
    </w:p>
    <w:p w14:paraId="72E99D91"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Underwood, M., Lamb, S.E., Eldridge, S., Sheehan, B., Slowther, A.-M., Spencer, A., Thorogood, M., Atherton, N., Bremner, S.A., Devine, A., Diaz-Ordaz, K., Ellard, D.R., Potter, R., Spanjers, K. and Taylor, S.J. (2013). Exercise for depression in elderly residents of care homes: a cluster-randomised controlled trial. </w:t>
      </w:r>
      <w:r w:rsidRPr="00EB4CA0">
        <w:rPr>
          <w:rFonts w:ascii="Arial" w:hAnsi="Arial" w:cs="Arial"/>
          <w:i/>
          <w:iCs/>
          <w:sz w:val="22"/>
          <w:szCs w:val="22"/>
        </w:rPr>
        <w:t>The Lancet</w:t>
      </w:r>
      <w:r w:rsidRPr="00EB4CA0">
        <w:rPr>
          <w:rFonts w:ascii="Arial" w:hAnsi="Arial" w:cs="Arial"/>
          <w:sz w:val="22"/>
          <w:szCs w:val="22"/>
        </w:rPr>
        <w:t>, 382(9886), pp.41–49. doi:https://doi.org/10.1016/s0140-6736(13)60649-2.</w:t>
      </w:r>
    </w:p>
    <w:p w14:paraId="074EC980" w14:textId="06C7EE9A"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UNDP (2024). </w:t>
      </w:r>
      <w:r w:rsidRPr="00EB4CA0">
        <w:rPr>
          <w:rFonts w:ascii="Arial" w:hAnsi="Arial" w:cs="Arial"/>
          <w:i/>
          <w:iCs/>
          <w:sz w:val="22"/>
          <w:szCs w:val="22"/>
          <w:lang w:val="en-US"/>
        </w:rPr>
        <w:t>DIGITAL INCLUSION IN A DYNAMIC WORLD From Access to Empowerment: Digital Inclusion in a Dynamic World</w:t>
      </w:r>
      <w:r w:rsidRPr="00EB4CA0">
        <w:rPr>
          <w:rFonts w:ascii="Arial" w:hAnsi="Arial" w:cs="Arial"/>
          <w:sz w:val="22"/>
          <w:szCs w:val="22"/>
          <w:lang w:val="en-US"/>
        </w:rPr>
        <w:t xml:space="preserve">. [online] Available at: </w:t>
      </w:r>
      <w:hyperlink r:id="rId50" w:history="1">
        <w:r w:rsidR="00EF2983" w:rsidRPr="00EB4CA0">
          <w:rPr>
            <w:rStyle w:val="Hyperlink"/>
            <w:rFonts w:ascii="Arial" w:hAnsi="Arial" w:cs="Arial"/>
            <w:color w:val="auto"/>
            <w:sz w:val="22"/>
            <w:szCs w:val="22"/>
            <w:lang w:val="en-US"/>
          </w:rPr>
          <w:t>https://www.undp.org/sites/g/files/zskgke326/files/2024-05/undp_digital_inclusion_in_a_dynamic_world.pdf</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[Accessed 11 July 2026].</w:t>
      </w:r>
    </w:p>
    <w:p w14:paraId="7494F6DC" w14:textId="77777777"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van der Steen, J.T., van der Wouden, J.C., Methley, A.M., Smaling, H.J.A., Vink, A.C. and Bruinsma, M.S. (2025). Music-based therapeutic interventions for people with dementia. </w:t>
      </w:r>
      <w:r w:rsidRPr="00EB4CA0">
        <w:rPr>
          <w:rFonts w:ascii="Arial" w:hAnsi="Arial" w:cs="Arial"/>
          <w:i/>
          <w:iCs/>
          <w:sz w:val="22"/>
          <w:szCs w:val="22"/>
        </w:rPr>
        <w:t>The Cochrane database of systematic reviews</w:t>
      </w:r>
      <w:r w:rsidRPr="00EB4CA0">
        <w:rPr>
          <w:rFonts w:ascii="Arial" w:hAnsi="Arial" w:cs="Arial"/>
          <w:sz w:val="22"/>
          <w:szCs w:val="22"/>
        </w:rPr>
        <w:t>, [online] 3(3), p.CD003477. doi:https://doi.org/10.1002/14651858.CD003477.pub5.</w:t>
      </w:r>
    </w:p>
    <w:p w14:paraId="11CF3B14" w14:textId="56A0674D"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WHO (2020). </w:t>
      </w:r>
      <w:r w:rsidRPr="00EB4CA0">
        <w:rPr>
          <w:rFonts w:ascii="Arial" w:hAnsi="Arial" w:cs="Arial"/>
          <w:i/>
          <w:iCs/>
          <w:sz w:val="22"/>
          <w:szCs w:val="22"/>
        </w:rPr>
        <w:t>UN Decade of Healthy Ageing: Plan of Action</w:t>
      </w:r>
      <w:r w:rsidRPr="00EB4CA0">
        <w:rPr>
          <w:rFonts w:ascii="Arial" w:hAnsi="Arial" w:cs="Arial"/>
          <w:sz w:val="22"/>
          <w:szCs w:val="22"/>
        </w:rPr>
        <w:t xml:space="preserve">. [online] Available at: </w:t>
      </w:r>
      <w:hyperlink r:id="rId51" w:history="1">
        <w:r w:rsidR="00EF2983" w:rsidRPr="00EB4CA0">
          <w:rPr>
            <w:rStyle w:val="Hyperlink"/>
            <w:rFonts w:ascii="Arial" w:hAnsi="Arial" w:cs="Arial"/>
            <w:color w:val="auto"/>
            <w:sz w:val="22"/>
            <w:szCs w:val="22"/>
          </w:rPr>
          <w:t>https://cdn.who.int/media/docs/default-source/decade-of-healthy-ageing/decade-proposal-final-apr2020-en.pdf</w:t>
        </w:r>
      </w:hyperlink>
      <w:r w:rsidRPr="00EB4CA0">
        <w:rPr>
          <w:rFonts w:ascii="Arial" w:hAnsi="Arial" w:cs="Arial"/>
          <w:sz w:val="22"/>
          <w:szCs w:val="22"/>
        </w:rPr>
        <w:t>.</w:t>
      </w:r>
    </w:p>
    <w:p w14:paraId="561A2A22" w14:textId="12A6B40C"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WHO (2020). </w:t>
      </w:r>
      <w:r w:rsidRPr="00EB4CA0">
        <w:rPr>
          <w:rFonts w:ascii="Arial" w:hAnsi="Arial" w:cs="Arial"/>
          <w:i/>
          <w:iCs/>
          <w:sz w:val="22"/>
          <w:szCs w:val="22"/>
          <w:lang w:val="en-US"/>
        </w:rPr>
        <w:t>UN Decade of Healthy Ageing: Plan of Action</w:t>
      </w:r>
      <w:r w:rsidRPr="00EB4CA0">
        <w:rPr>
          <w:rFonts w:ascii="Arial" w:hAnsi="Arial" w:cs="Arial"/>
          <w:sz w:val="22"/>
          <w:szCs w:val="22"/>
          <w:lang w:val="en-US"/>
        </w:rPr>
        <w:t xml:space="preserve">. [online] Available at: </w:t>
      </w:r>
      <w:hyperlink r:id="rId52" w:history="1">
        <w:r w:rsidR="00EF2983" w:rsidRPr="00EB4CA0">
          <w:rPr>
            <w:rStyle w:val="Hyperlink"/>
            <w:rFonts w:ascii="Arial" w:hAnsi="Arial" w:cs="Arial"/>
            <w:color w:val="auto"/>
            <w:sz w:val="22"/>
            <w:szCs w:val="22"/>
            <w:lang w:val="en-US"/>
          </w:rPr>
          <w:t>https://cdn.who.int/media/docs/default-source/decade-of-healthy-ageing/decade-proposal-final-apr2020-en.pdf</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[Accessed 1</w:t>
      </w:r>
      <w:r w:rsidR="00EF2983" w:rsidRPr="00EB4CA0">
        <w:rPr>
          <w:rFonts w:ascii="Arial" w:hAnsi="Arial" w:cs="Arial"/>
          <w:sz w:val="22"/>
          <w:szCs w:val="22"/>
          <w:lang w:val="en-US"/>
        </w:rPr>
        <w:t>0</w:t>
      </w:r>
      <w:r w:rsidRPr="00EB4CA0">
        <w:rPr>
          <w:rFonts w:ascii="Arial" w:hAnsi="Arial" w:cs="Arial"/>
          <w:sz w:val="22"/>
          <w:szCs w:val="22"/>
          <w:lang w:val="en-US"/>
        </w:rPr>
        <w:t xml:space="preserve"> July 2026].</w:t>
      </w:r>
    </w:p>
    <w:p w14:paraId="44CF3936" w14:textId="4A55AB3E"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WHO (2024). </w:t>
      </w:r>
      <w:r w:rsidRPr="00EB4CA0">
        <w:rPr>
          <w:rFonts w:ascii="Arial" w:hAnsi="Arial" w:cs="Arial"/>
          <w:i/>
          <w:iCs/>
          <w:sz w:val="22"/>
          <w:szCs w:val="22"/>
        </w:rPr>
        <w:t>Ageing and health</w:t>
      </w:r>
      <w:r w:rsidRPr="00EB4CA0">
        <w:rPr>
          <w:rFonts w:ascii="Arial" w:hAnsi="Arial" w:cs="Arial"/>
          <w:sz w:val="22"/>
          <w:szCs w:val="22"/>
        </w:rPr>
        <w:t xml:space="preserve">. [online] World Health Organization. Available at: </w:t>
      </w:r>
      <w:hyperlink r:id="rId53" w:history="1">
        <w:r w:rsidR="00EF2983" w:rsidRPr="00EB4CA0">
          <w:rPr>
            <w:rStyle w:val="Hyperlink"/>
            <w:rFonts w:ascii="Arial" w:hAnsi="Arial" w:cs="Arial"/>
            <w:color w:val="auto"/>
            <w:sz w:val="22"/>
            <w:szCs w:val="22"/>
          </w:rPr>
          <w:t>https://www.who.int/news-room/fact-sheets/detail/ageing-and-health</w:t>
        </w:r>
      </w:hyperlink>
      <w:r w:rsidRPr="00EB4CA0">
        <w:rPr>
          <w:rFonts w:ascii="Arial" w:hAnsi="Arial" w:cs="Arial"/>
          <w:sz w:val="22"/>
          <w:szCs w:val="22"/>
        </w:rPr>
        <w:t>.</w:t>
      </w:r>
    </w:p>
    <w:p w14:paraId="5CD2A4CE"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Williamson, P.O. and Minter, C.I.J. (2019). Exploring PubMed as a reliable resource for scholarly communications services. </w:t>
      </w:r>
      <w:r w:rsidRPr="00EB4CA0">
        <w:rPr>
          <w:rFonts w:ascii="Arial" w:hAnsi="Arial" w:cs="Arial"/>
          <w:i/>
          <w:iCs/>
          <w:sz w:val="22"/>
          <w:szCs w:val="22"/>
          <w:lang w:val="en-US"/>
        </w:rPr>
        <w:t>Journal of the Medical Library Association</w:t>
      </w:r>
      <w:r w:rsidRPr="00EB4CA0">
        <w:rPr>
          <w:rFonts w:ascii="Arial" w:hAnsi="Arial" w:cs="Arial"/>
          <w:sz w:val="22"/>
          <w:szCs w:val="22"/>
          <w:lang w:val="en-US"/>
        </w:rPr>
        <w:t>, [online] 107(1), pp.16–29. doi:10.5195/jmla.2019.433.</w:t>
      </w:r>
    </w:p>
    <w:p w14:paraId="18096B06" w14:textId="0263F0A5"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Wong, C. (2024). </w:t>
      </w:r>
      <w:r w:rsidRPr="00EB4CA0">
        <w:rPr>
          <w:rFonts w:ascii="Arial" w:hAnsi="Arial" w:cs="Arial"/>
          <w:i/>
          <w:iCs/>
          <w:sz w:val="22"/>
          <w:szCs w:val="22"/>
          <w:lang w:val="en-US"/>
        </w:rPr>
        <w:t>Research Guides: Literature Searching: Step 4 - Combine concepts using Boolean operators</w:t>
      </w:r>
      <w:r w:rsidRPr="00EB4CA0">
        <w:rPr>
          <w:rFonts w:ascii="Arial" w:hAnsi="Arial" w:cs="Arial"/>
          <w:sz w:val="22"/>
          <w:szCs w:val="22"/>
          <w:lang w:val="en-US"/>
        </w:rPr>
        <w:t xml:space="preserve">. [online] Laneguides.stanford.edu. Available at: </w:t>
      </w:r>
      <w:hyperlink r:id="rId54" w:history="1">
        <w:r w:rsidR="00EF2983" w:rsidRPr="00EB4CA0">
          <w:rPr>
            <w:rStyle w:val="Hyperlink"/>
            <w:rFonts w:ascii="Arial" w:hAnsi="Arial" w:cs="Arial"/>
            <w:color w:val="auto"/>
            <w:sz w:val="22"/>
            <w:szCs w:val="22"/>
            <w:lang w:val="en-US"/>
          </w:rPr>
          <w:t>https://laneguides.stanford.edu/LitSearch/step4</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[Accessed 1</w:t>
      </w:r>
      <w:r w:rsidR="00EF2983" w:rsidRPr="00EB4CA0">
        <w:rPr>
          <w:rFonts w:ascii="Arial" w:hAnsi="Arial" w:cs="Arial"/>
          <w:sz w:val="22"/>
          <w:szCs w:val="22"/>
          <w:lang w:val="en-US"/>
        </w:rPr>
        <w:t>2</w:t>
      </w:r>
      <w:r w:rsidRPr="00EB4CA0">
        <w:rPr>
          <w:rFonts w:ascii="Arial" w:hAnsi="Arial" w:cs="Arial"/>
          <w:sz w:val="22"/>
          <w:szCs w:val="22"/>
          <w:lang w:val="en-US"/>
        </w:rPr>
        <w:t xml:space="preserve"> July 2026].</w:t>
      </w:r>
    </w:p>
    <w:p w14:paraId="3C5B8625" w14:textId="55E66B7E"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World Health Organization (2002). </w:t>
      </w:r>
      <w:r w:rsidRPr="00EB4CA0">
        <w:rPr>
          <w:rFonts w:ascii="Arial" w:hAnsi="Arial" w:cs="Arial"/>
          <w:i/>
          <w:iCs/>
          <w:sz w:val="22"/>
          <w:szCs w:val="22"/>
        </w:rPr>
        <w:t>Active Ageing</w:t>
      </w:r>
      <w:r w:rsidRPr="00EB4CA0">
        <w:rPr>
          <w:rFonts w:ascii="Arial" w:hAnsi="Arial" w:cs="Arial"/>
          <w:sz w:val="22"/>
          <w:szCs w:val="22"/>
        </w:rPr>
        <w:t xml:space="preserve">. [online] Available at: </w:t>
      </w:r>
      <w:hyperlink r:id="rId55" w:history="1">
        <w:r w:rsidR="00EF2983" w:rsidRPr="00EB4CA0">
          <w:rPr>
            <w:rStyle w:val="Hyperlink"/>
            <w:rFonts w:ascii="Arial" w:hAnsi="Arial" w:cs="Arial"/>
            <w:color w:val="auto"/>
            <w:sz w:val="22"/>
            <w:szCs w:val="22"/>
          </w:rPr>
          <w:t>https://extranet.who.int/agefriendlyworld/wp-content/uploads/2014/06/WHO-Active-Ageing-Framework.pdf</w:t>
        </w:r>
      </w:hyperlink>
      <w:r w:rsidRPr="00EB4CA0">
        <w:rPr>
          <w:rFonts w:ascii="Arial" w:hAnsi="Arial" w:cs="Arial"/>
          <w:sz w:val="22"/>
          <w:szCs w:val="22"/>
        </w:rPr>
        <w:t>.</w:t>
      </w:r>
    </w:p>
    <w:p w14:paraId="1E35FF6D" w14:textId="09A93B73"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World Health Organization (2002). </w:t>
      </w:r>
      <w:r w:rsidRPr="00EB4CA0">
        <w:rPr>
          <w:rFonts w:ascii="Arial" w:hAnsi="Arial" w:cs="Arial"/>
          <w:i/>
          <w:iCs/>
          <w:sz w:val="22"/>
          <w:szCs w:val="22"/>
          <w:lang w:val="en-US"/>
        </w:rPr>
        <w:t>Active Ageing</w:t>
      </w:r>
      <w:r w:rsidRPr="00EB4CA0">
        <w:rPr>
          <w:rFonts w:ascii="Arial" w:hAnsi="Arial" w:cs="Arial"/>
          <w:sz w:val="22"/>
          <w:szCs w:val="22"/>
          <w:lang w:val="en-US"/>
        </w:rPr>
        <w:t xml:space="preserve">. [online] Available at: </w:t>
      </w:r>
      <w:hyperlink r:id="rId56" w:history="1">
        <w:r w:rsidR="00EF2983" w:rsidRPr="00EB4CA0">
          <w:rPr>
            <w:rStyle w:val="Hyperlink"/>
            <w:rFonts w:ascii="Arial" w:hAnsi="Arial" w:cs="Arial"/>
            <w:color w:val="auto"/>
            <w:sz w:val="22"/>
            <w:szCs w:val="22"/>
            <w:lang w:val="en-US"/>
          </w:rPr>
          <w:t>https://extranet.who.int/agefriendlyworld/wp-content/uploads/2014/06/WHO-Active-Ageing-Framework.pdf</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 xml:space="preserve">[Accessed </w:t>
      </w:r>
      <w:r w:rsidR="00EF2983" w:rsidRPr="00EB4CA0">
        <w:rPr>
          <w:rFonts w:ascii="Arial" w:hAnsi="Arial" w:cs="Arial"/>
          <w:sz w:val="22"/>
          <w:szCs w:val="22"/>
          <w:lang w:val="en-US"/>
        </w:rPr>
        <w:t>06</w:t>
      </w:r>
      <w:r w:rsidRPr="00EB4CA0">
        <w:rPr>
          <w:rFonts w:ascii="Arial" w:hAnsi="Arial" w:cs="Arial"/>
          <w:sz w:val="22"/>
          <w:szCs w:val="22"/>
          <w:lang w:val="en-US"/>
        </w:rPr>
        <w:t xml:space="preserve"> July 2026].</w:t>
      </w:r>
    </w:p>
    <w:p w14:paraId="1894C51A" w14:textId="45285CF6"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World Health Organization (2022). </w:t>
      </w:r>
      <w:r w:rsidRPr="00EB4CA0">
        <w:rPr>
          <w:rFonts w:ascii="Arial" w:hAnsi="Arial" w:cs="Arial"/>
          <w:i/>
          <w:iCs/>
          <w:sz w:val="22"/>
          <w:szCs w:val="22"/>
        </w:rPr>
        <w:t>Mental health</w:t>
      </w:r>
      <w:r w:rsidRPr="00EB4CA0">
        <w:rPr>
          <w:rFonts w:ascii="Arial" w:hAnsi="Arial" w:cs="Arial"/>
          <w:sz w:val="22"/>
          <w:szCs w:val="22"/>
        </w:rPr>
        <w:t xml:space="preserve">. [online] World Health Organization. Available at: </w:t>
      </w:r>
      <w:hyperlink r:id="rId57" w:history="1">
        <w:r w:rsidR="00EF2983" w:rsidRPr="00EB4CA0">
          <w:rPr>
            <w:rStyle w:val="Hyperlink"/>
            <w:rFonts w:ascii="Arial" w:hAnsi="Arial" w:cs="Arial"/>
            <w:color w:val="auto"/>
            <w:sz w:val="22"/>
            <w:szCs w:val="22"/>
          </w:rPr>
          <w:t>https://www.who.int/news-room/fact-sheets/detail/mental-health-strengthening-our-response</w:t>
        </w:r>
      </w:hyperlink>
      <w:r w:rsidRPr="00EB4CA0">
        <w:rPr>
          <w:rFonts w:ascii="Arial" w:hAnsi="Arial" w:cs="Arial"/>
          <w:sz w:val="22"/>
          <w:szCs w:val="22"/>
        </w:rPr>
        <w:t>.</w:t>
      </w:r>
    </w:p>
    <w:p w14:paraId="1E5A3B62" w14:textId="5536857F" w:rsidR="00903DC9" w:rsidRPr="00EB4CA0" w:rsidRDefault="00903DC9" w:rsidP="00B17614">
      <w:pPr>
        <w:pStyle w:val="NormalWeb"/>
        <w:spacing w:before="240" w:beforeAutospacing="0" w:after="240" w:afterAutospacing="0" w:line="360" w:lineRule="auto"/>
        <w:rPr>
          <w:rFonts w:ascii="Arial" w:hAnsi="Arial" w:cs="Arial"/>
          <w:sz w:val="22"/>
          <w:szCs w:val="22"/>
        </w:rPr>
      </w:pPr>
      <w:r w:rsidRPr="00EB4CA0">
        <w:rPr>
          <w:rFonts w:ascii="Arial" w:hAnsi="Arial" w:cs="Arial"/>
          <w:sz w:val="22"/>
          <w:szCs w:val="22"/>
        </w:rPr>
        <w:t xml:space="preserve">World Health Organization (2023). </w:t>
      </w:r>
      <w:r w:rsidRPr="00EB4CA0">
        <w:rPr>
          <w:rFonts w:ascii="Arial" w:hAnsi="Arial" w:cs="Arial"/>
          <w:i/>
          <w:iCs/>
          <w:sz w:val="22"/>
          <w:szCs w:val="22"/>
        </w:rPr>
        <w:t>Mental health of older adults</w:t>
      </w:r>
      <w:r w:rsidRPr="00EB4CA0">
        <w:rPr>
          <w:rFonts w:ascii="Arial" w:hAnsi="Arial" w:cs="Arial"/>
          <w:sz w:val="22"/>
          <w:szCs w:val="22"/>
        </w:rPr>
        <w:t xml:space="preserve">. [online] World Health Organization. Available at: </w:t>
      </w:r>
      <w:hyperlink r:id="rId58" w:history="1">
        <w:r w:rsidR="00EF2983" w:rsidRPr="00EB4CA0">
          <w:rPr>
            <w:rStyle w:val="Hyperlink"/>
            <w:rFonts w:ascii="Arial" w:hAnsi="Arial" w:cs="Arial"/>
            <w:color w:val="auto"/>
            <w:sz w:val="22"/>
            <w:szCs w:val="22"/>
          </w:rPr>
          <w:t>https://www.who.int/news-room/fact-sheets/detail/mental-health-of-older-adults</w:t>
        </w:r>
      </w:hyperlink>
      <w:r w:rsidRPr="00EB4CA0">
        <w:rPr>
          <w:rFonts w:ascii="Arial" w:hAnsi="Arial" w:cs="Arial"/>
          <w:sz w:val="22"/>
          <w:szCs w:val="22"/>
        </w:rPr>
        <w:t>.</w:t>
      </w:r>
    </w:p>
    <w:p w14:paraId="06A4D647" w14:textId="037AC8A1"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World Health Organization (2023). </w:t>
      </w:r>
      <w:r w:rsidRPr="00EB4CA0">
        <w:rPr>
          <w:rFonts w:ascii="Arial" w:hAnsi="Arial" w:cs="Arial"/>
          <w:i/>
          <w:iCs/>
          <w:sz w:val="22"/>
          <w:szCs w:val="22"/>
          <w:lang w:val="en-US"/>
        </w:rPr>
        <w:t>Mental health of older adults</w:t>
      </w:r>
      <w:r w:rsidRPr="00EB4CA0">
        <w:rPr>
          <w:rFonts w:ascii="Arial" w:hAnsi="Arial" w:cs="Arial"/>
          <w:sz w:val="22"/>
          <w:szCs w:val="22"/>
          <w:lang w:val="en-US"/>
        </w:rPr>
        <w:t xml:space="preserve">. [online] World Health Organization. Available at: </w:t>
      </w:r>
      <w:hyperlink r:id="rId59" w:history="1">
        <w:r w:rsidR="00EF2983" w:rsidRPr="00EB4CA0">
          <w:rPr>
            <w:rStyle w:val="Hyperlink"/>
            <w:rFonts w:ascii="Arial" w:hAnsi="Arial" w:cs="Arial"/>
            <w:color w:val="auto"/>
            <w:sz w:val="22"/>
            <w:szCs w:val="22"/>
            <w:lang w:val="en-US"/>
          </w:rPr>
          <w:t>https://www.who.int/news-room/fact-sheets/detail/mental-health-of-older-adults</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[Accessed 1</w:t>
      </w:r>
      <w:r w:rsidR="00EF2983" w:rsidRPr="00EB4CA0">
        <w:rPr>
          <w:rFonts w:ascii="Arial" w:hAnsi="Arial" w:cs="Arial"/>
          <w:sz w:val="22"/>
          <w:szCs w:val="22"/>
          <w:lang w:val="en-US"/>
        </w:rPr>
        <w:t>2</w:t>
      </w:r>
      <w:r w:rsidRPr="00EB4CA0">
        <w:rPr>
          <w:rFonts w:ascii="Arial" w:hAnsi="Arial" w:cs="Arial"/>
          <w:sz w:val="22"/>
          <w:szCs w:val="22"/>
          <w:lang w:val="en-US"/>
        </w:rPr>
        <w:t xml:space="preserve"> July 2026].</w:t>
      </w:r>
    </w:p>
    <w:p w14:paraId="7CBD13B1" w14:textId="7221F5CF" w:rsidR="00903DC9" w:rsidRPr="00EB4CA0" w:rsidRDefault="00903DC9" w:rsidP="00EF2983">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World Health Organization (2025). </w:t>
      </w:r>
      <w:r w:rsidRPr="00EB4CA0">
        <w:rPr>
          <w:rFonts w:ascii="Arial" w:hAnsi="Arial" w:cs="Arial"/>
          <w:i/>
          <w:iCs/>
          <w:sz w:val="22"/>
          <w:szCs w:val="22"/>
          <w:lang w:val="en-US"/>
        </w:rPr>
        <w:t>Social Isolation and Loneliness</w:t>
      </w:r>
      <w:r w:rsidRPr="00EB4CA0">
        <w:rPr>
          <w:rFonts w:ascii="Arial" w:hAnsi="Arial" w:cs="Arial"/>
          <w:sz w:val="22"/>
          <w:szCs w:val="22"/>
          <w:lang w:val="en-US"/>
        </w:rPr>
        <w:t xml:space="preserve">. [online] World Health Organization. Available at: </w:t>
      </w:r>
      <w:hyperlink r:id="rId60" w:history="1">
        <w:r w:rsidR="00EF2983" w:rsidRPr="00EB4CA0">
          <w:rPr>
            <w:rStyle w:val="Hyperlink"/>
            <w:rFonts w:ascii="Arial" w:hAnsi="Arial" w:cs="Arial"/>
            <w:color w:val="auto"/>
            <w:sz w:val="22"/>
            <w:szCs w:val="22"/>
            <w:lang w:val="en-US"/>
          </w:rPr>
          <w:t>https://www.who.int/teams/social-determinants-of-health/demographic-change-and-healthy-ageing/social-isolation-and-loneliness</w:t>
        </w:r>
      </w:hyperlink>
      <w:r w:rsidR="00EF2983" w:rsidRPr="00EB4CA0">
        <w:rPr>
          <w:rFonts w:ascii="Arial" w:hAnsi="Arial" w:cs="Arial"/>
          <w:sz w:val="22"/>
          <w:szCs w:val="22"/>
          <w:lang w:val="en-US"/>
        </w:rPr>
        <w:t xml:space="preserve"> </w:t>
      </w:r>
      <w:r w:rsidRPr="00EB4CA0">
        <w:rPr>
          <w:rFonts w:ascii="Arial" w:hAnsi="Arial" w:cs="Arial"/>
          <w:sz w:val="22"/>
          <w:szCs w:val="22"/>
          <w:lang w:val="en-US"/>
        </w:rPr>
        <w:t>[Accessed 11 July 2026].</w:t>
      </w:r>
    </w:p>
    <w:p w14:paraId="7CA96C73" w14:textId="77777777" w:rsidR="00903DC9" w:rsidRPr="00EB4CA0" w:rsidRDefault="00903DC9" w:rsidP="00B17614">
      <w:pPr>
        <w:pStyle w:val="NormalWeb"/>
        <w:spacing w:before="240" w:beforeAutospacing="0" w:after="240" w:afterAutospacing="0" w:line="360" w:lineRule="auto"/>
        <w:rPr>
          <w:rFonts w:ascii="Arial" w:hAnsi="Arial" w:cs="Arial"/>
          <w:sz w:val="22"/>
          <w:szCs w:val="22"/>
          <w:lang w:val="en-US"/>
        </w:rPr>
      </w:pPr>
      <w:r w:rsidRPr="00EB4CA0">
        <w:rPr>
          <w:rFonts w:ascii="Arial" w:hAnsi="Arial" w:cs="Arial"/>
          <w:sz w:val="22"/>
          <w:szCs w:val="22"/>
          <w:lang w:val="en-US"/>
        </w:rPr>
        <w:t xml:space="preserve">Zhang, Y., Li, G., Liu, C., Chen, H., Guo, J. and Shi, Z. (2023). Mixed comparison of interventions for different exercise types on students with Internet addiction: A network meta-analysis. </w:t>
      </w:r>
      <w:r w:rsidRPr="00EB4CA0">
        <w:rPr>
          <w:rFonts w:ascii="Arial" w:hAnsi="Arial" w:cs="Arial"/>
          <w:i/>
          <w:iCs/>
          <w:sz w:val="22"/>
          <w:szCs w:val="22"/>
          <w:lang w:val="en-US"/>
        </w:rPr>
        <w:t>Frontiers in Psychology</w:t>
      </w:r>
      <w:r w:rsidRPr="00EB4CA0">
        <w:rPr>
          <w:rFonts w:ascii="Arial" w:hAnsi="Arial" w:cs="Arial"/>
          <w:sz w:val="22"/>
          <w:szCs w:val="22"/>
          <w:lang w:val="en-US"/>
        </w:rPr>
        <w:t>, 14. doi:10.3389/fpsyg.2023.1111195.</w:t>
      </w:r>
    </w:p>
    <w:p w14:paraId="00E8F42C" w14:textId="77777777" w:rsidR="007C46B3" w:rsidRPr="00EB4CA0" w:rsidRDefault="007C46B3" w:rsidP="00903DC9">
      <w:pPr>
        <w:pStyle w:val="NormalWeb"/>
        <w:spacing w:before="240" w:beforeAutospacing="0" w:after="240" w:afterAutospacing="0" w:line="360" w:lineRule="auto"/>
        <w:rPr>
          <w:rFonts w:ascii="Arial" w:hAnsi="Arial" w:cs="Arial"/>
          <w:lang w:val="en-US"/>
        </w:rPr>
      </w:pPr>
    </w:p>
    <w:p w14:paraId="2AE65FEE" w14:textId="77777777" w:rsidR="007C46B3" w:rsidRPr="00EB4CA0" w:rsidRDefault="007C46B3" w:rsidP="00903DC9">
      <w:pPr>
        <w:pStyle w:val="NormalWeb"/>
        <w:spacing w:before="240" w:beforeAutospacing="0" w:after="240" w:afterAutospacing="0" w:line="360" w:lineRule="auto"/>
        <w:rPr>
          <w:rFonts w:ascii="Arial" w:hAnsi="Arial" w:cs="Arial"/>
          <w:lang w:val="en-US"/>
        </w:rPr>
      </w:pPr>
    </w:p>
    <w:p w14:paraId="2AFB5D08" w14:textId="70B63FB3" w:rsidR="00867E4D" w:rsidRPr="00EB4CA0" w:rsidRDefault="00867E4D">
      <w:pPr>
        <w:pStyle w:val="Heading2"/>
        <w:numPr>
          <w:ilvl w:val="1"/>
          <w:numId w:val="2"/>
        </w:numPr>
        <w:spacing w:after="240"/>
        <w:rPr>
          <w:rFonts w:ascii="Arial" w:hAnsi="Arial" w:cs="Arial"/>
          <w:b/>
          <w:bCs/>
          <w:color w:val="auto"/>
          <w:szCs w:val="24"/>
        </w:rPr>
      </w:pPr>
      <w:bookmarkStart w:id="46" w:name="_Toc234701012"/>
      <w:r w:rsidRPr="00EB4CA0">
        <w:rPr>
          <w:rFonts w:ascii="Arial" w:hAnsi="Arial" w:cs="Arial"/>
          <w:b/>
          <w:bCs/>
          <w:color w:val="auto"/>
          <w:szCs w:val="24"/>
        </w:rPr>
        <w:t>Appendices</w:t>
      </w:r>
      <w:bookmarkEnd w:id="46"/>
      <w:r w:rsidRPr="00EB4CA0">
        <w:rPr>
          <w:rFonts w:ascii="Arial" w:hAnsi="Arial" w:cs="Arial"/>
          <w:b/>
          <w:bCs/>
          <w:color w:val="auto"/>
          <w:szCs w:val="24"/>
        </w:rPr>
        <w:t xml:space="preserve"> </w:t>
      </w:r>
    </w:p>
    <w:p w14:paraId="1E8B0F58" w14:textId="0AA29168" w:rsidR="003B519D" w:rsidRPr="00EB4CA0" w:rsidRDefault="009955A0" w:rsidP="00E2362C">
      <w:pPr>
        <w:spacing w:before="240"/>
        <w:rPr>
          <w:rFonts w:ascii="Arial" w:hAnsi="Arial" w:cs="Arial"/>
          <w:b/>
          <w:bCs/>
        </w:rPr>
      </w:pPr>
      <w:r w:rsidRPr="00EB4CA0">
        <w:rPr>
          <w:rFonts w:ascii="Arial" w:hAnsi="Arial" w:cs="Arial"/>
          <w:b/>
          <w:bCs/>
          <w:sz w:val="24"/>
          <w:szCs w:val="24"/>
          <w:lang w:val="en-US"/>
        </w:rPr>
        <w:t>Appendix</w:t>
      </w:r>
      <w:r w:rsidRPr="00C325E4">
        <w:rPr>
          <w:rFonts w:ascii="Arial" w:hAnsi="Arial" w:cs="Arial"/>
          <w:b/>
          <w:bCs/>
          <w:sz w:val="24"/>
          <w:szCs w:val="24"/>
          <w:lang w:val="en-US"/>
        </w:rPr>
        <w:t xml:space="preserve"> </w:t>
      </w:r>
      <w:r w:rsidR="003B519D" w:rsidRPr="00EB4CA0">
        <w:rPr>
          <w:rFonts w:ascii="Arial" w:hAnsi="Arial" w:cs="Arial"/>
          <w:b/>
          <w:bCs/>
        </w:rPr>
        <w:t>1 Summary of Selected Literature</w:t>
      </w:r>
    </w:p>
    <w:tbl>
      <w:tblPr>
        <w:tblStyle w:val="GridTable4-Accent4"/>
        <w:tblW w:w="0" w:type="auto"/>
        <w:jc w:val="center"/>
        <w:tblLook w:val="04A0" w:firstRow="1" w:lastRow="0" w:firstColumn="1" w:lastColumn="0" w:noHBand="0" w:noVBand="1"/>
      </w:tblPr>
      <w:tblGrid>
        <w:gridCol w:w="1842"/>
        <w:gridCol w:w="1774"/>
        <w:gridCol w:w="1825"/>
        <w:gridCol w:w="2226"/>
        <w:gridCol w:w="1349"/>
      </w:tblGrid>
      <w:tr w:rsidR="00EB4CA0" w:rsidRPr="00EB4CA0" w14:paraId="269C4136" w14:textId="77777777" w:rsidTr="0065608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968252" w14:textId="77777777" w:rsidR="00496968" w:rsidRPr="00EB4CA0" w:rsidRDefault="00496968" w:rsidP="0065608C">
            <w:pPr>
              <w:spacing w:before="240" w:after="160"/>
              <w:rPr>
                <w:rFonts w:ascii="Arial" w:hAnsi="Arial" w:cs="Arial"/>
                <w:color w:val="auto"/>
                <w:sz w:val="24"/>
                <w:szCs w:val="24"/>
                <w:lang w:val="en-US"/>
              </w:rPr>
            </w:pPr>
            <w:r w:rsidRPr="00EB4CA0">
              <w:rPr>
                <w:rFonts w:ascii="Arial" w:hAnsi="Arial" w:cs="Arial"/>
                <w:color w:val="auto"/>
                <w:sz w:val="24"/>
                <w:szCs w:val="24"/>
                <w:lang w:val="en-US"/>
              </w:rPr>
              <w:t>Database</w:t>
            </w:r>
          </w:p>
        </w:tc>
        <w:tc>
          <w:tcPr>
            <w:tcW w:w="0" w:type="auto"/>
            <w:hideMark/>
          </w:tcPr>
          <w:p w14:paraId="4B122D13" w14:textId="77777777" w:rsidR="00496968" w:rsidRPr="00EB4CA0" w:rsidRDefault="00496968" w:rsidP="0065608C">
            <w:pPr>
              <w:spacing w:before="240"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EB4CA0">
              <w:rPr>
                <w:rFonts w:ascii="Arial" w:hAnsi="Arial" w:cs="Arial"/>
                <w:color w:val="auto"/>
                <w:sz w:val="24"/>
                <w:szCs w:val="24"/>
                <w:lang w:val="en-US"/>
              </w:rPr>
              <w:t>Author (Year)</w:t>
            </w:r>
          </w:p>
        </w:tc>
        <w:tc>
          <w:tcPr>
            <w:tcW w:w="0" w:type="auto"/>
            <w:hideMark/>
          </w:tcPr>
          <w:p w14:paraId="13581A78" w14:textId="77777777" w:rsidR="00496968" w:rsidRPr="00EB4CA0" w:rsidRDefault="00496968" w:rsidP="0065608C">
            <w:pPr>
              <w:spacing w:before="240"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EB4CA0">
              <w:rPr>
                <w:rFonts w:ascii="Arial" w:hAnsi="Arial" w:cs="Arial"/>
                <w:color w:val="auto"/>
                <w:sz w:val="24"/>
                <w:szCs w:val="24"/>
                <w:lang w:val="en-US"/>
              </w:rPr>
              <w:t>Study Type</w:t>
            </w:r>
          </w:p>
        </w:tc>
        <w:tc>
          <w:tcPr>
            <w:tcW w:w="0" w:type="auto"/>
            <w:hideMark/>
          </w:tcPr>
          <w:p w14:paraId="35FC203F" w14:textId="77777777" w:rsidR="00496968" w:rsidRPr="00EB4CA0" w:rsidRDefault="00496968" w:rsidP="0065608C">
            <w:pPr>
              <w:spacing w:before="240"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EB4CA0">
              <w:rPr>
                <w:rFonts w:ascii="Arial" w:hAnsi="Arial" w:cs="Arial"/>
                <w:color w:val="auto"/>
                <w:sz w:val="24"/>
                <w:szCs w:val="24"/>
                <w:lang w:val="en-US"/>
              </w:rPr>
              <w:t>Key Finding</w:t>
            </w:r>
          </w:p>
        </w:tc>
        <w:tc>
          <w:tcPr>
            <w:tcW w:w="0" w:type="auto"/>
            <w:hideMark/>
          </w:tcPr>
          <w:p w14:paraId="246DE2A3" w14:textId="77777777" w:rsidR="00496968" w:rsidRPr="00EB4CA0" w:rsidRDefault="00496968" w:rsidP="0065608C">
            <w:pPr>
              <w:spacing w:before="240"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EB4CA0">
              <w:rPr>
                <w:rFonts w:ascii="Arial" w:hAnsi="Arial" w:cs="Arial"/>
                <w:color w:val="auto"/>
                <w:sz w:val="24"/>
                <w:szCs w:val="24"/>
                <w:lang w:val="en-US"/>
              </w:rPr>
              <w:t>Objective</w:t>
            </w:r>
          </w:p>
        </w:tc>
      </w:tr>
      <w:tr w:rsidR="00EB4CA0" w:rsidRPr="00EB4CA0" w14:paraId="3ECCA0B6" w14:textId="77777777" w:rsidTr="006560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7E7EB8"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PubMed</w:t>
            </w:r>
          </w:p>
        </w:tc>
        <w:tc>
          <w:tcPr>
            <w:tcW w:w="0" w:type="auto"/>
            <w:hideMark/>
          </w:tcPr>
          <w:p w14:paraId="36D04B56"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Underwood et al. (2013)</w:t>
            </w:r>
          </w:p>
        </w:tc>
        <w:tc>
          <w:tcPr>
            <w:tcW w:w="0" w:type="auto"/>
            <w:hideMark/>
          </w:tcPr>
          <w:p w14:paraId="6FE6EAB2"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RCT</w:t>
            </w:r>
          </w:p>
        </w:tc>
        <w:tc>
          <w:tcPr>
            <w:tcW w:w="0" w:type="auto"/>
            <w:hideMark/>
          </w:tcPr>
          <w:p w14:paraId="08C6A14F" w14:textId="77777777" w:rsidR="00496968" w:rsidRPr="00EB4CA0" w:rsidRDefault="00496968" w:rsidP="009F3197">
            <w:pPr>
              <w:spacing w:before="240"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activity reduced depression.</w:t>
            </w:r>
          </w:p>
        </w:tc>
        <w:tc>
          <w:tcPr>
            <w:tcW w:w="0" w:type="auto"/>
            <w:hideMark/>
          </w:tcPr>
          <w:p w14:paraId="472703E1"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2</w:t>
            </w:r>
          </w:p>
        </w:tc>
      </w:tr>
      <w:tr w:rsidR="00EB4CA0" w:rsidRPr="00EB4CA0" w14:paraId="202EAE39" w14:textId="77777777" w:rsidTr="0065608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3E3504"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PubMed</w:t>
            </w:r>
          </w:p>
        </w:tc>
        <w:tc>
          <w:tcPr>
            <w:tcW w:w="0" w:type="auto"/>
            <w:hideMark/>
          </w:tcPr>
          <w:p w14:paraId="2C84BE8F"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Smulowitz et al. (2023)</w:t>
            </w:r>
          </w:p>
        </w:tc>
        <w:tc>
          <w:tcPr>
            <w:tcW w:w="0" w:type="auto"/>
            <w:hideMark/>
          </w:tcPr>
          <w:p w14:paraId="7B8F4132"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Observational</w:t>
            </w:r>
          </w:p>
        </w:tc>
        <w:tc>
          <w:tcPr>
            <w:tcW w:w="0" w:type="auto"/>
            <w:hideMark/>
          </w:tcPr>
          <w:p w14:paraId="41C525C8" w14:textId="77777777" w:rsidR="00496968" w:rsidRPr="00EB4CA0" w:rsidRDefault="00496968" w:rsidP="009F3197">
            <w:pPr>
              <w:spacing w:before="240"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support improved wellbeing.</w:t>
            </w:r>
          </w:p>
        </w:tc>
        <w:tc>
          <w:tcPr>
            <w:tcW w:w="0" w:type="auto"/>
            <w:hideMark/>
          </w:tcPr>
          <w:p w14:paraId="434744FE"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2</w:t>
            </w:r>
          </w:p>
        </w:tc>
      </w:tr>
      <w:tr w:rsidR="00EB4CA0" w:rsidRPr="00EB4CA0" w14:paraId="50566A49" w14:textId="77777777" w:rsidTr="006560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DE9467"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ScienceDirect</w:t>
            </w:r>
          </w:p>
        </w:tc>
        <w:tc>
          <w:tcPr>
            <w:tcW w:w="0" w:type="auto"/>
            <w:hideMark/>
          </w:tcPr>
          <w:p w14:paraId="2AF00923"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Zarzycki et al. (2023)</w:t>
            </w:r>
          </w:p>
        </w:tc>
        <w:tc>
          <w:tcPr>
            <w:tcW w:w="0" w:type="auto"/>
            <w:hideMark/>
          </w:tcPr>
          <w:p w14:paraId="559B55C3"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Systematic Review</w:t>
            </w:r>
          </w:p>
        </w:tc>
        <w:tc>
          <w:tcPr>
            <w:tcW w:w="0" w:type="auto"/>
            <w:hideMark/>
          </w:tcPr>
          <w:p w14:paraId="4335EFB5" w14:textId="77777777" w:rsidR="00496968" w:rsidRPr="00EB4CA0" w:rsidRDefault="00496968" w:rsidP="009F3197">
            <w:pPr>
              <w:spacing w:before="240"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Relationship quality improved wellbeing.</w:t>
            </w:r>
          </w:p>
        </w:tc>
        <w:tc>
          <w:tcPr>
            <w:tcW w:w="0" w:type="auto"/>
            <w:hideMark/>
          </w:tcPr>
          <w:p w14:paraId="0739D2BE"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2 &amp; 3</w:t>
            </w:r>
          </w:p>
        </w:tc>
      </w:tr>
      <w:tr w:rsidR="00EB4CA0" w:rsidRPr="00EB4CA0" w14:paraId="651CAB75" w14:textId="77777777" w:rsidTr="0065608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385341"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Google Scholar</w:t>
            </w:r>
          </w:p>
        </w:tc>
        <w:tc>
          <w:tcPr>
            <w:tcW w:w="0" w:type="auto"/>
            <w:hideMark/>
          </w:tcPr>
          <w:p w14:paraId="71DEAB31"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Benzinger et al. (2023)</w:t>
            </w:r>
          </w:p>
        </w:tc>
        <w:tc>
          <w:tcPr>
            <w:tcW w:w="0" w:type="auto"/>
            <w:hideMark/>
          </w:tcPr>
          <w:p w14:paraId="065A7B0E"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Literature Review</w:t>
            </w:r>
          </w:p>
        </w:tc>
        <w:tc>
          <w:tcPr>
            <w:tcW w:w="0" w:type="auto"/>
            <w:hideMark/>
          </w:tcPr>
          <w:p w14:paraId="582F6C20" w14:textId="77777777" w:rsidR="00496968" w:rsidRPr="00EB4CA0" w:rsidRDefault="00496968" w:rsidP="009F3197">
            <w:pPr>
              <w:spacing w:before="240"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COVID-19 restrictions increased loneliness.</w:t>
            </w:r>
          </w:p>
        </w:tc>
        <w:tc>
          <w:tcPr>
            <w:tcW w:w="0" w:type="auto"/>
            <w:hideMark/>
          </w:tcPr>
          <w:p w14:paraId="2E53EFA0"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2 &amp; 3</w:t>
            </w:r>
          </w:p>
        </w:tc>
      </w:tr>
      <w:tr w:rsidR="00EB4CA0" w:rsidRPr="00EB4CA0" w14:paraId="3E780FA2" w14:textId="77777777" w:rsidTr="006560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EA9BA5"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Google Scholar</w:t>
            </w:r>
          </w:p>
        </w:tc>
        <w:tc>
          <w:tcPr>
            <w:tcW w:w="0" w:type="auto"/>
            <w:hideMark/>
          </w:tcPr>
          <w:p w14:paraId="1E61D140"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Thompson et al. (2020)</w:t>
            </w:r>
          </w:p>
        </w:tc>
        <w:tc>
          <w:tcPr>
            <w:tcW w:w="0" w:type="auto"/>
            <w:hideMark/>
          </w:tcPr>
          <w:p w14:paraId="29A54298"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Review</w:t>
            </w:r>
          </w:p>
        </w:tc>
        <w:tc>
          <w:tcPr>
            <w:tcW w:w="0" w:type="auto"/>
            <w:hideMark/>
          </w:tcPr>
          <w:p w14:paraId="43F8797D" w14:textId="77777777" w:rsidR="00496968" w:rsidRPr="00EB4CA0" w:rsidRDefault="00496968" w:rsidP="009F3197">
            <w:pPr>
              <w:spacing w:before="240"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Isolation reduced emotional wellbeing.</w:t>
            </w:r>
          </w:p>
        </w:tc>
        <w:tc>
          <w:tcPr>
            <w:tcW w:w="0" w:type="auto"/>
            <w:hideMark/>
          </w:tcPr>
          <w:p w14:paraId="2E599A0F"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2</w:t>
            </w:r>
          </w:p>
        </w:tc>
      </w:tr>
      <w:tr w:rsidR="00EB4CA0" w:rsidRPr="00EB4CA0" w14:paraId="06DDCB6F" w14:textId="77777777" w:rsidTr="0065608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FCA00E"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ScienceDirect</w:t>
            </w:r>
          </w:p>
        </w:tc>
        <w:tc>
          <w:tcPr>
            <w:tcW w:w="0" w:type="auto"/>
            <w:hideMark/>
          </w:tcPr>
          <w:p w14:paraId="5C9509A2"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Rostgaard et al. (2022)</w:t>
            </w:r>
          </w:p>
        </w:tc>
        <w:tc>
          <w:tcPr>
            <w:tcW w:w="0" w:type="auto"/>
            <w:hideMark/>
          </w:tcPr>
          <w:p w14:paraId="5C9F6FCE"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Comparative</w:t>
            </w:r>
          </w:p>
        </w:tc>
        <w:tc>
          <w:tcPr>
            <w:tcW w:w="0" w:type="auto"/>
            <w:hideMark/>
          </w:tcPr>
          <w:p w14:paraId="6B911783" w14:textId="77777777" w:rsidR="00496968" w:rsidRPr="00EB4CA0" w:rsidRDefault="00496968" w:rsidP="009F3197">
            <w:pPr>
              <w:spacing w:before="240"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Person-centred care improved quality of life.</w:t>
            </w:r>
          </w:p>
        </w:tc>
        <w:tc>
          <w:tcPr>
            <w:tcW w:w="0" w:type="auto"/>
            <w:hideMark/>
          </w:tcPr>
          <w:p w14:paraId="383FE916"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3 &amp; 4</w:t>
            </w:r>
          </w:p>
        </w:tc>
      </w:tr>
      <w:tr w:rsidR="00EB4CA0" w:rsidRPr="00EB4CA0" w14:paraId="0197FF4A" w14:textId="77777777" w:rsidTr="006560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D21E05"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Google Scholar</w:t>
            </w:r>
          </w:p>
        </w:tc>
        <w:tc>
          <w:tcPr>
            <w:tcW w:w="0" w:type="auto"/>
            <w:hideMark/>
          </w:tcPr>
          <w:p w14:paraId="68D65E3C"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Liebmann et al. (2022)</w:t>
            </w:r>
          </w:p>
        </w:tc>
        <w:tc>
          <w:tcPr>
            <w:tcW w:w="0" w:type="auto"/>
            <w:hideMark/>
          </w:tcPr>
          <w:p w14:paraId="02EA1B63"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Systematic Review</w:t>
            </w:r>
          </w:p>
        </w:tc>
        <w:tc>
          <w:tcPr>
            <w:tcW w:w="0" w:type="auto"/>
            <w:hideMark/>
          </w:tcPr>
          <w:p w14:paraId="6A29548B" w14:textId="77777777" w:rsidR="00496968" w:rsidRPr="00EB4CA0" w:rsidRDefault="00496968" w:rsidP="009F3197">
            <w:pPr>
              <w:spacing w:before="240"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prescribing reduced loneliness.</w:t>
            </w:r>
          </w:p>
        </w:tc>
        <w:tc>
          <w:tcPr>
            <w:tcW w:w="0" w:type="auto"/>
            <w:hideMark/>
          </w:tcPr>
          <w:p w14:paraId="4E9D3F73"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4</w:t>
            </w:r>
          </w:p>
        </w:tc>
      </w:tr>
      <w:tr w:rsidR="00EB4CA0" w:rsidRPr="00EB4CA0" w14:paraId="22936C73" w14:textId="77777777" w:rsidTr="0065608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296B90"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Google Scholar</w:t>
            </w:r>
          </w:p>
        </w:tc>
        <w:tc>
          <w:tcPr>
            <w:tcW w:w="0" w:type="auto"/>
            <w:hideMark/>
          </w:tcPr>
          <w:p w14:paraId="33103733"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nl-NL"/>
              </w:rPr>
              <w:t xml:space="preserve">van der Steen et al. </w:t>
            </w:r>
            <w:r w:rsidRPr="00EB4CA0">
              <w:rPr>
                <w:rFonts w:ascii="Arial" w:hAnsi="Arial" w:cs="Arial"/>
                <w:sz w:val="24"/>
                <w:szCs w:val="24"/>
                <w:lang w:val="en-US"/>
              </w:rPr>
              <w:t>(2025)</w:t>
            </w:r>
          </w:p>
        </w:tc>
        <w:tc>
          <w:tcPr>
            <w:tcW w:w="0" w:type="auto"/>
            <w:hideMark/>
          </w:tcPr>
          <w:p w14:paraId="10227433"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Cochrane Review</w:t>
            </w:r>
          </w:p>
        </w:tc>
        <w:tc>
          <w:tcPr>
            <w:tcW w:w="0" w:type="auto"/>
            <w:hideMark/>
          </w:tcPr>
          <w:p w14:paraId="14D085BF" w14:textId="77777777" w:rsidR="00496968" w:rsidRPr="00EB4CA0" w:rsidRDefault="00496968" w:rsidP="009F3197">
            <w:pPr>
              <w:spacing w:before="240"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Music therapy improved wellbeing.</w:t>
            </w:r>
          </w:p>
        </w:tc>
        <w:tc>
          <w:tcPr>
            <w:tcW w:w="0" w:type="auto"/>
            <w:hideMark/>
          </w:tcPr>
          <w:p w14:paraId="1EA7B33A"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4</w:t>
            </w:r>
          </w:p>
        </w:tc>
      </w:tr>
      <w:tr w:rsidR="00EB4CA0" w:rsidRPr="00EB4CA0" w14:paraId="084F4AC6" w14:textId="77777777" w:rsidTr="006560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B429FC"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WHO</w:t>
            </w:r>
          </w:p>
        </w:tc>
        <w:tc>
          <w:tcPr>
            <w:tcW w:w="0" w:type="auto"/>
            <w:hideMark/>
          </w:tcPr>
          <w:p w14:paraId="76BB507B"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WHO (2020)</w:t>
            </w:r>
          </w:p>
        </w:tc>
        <w:tc>
          <w:tcPr>
            <w:tcW w:w="0" w:type="auto"/>
            <w:hideMark/>
          </w:tcPr>
          <w:p w14:paraId="0B0B77C5"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Policy Report</w:t>
            </w:r>
          </w:p>
        </w:tc>
        <w:tc>
          <w:tcPr>
            <w:tcW w:w="0" w:type="auto"/>
            <w:hideMark/>
          </w:tcPr>
          <w:p w14:paraId="51FE886C" w14:textId="77777777" w:rsidR="00496968" w:rsidRPr="00EB4CA0" w:rsidRDefault="00496968" w:rsidP="009F3197">
            <w:pPr>
              <w:spacing w:before="240"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participation supports healthy ageing.</w:t>
            </w:r>
          </w:p>
        </w:tc>
        <w:tc>
          <w:tcPr>
            <w:tcW w:w="0" w:type="auto"/>
            <w:hideMark/>
          </w:tcPr>
          <w:p w14:paraId="2CC4787E" w14:textId="77777777" w:rsidR="00496968" w:rsidRPr="00EB4CA0" w:rsidRDefault="00496968" w:rsidP="0065608C">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1, 3 &amp; 4</w:t>
            </w:r>
          </w:p>
        </w:tc>
      </w:tr>
      <w:tr w:rsidR="00EB4CA0" w:rsidRPr="00EB4CA0" w14:paraId="4082305A" w14:textId="77777777" w:rsidTr="0065608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F44EF7" w14:textId="77777777" w:rsidR="00496968" w:rsidRPr="00EB4CA0" w:rsidRDefault="00496968" w:rsidP="0065608C">
            <w:pPr>
              <w:spacing w:before="240" w:after="160"/>
              <w:rPr>
                <w:rFonts w:ascii="Arial" w:hAnsi="Arial" w:cs="Arial"/>
                <w:sz w:val="24"/>
                <w:szCs w:val="24"/>
                <w:lang w:val="en-US"/>
              </w:rPr>
            </w:pPr>
            <w:r w:rsidRPr="00EB4CA0">
              <w:rPr>
                <w:rFonts w:ascii="Arial" w:hAnsi="Arial" w:cs="Arial"/>
                <w:sz w:val="24"/>
                <w:szCs w:val="24"/>
                <w:lang w:val="en-US"/>
              </w:rPr>
              <w:t>CQC</w:t>
            </w:r>
          </w:p>
        </w:tc>
        <w:tc>
          <w:tcPr>
            <w:tcW w:w="0" w:type="auto"/>
            <w:hideMark/>
          </w:tcPr>
          <w:p w14:paraId="0B864D0C"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CQC (2024)</w:t>
            </w:r>
          </w:p>
        </w:tc>
        <w:tc>
          <w:tcPr>
            <w:tcW w:w="0" w:type="auto"/>
            <w:hideMark/>
          </w:tcPr>
          <w:p w14:paraId="3A468DBE"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Government Report</w:t>
            </w:r>
          </w:p>
        </w:tc>
        <w:tc>
          <w:tcPr>
            <w:tcW w:w="0" w:type="auto"/>
            <w:hideMark/>
          </w:tcPr>
          <w:p w14:paraId="3FB87755" w14:textId="77777777" w:rsidR="00496968" w:rsidRPr="00EB4CA0" w:rsidRDefault="00496968" w:rsidP="009F3197">
            <w:pPr>
              <w:spacing w:before="240"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Workforce shortages affect care quality.</w:t>
            </w:r>
          </w:p>
        </w:tc>
        <w:tc>
          <w:tcPr>
            <w:tcW w:w="0" w:type="auto"/>
            <w:hideMark/>
          </w:tcPr>
          <w:p w14:paraId="22C6D265" w14:textId="77777777" w:rsidR="00496968" w:rsidRPr="00EB4CA0" w:rsidRDefault="00496968" w:rsidP="0065608C">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Obj. 3 &amp; 4</w:t>
            </w:r>
          </w:p>
        </w:tc>
      </w:tr>
    </w:tbl>
    <w:p w14:paraId="512390F5" w14:textId="2CC70F5D" w:rsidR="00513C76" w:rsidRPr="00EB4CA0" w:rsidRDefault="00513C76" w:rsidP="007F3A41">
      <w:pPr>
        <w:pStyle w:val="Caption"/>
        <w:spacing w:before="240" w:line="360" w:lineRule="auto"/>
        <w:jc w:val="center"/>
        <w:rPr>
          <w:rFonts w:ascii="Arial" w:hAnsi="Arial" w:cs="Arial"/>
          <w:b/>
          <w:bCs/>
          <w:i w:val="0"/>
          <w:iCs w:val="0"/>
          <w:color w:val="auto"/>
          <w:sz w:val="24"/>
          <w:szCs w:val="24"/>
        </w:rPr>
      </w:pPr>
      <w:bookmarkStart w:id="47" w:name="_Toc234701034"/>
      <w:bookmarkStart w:id="48" w:name="_Toc234931995"/>
      <w:r w:rsidRPr="00EB4CA0">
        <w:rPr>
          <w:rFonts w:ascii="Arial" w:hAnsi="Arial" w:cs="Arial"/>
          <w:b/>
          <w:bCs/>
          <w:i w:val="0"/>
          <w:iCs w:val="0"/>
          <w:color w:val="auto"/>
          <w:sz w:val="24"/>
          <w:szCs w:val="24"/>
        </w:rPr>
        <w:t xml:space="preserve">Table </w:t>
      </w:r>
      <w:r w:rsidRPr="00EB4CA0">
        <w:rPr>
          <w:rFonts w:ascii="Arial" w:hAnsi="Arial" w:cs="Arial"/>
          <w:b/>
          <w:bCs/>
          <w:i w:val="0"/>
          <w:iCs w:val="0"/>
          <w:color w:val="auto"/>
          <w:sz w:val="24"/>
          <w:szCs w:val="24"/>
        </w:rPr>
        <w:fldChar w:fldCharType="begin"/>
      </w:r>
      <w:r w:rsidRPr="00EB4CA0">
        <w:rPr>
          <w:rFonts w:ascii="Arial" w:hAnsi="Arial" w:cs="Arial"/>
          <w:b/>
          <w:bCs/>
          <w:i w:val="0"/>
          <w:iCs w:val="0"/>
          <w:color w:val="auto"/>
          <w:sz w:val="24"/>
          <w:szCs w:val="24"/>
        </w:rPr>
        <w:instrText xml:space="preserve"> SEQ Table \* ARABIC </w:instrText>
      </w:r>
      <w:r w:rsidRPr="00EB4CA0">
        <w:rPr>
          <w:rFonts w:ascii="Arial" w:hAnsi="Arial" w:cs="Arial"/>
          <w:b/>
          <w:bCs/>
          <w:i w:val="0"/>
          <w:iCs w:val="0"/>
          <w:color w:val="auto"/>
          <w:sz w:val="24"/>
          <w:szCs w:val="24"/>
        </w:rPr>
        <w:fldChar w:fldCharType="separate"/>
      </w:r>
      <w:r w:rsidR="00FD6D48" w:rsidRPr="00EB4CA0">
        <w:rPr>
          <w:rFonts w:ascii="Arial" w:hAnsi="Arial" w:cs="Arial"/>
          <w:b/>
          <w:bCs/>
          <w:i w:val="0"/>
          <w:iCs w:val="0"/>
          <w:noProof/>
          <w:color w:val="auto"/>
          <w:sz w:val="24"/>
          <w:szCs w:val="24"/>
        </w:rPr>
        <w:t>1</w:t>
      </w:r>
      <w:r w:rsidRPr="00EB4CA0">
        <w:rPr>
          <w:rFonts w:ascii="Arial" w:hAnsi="Arial" w:cs="Arial"/>
          <w:b/>
          <w:bCs/>
          <w:i w:val="0"/>
          <w:iCs w:val="0"/>
          <w:color w:val="auto"/>
          <w:sz w:val="24"/>
          <w:szCs w:val="24"/>
        </w:rPr>
        <w:fldChar w:fldCharType="end"/>
      </w:r>
      <w:r w:rsidRPr="00EB4CA0">
        <w:rPr>
          <w:rFonts w:ascii="Arial" w:hAnsi="Arial" w:cs="Arial"/>
          <w:b/>
          <w:bCs/>
          <w:i w:val="0"/>
          <w:iCs w:val="0"/>
          <w:color w:val="auto"/>
          <w:sz w:val="24"/>
          <w:szCs w:val="24"/>
        </w:rPr>
        <w:t xml:space="preserve"> Summary of Selected Literature</w:t>
      </w:r>
      <w:bookmarkEnd w:id="47"/>
      <w:bookmarkEnd w:id="48"/>
    </w:p>
    <w:p w14:paraId="5B23F238" w14:textId="44DC43D8" w:rsidR="009969FC" w:rsidRPr="00EB4CA0" w:rsidRDefault="00513C76" w:rsidP="007F3A41">
      <w:pPr>
        <w:pStyle w:val="Caption"/>
        <w:spacing w:before="240" w:line="360" w:lineRule="auto"/>
        <w:jc w:val="center"/>
        <w:rPr>
          <w:rFonts w:ascii="Arial" w:hAnsi="Arial" w:cs="Arial"/>
          <w:b/>
          <w:bCs/>
          <w:i w:val="0"/>
          <w:iCs w:val="0"/>
          <w:color w:val="auto"/>
          <w:sz w:val="24"/>
          <w:szCs w:val="24"/>
        </w:rPr>
      </w:pPr>
      <w:r w:rsidRPr="00EB4CA0">
        <w:rPr>
          <w:rFonts w:ascii="Arial" w:hAnsi="Arial" w:cs="Arial"/>
          <w:b/>
          <w:bCs/>
          <w:i w:val="0"/>
          <w:iCs w:val="0"/>
          <w:color w:val="auto"/>
          <w:sz w:val="24"/>
          <w:szCs w:val="24"/>
        </w:rPr>
        <w:t>Source: Author</w:t>
      </w:r>
    </w:p>
    <w:p w14:paraId="64481907" w14:textId="77777777" w:rsidR="008B18E2" w:rsidRPr="00EB4CA0" w:rsidRDefault="008B18E2" w:rsidP="008B18E2">
      <w:pPr>
        <w:rPr>
          <w:rFonts w:ascii="Arial" w:hAnsi="Arial" w:cs="Arial"/>
          <w:sz w:val="24"/>
          <w:szCs w:val="24"/>
        </w:rPr>
      </w:pPr>
    </w:p>
    <w:p w14:paraId="1D87CE56" w14:textId="77777777" w:rsidR="008B18E2" w:rsidRPr="00EB4CA0" w:rsidRDefault="008B18E2" w:rsidP="008B18E2">
      <w:pPr>
        <w:rPr>
          <w:rFonts w:ascii="Arial" w:hAnsi="Arial" w:cs="Arial"/>
          <w:sz w:val="24"/>
          <w:szCs w:val="24"/>
        </w:rPr>
      </w:pPr>
    </w:p>
    <w:p w14:paraId="6699678E" w14:textId="77777777" w:rsidR="008B18E2" w:rsidRPr="00EB4CA0" w:rsidRDefault="008B18E2" w:rsidP="008B18E2">
      <w:pPr>
        <w:rPr>
          <w:rFonts w:ascii="Arial" w:hAnsi="Arial" w:cs="Arial"/>
          <w:sz w:val="24"/>
          <w:szCs w:val="24"/>
        </w:rPr>
      </w:pPr>
    </w:p>
    <w:p w14:paraId="6173BBF7" w14:textId="77777777" w:rsidR="00D42E41" w:rsidRPr="00EB4CA0" w:rsidRDefault="00D42E41" w:rsidP="008B18E2">
      <w:pPr>
        <w:rPr>
          <w:rFonts w:ascii="Arial" w:hAnsi="Arial" w:cs="Arial"/>
          <w:sz w:val="24"/>
          <w:szCs w:val="24"/>
        </w:rPr>
      </w:pPr>
    </w:p>
    <w:p w14:paraId="61395DD3" w14:textId="77777777" w:rsidR="00D42E41" w:rsidRPr="00EB4CA0" w:rsidRDefault="00D42E41" w:rsidP="008B18E2">
      <w:pPr>
        <w:rPr>
          <w:rFonts w:ascii="Arial" w:hAnsi="Arial" w:cs="Arial"/>
          <w:sz w:val="24"/>
          <w:szCs w:val="24"/>
        </w:rPr>
      </w:pPr>
    </w:p>
    <w:p w14:paraId="28FDB719" w14:textId="77777777" w:rsidR="00D42E41" w:rsidRPr="00EB4CA0" w:rsidRDefault="00D42E41" w:rsidP="008B18E2">
      <w:pPr>
        <w:rPr>
          <w:rFonts w:ascii="Arial" w:hAnsi="Arial" w:cs="Arial"/>
          <w:sz w:val="24"/>
          <w:szCs w:val="24"/>
        </w:rPr>
      </w:pPr>
    </w:p>
    <w:p w14:paraId="6EBB1A8B" w14:textId="77777777" w:rsidR="00D42E41" w:rsidRPr="00EB4CA0" w:rsidRDefault="00D42E41" w:rsidP="008B18E2">
      <w:pPr>
        <w:rPr>
          <w:rFonts w:ascii="Arial" w:hAnsi="Arial" w:cs="Arial"/>
          <w:sz w:val="24"/>
          <w:szCs w:val="24"/>
        </w:rPr>
      </w:pPr>
    </w:p>
    <w:p w14:paraId="71B5F8CB" w14:textId="77777777" w:rsidR="00D42E41" w:rsidRPr="00EB4CA0" w:rsidRDefault="00D42E41" w:rsidP="008B18E2">
      <w:pPr>
        <w:rPr>
          <w:rFonts w:ascii="Arial" w:hAnsi="Arial" w:cs="Arial"/>
          <w:sz w:val="24"/>
          <w:szCs w:val="24"/>
        </w:rPr>
      </w:pPr>
    </w:p>
    <w:p w14:paraId="1263C360" w14:textId="77777777" w:rsidR="00D42E41" w:rsidRPr="00EB4CA0" w:rsidRDefault="00D42E41" w:rsidP="008B18E2">
      <w:pPr>
        <w:rPr>
          <w:rFonts w:ascii="Arial" w:hAnsi="Arial" w:cs="Arial"/>
          <w:sz w:val="24"/>
          <w:szCs w:val="24"/>
        </w:rPr>
      </w:pPr>
    </w:p>
    <w:p w14:paraId="31617233" w14:textId="1FC2A914" w:rsidR="008B18E2" w:rsidRPr="00EB4CA0" w:rsidRDefault="00253FF8" w:rsidP="00944174">
      <w:pPr>
        <w:spacing w:before="240"/>
        <w:rPr>
          <w:rFonts w:ascii="Arial" w:hAnsi="Arial" w:cs="Arial"/>
          <w:b/>
          <w:bCs/>
          <w:sz w:val="24"/>
          <w:szCs w:val="24"/>
          <w:lang w:val="en-US"/>
        </w:rPr>
      </w:pPr>
      <w:r w:rsidRPr="00EB4CA0">
        <w:rPr>
          <w:rFonts w:ascii="Arial" w:hAnsi="Arial" w:cs="Arial"/>
          <w:b/>
          <w:bCs/>
          <w:sz w:val="24"/>
          <w:szCs w:val="24"/>
          <w:lang w:val="en-US"/>
        </w:rPr>
        <w:t>Appendix</w:t>
      </w:r>
      <w:r w:rsidR="00C325E4" w:rsidRPr="00C325E4">
        <w:rPr>
          <w:rFonts w:ascii="Arial" w:hAnsi="Arial" w:cs="Arial"/>
          <w:b/>
          <w:bCs/>
          <w:sz w:val="24"/>
          <w:szCs w:val="24"/>
          <w:lang w:val="en-US"/>
        </w:rPr>
        <w:t xml:space="preserve"> 2 Initial Coding Table</w:t>
      </w:r>
    </w:p>
    <w:tbl>
      <w:tblPr>
        <w:tblStyle w:val="GridTable5Dark-Accent5"/>
        <w:tblW w:w="0" w:type="auto"/>
        <w:jc w:val="center"/>
        <w:tblLook w:val="04A0" w:firstRow="1" w:lastRow="0" w:firstColumn="1" w:lastColumn="0" w:noHBand="0" w:noVBand="1"/>
      </w:tblPr>
      <w:tblGrid>
        <w:gridCol w:w="3090"/>
        <w:gridCol w:w="5926"/>
      </w:tblGrid>
      <w:tr w:rsidR="00EB4CA0" w:rsidRPr="00EB4CA0" w14:paraId="5E883ADA" w14:textId="77777777" w:rsidTr="009522B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09DC49"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Article</w:t>
            </w:r>
          </w:p>
        </w:tc>
        <w:tc>
          <w:tcPr>
            <w:tcW w:w="0" w:type="auto"/>
            <w:hideMark/>
          </w:tcPr>
          <w:p w14:paraId="5B54C7F7" w14:textId="77777777" w:rsidR="000B757C" w:rsidRPr="00EB4CA0" w:rsidRDefault="000B757C" w:rsidP="009522B0">
            <w:pPr>
              <w:spacing w:before="240" w:after="160"/>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US"/>
              </w:rPr>
            </w:pPr>
            <w:r w:rsidRPr="00EB4CA0">
              <w:rPr>
                <w:rFonts w:ascii="Arial" w:hAnsi="Arial" w:cs="Arial"/>
                <w:color w:val="auto"/>
                <w:sz w:val="24"/>
                <w:szCs w:val="24"/>
                <w:lang w:val="en-US"/>
              </w:rPr>
              <w:t>Initial Codes Identified</w:t>
            </w:r>
          </w:p>
        </w:tc>
      </w:tr>
      <w:tr w:rsidR="00EB4CA0" w:rsidRPr="00EB4CA0" w14:paraId="7B9A87EC" w14:textId="77777777" w:rsidTr="009522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469B28"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Underwood et al. (2013)</w:t>
            </w:r>
          </w:p>
        </w:tc>
        <w:tc>
          <w:tcPr>
            <w:tcW w:w="0" w:type="auto"/>
            <w:hideMark/>
          </w:tcPr>
          <w:p w14:paraId="4EBB1ED4" w14:textId="77777777" w:rsidR="000B757C" w:rsidRPr="00EB4CA0" w:rsidRDefault="000B757C" w:rsidP="009522B0">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Depression, group activities, exercise, emotional wellbeing, social interaction</w:t>
            </w:r>
          </w:p>
        </w:tc>
      </w:tr>
      <w:tr w:rsidR="00EB4CA0" w:rsidRPr="00EB4CA0" w14:paraId="43B9A423" w14:textId="77777777" w:rsidTr="009522B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5D71ED"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Smulowitz et al. (2023)</w:t>
            </w:r>
          </w:p>
        </w:tc>
        <w:tc>
          <w:tcPr>
            <w:tcW w:w="0" w:type="auto"/>
            <w:hideMark/>
          </w:tcPr>
          <w:p w14:paraId="05E8816B" w14:textId="77777777" w:rsidR="000B757C" w:rsidRPr="00EB4CA0" w:rsidRDefault="000B757C" w:rsidP="009522B0">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support, cognition, emotional wellbeing, caregiver support</w:t>
            </w:r>
          </w:p>
        </w:tc>
      </w:tr>
      <w:tr w:rsidR="00EB4CA0" w:rsidRPr="00EB4CA0" w14:paraId="13E2DF8A" w14:textId="77777777" w:rsidTr="009522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DAAA62"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Benzinger et al. (2023)</w:t>
            </w:r>
          </w:p>
        </w:tc>
        <w:tc>
          <w:tcPr>
            <w:tcW w:w="0" w:type="auto"/>
            <w:hideMark/>
          </w:tcPr>
          <w:p w14:paraId="36C73902" w14:textId="77777777" w:rsidR="000B757C" w:rsidRPr="00EB4CA0" w:rsidRDefault="000B757C" w:rsidP="009522B0">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COVID-19, social isolation, family separation, depression, anxiety</w:t>
            </w:r>
          </w:p>
        </w:tc>
      </w:tr>
      <w:tr w:rsidR="00EB4CA0" w:rsidRPr="00EB4CA0" w14:paraId="6874682E" w14:textId="77777777" w:rsidTr="009522B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A6747F"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Thompson et al. (2020)</w:t>
            </w:r>
          </w:p>
        </w:tc>
        <w:tc>
          <w:tcPr>
            <w:tcW w:w="0" w:type="auto"/>
            <w:hideMark/>
          </w:tcPr>
          <w:p w14:paraId="69CFEAED" w14:textId="77777777" w:rsidR="000B757C" w:rsidRPr="00EB4CA0" w:rsidRDefault="000B757C" w:rsidP="009522B0">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Loneliness, visitation restrictions, emotional wellbeing, social participation</w:t>
            </w:r>
          </w:p>
        </w:tc>
      </w:tr>
      <w:tr w:rsidR="00EB4CA0" w:rsidRPr="00EB4CA0" w14:paraId="71165ADC" w14:textId="77777777" w:rsidTr="009522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CD8919"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Zarzycki et al. (2023)</w:t>
            </w:r>
          </w:p>
        </w:tc>
        <w:tc>
          <w:tcPr>
            <w:tcW w:w="0" w:type="auto"/>
            <w:hideMark/>
          </w:tcPr>
          <w:p w14:paraId="6C115C7F" w14:textId="77777777" w:rsidR="000B757C" w:rsidRPr="00EB4CA0" w:rsidRDefault="000B757C" w:rsidP="009522B0">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Caregiver support, emotional support, relationship quality, family involvement</w:t>
            </w:r>
          </w:p>
        </w:tc>
      </w:tr>
      <w:tr w:rsidR="00EB4CA0" w:rsidRPr="00EB4CA0" w14:paraId="1B253E20" w14:textId="77777777" w:rsidTr="009522B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A8AB54"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Rostgaard et al. (2022)</w:t>
            </w:r>
          </w:p>
        </w:tc>
        <w:tc>
          <w:tcPr>
            <w:tcW w:w="0" w:type="auto"/>
            <w:hideMark/>
          </w:tcPr>
          <w:p w14:paraId="3EC15D4E" w14:textId="624F3754" w:rsidR="000B757C" w:rsidRPr="00EB4CA0" w:rsidRDefault="000B757C" w:rsidP="009522B0">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Person-</w:t>
            </w:r>
            <w:r w:rsidR="00CB3EDB" w:rsidRPr="00EB4CA0">
              <w:rPr>
                <w:rFonts w:ascii="Arial" w:hAnsi="Arial" w:cs="Arial"/>
                <w:sz w:val="24"/>
                <w:szCs w:val="24"/>
                <w:lang w:val="en-US"/>
              </w:rPr>
              <w:t>centered</w:t>
            </w:r>
            <w:r w:rsidRPr="00EB4CA0">
              <w:rPr>
                <w:rFonts w:ascii="Arial" w:hAnsi="Arial" w:cs="Arial"/>
                <w:sz w:val="24"/>
                <w:szCs w:val="24"/>
                <w:lang w:val="en-US"/>
              </w:rPr>
              <w:t xml:space="preserve"> care, resident autonomy, social engagement</w:t>
            </w:r>
          </w:p>
        </w:tc>
      </w:tr>
      <w:tr w:rsidR="00EB4CA0" w:rsidRPr="00EB4CA0" w14:paraId="7A4B43D8" w14:textId="77777777" w:rsidTr="009522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CD06D2"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Liebmann et al. (2022)</w:t>
            </w:r>
          </w:p>
        </w:tc>
        <w:tc>
          <w:tcPr>
            <w:tcW w:w="0" w:type="auto"/>
            <w:hideMark/>
          </w:tcPr>
          <w:p w14:paraId="1A8BA525" w14:textId="77777777" w:rsidR="000B757C" w:rsidRPr="00EB4CA0" w:rsidRDefault="000B757C" w:rsidP="009522B0">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Social prescribing, community support, loneliness, wellbeing</w:t>
            </w:r>
          </w:p>
        </w:tc>
      </w:tr>
      <w:tr w:rsidR="00EB4CA0" w:rsidRPr="00EB4CA0" w14:paraId="67111920" w14:textId="77777777" w:rsidTr="009522B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76B9A5"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nl-NL"/>
              </w:rPr>
              <w:t xml:space="preserve">van der Steen et al. </w:t>
            </w:r>
            <w:r w:rsidRPr="00EB4CA0">
              <w:rPr>
                <w:rFonts w:ascii="Arial" w:hAnsi="Arial" w:cs="Arial"/>
                <w:color w:val="auto"/>
                <w:sz w:val="24"/>
                <w:szCs w:val="24"/>
                <w:lang w:val="en-US"/>
              </w:rPr>
              <w:t>(2025)</w:t>
            </w:r>
          </w:p>
        </w:tc>
        <w:tc>
          <w:tcPr>
            <w:tcW w:w="0" w:type="auto"/>
            <w:hideMark/>
          </w:tcPr>
          <w:p w14:paraId="49BCB24D" w14:textId="77777777" w:rsidR="000B757C" w:rsidRPr="00EB4CA0" w:rsidRDefault="000B757C" w:rsidP="009522B0">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Music therapy, dementia, anxiety reduction, emotional wellbeing</w:t>
            </w:r>
          </w:p>
        </w:tc>
      </w:tr>
      <w:tr w:rsidR="00EB4CA0" w:rsidRPr="00EB4CA0" w14:paraId="40C04F48" w14:textId="77777777" w:rsidTr="009522B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FDC2B6"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WHO (2020)</w:t>
            </w:r>
          </w:p>
        </w:tc>
        <w:tc>
          <w:tcPr>
            <w:tcW w:w="0" w:type="auto"/>
            <w:hideMark/>
          </w:tcPr>
          <w:p w14:paraId="43236AAD" w14:textId="77777777" w:rsidR="000B757C" w:rsidRPr="00EB4CA0" w:rsidRDefault="000B757C" w:rsidP="009522B0">
            <w:pPr>
              <w:spacing w:before="240"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Healthy ageing, social participation, policy, person-centred care</w:t>
            </w:r>
          </w:p>
        </w:tc>
      </w:tr>
      <w:tr w:rsidR="00EB4CA0" w:rsidRPr="00EB4CA0" w14:paraId="1E03B8E2" w14:textId="77777777" w:rsidTr="009522B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AE4E3B" w14:textId="77777777" w:rsidR="000B757C" w:rsidRPr="00EB4CA0" w:rsidRDefault="000B757C" w:rsidP="009522B0">
            <w:pPr>
              <w:spacing w:before="240" w:after="160"/>
              <w:rPr>
                <w:rFonts w:ascii="Arial" w:hAnsi="Arial" w:cs="Arial"/>
                <w:color w:val="auto"/>
                <w:sz w:val="24"/>
                <w:szCs w:val="24"/>
                <w:lang w:val="en-US"/>
              </w:rPr>
            </w:pPr>
            <w:r w:rsidRPr="00EB4CA0">
              <w:rPr>
                <w:rFonts w:ascii="Arial" w:hAnsi="Arial" w:cs="Arial"/>
                <w:color w:val="auto"/>
                <w:sz w:val="24"/>
                <w:szCs w:val="24"/>
                <w:lang w:val="en-US"/>
              </w:rPr>
              <w:t>Care Quality Commission (2024)</w:t>
            </w:r>
          </w:p>
        </w:tc>
        <w:tc>
          <w:tcPr>
            <w:tcW w:w="0" w:type="auto"/>
            <w:hideMark/>
          </w:tcPr>
          <w:p w14:paraId="35FBF571" w14:textId="77777777" w:rsidR="000B757C" w:rsidRPr="00EB4CA0" w:rsidRDefault="000B757C" w:rsidP="009522B0">
            <w:pPr>
              <w:spacing w:before="240"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Workforce shortages, staffing, person-centred care, quality of care</w:t>
            </w:r>
          </w:p>
        </w:tc>
      </w:tr>
    </w:tbl>
    <w:p w14:paraId="0C827C0F" w14:textId="6C0B81E9" w:rsidR="005B5A71" w:rsidRPr="00EB4CA0" w:rsidRDefault="005B5A71" w:rsidP="0099735F">
      <w:pPr>
        <w:pStyle w:val="Caption"/>
        <w:spacing w:before="240" w:line="360" w:lineRule="auto"/>
        <w:jc w:val="center"/>
        <w:rPr>
          <w:rFonts w:ascii="Arial" w:hAnsi="Arial" w:cs="Arial"/>
          <w:b/>
          <w:bCs/>
          <w:i w:val="0"/>
          <w:iCs w:val="0"/>
          <w:color w:val="auto"/>
          <w:sz w:val="24"/>
          <w:szCs w:val="24"/>
        </w:rPr>
      </w:pPr>
      <w:bookmarkStart w:id="49" w:name="_Toc234701035"/>
      <w:bookmarkStart w:id="50" w:name="_Toc234931996"/>
      <w:r w:rsidRPr="00EB4CA0">
        <w:rPr>
          <w:rFonts w:ascii="Arial" w:hAnsi="Arial" w:cs="Arial"/>
          <w:b/>
          <w:bCs/>
          <w:i w:val="0"/>
          <w:iCs w:val="0"/>
          <w:color w:val="auto"/>
          <w:sz w:val="24"/>
          <w:szCs w:val="24"/>
        </w:rPr>
        <w:t xml:space="preserve">Table </w:t>
      </w:r>
      <w:r w:rsidRPr="00EB4CA0">
        <w:rPr>
          <w:rFonts w:ascii="Arial" w:hAnsi="Arial" w:cs="Arial"/>
          <w:b/>
          <w:bCs/>
          <w:i w:val="0"/>
          <w:iCs w:val="0"/>
          <w:color w:val="auto"/>
          <w:sz w:val="24"/>
          <w:szCs w:val="24"/>
        </w:rPr>
        <w:fldChar w:fldCharType="begin"/>
      </w:r>
      <w:r w:rsidRPr="00EB4CA0">
        <w:rPr>
          <w:rFonts w:ascii="Arial" w:hAnsi="Arial" w:cs="Arial"/>
          <w:b/>
          <w:bCs/>
          <w:i w:val="0"/>
          <w:iCs w:val="0"/>
          <w:color w:val="auto"/>
          <w:sz w:val="24"/>
          <w:szCs w:val="24"/>
        </w:rPr>
        <w:instrText xml:space="preserve"> SEQ Table \* ARABIC </w:instrText>
      </w:r>
      <w:r w:rsidRPr="00EB4CA0">
        <w:rPr>
          <w:rFonts w:ascii="Arial" w:hAnsi="Arial" w:cs="Arial"/>
          <w:b/>
          <w:bCs/>
          <w:i w:val="0"/>
          <w:iCs w:val="0"/>
          <w:color w:val="auto"/>
          <w:sz w:val="24"/>
          <w:szCs w:val="24"/>
        </w:rPr>
        <w:fldChar w:fldCharType="separate"/>
      </w:r>
      <w:r w:rsidR="00FD6D48" w:rsidRPr="00EB4CA0">
        <w:rPr>
          <w:rFonts w:ascii="Arial" w:hAnsi="Arial" w:cs="Arial"/>
          <w:b/>
          <w:bCs/>
          <w:i w:val="0"/>
          <w:iCs w:val="0"/>
          <w:noProof/>
          <w:color w:val="auto"/>
          <w:sz w:val="24"/>
          <w:szCs w:val="24"/>
        </w:rPr>
        <w:t>2</w:t>
      </w:r>
      <w:r w:rsidRPr="00EB4CA0">
        <w:rPr>
          <w:rFonts w:ascii="Arial" w:hAnsi="Arial" w:cs="Arial"/>
          <w:b/>
          <w:bCs/>
          <w:i w:val="0"/>
          <w:iCs w:val="0"/>
          <w:color w:val="auto"/>
          <w:sz w:val="24"/>
          <w:szCs w:val="24"/>
        </w:rPr>
        <w:fldChar w:fldCharType="end"/>
      </w:r>
      <w:r w:rsidRPr="00EB4CA0">
        <w:rPr>
          <w:rFonts w:ascii="Arial" w:hAnsi="Arial" w:cs="Arial"/>
          <w:b/>
          <w:bCs/>
          <w:i w:val="0"/>
          <w:iCs w:val="0"/>
          <w:color w:val="auto"/>
          <w:sz w:val="24"/>
          <w:szCs w:val="24"/>
        </w:rPr>
        <w:t xml:space="preserve"> Initial Coding Table</w:t>
      </w:r>
      <w:bookmarkEnd w:id="49"/>
      <w:bookmarkEnd w:id="50"/>
    </w:p>
    <w:p w14:paraId="712D3814" w14:textId="3F4CB3F5" w:rsidR="00D826D0" w:rsidRPr="00EB4CA0" w:rsidRDefault="005B5A71" w:rsidP="00C84B55">
      <w:pPr>
        <w:pStyle w:val="Caption"/>
        <w:spacing w:before="240" w:line="360" w:lineRule="auto"/>
        <w:jc w:val="center"/>
        <w:rPr>
          <w:rFonts w:ascii="Arial" w:hAnsi="Arial" w:cs="Arial"/>
          <w:b/>
          <w:bCs/>
          <w:i w:val="0"/>
          <w:iCs w:val="0"/>
          <w:color w:val="auto"/>
          <w:sz w:val="24"/>
          <w:szCs w:val="24"/>
        </w:rPr>
      </w:pPr>
      <w:r w:rsidRPr="00EB4CA0">
        <w:rPr>
          <w:rFonts w:ascii="Arial" w:hAnsi="Arial" w:cs="Arial"/>
          <w:b/>
          <w:bCs/>
          <w:i w:val="0"/>
          <w:iCs w:val="0"/>
          <w:color w:val="auto"/>
          <w:sz w:val="24"/>
          <w:szCs w:val="24"/>
        </w:rPr>
        <w:t>Source: Author</w:t>
      </w:r>
    </w:p>
    <w:p w14:paraId="5B8FC798" w14:textId="0718475E" w:rsidR="00241299" w:rsidRPr="00EB4CA0" w:rsidRDefault="00241299" w:rsidP="00241299">
      <w:pPr>
        <w:rPr>
          <w:rFonts w:ascii="Arial" w:hAnsi="Arial" w:cs="Arial"/>
        </w:rPr>
      </w:pPr>
      <w:r w:rsidRPr="00EB4CA0">
        <w:rPr>
          <w:rFonts w:ascii="Arial" w:hAnsi="Arial" w:cs="Arial"/>
          <w:b/>
          <w:bCs/>
          <w:sz w:val="24"/>
          <w:szCs w:val="24"/>
          <w:lang w:val="en-US"/>
        </w:rPr>
        <w:t xml:space="preserve">Appendix 3: </w:t>
      </w:r>
      <w:r w:rsidR="00AD4886" w:rsidRPr="00EB4CA0">
        <w:rPr>
          <w:rFonts w:ascii="Arial" w:hAnsi="Arial" w:cs="Arial"/>
          <w:b/>
          <w:bCs/>
          <w:sz w:val="24"/>
          <w:szCs w:val="24"/>
        </w:rPr>
        <w:t>Thematic Coding Matrix</w:t>
      </w:r>
    </w:p>
    <w:tbl>
      <w:tblPr>
        <w:tblStyle w:val="PlainTable2"/>
        <w:tblW w:w="0" w:type="auto"/>
        <w:jc w:val="center"/>
        <w:tblLook w:val="04A0" w:firstRow="1" w:lastRow="0" w:firstColumn="1" w:lastColumn="0" w:noHBand="0" w:noVBand="1"/>
      </w:tblPr>
      <w:tblGrid>
        <w:gridCol w:w="3644"/>
        <w:gridCol w:w="2026"/>
        <w:gridCol w:w="3356"/>
      </w:tblGrid>
      <w:tr w:rsidR="00EB4CA0" w:rsidRPr="00EB4CA0" w14:paraId="275FEC66" w14:textId="77777777" w:rsidTr="00A26F6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C8E58B" w14:textId="77777777" w:rsidR="00D76F64" w:rsidRPr="00EB4CA0" w:rsidRDefault="00D76F64" w:rsidP="00D43CE2">
            <w:pPr>
              <w:spacing w:before="240"/>
              <w:rPr>
                <w:rFonts w:ascii="Arial" w:hAnsi="Arial" w:cs="Arial"/>
                <w:sz w:val="24"/>
                <w:szCs w:val="24"/>
                <w:lang w:val="en-US"/>
              </w:rPr>
            </w:pPr>
            <w:r w:rsidRPr="00EB4CA0">
              <w:rPr>
                <w:rFonts w:ascii="Arial" w:hAnsi="Arial" w:cs="Arial"/>
                <w:sz w:val="24"/>
                <w:szCs w:val="24"/>
                <w:lang w:val="en-US"/>
              </w:rPr>
              <w:t>Initial Code</w:t>
            </w:r>
          </w:p>
        </w:tc>
        <w:tc>
          <w:tcPr>
            <w:tcW w:w="2026" w:type="dxa"/>
            <w:hideMark/>
          </w:tcPr>
          <w:p w14:paraId="681ADA8A" w14:textId="77777777" w:rsidR="00D76F64" w:rsidRPr="00EB4CA0" w:rsidRDefault="00D76F64" w:rsidP="00D43CE2">
            <w:pPr>
              <w:spacing w:before="24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Colour Code</w:t>
            </w:r>
          </w:p>
        </w:tc>
        <w:tc>
          <w:tcPr>
            <w:tcW w:w="3356" w:type="dxa"/>
            <w:hideMark/>
          </w:tcPr>
          <w:p w14:paraId="693EC030" w14:textId="77777777" w:rsidR="00D76F64" w:rsidRPr="00EB4CA0" w:rsidRDefault="00D76F64" w:rsidP="00D43CE2">
            <w:pPr>
              <w:spacing w:before="240"/>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EB4CA0">
              <w:rPr>
                <w:rFonts w:ascii="Arial" w:hAnsi="Arial" w:cs="Arial"/>
                <w:sz w:val="24"/>
                <w:szCs w:val="24"/>
                <w:lang w:val="en-US"/>
              </w:rPr>
              <w:t>Final Theme</w:t>
            </w:r>
          </w:p>
        </w:tc>
      </w:tr>
      <w:tr w:rsidR="00EB4CA0" w:rsidRPr="00EB4CA0" w14:paraId="7666ADE8"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FCBB4E" w14:textId="77777777" w:rsidR="007D1A08" w:rsidRPr="00EB4CA0" w:rsidRDefault="007D1A08" w:rsidP="00D43CE2">
            <w:pPr>
              <w:spacing w:before="240"/>
              <w:rPr>
                <w:rFonts w:ascii="Arial" w:hAnsi="Arial" w:cs="Arial"/>
                <w:sz w:val="24"/>
                <w:szCs w:val="24"/>
                <w:lang w:val="en-US"/>
              </w:rPr>
            </w:pPr>
            <w:r w:rsidRPr="00EB4CA0">
              <w:rPr>
                <w:rFonts w:ascii="Arial" w:hAnsi="Arial" w:cs="Arial"/>
                <w:sz w:val="24"/>
                <w:szCs w:val="24"/>
                <w:lang w:val="en-US"/>
              </w:rPr>
              <w:t>Social isolation</w:t>
            </w:r>
          </w:p>
        </w:tc>
        <w:tc>
          <w:tcPr>
            <w:tcW w:w="2026" w:type="dxa"/>
            <w:vMerge w:val="restart"/>
            <w:hideMark/>
          </w:tcPr>
          <w:p w14:paraId="6BAA664A" w14:textId="76F784B5" w:rsidR="007D1A08" w:rsidRPr="00EB4CA0" w:rsidRDefault="007D1A08"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r w:rsidRPr="00EB4CA0">
              <w:rPr>
                <w:rFonts w:ascii="Segoe UI Emoji" w:hAnsi="Segoe UI Emoji" w:cs="Segoe UI Emoji"/>
                <w:b/>
                <w:bCs/>
                <w:sz w:val="24"/>
                <w:szCs w:val="24"/>
                <w:lang w:val="en-US"/>
              </w:rPr>
              <w:t>🔴</w:t>
            </w:r>
            <w:r w:rsidRPr="00EB4CA0">
              <w:rPr>
                <w:rFonts w:ascii="Arial" w:hAnsi="Arial" w:cs="Arial"/>
                <w:b/>
                <w:bCs/>
                <w:sz w:val="24"/>
                <w:szCs w:val="24"/>
                <w:lang w:val="en-US"/>
              </w:rPr>
              <w:t xml:space="preserve"> Red</w:t>
            </w:r>
          </w:p>
        </w:tc>
        <w:tc>
          <w:tcPr>
            <w:tcW w:w="3356" w:type="dxa"/>
            <w:vMerge w:val="restart"/>
            <w:hideMark/>
          </w:tcPr>
          <w:p w14:paraId="0323259D" w14:textId="7EF9E38D" w:rsidR="007D1A08" w:rsidRPr="00EB4CA0" w:rsidRDefault="007D1A08"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r w:rsidRPr="00EB4CA0">
              <w:rPr>
                <w:rFonts w:ascii="Arial" w:hAnsi="Arial" w:cs="Arial"/>
                <w:b/>
                <w:bCs/>
                <w:sz w:val="24"/>
                <w:szCs w:val="24"/>
                <w:lang w:val="en-US"/>
              </w:rPr>
              <w:t>Theme 1: Social Support and Mental Health</w:t>
            </w:r>
          </w:p>
        </w:tc>
      </w:tr>
      <w:tr w:rsidR="00EB4CA0" w:rsidRPr="00EB4CA0" w14:paraId="13DA5BC8"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2A8E20" w14:textId="77777777" w:rsidR="007D1A08" w:rsidRPr="00EB4CA0" w:rsidRDefault="007D1A08" w:rsidP="00D43CE2">
            <w:pPr>
              <w:spacing w:before="240"/>
              <w:rPr>
                <w:rFonts w:ascii="Arial" w:hAnsi="Arial" w:cs="Arial"/>
                <w:sz w:val="24"/>
                <w:szCs w:val="24"/>
                <w:lang w:val="en-US"/>
              </w:rPr>
            </w:pPr>
            <w:r w:rsidRPr="00EB4CA0">
              <w:rPr>
                <w:rFonts w:ascii="Arial" w:hAnsi="Arial" w:cs="Arial"/>
                <w:sz w:val="24"/>
                <w:szCs w:val="24"/>
                <w:lang w:val="en-US"/>
              </w:rPr>
              <w:t>Loneliness</w:t>
            </w:r>
          </w:p>
        </w:tc>
        <w:tc>
          <w:tcPr>
            <w:tcW w:w="2026" w:type="dxa"/>
            <w:vMerge/>
            <w:hideMark/>
          </w:tcPr>
          <w:p w14:paraId="679B414E" w14:textId="218BBE8B" w:rsidR="007D1A08" w:rsidRPr="00EB4CA0" w:rsidRDefault="007D1A08"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c>
          <w:tcPr>
            <w:tcW w:w="3356" w:type="dxa"/>
            <w:vMerge/>
            <w:hideMark/>
          </w:tcPr>
          <w:p w14:paraId="4A254BD1" w14:textId="3497386A" w:rsidR="007D1A08" w:rsidRPr="00EB4CA0" w:rsidRDefault="007D1A08"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r w:rsidR="00EB4CA0" w:rsidRPr="00EB4CA0" w14:paraId="237212EB"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FFCCBE" w14:textId="77777777" w:rsidR="007D1A08" w:rsidRPr="00EB4CA0" w:rsidRDefault="007D1A08" w:rsidP="00D43CE2">
            <w:pPr>
              <w:spacing w:before="240"/>
              <w:rPr>
                <w:rFonts w:ascii="Arial" w:hAnsi="Arial" w:cs="Arial"/>
                <w:sz w:val="24"/>
                <w:szCs w:val="24"/>
                <w:lang w:val="en-US"/>
              </w:rPr>
            </w:pPr>
            <w:r w:rsidRPr="00EB4CA0">
              <w:rPr>
                <w:rFonts w:ascii="Arial" w:hAnsi="Arial" w:cs="Arial"/>
                <w:sz w:val="24"/>
                <w:szCs w:val="24"/>
                <w:lang w:val="en-US"/>
              </w:rPr>
              <w:t>Depression</w:t>
            </w:r>
          </w:p>
        </w:tc>
        <w:tc>
          <w:tcPr>
            <w:tcW w:w="2026" w:type="dxa"/>
            <w:vMerge/>
            <w:hideMark/>
          </w:tcPr>
          <w:p w14:paraId="025E5AA3" w14:textId="3FEA19D8" w:rsidR="007D1A08" w:rsidRPr="00EB4CA0" w:rsidRDefault="007D1A08"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c>
          <w:tcPr>
            <w:tcW w:w="3356" w:type="dxa"/>
            <w:vMerge/>
            <w:hideMark/>
          </w:tcPr>
          <w:p w14:paraId="78C7C8DF" w14:textId="1B71C53E" w:rsidR="007D1A08" w:rsidRPr="00EB4CA0" w:rsidRDefault="007D1A08"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r>
      <w:tr w:rsidR="00EB4CA0" w:rsidRPr="00EB4CA0" w14:paraId="7A91F05F"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4C8E2C" w14:textId="77777777" w:rsidR="007D1A08" w:rsidRPr="00EB4CA0" w:rsidRDefault="007D1A08" w:rsidP="00D43CE2">
            <w:pPr>
              <w:spacing w:before="240"/>
              <w:rPr>
                <w:rFonts w:ascii="Arial" w:hAnsi="Arial" w:cs="Arial"/>
                <w:sz w:val="24"/>
                <w:szCs w:val="24"/>
                <w:lang w:val="en-US"/>
              </w:rPr>
            </w:pPr>
            <w:r w:rsidRPr="00EB4CA0">
              <w:rPr>
                <w:rFonts w:ascii="Arial" w:hAnsi="Arial" w:cs="Arial"/>
                <w:sz w:val="24"/>
                <w:szCs w:val="24"/>
                <w:lang w:val="en-US"/>
              </w:rPr>
              <w:t>Anxiety</w:t>
            </w:r>
          </w:p>
        </w:tc>
        <w:tc>
          <w:tcPr>
            <w:tcW w:w="2026" w:type="dxa"/>
            <w:vMerge/>
            <w:hideMark/>
          </w:tcPr>
          <w:p w14:paraId="15F70ECB" w14:textId="148ABE58" w:rsidR="007D1A08" w:rsidRPr="00EB4CA0" w:rsidRDefault="007D1A08"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c>
          <w:tcPr>
            <w:tcW w:w="3356" w:type="dxa"/>
            <w:vMerge/>
            <w:hideMark/>
          </w:tcPr>
          <w:p w14:paraId="41FF4F4C" w14:textId="13F1FB54" w:rsidR="007D1A08" w:rsidRPr="00EB4CA0" w:rsidRDefault="007D1A08"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r w:rsidR="00EB4CA0" w:rsidRPr="00EB4CA0" w14:paraId="60BD741B"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BF5D94" w14:textId="77777777" w:rsidR="00951AC6" w:rsidRPr="00EB4CA0" w:rsidRDefault="00951AC6" w:rsidP="00D43CE2">
            <w:pPr>
              <w:spacing w:before="240"/>
              <w:rPr>
                <w:rFonts w:ascii="Arial" w:hAnsi="Arial" w:cs="Arial"/>
                <w:sz w:val="24"/>
                <w:szCs w:val="24"/>
                <w:lang w:val="en-US"/>
              </w:rPr>
            </w:pPr>
            <w:r w:rsidRPr="00EB4CA0">
              <w:rPr>
                <w:rFonts w:ascii="Arial" w:hAnsi="Arial" w:cs="Arial"/>
                <w:sz w:val="24"/>
                <w:szCs w:val="24"/>
                <w:lang w:val="en-US"/>
              </w:rPr>
              <w:t>Emotional wellbeing</w:t>
            </w:r>
          </w:p>
        </w:tc>
        <w:tc>
          <w:tcPr>
            <w:tcW w:w="2026" w:type="dxa"/>
            <w:vMerge w:val="restart"/>
            <w:hideMark/>
          </w:tcPr>
          <w:p w14:paraId="4B58EFED" w14:textId="369354EC"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p w14:paraId="2DF92925" w14:textId="77777777"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r w:rsidRPr="00EB4CA0">
              <w:rPr>
                <w:rFonts w:ascii="Segoe UI Emoji" w:hAnsi="Segoe UI Emoji" w:cs="Segoe UI Emoji"/>
                <w:b/>
                <w:bCs/>
                <w:sz w:val="24"/>
                <w:szCs w:val="24"/>
                <w:lang w:val="en-US"/>
              </w:rPr>
              <w:t>🟢</w:t>
            </w:r>
            <w:r w:rsidRPr="00EB4CA0">
              <w:rPr>
                <w:rFonts w:ascii="Arial" w:hAnsi="Arial" w:cs="Arial"/>
                <w:b/>
                <w:bCs/>
                <w:sz w:val="24"/>
                <w:szCs w:val="24"/>
                <w:lang w:val="en-US"/>
              </w:rPr>
              <w:t xml:space="preserve"> Green</w:t>
            </w:r>
          </w:p>
          <w:p w14:paraId="0775D45B" w14:textId="29161B34"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c>
          <w:tcPr>
            <w:tcW w:w="3356" w:type="dxa"/>
            <w:vMerge w:val="restart"/>
            <w:hideMark/>
          </w:tcPr>
          <w:p w14:paraId="4E605583" w14:textId="3946B8F7"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r>
      <w:tr w:rsidR="00EB4CA0" w:rsidRPr="00EB4CA0" w14:paraId="0E66DF1C"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1C10C4" w14:textId="77777777" w:rsidR="00951AC6" w:rsidRPr="00EB4CA0" w:rsidRDefault="00951AC6" w:rsidP="00D43CE2">
            <w:pPr>
              <w:spacing w:before="240"/>
              <w:rPr>
                <w:rFonts w:ascii="Arial" w:hAnsi="Arial" w:cs="Arial"/>
                <w:sz w:val="24"/>
                <w:szCs w:val="24"/>
                <w:lang w:val="en-US"/>
              </w:rPr>
            </w:pPr>
            <w:r w:rsidRPr="00EB4CA0">
              <w:rPr>
                <w:rFonts w:ascii="Arial" w:hAnsi="Arial" w:cs="Arial"/>
                <w:sz w:val="24"/>
                <w:szCs w:val="24"/>
                <w:lang w:val="en-US"/>
              </w:rPr>
              <w:t>Family involvement</w:t>
            </w:r>
          </w:p>
        </w:tc>
        <w:tc>
          <w:tcPr>
            <w:tcW w:w="2026" w:type="dxa"/>
            <w:vMerge/>
            <w:hideMark/>
          </w:tcPr>
          <w:p w14:paraId="52BC0AB1" w14:textId="2309D5B9" w:rsidR="00951AC6" w:rsidRPr="00EB4CA0" w:rsidRDefault="00951AC6"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c>
          <w:tcPr>
            <w:tcW w:w="3356" w:type="dxa"/>
            <w:vMerge/>
            <w:hideMark/>
          </w:tcPr>
          <w:p w14:paraId="12F2F9D3" w14:textId="0025AACD" w:rsidR="00951AC6" w:rsidRPr="00EB4CA0" w:rsidRDefault="00951AC6"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r w:rsidR="00EB4CA0" w:rsidRPr="00EB4CA0" w14:paraId="12085DB9"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89E547" w14:textId="77777777" w:rsidR="00951AC6" w:rsidRPr="00EB4CA0" w:rsidRDefault="00951AC6" w:rsidP="00D43CE2">
            <w:pPr>
              <w:spacing w:before="240"/>
              <w:rPr>
                <w:rFonts w:ascii="Arial" w:hAnsi="Arial" w:cs="Arial"/>
                <w:sz w:val="24"/>
                <w:szCs w:val="24"/>
                <w:lang w:val="en-US"/>
              </w:rPr>
            </w:pPr>
            <w:r w:rsidRPr="00EB4CA0">
              <w:rPr>
                <w:rFonts w:ascii="Arial" w:hAnsi="Arial" w:cs="Arial"/>
                <w:sz w:val="24"/>
                <w:szCs w:val="24"/>
                <w:lang w:val="en-US"/>
              </w:rPr>
              <w:t>Caregiver support</w:t>
            </w:r>
          </w:p>
        </w:tc>
        <w:tc>
          <w:tcPr>
            <w:tcW w:w="2026" w:type="dxa"/>
            <w:vMerge/>
            <w:hideMark/>
          </w:tcPr>
          <w:p w14:paraId="142D9FCD" w14:textId="38C8C4EB"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c>
          <w:tcPr>
            <w:tcW w:w="3356" w:type="dxa"/>
            <w:vMerge/>
            <w:hideMark/>
          </w:tcPr>
          <w:p w14:paraId="35582822" w14:textId="5744A974" w:rsidR="00951AC6" w:rsidRPr="00EB4CA0" w:rsidRDefault="00951AC6"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r>
      <w:tr w:rsidR="00EB4CA0" w:rsidRPr="00EB4CA0" w14:paraId="624A177B"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002C9D" w14:textId="77777777" w:rsidR="000E7085" w:rsidRPr="00EB4CA0" w:rsidRDefault="000E7085" w:rsidP="00D43CE2">
            <w:pPr>
              <w:spacing w:before="240"/>
              <w:rPr>
                <w:rFonts w:ascii="Arial" w:hAnsi="Arial" w:cs="Arial"/>
                <w:sz w:val="24"/>
                <w:szCs w:val="24"/>
                <w:lang w:val="en-US"/>
              </w:rPr>
            </w:pPr>
            <w:r w:rsidRPr="00EB4CA0">
              <w:rPr>
                <w:rFonts w:ascii="Arial" w:hAnsi="Arial" w:cs="Arial"/>
                <w:sz w:val="24"/>
                <w:szCs w:val="24"/>
                <w:lang w:val="en-US"/>
              </w:rPr>
              <w:t>Workforce shortages</w:t>
            </w:r>
          </w:p>
        </w:tc>
        <w:tc>
          <w:tcPr>
            <w:tcW w:w="2026" w:type="dxa"/>
            <w:vMerge w:val="restart"/>
            <w:hideMark/>
          </w:tcPr>
          <w:p w14:paraId="2FBC7BE5" w14:textId="77777777" w:rsidR="000E7085" w:rsidRPr="00EB4CA0" w:rsidRDefault="000E7085"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EB4CA0">
              <w:rPr>
                <w:rFonts w:ascii="Segoe UI Emoji" w:hAnsi="Segoe UI Emoji" w:cs="Segoe UI Emoji"/>
                <w:b/>
                <w:bCs/>
                <w:sz w:val="24"/>
                <w:szCs w:val="24"/>
                <w:lang w:val="en-US"/>
              </w:rPr>
              <w:t>🟡</w:t>
            </w:r>
            <w:r w:rsidRPr="00EB4CA0">
              <w:rPr>
                <w:rFonts w:ascii="Arial" w:hAnsi="Arial" w:cs="Arial"/>
                <w:b/>
                <w:bCs/>
                <w:sz w:val="24"/>
                <w:szCs w:val="24"/>
                <w:lang w:val="en-US"/>
              </w:rPr>
              <w:t xml:space="preserve"> Yellow</w:t>
            </w:r>
          </w:p>
        </w:tc>
        <w:tc>
          <w:tcPr>
            <w:tcW w:w="3356" w:type="dxa"/>
            <w:vMerge w:val="restart"/>
            <w:hideMark/>
          </w:tcPr>
          <w:p w14:paraId="6CE9D981" w14:textId="77777777" w:rsidR="000E7085" w:rsidRPr="00EB4CA0" w:rsidRDefault="000E7085"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EB4CA0">
              <w:rPr>
                <w:rFonts w:ascii="Arial" w:hAnsi="Arial" w:cs="Arial"/>
                <w:b/>
                <w:bCs/>
                <w:sz w:val="24"/>
                <w:szCs w:val="24"/>
                <w:lang w:val="en-US"/>
              </w:rPr>
              <w:t>Theme 2: Barriers Affecting Social Support</w:t>
            </w:r>
          </w:p>
        </w:tc>
      </w:tr>
      <w:tr w:rsidR="00EB4CA0" w:rsidRPr="00EB4CA0" w14:paraId="2FE92A45"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73BFFF" w14:textId="77777777" w:rsidR="000E7085" w:rsidRPr="00EB4CA0" w:rsidRDefault="000E7085" w:rsidP="00D43CE2">
            <w:pPr>
              <w:spacing w:before="240"/>
              <w:rPr>
                <w:rFonts w:ascii="Arial" w:hAnsi="Arial" w:cs="Arial"/>
                <w:sz w:val="24"/>
                <w:szCs w:val="24"/>
                <w:lang w:val="en-US"/>
              </w:rPr>
            </w:pPr>
            <w:r w:rsidRPr="00EB4CA0">
              <w:rPr>
                <w:rFonts w:ascii="Arial" w:hAnsi="Arial" w:cs="Arial"/>
                <w:sz w:val="24"/>
                <w:szCs w:val="24"/>
                <w:lang w:val="en-US"/>
              </w:rPr>
              <w:t>Staff workload</w:t>
            </w:r>
          </w:p>
        </w:tc>
        <w:tc>
          <w:tcPr>
            <w:tcW w:w="2026" w:type="dxa"/>
            <w:vMerge/>
            <w:hideMark/>
          </w:tcPr>
          <w:p w14:paraId="26996C36" w14:textId="547577E8" w:rsidR="000E7085" w:rsidRPr="00EB4CA0" w:rsidRDefault="000E7085"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c>
          <w:tcPr>
            <w:tcW w:w="3356" w:type="dxa"/>
            <w:vMerge/>
            <w:hideMark/>
          </w:tcPr>
          <w:p w14:paraId="66D90D89" w14:textId="5CC1EB1D" w:rsidR="000E7085" w:rsidRPr="00EB4CA0" w:rsidRDefault="000E7085"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r>
      <w:tr w:rsidR="00EB4CA0" w:rsidRPr="00EB4CA0" w14:paraId="3227A041"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076951" w14:textId="77777777" w:rsidR="000E7085" w:rsidRPr="00EB4CA0" w:rsidRDefault="000E7085" w:rsidP="00D43CE2">
            <w:pPr>
              <w:spacing w:before="240"/>
              <w:rPr>
                <w:rFonts w:ascii="Arial" w:hAnsi="Arial" w:cs="Arial"/>
                <w:sz w:val="24"/>
                <w:szCs w:val="24"/>
                <w:lang w:val="en-US"/>
              </w:rPr>
            </w:pPr>
            <w:r w:rsidRPr="00EB4CA0">
              <w:rPr>
                <w:rFonts w:ascii="Arial" w:hAnsi="Arial" w:cs="Arial"/>
                <w:sz w:val="24"/>
                <w:szCs w:val="24"/>
                <w:lang w:val="en-US"/>
              </w:rPr>
              <w:t>Funding</w:t>
            </w:r>
          </w:p>
        </w:tc>
        <w:tc>
          <w:tcPr>
            <w:tcW w:w="2026" w:type="dxa"/>
            <w:vMerge/>
            <w:hideMark/>
          </w:tcPr>
          <w:p w14:paraId="7A601081" w14:textId="57F68E40" w:rsidR="000E7085" w:rsidRPr="00EB4CA0" w:rsidRDefault="000E7085"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c>
          <w:tcPr>
            <w:tcW w:w="3356" w:type="dxa"/>
            <w:vMerge/>
            <w:hideMark/>
          </w:tcPr>
          <w:p w14:paraId="52661B06" w14:textId="1665932D" w:rsidR="000E7085" w:rsidRPr="00EB4CA0" w:rsidRDefault="000E7085"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r w:rsidR="00EB4CA0" w:rsidRPr="00EB4CA0" w14:paraId="4CCC93A6"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3BA6BF" w14:textId="77777777" w:rsidR="000E7085" w:rsidRPr="00EB4CA0" w:rsidRDefault="000E7085" w:rsidP="00D43CE2">
            <w:pPr>
              <w:spacing w:before="240"/>
              <w:rPr>
                <w:rFonts w:ascii="Arial" w:hAnsi="Arial" w:cs="Arial"/>
                <w:sz w:val="24"/>
                <w:szCs w:val="24"/>
                <w:lang w:val="en-US"/>
              </w:rPr>
            </w:pPr>
            <w:r w:rsidRPr="00EB4CA0">
              <w:rPr>
                <w:rFonts w:ascii="Arial" w:hAnsi="Arial" w:cs="Arial"/>
                <w:sz w:val="24"/>
                <w:szCs w:val="24"/>
                <w:lang w:val="en-US"/>
              </w:rPr>
              <w:t>Institutional routines</w:t>
            </w:r>
          </w:p>
        </w:tc>
        <w:tc>
          <w:tcPr>
            <w:tcW w:w="2026" w:type="dxa"/>
            <w:vMerge/>
            <w:hideMark/>
          </w:tcPr>
          <w:p w14:paraId="4C78ABA7" w14:textId="26ACF97A" w:rsidR="000E7085" w:rsidRPr="00EB4CA0" w:rsidRDefault="000E7085"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c>
          <w:tcPr>
            <w:tcW w:w="3356" w:type="dxa"/>
            <w:vMerge/>
            <w:hideMark/>
          </w:tcPr>
          <w:p w14:paraId="4C5DFD55" w14:textId="47ED1425" w:rsidR="000E7085" w:rsidRPr="00EB4CA0" w:rsidRDefault="000E7085"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lang w:val="en-US"/>
              </w:rPr>
            </w:pPr>
          </w:p>
        </w:tc>
      </w:tr>
      <w:tr w:rsidR="00EB4CA0" w:rsidRPr="00EB4CA0" w14:paraId="10CB6413"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49251D" w14:textId="77777777" w:rsidR="005E29DE" w:rsidRPr="00EB4CA0" w:rsidRDefault="005E29DE" w:rsidP="00D43CE2">
            <w:pPr>
              <w:spacing w:before="240"/>
              <w:rPr>
                <w:rFonts w:ascii="Arial" w:hAnsi="Arial" w:cs="Arial"/>
                <w:sz w:val="24"/>
                <w:szCs w:val="24"/>
                <w:lang w:val="en-US"/>
              </w:rPr>
            </w:pPr>
            <w:r w:rsidRPr="00EB4CA0">
              <w:rPr>
                <w:rFonts w:ascii="Arial" w:hAnsi="Arial" w:cs="Arial"/>
                <w:sz w:val="24"/>
                <w:szCs w:val="24"/>
                <w:lang w:val="en-US"/>
              </w:rPr>
              <w:t>Person-centred care</w:t>
            </w:r>
          </w:p>
        </w:tc>
        <w:tc>
          <w:tcPr>
            <w:tcW w:w="2026" w:type="dxa"/>
            <w:vMerge w:val="restart"/>
            <w:hideMark/>
          </w:tcPr>
          <w:p w14:paraId="1421B343" w14:textId="77777777"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EB4CA0">
              <w:rPr>
                <w:rFonts w:ascii="Segoe UI Emoji" w:hAnsi="Segoe UI Emoji" w:cs="Segoe UI Emoji"/>
                <w:b/>
                <w:bCs/>
                <w:sz w:val="24"/>
                <w:szCs w:val="24"/>
                <w:lang w:val="en-US"/>
              </w:rPr>
              <w:t>🔵</w:t>
            </w:r>
            <w:r w:rsidRPr="00EB4CA0">
              <w:rPr>
                <w:rFonts w:ascii="Arial" w:hAnsi="Arial" w:cs="Arial"/>
                <w:b/>
                <w:bCs/>
                <w:sz w:val="24"/>
                <w:szCs w:val="24"/>
                <w:lang w:val="en-US"/>
              </w:rPr>
              <w:t xml:space="preserve"> Blue</w:t>
            </w:r>
          </w:p>
        </w:tc>
        <w:tc>
          <w:tcPr>
            <w:tcW w:w="3356" w:type="dxa"/>
            <w:vMerge w:val="restart"/>
            <w:hideMark/>
          </w:tcPr>
          <w:p w14:paraId="6BE6D021" w14:textId="77777777"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EB4CA0">
              <w:rPr>
                <w:rFonts w:ascii="Arial" w:hAnsi="Arial" w:cs="Arial"/>
                <w:b/>
                <w:bCs/>
                <w:sz w:val="24"/>
                <w:szCs w:val="24"/>
                <w:lang w:val="en-US"/>
              </w:rPr>
              <w:t>Theme 3: Strategies and Interventions</w:t>
            </w:r>
          </w:p>
        </w:tc>
      </w:tr>
      <w:tr w:rsidR="00EB4CA0" w:rsidRPr="00EB4CA0" w14:paraId="49356D91"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CAD789" w14:textId="77777777" w:rsidR="005E29DE" w:rsidRPr="00EB4CA0" w:rsidRDefault="005E29DE" w:rsidP="00D43CE2">
            <w:pPr>
              <w:spacing w:before="240"/>
              <w:rPr>
                <w:rFonts w:ascii="Arial" w:hAnsi="Arial" w:cs="Arial"/>
                <w:sz w:val="24"/>
                <w:szCs w:val="24"/>
                <w:lang w:val="en-US"/>
              </w:rPr>
            </w:pPr>
            <w:r w:rsidRPr="00EB4CA0">
              <w:rPr>
                <w:rFonts w:ascii="Arial" w:hAnsi="Arial" w:cs="Arial"/>
                <w:sz w:val="24"/>
                <w:szCs w:val="24"/>
                <w:lang w:val="en-US"/>
              </w:rPr>
              <w:t>Social prescribing</w:t>
            </w:r>
          </w:p>
        </w:tc>
        <w:tc>
          <w:tcPr>
            <w:tcW w:w="2026" w:type="dxa"/>
            <w:vMerge/>
            <w:hideMark/>
          </w:tcPr>
          <w:p w14:paraId="31BB8A2C" w14:textId="173E3774" w:rsidR="005E29DE" w:rsidRPr="00EB4CA0" w:rsidRDefault="005E29DE"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3356" w:type="dxa"/>
            <w:vMerge/>
            <w:hideMark/>
          </w:tcPr>
          <w:p w14:paraId="02B086F1" w14:textId="59F3354C" w:rsidR="005E29DE" w:rsidRPr="00EB4CA0" w:rsidRDefault="005E29DE"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EB4CA0" w:rsidRPr="00EB4CA0" w14:paraId="2D89CBDF"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B93F5A" w14:textId="77777777" w:rsidR="005E29DE" w:rsidRPr="00EB4CA0" w:rsidRDefault="005E29DE" w:rsidP="00D43CE2">
            <w:pPr>
              <w:spacing w:before="240"/>
              <w:rPr>
                <w:rFonts w:ascii="Arial" w:hAnsi="Arial" w:cs="Arial"/>
                <w:sz w:val="24"/>
                <w:szCs w:val="24"/>
                <w:lang w:val="en-US"/>
              </w:rPr>
            </w:pPr>
            <w:r w:rsidRPr="00EB4CA0">
              <w:rPr>
                <w:rFonts w:ascii="Arial" w:hAnsi="Arial" w:cs="Arial"/>
                <w:sz w:val="24"/>
                <w:szCs w:val="24"/>
                <w:lang w:val="en-US"/>
              </w:rPr>
              <w:t>Music therapy</w:t>
            </w:r>
          </w:p>
        </w:tc>
        <w:tc>
          <w:tcPr>
            <w:tcW w:w="2026" w:type="dxa"/>
            <w:vMerge/>
            <w:hideMark/>
          </w:tcPr>
          <w:p w14:paraId="5AC02AD9" w14:textId="3ED0837A"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3356" w:type="dxa"/>
            <w:vMerge/>
            <w:hideMark/>
          </w:tcPr>
          <w:p w14:paraId="1938A7CB" w14:textId="74A4A881"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EB4CA0" w:rsidRPr="00EB4CA0" w14:paraId="0BA1D85B" w14:textId="77777777" w:rsidTr="00A26F6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5EFB89" w14:textId="77777777" w:rsidR="005E29DE" w:rsidRPr="00EB4CA0" w:rsidRDefault="005E29DE" w:rsidP="00D43CE2">
            <w:pPr>
              <w:spacing w:before="240"/>
              <w:rPr>
                <w:rFonts w:ascii="Arial" w:hAnsi="Arial" w:cs="Arial"/>
                <w:sz w:val="24"/>
                <w:szCs w:val="24"/>
                <w:lang w:val="en-US"/>
              </w:rPr>
            </w:pPr>
            <w:r w:rsidRPr="00EB4CA0">
              <w:rPr>
                <w:rFonts w:ascii="Arial" w:hAnsi="Arial" w:cs="Arial"/>
                <w:sz w:val="24"/>
                <w:szCs w:val="24"/>
                <w:lang w:val="en-US"/>
              </w:rPr>
              <w:t>Befriending programmes</w:t>
            </w:r>
          </w:p>
        </w:tc>
        <w:tc>
          <w:tcPr>
            <w:tcW w:w="2026" w:type="dxa"/>
            <w:vMerge/>
            <w:hideMark/>
          </w:tcPr>
          <w:p w14:paraId="48E48239" w14:textId="17F2205E" w:rsidR="005E29DE" w:rsidRPr="00EB4CA0" w:rsidRDefault="005E29DE"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3356" w:type="dxa"/>
            <w:vMerge/>
            <w:hideMark/>
          </w:tcPr>
          <w:p w14:paraId="01649B2E" w14:textId="60BF66E5" w:rsidR="005E29DE" w:rsidRPr="00EB4CA0" w:rsidRDefault="005E29DE" w:rsidP="00D43CE2">
            <w:pPr>
              <w:spacing w:before="240"/>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EB4CA0" w:rsidRPr="00EB4CA0" w14:paraId="4059B7FA" w14:textId="77777777" w:rsidTr="00A26F6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AF5C7B7" w14:textId="77777777" w:rsidR="005E29DE" w:rsidRPr="00EB4CA0" w:rsidRDefault="005E29DE" w:rsidP="00D43CE2">
            <w:pPr>
              <w:spacing w:before="240"/>
              <w:rPr>
                <w:rFonts w:ascii="Arial" w:hAnsi="Arial" w:cs="Arial"/>
                <w:sz w:val="24"/>
                <w:szCs w:val="24"/>
                <w:lang w:val="en-US"/>
              </w:rPr>
            </w:pPr>
            <w:r w:rsidRPr="00EB4CA0">
              <w:rPr>
                <w:rFonts w:ascii="Arial" w:hAnsi="Arial" w:cs="Arial"/>
                <w:sz w:val="24"/>
                <w:szCs w:val="24"/>
                <w:lang w:val="en-US"/>
              </w:rPr>
              <w:t>Technology-assisted communication</w:t>
            </w:r>
          </w:p>
        </w:tc>
        <w:tc>
          <w:tcPr>
            <w:tcW w:w="2026" w:type="dxa"/>
            <w:vMerge/>
            <w:hideMark/>
          </w:tcPr>
          <w:p w14:paraId="21FBA6B7" w14:textId="45AE326F"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3356" w:type="dxa"/>
            <w:vMerge/>
            <w:hideMark/>
          </w:tcPr>
          <w:p w14:paraId="4E377393" w14:textId="38E0E0F9" w:rsidR="005E29DE" w:rsidRPr="00EB4CA0" w:rsidRDefault="005E29DE" w:rsidP="00D43CE2">
            <w:pPr>
              <w:spacing w:before="240"/>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392F8EEC" w14:textId="77075D9C" w:rsidR="00B067A5" w:rsidRPr="00EB4CA0" w:rsidRDefault="007F77F0" w:rsidP="00021BA2">
      <w:pPr>
        <w:pStyle w:val="Caption"/>
        <w:spacing w:before="240" w:line="360" w:lineRule="auto"/>
        <w:jc w:val="center"/>
        <w:rPr>
          <w:rFonts w:ascii="Arial" w:hAnsi="Arial" w:cs="Arial"/>
          <w:b/>
          <w:bCs/>
          <w:i w:val="0"/>
          <w:iCs w:val="0"/>
          <w:color w:val="auto"/>
          <w:sz w:val="24"/>
          <w:szCs w:val="24"/>
        </w:rPr>
      </w:pPr>
      <w:bookmarkStart w:id="51" w:name="_Toc234701036"/>
      <w:bookmarkStart w:id="52" w:name="_Toc234931997"/>
      <w:r w:rsidRPr="00EB4CA0">
        <w:rPr>
          <w:rFonts w:ascii="Arial" w:hAnsi="Arial" w:cs="Arial"/>
          <w:b/>
          <w:bCs/>
          <w:i w:val="0"/>
          <w:iCs w:val="0"/>
          <w:color w:val="auto"/>
          <w:sz w:val="24"/>
          <w:szCs w:val="24"/>
        </w:rPr>
        <w:t xml:space="preserve">Table </w:t>
      </w:r>
      <w:r w:rsidRPr="00EB4CA0">
        <w:rPr>
          <w:rFonts w:ascii="Arial" w:hAnsi="Arial" w:cs="Arial"/>
          <w:b/>
          <w:bCs/>
          <w:i w:val="0"/>
          <w:iCs w:val="0"/>
          <w:color w:val="auto"/>
          <w:sz w:val="24"/>
          <w:szCs w:val="24"/>
        </w:rPr>
        <w:fldChar w:fldCharType="begin"/>
      </w:r>
      <w:r w:rsidRPr="00EB4CA0">
        <w:rPr>
          <w:rFonts w:ascii="Arial" w:hAnsi="Arial" w:cs="Arial"/>
          <w:b/>
          <w:bCs/>
          <w:i w:val="0"/>
          <w:iCs w:val="0"/>
          <w:color w:val="auto"/>
          <w:sz w:val="24"/>
          <w:szCs w:val="24"/>
        </w:rPr>
        <w:instrText xml:space="preserve"> SEQ Table \* ARABIC </w:instrText>
      </w:r>
      <w:r w:rsidRPr="00EB4CA0">
        <w:rPr>
          <w:rFonts w:ascii="Arial" w:hAnsi="Arial" w:cs="Arial"/>
          <w:b/>
          <w:bCs/>
          <w:i w:val="0"/>
          <w:iCs w:val="0"/>
          <w:color w:val="auto"/>
          <w:sz w:val="24"/>
          <w:szCs w:val="24"/>
        </w:rPr>
        <w:fldChar w:fldCharType="separate"/>
      </w:r>
      <w:r w:rsidR="00FD6D48" w:rsidRPr="00EB4CA0">
        <w:rPr>
          <w:rFonts w:ascii="Arial" w:hAnsi="Arial" w:cs="Arial"/>
          <w:b/>
          <w:bCs/>
          <w:i w:val="0"/>
          <w:iCs w:val="0"/>
          <w:noProof/>
          <w:color w:val="auto"/>
          <w:sz w:val="24"/>
          <w:szCs w:val="24"/>
        </w:rPr>
        <w:t>3</w:t>
      </w:r>
      <w:r w:rsidRPr="00EB4CA0">
        <w:rPr>
          <w:rFonts w:ascii="Arial" w:hAnsi="Arial" w:cs="Arial"/>
          <w:b/>
          <w:bCs/>
          <w:i w:val="0"/>
          <w:iCs w:val="0"/>
          <w:color w:val="auto"/>
          <w:sz w:val="24"/>
          <w:szCs w:val="24"/>
        </w:rPr>
        <w:fldChar w:fldCharType="end"/>
      </w:r>
      <w:r w:rsidRPr="00EB4CA0">
        <w:rPr>
          <w:rFonts w:ascii="Arial" w:hAnsi="Arial" w:cs="Arial"/>
          <w:b/>
          <w:bCs/>
          <w:i w:val="0"/>
          <w:iCs w:val="0"/>
          <w:color w:val="auto"/>
          <w:sz w:val="24"/>
          <w:szCs w:val="24"/>
        </w:rPr>
        <w:t xml:space="preserve"> Thematic Coding Matrix</w:t>
      </w:r>
      <w:bookmarkEnd w:id="51"/>
      <w:bookmarkEnd w:id="52"/>
    </w:p>
    <w:p w14:paraId="3E5FBE47" w14:textId="0E029ABA" w:rsidR="00E15DFC" w:rsidRPr="00EB4CA0" w:rsidRDefault="007F77F0" w:rsidP="002D0CC5">
      <w:pPr>
        <w:pStyle w:val="Caption"/>
        <w:spacing w:before="240" w:line="360" w:lineRule="auto"/>
        <w:jc w:val="center"/>
        <w:rPr>
          <w:rFonts w:ascii="Arial" w:hAnsi="Arial" w:cs="Arial"/>
          <w:b/>
          <w:bCs/>
          <w:i w:val="0"/>
          <w:iCs w:val="0"/>
          <w:color w:val="auto"/>
          <w:sz w:val="24"/>
          <w:szCs w:val="24"/>
        </w:rPr>
      </w:pPr>
      <w:r w:rsidRPr="00EB4CA0">
        <w:rPr>
          <w:rFonts w:ascii="Arial" w:hAnsi="Arial" w:cs="Arial"/>
          <w:b/>
          <w:bCs/>
          <w:i w:val="0"/>
          <w:iCs w:val="0"/>
          <w:color w:val="auto"/>
          <w:sz w:val="24"/>
          <w:szCs w:val="24"/>
        </w:rPr>
        <w:t>Source: Author</w:t>
      </w:r>
    </w:p>
    <w:p w14:paraId="586CCE8D" w14:textId="32952C37" w:rsidR="008D0CCD" w:rsidRPr="00EB4CA0" w:rsidRDefault="008D0CCD" w:rsidP="008D0CCD">
      <w:pPr>
        <w:rPr>
          <w:rFonts w:ascii="Arial" w:hAnsi="Arial" w:cs="Arial"/>
          <w:b/>
          <w:bCs/>
        </w:rPr>
      </w:pPr>
      <w:r w:rsidRPr="00EB4CA0">
        <w:rPr>
          <w:rFonts w:ascii="Arial" w:hAnsi="Arial" w:cs="Arial"/>
          <w:b/>
          <w:bCs/>
        </w:rPr>
        <w:t>Appendix 4: Literature Tracking Table</w:t>
      </w:r>
    </w:p>
    <w:tbl>
      <w:tblPr>
        <w:tblStyle w:val="GridTable2-Accent3"/>
        <w:tblW w:w="9810" w:type="dxa"/>
        <w:jc w:val="center"/>
        <w:tblLook w:val="04A0" w:firstRow="1" w:lastRow="0" w:firstColumn="1" w:lastColumn="0" w:noHBand="0" w:noVBand="1"/>
      </w:tblPr>
      <w:tblGrid>
        <w:gridCol w:w="1672"/>
        <w:gridCol w:w="1426"/>
        <w:gridCol w:w="1512"/>
        <w:gridCol w:w="1684"/>
        <w:gridCol w:w="2050"/>
        <w:gridCol w:w="1466"/>
      </w:tblGrid>
      <w:tr w:rsidR="00EB4CA0" w:rsidRPr="00EB4CA0" w14:paraId="43F02D2C" w14:textId="77777777" w:rsidTr="0032642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8DA347" w14:textId="77777777" w:rsidR="001C1A55" w:rsidRPr="00343875" w:rsidRDefault="001C1A55" w:rsidP="00C621B9">
            <w:pPr>
              <w:spacing w:after="160"/>
              <w:rPr>
                <w:rFonts w:ascii="Arial" w:hAnsi="Arial" w:cs="Arial"/>
                <w:lang w:val="en-US"/>
              </w:rPr>
            </w:pPr>
            <w:r w:rsidRPr="00343875">
              <w:rPr>
                <w:rFonts w:ascii="Arial" w:hAnsi="Arial" w:cs="Arial"/>
                <w:lang w:val="en-US"/>
              </w:rPr>
              <w:t>Database</w:t>
            </w:r>
          </w:p>
        </w:tc>
        <w:tc>
          <w:tcPr>
            <w:tcW w:w="0" w:type="auto"/>
            <w:hideMark/>
          </w:tcPr>
          <w:p w14:paraId="2ABDB53C" w14:textId="77777777" w:rsidR="001C1A55" w:rsidRPr="00343875" w:rsidRDefault="001C1A55" w:rsidP="00C621B9">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43875">
              <w:rPr>
                <w:rFonts w:ascii="Arial" w:hAnsi="Arial" w:cs="Arial"/>
                <w:lang w:val="en-US"/>
              </w:rPr>
              <w:t>Author (Year)</w:t>
            </w:r>
          </w:p>
        </w:tc>
        <w:tc>
          <w:tcPr>
            <w:tcW w:w="0" w:type="auto"/>
            <w:hideMark/>
          </w:tcPr>
          <w:p w14:paraId="4ADE7B7D" w14:textId="77777777" w:rsidR="001C1A55" w:rsidRPr="00343875" w:rsidRDefault="001C1A55" w:rsidP="00C621B9">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43875">
              <w:rPr>
                <w:rFonts w:ascii="Arial" w:hAnsi="Arial" w:cs="Arial"/>
                <w:lang w:val="en-US"/>
              </w:rPr>
              <w:t>Publication</w:t>
            </w:r>
          </w:p>
        </w:tc>
        <w:tc>
          <w:tcPr>
            <w:tcW w:w="0" w:type="auto"/>
            <w:hideMark/>
          </w:tcPr>
          <w:p w14:paraId="54344932" w14:textId="77777777" w:rsidR="001C1A55" w:rsidRPr="00343875" w:rsidRDefault="001C1A55" w:rsidP="00C621B9">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43875">
              <w:rPr>
                <w:rFonts w:ascii="Arial" w:hAnsi="Arial" w:cs="Arial"/>
                <w:lang w:val="en-US"/>
              </w:rPr>
              <w:t>Study Design</w:t>
            </w:r>
          </w:p>
        </w:tc>
        <w:tc>
          <w:tcPr>
            <w:tcW w:w="2176" w:type="dxa"/>
            <w:hideMark/>
          </w:tcPr>
          <w:p w14:paraId="74E8D462" w14:textId="77777777" w:rsidR="001C1A55" w:rsidRPr="00343875" w:rsidRDefault="001C1A55" w:rsidP="00C621B9">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43875">
              <w:rPr>
                <w:rFonts w:ascii="Arial" w:hAnsi="Arial" w:cs="Arial"/>
                <w:lang w:val="en-US"/>
              </w:rPr>
              <w:t>Key Findings</w:t>
            </w:r>
          </w:p>
        </w:tc>
        <w:tc>
          <w:tcPr>
            <w:tcW w:w="1530" w:type="dxa"/>
            <w:hideMark/>
          </w:tcPr>
          <w:p w14:paraId="2328AFE9" w14:textId="77777777" w:rsidR="001C1A55" w:rsidRPr="00343875" w:rsidRDefault="001C1A55" w:rsidP="00C621B9">
            <w:pPr>
              <w:spacing w:after="16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43875">
              <w:rPr>
                <w:rFonts w:ascii="Arial" w:hAnsi="Arial" w:cs="Arial"/>
                <w:lang w:val="en-US"/>
              </w:rPr>
              <w:t>Research Objective</w:t>
            </w:r>
          </w:p>
        </w:tc>
      </w:tr>
      <w:tr w:rsidR="00EB4CA0" w:rsidRPr="00EB4CA0" w14:paraId="62E23A6C" w14:textId="77777777" w:rsidTr="003264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01CE1E" w14:textId="77777777" w:rsidR="001C1A55" w:rsidRPr="00343875" w:rsidRDefault="001C1A55" w:rsidP="00C621B9">
            <w:pPr>
              <w:spacing w:after="160"/>
              <w:rPr>
                <w:rFonts w:ascii="Arial" w:hAnsi="Arial" w:cs="Arial"/>
                <w:lang w:val="en-US"/>
              </w:rPr>
            </w:pPr>
            <w:r w:rsidRPr="00343875">
              <w:rPr>
                <w:rFonts w:ascii="Arial" w:hAnsi="Arial" w:cs="Arial"/>
                <w:lang w:val="en-US"/>
              </w:rPr>
              <w:t>PubMed</w:t>
            </w:r>
          </w:p>
        </w:tc>
        <w:tc>
          <w:tcPr>
            <w:tcW w:w="0" w:type="auto"/>
            <w:hideMark/>
          </w:tcPr>
          <w:p w14:paraId="104D4CA3"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Underwood et al. (2013)</w:t>
            </w:r>
          </w:p>
        </w:tc>
        <w:tc>
          <w:tcPr>
            <w:tcW w:w="0" w:type="auto"/>
            <w:hideMark/>
          </w:tcPr>
          <w:p w14:paraId="0081C6E3"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0DB79263"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RCT</w:t>
            </w:r>
          </w:p>
        </w:tc>
        <w:tc>
          <w:tcPr>
            <w:tcW w:w="2176" w:type="dxa"/>
            <w:hideMark/>
          </w:tcPr>
          <w:p w14:paraId="5677A1FA"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Social activities reduced depression among care home residents.</w:t>
            </w:r>
          </w:p>
        </w:tc>
        <w:tc>
          <w:tcPr>
            <w:tcW w:w="1530" w:type="dxa"/>
            <w:hideMark/>
          </w:tcPr>
          <w:p w14:paraId="468DDA23"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Obj. 2</w:t>
            </w:r>
          </w:p>
        </w:tc>
      </w:tr>
      <w:tr w:rsidR="00EB4CA0" w:rsidRPr="00EB4CA0" w14:paraId="7F538D6F" w14:textId="77777777" w:rsidTr="003264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E83CB8" w14:textId="77777777" w:rsidR="001C1A55" w:rsidRPr="00343875" w:rsidRDefault="001C1A55" w:rsidP="00C621B9">
            <w:pPr>
              <w:spacing w:after="160"/>
              <w:rPr>
                <w:rFonts w:ascii="Arial" w:hAnsi="Arial" w:cs="Arial"/>
                <w:lang w:val="en-US"/>
              </w:rPr>
            </w:pPr>
            <w:r w:rsidRPr="00343875">
              <w:rPr>
                <w:rFonts w:ascii="Arial" w:hAnsi="Arial" w:cs="Arial"/>
                <w:lang w:val="en-US"/>
              </w:rPr>
              <w:t>PubMed</w:t>
            </w:r>
          </w:p>
        </w:tc>
        <w:tc>
          <w:tcPr>
            <w:tcW w:w="0" w:type="auto"/>
            <w:hideMark/>
          </w:tcPr>
          <w:p w14:paraId="376E1F82"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Smulowitz et al. (2023)</w:t>
            </w:r>
          </w:p>
        </w:tc>
        <w:tc>
          <w:tcPr>
            <w:tcW w:w="0" w:type="auto"/>
            <w:hideMark/>
          </w:tcPr>
          <w:p w14:paraId="16BB8EB4"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345E4604"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Observational</w:t>
            </w:r>
          </w:p>
        </w:tc>
        <w:tc>
          <w:tcPr>
            <w:tcW w:w="2176" w:type="dxa"/>
            <w:hideMark/>
          </w:tcPr>
          <w:p w14:paraId="1FB0CAE4"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Social support improved emotional wellbeing and cognition.</w:t>
            </w:r>
          </w:p>
        </w:tc>
        <w:tc>
          <w:tcPr>
            <w:tcW w:w="1530" w:type="dxa"/>
            <w:hideMark/>
          </w:tcPr>
          <w:p w14:paraId="5C645296"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Obj. 2</w:t>
            </w:r>
          </w:p>
        </w:tc>
      </w:tr>
      <w:tr w:rsidR="00EB4CA0" w:rsidRPr="00EB4CA0" w14:paraId="380C8A54" w14:textId="77777777" w:rsidTr="003264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65DE99" w14:textId="77777777" w:rsidR="001C1A55" w:rsidRPr="00343875" w:rsidRDefault="001C1A55" w:rsidP="00C621B9">
            <w:pPr>
              <w:spacing w:after="160"/>
              <w:rPr>
                <w:rFonts w:ascii="Arial" w:hAnsi="Arial" w:cs="Arial"/>
                <w:lang w:val="en-US"/>
              </w:rPr>
            </w:pPr>
            <w:r w:rsidRPr="00343875">
              <w:rPr>
                <w:rFonts w:ascii="Arial" w:hAnsi="Arial" w:cs="Arial"/>
                <w:lang w:val="en-US"/>
              </w:rPr>
              <w:t>ScienceDirect</w:t>
            </w:r>
          </w:p>
        </w:tc>
        <w:tc>
          <w:tcPr>
            <w:tcW w:w="0" w:type="auto"/>
            <w:hideMark/>
          </w:tcPr>
          <w:p w14:paraId="3619766A"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Zarzycki et al. (2023)</w:t>
            </w:r>
          </w:p>
        </w:tc>
        <w:tc>
          <w:tcPr>
            <w:tcW w:w="0" w:type="auto"/>
            <w:hideMark/>
          </w:tcPr>
          <w:p w14:paraId="09E08A64"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0629D58E"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Systematic Review</w:t>
            </w:r>
          </w:p>
        </w:tc>
        <w:tc>
          <w:tcPr>
            <w:tcW w:w="2176" w:type="dxa"/>
            <w:hideMark/>
          </w:tcPr>
          <w:p w14:paraId="0DF2570B"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Relationship quality influenced mental wellbeing.</w:t>
            </w:r>
          </w:p>
        </w:tc>
        <w:tc>
          <w:tcPr>
            <w:tcW w:w="1530" w:type="dxa"/>
            <w:hideMark/>
          </w:tcPr>
          <w:p w14:paraId="25020C27"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Obj. 2 &amp; 3</w:t>
            </w:r>
          </w:p>
        </w:tc>
      </w:tr>
      <w:tr w:rsidR="00EB4CA0" w:rsidRPr="00EB4CA0" w14:paraId="7CFAF824" w14:textId="77777777" w:rsidTr="003264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238A09" w14:textId="77777777" w:rsidR="001C1A55" w:rsidRPr="00343875" w:rsidRDefault="001C1A55" w:rsidP="00C621B9">
            <w:pPr>
              <w:spacing w:after="160"/>
              <w:rPr>
                <w:rFonts w:ascii="Arial" w:hAnsi="Arial" w:cs="Arial"/>
                <w:lang w:val="en-US"/>
              </w:rPr>
            </w:pPr>
            <w:r w:rsidRPr="00343875">
              <w:rPr>
                <w:rFonts w:ascii="Arial" w:hAnsi="Arial" w:cs="Arial"/>
                <w:lang w:val="en-US"/>
              </w:rPr>
              <w:t>Google Scholar</w:t>
            </w:r>
          </w:p>
        </w:tc>
        <w:tc>
          <w:tcPr>
            <w:tcW w:w="0" w:type="auto"/>
            <w:hideMark/>
          </w:tcPr>
          <w:p w14:paraId="72736D15"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Benzinger et al. (2023)</w:t>
            </w:r>
          </w:p>
        </w:tc>
        <w:tc>
          <w:tcPr>
            <w:tcW w:w="0" w:type="auto"/>
            <w:hideMark/>
          </w:tcPr>
          <w:p w14:paraId="512CBB75"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3C206905"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Literature Review</w:t>
            </w:r>
          </w:p>
        </w:tc>
        <w:tc>
          <w:tcPr>
            <w:tcW w:w="2176" w:type="dxa"/>
            <w:hideMark/>
          </w:tcPr>
          <w:p w14:paraId="4269C5C6"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COVID-19 restrictions increased loneliness and anxiety.</w:t>
            </w:r>
          </w:p>
        </w:tc>
        <w:tc>
          <w:tcPr>
            <w:tcW w:w="1530" w:type="dxa"/>
            <w:hideMark/>
          </w:tcPr>
          <w:p w14:paraId="6ED5186A"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Obj. 2 &amp; 3</w:t>
            </w:r>
          </w:p>
        </w:tc>
      </w:tr>
      <w:tr w:rsidR="00EB4CA0" w:rsidRPr="00EB4CA0" w14:paraId="43F54310" w14:textId="77777777" w:rsidTr="003264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0E79E9" w14:textId="77777777" w:rsidR="001C1A55" w:rsidRPr="00343875" w:rsidRDefault="001C1A55" w:rsidP="00C621B9">
            <w:pPr>
              <w:spacing w:after="160"/>
              <w:rPr>
                <w:rFonts w:ascii="Arial" w:hAnsi="Arial" w:cs="Arial"/>
                <w:lang w:val="en-US"/>
              </w:rPr>
            </w:pPr>
            <w:r w:rsidRPr="00343875">
              <w:rPr>
                <w:rFonts w:ascii="Arial" w:hAnsi="Arial" w:cs="Arial"/>
                <w:lang w:val="en-US"/>
              </w:rPr>
              <w:t>Google Scholar</w:t>
            </w:r>
          </w:p>
        </w:tc>
        <w:tc>
          <w:tcPr>
            <w:tcW w:w="0" w:type="auto"/>
            <w:hideMark/>
          </w:tcPr>
          <w:p w14:paraId="1D67B870"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Thompson et al. (2020)</w:t>
            </w:r>
          </w:p>
        </w:tc>
        <w:tc>
          <w:tcPr>
            <w:tcW w:w="0" w:type="auto"/>
            <w:hideMark/>
          </w:tcPr>
          <w:p w14:paraId="2F1B5D88"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47DFF0C4"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Review</w:t>
            </w:r>
          </w:p>
        </w:tc>
        <w:tc>
          <w:tcPr>
            <w:tcW w:w="2176" w:type="dxa"/>
            <w:hideMark/>
          </w:tcPr>
          <w:p w14:paraId="7524582E"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Social isolation negatively affected mental wellbeing.</w:t>
            </w:r>
          </w:p>
        </w:tc>
        <w:tc>
          <w:tcPr>
            <w:tcW w:w="1530" w:type="dxa"/>
            <w:hideMark/>
          </w:tcPr>
          <w:p w14:paraId="0E57D9C5"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Obj. 2</w:t>
            </w:r>
          </w:p>
        </w:tc>
      </w:tr>
      <w:tr w:rsidR="00EB4CA0" w:rsidRPr="00EB4CA0" w14:paraId="4BBE3708" w14:textId="77777777" w:rsidTr="003264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1A9D8C" w14:textId="77777777" w:rsidR="001C1A55" w:rsidRPr="00343875" w:rsidRDefault="001C1A55" w:rsidP="00C621B9">
            <w:pPr>
              <w:spacing w:after="160"/>
              <w:rPr>
                <w:rFonts w:ascii="Arial" w:hAnsi="Arial" w:cs="Arial"/>
                <w:lang w:val="en-US"/>
              </w:rPr>
            </w:pPr>
            <w:r w:rsidRPr="00343875">
              <w:rPr>
                <w:rFonts w:ascii="Arial" w:hAnsi="Arial" w:cs="Arial"/>
                <w:lang w:val="en-US"/>
              </w:rPr>
              <w:t>ScienceDirect</w:t>
            </w:r>
          </w:p>
        </w:tc>
        <w:tc>
          <w:tcPr>
            <w:tcW w:w="0" w:type="auto"/>
            <w:hideMark/>
          </w:tcPr>
          <w:p w14:paraId="1F1ACA72"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Rostgaard et al. (2022)</w:t>
            </w:r>
          </w:p>
        </w:tc>
        <w:tc>
          <w:tcPr>
            <w:tcW w:w="0" w:type="auto"/>
            <w:hideMark/>
          </w:tcPr>
          <w:p w14:paraId="61D52EEF"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4A767784"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Comparative Study</w:t>
            </w:r>
          </w:p>
        </w:tc>
        <w:tc>
          <w:tcPr>
            <w:tcW w:w="2176" w:type="dxa"/>
            <w:hideMark/>
          </w:tcPr>
          <w:p w14:paraId="3DD3E3FC"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Person-centred care improved quality of life.</w:t>
            </w:r>
          </w:p>
        </w:tc>
        <w:tc>
          <w:tcPr>
            <w:tcW w:w="1530" w:type="dxa"/>
            <w:hideMark/>
          </w:tcPr>
          <w:p w14:paraId="04DE1D02"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Obj. 3 &amp; 4</w:t>
            </w:r>
          </w:p>
        </w:tc>
      </w:tr>
      <w:tr w:rsidR="00EB4CA0" w:rsidRPr="00EB4CA0" w14:paraId="2ED9C3B9" w14:textId="77777777" w:rsidTr="003264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5200DA" w14:textId="77777777" w:rsidR="001C1A55" w:rsidRPr="00343875" w:rsidRDefault="001C1A55" w:rsidP="00C621B9">
            <w:pPr>
              <w:spacing w:after="160"/>
              <w:rPr>
                <w:rFonts w:ascii="Arial" w:hAnsi="Arial" w:cs="Arial"/>
                <w:lang w:val="en-US"/>
              </w:rPr>
            </w:pPr>
            <w:r w:rsidRPr="00343875">
              <w:rPr>
                <w:rFonts w:ascii="Arial" w:hAnsi="Arial" w:cs="Arial"/>
                <w:lang w:val="en-US"/>
              </w:rPr>
              <w:t>Google Scholar</w:t>
            </w:r>
          </w:p>
        </w:tc>
        <w:tc>
          <w:tcPr>
            <w:tcW w:w="0" w:type="auto"/>
            <w:hideMark/>
          </w:tcPr>
          <w:p w14:paraId="73F787F4"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Liebmann et al. (2022)</w:t>
            </w:r>
          </w:p>
        </w:tc>
        <w:tc>
          <w:tcPr>
            <w:tcW w:w="0" w:type="auto"/>
            <w:hideMark/>
          </w:tcPr>
          <w:p w14:paraId="7A2796E5"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Peer-reviewed Journal</w:t>
            </w:r>
          </w:p>
        </w:tc>
        <w:tc>
          <w:tcPr>
            <w:tcW w:w="0" w:type="auto"/>
            <w:hideMark/>
          </w:tcPr>
          <w:p w14:paraId="5BD4C7C0"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Systematic Review</w:t>
            </w:r>
          </w:p>
        </w:tc>
        <w:tc>
          <w:tcPr>
            <w:tcW w:w="2176" w:type="dxa"/>
            <w:hideMark/>
          </w:tcPr>
          <w:p w14:paraId="0CFFF4A2"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Social prescribing reduced loneliness.</w:t>
            </w:r>
          </w:p>
        </w:tc>
        <w:tc>
          <w:tcPr>
            <w:tcW w:w="1530" w:type="dxa"/>
            <w:hideMark/>
          </w:tcPr>
          <w:p w14:paraId="5258A332"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Obj. 4</w:t>
            </w:r>
          </w:p>
        </w:tc>
      </w:tr>
      <w:tr w:rsidR="00EB4CA0" w:rsidRPr="00EB4CA0" w14:paraId="62680EF1" w14:textId="77777777" w:rsidTr="003264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36506B" w14:textId="77777777" w:rsidR="001C1A55" w:rsidRPr="00343875" w:rsidRDefault="001C1A55" w:rsidP="00C621B9">
            <w:pPr>
              <w:spacing w:after="160"/>
              <w:rPr>
                <w:rFonts w:ascii="Arial" w:hAnsi="Arial" w:cs="Arial"/>
                <w:lang w:val="en-US"/>
              </w:rPr>
            </w:pPr>
            <w:r w:rsidRPr="00343875">
              <w:rPr>
                <w:rFonts w:ascii="Arial" w:hAnsi="Arial" w:cs="Arial"/>
                <w:lang w:val="en-US"/>
              </w:rPr>
              <w:t>Google Scholar</w:t>
            </w:r>
          </w:p>
        </w:tc>
        <w:tc>
          <w:tcPr>
            <w:tcW w:w="0" w:type="auto"/>
            <w:hideMark/>
          </w:tcPr>
          <w:p w14:paraId="05B80C44"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07475B">
              <w:rPr>
                <w:rFonts w:ascii="Arial" w:hAnsi="Arial" w:cs="Arial"/>
                <w:b/>
                <w:bCs/>
                <w:lang w:val="nl-NL"/>
              </w:rPr>
              <w:t xml:space="preserve">van der Steen et al. </w:t>
            </w:r>
            <w:r w:rsidRPr="00343875">
              <w:rPr>
                <w:rFonts w:ascii="Arial" w:hAnsi="Arial" w:cs="Arial"/>
                <w:b/>
                <w:bCs/>
                <w:lang w:val="en-US"/>
              </w:rPr>
              <w:t>(2025)</w:t>
            </w:r>
          </w:p>
        </w:tc>
        <w:tc>
          <w:tcPr>
            <w:tcW w:w="0" w:type="auto"/>
            <w:hideMark/>
          </w:tcPr>
          <w:p w14:paraId="00BB35B1"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Cochrane Review</w:t>
            </w:r>
          </w:p>
        </w:tc>
        <w:tc>
          <w:tcPr>
            <w:tcW w:w="0" w:type="auto"/>
            <w:hideMark/>
          </w:tcPr>
          <w:p w14:paraId="2907887D"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Systematic Review</w:t>
            </w:r>
          </w:p>
        </w:tc>
        <w:tc>
          <w:tcPr>
            <w:tcW w:w="2176" w:type="dxa"/>
            <w:hideMark/>
          </w:tcPr>
          <w:p w14:paraId="210BFE4D"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Music therapy improved emotional wellbeing.</w:t>
            </w:r>
          </w:p>
        </w:tc>
        <w:tc>
          <w:tcPr>
            <w:tcW w:w="1530" w:type="dxa"/>
            <w:hideMark/>
          </w:tcPr>
          <w:p w14:paraId="64279B9C"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Obj. 4</w:t>
            </w:r>
          </w:p>
        </w:tc>
      </w:tr>
      <w:tr w:rsidR="00EB4CA0" w:rsidRPr="00EB4CA0" w14:paraId="22447163" w14:textId="77777777" w:rsidTr="003264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121E2C" w14:textId="77777777" w:rsidR="001C1A55" w:rsidRPr="00343875" w:rsidRDefault="001C1A55" w:rsidP="00C621B9">
            <w:pPr>
              <w:spacing w:after="160"/>
              <w:rPr>
                <w:rFonts w:ascii="Arial" w:hAnsi="Arial" w:cs="Arial"/>
                <w:lang w:val="en-US"/>
              </w:rPr>
            </w:pPr>
            <w:r w:rsidRPr="00343875">
              <w:rPr>
                <w:rFonts w:ascii="Arial" w:hAnsi="Arial" w:cs="Arial"/>
                <w:lang w:val="en-US"/>
              </w:rPr>
              <w:t>WHO</w:t>
            </w:r>
          </w:p>
        </w:tc>
        <w:tc>
          <w:tcPr>
            <w:tcW w:w="0" w:type="auto"/>
            <w:hideMark/>
          </w:tcPr>
          <w:p w14:paraId="4B1C6A08"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WHO (2020)</w:t>
            </w:r>
          </w:p>
        </w:tc>
        <w:tc>
          <w:tcPr>
            <w:tcW w:w="0" w:type="auto"/>
            <w:hideMark/>
          </w:tcPr>
          <w:p w14:paraId="1C1C8BE7"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Policy Report</w:t>
            </w:r>
          </w:p>
        </w:tc>
        <w:tc>
          <w:tcPr>
            <w:tcW w:w="0" w:type="auto"/>
            <w:hideMark/>
          </w:tcPr>
          <w:p w14:paraId="0E2FCBFA"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International Framework</w:t>
            </w:r>
          </w:p>
        </w:tc>
        <w:tc>
          <w:tcPr>
            <w:tcW w:w="2176" w:type="dxa"/>
            <w:hideMark/>
          </w:tcPr>
          <w:p w14:paraId="5AB0EBFE"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Social participation supports healthy ageing.</w:t>
            </w:r>
          </w:p>
        </w:tc>
        <w:tc>
          <w:tcPr>
            <w:tcW w:w="1530" w:type="dxa"/>
            <w:hideMark/>
          </w:tcPr>
          <w:p w14:paraId="505A55A0" w14:textId="77777777" w:rsidR="001C1A55" w:rsidRPr="00343875" w:rsidRDefault="001C1A55" w:rsidP="00C621B9">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r w:rsidRPr="00343875">
              <w:rPr>
                <w:rFonts w:ascii="Arial" w:hAnsi="Arial" w:cs="Arial"/>
                <w:b/>
                <w:bCs/>
                <w:lang w:val="en-US"/>
              </w:rPr>
              <w:t>Obj. 1, 3 &amp; 4</w:t>
            </w:r>
          </w:p>
        </w:tc>
      </w:tr>
      <w:tr w:rsidR="00EB4CA0" w:rsidRPr="00EB4CA0" w14:paraId="3BCE9E93" w14:textId="77777777" w:rsidTr="0032642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BEA308" w14:textId="77777777" w:rsidR="001C1A55" w:rsidRPr="00343875" w:rsidRDefault="001C1A55" w:rsidP="00C621B9">
            <w:pPr>
              <w:spacing w:after="160"/>
              <w:rPr>
                <w:rFonts w:ascii="Arial" w:hAnsi="Arial" w:cs="Arial"/>
                <w:lang w:val="en-US"/>
              </w:rPr>
            </w:pPr>
            <w:r w:rsidRPr="00343875">
              <w:rPr>
                <w:rFonts w:ascii="Arial" w:hAnsi="Arial" w:cs="Arial"/>
                <w:lang w:val="en-US"/>
              </w:rPr>
              <w:t>CQC</w:t>
            </w:r>
          </w:p>
        </w:tc>
        <w:tc>
          <w:tcPr>
            <w:tcW w:w="0" w:type="auto"/>
            <w:hideMark/>
          </w:tcPr>
          <w:p w14:paraId="4A8128FF"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CQC (2024)</w:t>
            </w:r>
          </w:p>
        </w:tc>
        <w:tc>
          <w:tcPr>
            <w:tcW w:w="0" w:type="auto"/>
            <w:hideMark/>
          </w:tcPr>
          <w:p w14:paraId="580E963A"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Government Report</w:t>
            </w:r>
          </w:p>
        </w:tc>
        <w:tc>
          <w:tcPr>
            <w:tcW w:w="0" w:type="auto"/>
            <w:hideMark/>
          </w:tcPr>
          <w:p w14:paraId="42A615DF"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National Report</w:t>
            </w:r>
          </w:p>
        </w:tc>
        <w:tc>
          <w:tcPr>
            <w:tcW w:w="2176" w:type="dxa"/>
            <w:hideMark/>
          </w:tcPr>
          <w:p w14:paraId="78A1EDF1"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Workforce shortages affected care quality.</w:t>
            </w:r>
          </w:p>
        </w:tc>
        <w:tc>
          <w:tcPr>
            <w:tcW w:w="1530" w:type="dxa"/>
            <w:hideMark/>
          </w:tcPr>
          <w:p w14:paraId="77321FE6" w14:textId="77777777" w:rsidR="001C1A55" w:rsidRPr="00343875" w:rsidRDefault="001C1A55" w:rsidP="00C621B9">
            <w:pPr>
              <w:spacing w:after="160"/>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r w:rsidRPr="00343875">
              <w:rPr>
                <w:rFonts w:ascii="Arial" w:hAnsi="Arial" w:cs="Arial"/>
                <w:b/>
                <w:bCs/>
                <w:lang w:val="en-US"/>
              </w:rPr>
              <w:t>Obj. 3 &amp; 4</w:t>
            </w:r>
          </w:p>
        </w:tc>
      </w:tr>
    </w:tbl>
    <w:p w14:paraId="000CF079" w14:textId="77777777" w:rsidR="00B64BB4" w:rsidRPr="00EB4CA0" w:rsidRDefault="00B64BB4" w:rsidP="008D0CCD">
      <w:pPr>
        <w:rPr>
          <w:rFonts w:ascii="Arial" w:hAnsi="Arial" w:cs="Arial"/>
          <w:b/>
          <w:bCs/>
        </w:rPr>
      </w:pPr>
    </w:p>
    <w:p w14:paraId="639B5526" w14:textId="77777777" w:rsidR="00FD6D48" w:rsidRPr="00EB4CA0" w:rsidRDefault="00FD6D48" w:rsidP="00B64BB4">
      <w:pPr>
        <w:pStyle w:val="Caption"/>
        <w:spacing w:before="240" w:line="360" w:lineRule="auto"/>
        <w:jc w:val="center"/>
        <w:rPr>
          <w:rFonts w:ascii="Arial" w:hAnsi="Arial" w:cs="Arial"/>
          <w:b/>
          <w:bCs/>
          <w:i w:val="0"/>
          <w:iCs w:val="0"/>
          <w:color w:val="auto"/>
          <w:sz w:val="24"/>
          <w:szCs w:val="24"/>
        </w:rPr>
      </w:pPr>
      <w:bookmarkStart w:id="53" w:name="_Toc234931998"/>
      <w:r w:rsidRPr="00EB4CA0">
        <w:rPr>
          <w:rFonts w:ascii="Arial" w:hAnsi="Arial" w:cs="Arial"/>
          <w:b/>
          <w:bCs/>
          <w:i w:val="0"/>
          <w:iCs w:val="0"/>
          <w:color w:val="auto"/>
          <w:sz w:val="24"/>
          <w:szCs w:val="24"/>
        </w:rPr>
        <w:t xml:space="preserve">Table </w:t>
      </w:r>
      <w:r w:rsidRPr="00EB4CA0">
        <w:rPr>
          <w:rFonts w:ascii="Arial" w:hAnsi="Arial" w:cs="Arial"/>
          <w:b/>
          <w:bCs/>
          <w:i w:val="0"/>
          <w:iCs w:val="0"/>
          <w:color w:val="auto"/>
          <w:sz w:val="24"/>
          <w:szCs w:val="24"/>
        </w:rPr>
        <w:fldChar w:fldCharType="begin"/>
      </w:r>
      <w:r w:rsidRPr="00EB4CA0">
        <w:rPr>
          <w:rFonts w:ascii="Arial" w:hAnsi="Arial" w:cs="Arial"/>
          <w:b/>
          <w:bCs/>
          <w:i w:val="0"/>
          <w:iCs w:val="0"/>
          <w:color w:val="auto"/>
          <w:sz w:val="24"/>
          <w:szCs w:val="24"/>
        </w:rPr>
        <w:instrText xml:space="preserve"> SEQ Table \* ARABIC </w:instrText>
      </w:r>
      <w:r w:rsidRPr="00EB4CA0">
        <w:rPr>
          <w:rFonts w:ascii="Arial" w:hAnsi="Arial" w:cs="Arial"/>
          <w:b/>
          <w:bCs/>
          <w:i w:val="0"/>
          <w:iCs w:val="0"/>
          <w:color w:val="auto"/>
          <w:sz w:val="24"/>
          <w:szCs w:val="24"/>
        </w:rPr>
        <w:fldChar w:fldCharType="separate"/>
      </w:r>
      <w:r w:rsidRPr="00EB4CA0">
        <w:rPr>
          <w:rFonts w:ascii="Arial" w:hAnsi="Arial" w:cs="Arial"/>
          <w:b/>
          <w:bCs/>
          <w:i w:val="0"/>
          <w:iCs w:val="0"/>
          <w:noProof/>
          <w:color w:val="auto"/>
          <w:sz w:val="24"/>
          <w:szCs w:val="24"/>
        </w:rPr>
        <w:t>4</w:t>
      </w:r>
      <w:r w:rsidRPr="00EB4CA0">
        <w:rPr>
          <w:rFonts w:ascii="Arial" w:hAnsi="Arial" w:cs="Arial"/>
          <w:b/>
          <w:bCs/>
          <w:i w:val="0"/>
          <w:iCs w:val="0"/>
          <w:color w:val="auto"/>
          <w:sz w:val="24"/>
          <w:szCs w:val="24"/>
        </w:rPr>
        <w:fldChar w:fldCharType="end"/>
      </w:r>
      <w:r w:rsidRPr="00EB4CA0">
        <w:rPr>
          <w:rFonts w:ascii="Arial" w:hAnsi="Arial" w:cs="Arial"/>
          <w:b/>
          <w:bCs/>
          <w:i w:val="0"/>
          <w:iCs w:val="0"/>
          <w:color w:val="auto"/>
          <w:sz w:val="24"/>
          <w:szCs w:val="24"/>
        </w:rPr>
        <w:t xml:space="preserve"> Literature Tracking Table</w:t>
      </w:r>
      <w:bookmarkEnd w:id="53"/>
    </w:p>
    <w:p w14:paraId="783C983F" w14:textId="40DC6F01" w:rsidR="00FD6D48" w:rsidRPr="00EB4CA0" w:rsidRDefault="00FD6D48" w:rsidP="00B64BB4">
      <w:pPr>
        <w:pStyle w:val="Caption"/>
        <w:spacing w:before="240" w:line="360" w:lineRule="auto"/>
        <w:jc w:val="center"/>
        <w:rPr>
          <w:rFonts w:ascii="Arial" w:hAnsi="Arial" w:cs="Arial"/>
          <w:b/>
          <w:bCs/>
          <w:i w:val="0"/>
          <w:iCs w:val="0"/>
          <w:color w:val="auto"/>
          <w:sz w:val="24"/>
          <w:szCs w:val="24"/>
        </w:rPr>
      </w:pPr>
      <w:r w:rsidRPr="00EB4CA0">
        <w:rPr>
          <w:rFonts w:ascii="Arial" w:hAnsi="Arial" w:cs="Arial"/>
          <w:b/>
          <w:bCs/>
          <w:i w:val="0"/>
          <w:iCs w:val="0"/>
          <w:color w:val="auto"/>
          <w:sz w:val="24"/>
          <w:szCs w:val="24"/>
        </w:rPr>
        <w:t>Source: Author</w:t>
      </w:r>
    </w:p>
    <w:p w14:paraId="4668AD13" w14:textId="77777777" w:rsidR="00342442" w:rsidRPr="00EB4CA0" w:rsidRDefault="00342442" w:rsidP="00342442">
      <w:pPr>
        <w:rPr>
          <w:rFonts w:ascii="Arial" w:hAnsi="Arial" w:cs="Arial"/>
        </w:rPr>
      </w:pPr>
    </w:p>
    <w:p w14:paraId="691A73B5" w14:textId="77777777" w:rsidR="00342442" w:rsidRPr="00EB4CA0" w:rsidRDefault="00342442" w:rsidP="00342442">
      <w:pPr>
        <w:rPr>
          <w:rFonts w:ascii="Arial" w:hAnsi="Arial" w:cs="Arial"/>
        </w:rPr>
      </w:pPr>
    </w:p>
    <w:p w14:paraId="4577A8C8" w14:textId="77777777" w:rsidR="00342442" w:rsidRPr="00EB4CA0" w:rsidRDefault="00342442" w:rsidP="00342442">
      <w:pPr>
        <w:rPr>
          <w:rFonts w:ascii="Arial" w:hAnsi="Arial" w:cs="Arial"/>
        </w:rPr>
      </w:pPr>
    </w:p>
    <w:p w14:paraId="0EFD4A00" w14:textId="77777777" w:rsidR="00342442" w:rsidRPr="00EB4CA0" w:rsidRDefault="00342442" w:rsidP="00342442">
      <w:pPr>
        <w:rPr>
          <w:rFonts w:ascii="Arial" w:hAnsi="Arial" w:cs="Arial"/>
        </w:rPr>
      </w:pPr>
    </w:p>
    <w:p w14:paraId="4E981AEB" w14:textId="77777777" w:rsidR="00342442" w:rsidRPr="00EB4CA0" w:rsidRDefault="00342442" w:rsidP="00342442">
      <w:pPr>
        <w:rPr>
          <w:rFonts w:ascii="Arial" w:hAnsi="Arial" w:cs="Arial"/>
        </w:rPr>
      </w:pPr>
    </w:p>
    <w:p w14:paraId="06AF2946" w14:textId="77777777" w:rsidR="00342442" w:rsidRPr="00EB4CA0" w:rsidRDefault="00342442" w:rsidP="00342442">
      <w:pPr>
        <w:rPr>
          <w:rFonts w:ascii="Arial" w:hAnsi="Arial" w:cs="Arial"/>
        </w:rPr>
      </w:pPr>
    </w:p>
    <w:p w14:paraId="0AC4BFC0" w14:textId="77777777" w:rsidR="00342442" w:rsidRPr="00EB4CA0" w:rsidRDefault="00342442" w:rsidP="00342442">
      <w:pPr>
        <w:rPr>
          <w:rFonts w:ascii="Arial" w:hAnsi="Arial" w:cs="Arial"/>
        </w:rPr>
      </w:pPr>
    </w:p>
    <w:p w14:paraId="59489B58" w14:textId="77777777" w:rsidR="00342442" w:rsidRPr="00EB4CA0" w:rsidRDefault="00342442" w:rsidP="00342442">
      <w:pPr>
        <w:rPr>
          <w:rFonts w:ascii="Arial" w:hAnsi="Arial" w:cs="Arial"/>
        </w:rPr>
      </w:pPr>
    </w:p>
    <w:p w14:paraId="29AFD726" w14:textId="77777777" w:rsidR="00342442" w:rsidRPr="00EB4CA0" w:rsidRDefault="00342442" w:rsidP="00342442">
      <w:pPr>
        <w:rPr>
          <w:rFonts w:ascii="Arial" w:hAnsi="Arial" w:cs="Arial"/>
        </w:rPr>
      </w:pPr>
    </w:p>
    <w:p w14:paraId="3325DC20" w14:textId="77777777" w:rsidR="00342442" w:rsidRPr="00EB4CA0" w:rsidRDefault="00342442" w:rsidP="00342442">
      <w:pPr>
        <w:rPr>
          <w:rFonts w:ascii="Arial" w:hAnsi="Arial" w:cs="Arial"/>
        </w:rPr>
      </w:pPr>
    </w:p>
    <w:sectPr w:rsidR="00342442" w:rsidRPr="00EB4CA0" w:rsidSect="005C24CF">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301B1" w14:textId="77777777" w:rsidR="00272B78" w:rsidRDefault="00272B78" w:rsidP="00211184">
      <w:pPr>
        <w:spacing w:after="0" w:line="240" w:lineRule="auto"/>
      </w:pPr>
      <w:r>
        <w:separator/>
      </w:r>
    </w:p>
  </w:endnote>
  <w:endnote w:type="continuationSeparator" w:id="0">
    <w:p w14:paraId="57859E75" w14:textId="77777777" w:rsidR="00272B78" w:rsidRDefault="00272B78"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357602"/>
      <w:docPartObj>
        <w:docPartGallery w:val="Page Numbers (Bottom of Page)"/>
        <w:docPartUnique/>
      </w:docPartObj>
    </w:sdtPr>
    <w:sdtEndPr>
      <w:rPr>
        <w:noProof/>
      </w:rPr>
    </w:sdtEndPr>
    <w:sdtContent>
      <w:p w14:paraId="2B005A43" w14:textId="77777777" w:rsidR="00867E4D" w:rsidRDefault="00867E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38D56" w14:textId="77777777" w:rsidR="00867E4D" w:rsidRDefault="00867E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F640A" w14:textId="77777777" w:rsidR="00272B78" w:rsidRDefault="00272B78" w:rsidP="00211184">
      <w:pPr>
        <w:spacing w:after="0" w:line="240" w:lineRule="auto"/>
      </w:pPr>
      <w:r>
        <w:separator/>
      </w:r>
    </w:p>
  </w:footnote>
  <w:footnote w:type="continuationSeparator" w:id="0">
    <w:p w14:paraId="1EBA0FFE" w14:textId="77777777" w:rsidR="00272B78" w:rsidRDefault="00272B78"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F168D"/>
    <w:multiLevelType w:val="multilevel"/>
    <w:tmpl w:val="A8AA269E"/>
    <w:lvl w:ilvl="0">
      <w:start w:val="1"/>
      <w:numFmt w:val="decimal"/>
      <w:lvlText w:val="%1."/>
      <w:lvlJc w:val="left"/>
      <w:pPr>
        <w:ind w:left="420" w:hanging="420"/>
      </w:pPr>
      <w:rPr>
        <w:rFonts w:cs="Arial" w:hint="default"/>
        <w:color w:val="0F4761"/>
        <w:sz w:val="24"/>
      </w:rPr>
    </w:lvl>
    <w:lvl w:ilvl="1">
      <w:start w:val="1"/>
      <w:numFmt w:val="decimal"/>
      <w:lvlText w:val="%1.%2."/>
      <w:lvlJc w:val="left"/>
      <w:pPr>
        <w:ind w:left="420" w:hanging="420"/>
      </w:pPr>
      <w:rPr>
        <w:rFonts w:cs="Arial" w:hint="default"/>
        <w:color w:val="auto"/>
        <w:sz w:val="24"/>
      </w:rPr>
    </w:lvl>
    <w:lvl w:ilvl="2">
      <w:start w:val="1"/>
      <w:numFmt w:val="decimal"/>
      <w:lvlText w:val="%1.%2.%3."/>
      <w:lvlJc w:val="left"/>
      <w:pPr>
        <w:ind w:left="720" w:hanging="720"/>
      </w:pPr>
      <w:rPr>
        <w:rFonts w:cs="Arial" w:hint="default"/>
        <w:color w:val="auto"/>
        <w:sz w:val="24"/>
      </w:rPr>
    </w:lvl>
    <w:lvl w:ilvl="3">
      <w:start w:val="1"/>
      <w:numFmt w:val="decimal"/>
      <w:lvlText w:val="%1.%2.%3.%4."/>
      <w:lvlJc w:val="left"/>
      <w:pPr>
        <w:ind w:left="720" w:hanging="720"/>
      </w:pPr>
      <w:rPr>
        <w:rFonts w:cs="Arial" w:hint="default"/>
        <w:color w:val="0F4761"/>
        <w:sz w:val="24"/>
      </w:rPr>
    </w:lvl>
    <w:lvl w:ilvl="4">
      <w:start w:val="1"/>
      <w:numFmt w:val="decimal"/>
      <w:lvlText w:val="%1.%2.%3.%4.%5."/>
      <w:lvlJc w:val="left"/>
      <w:pPr>
        <w:ind w:left="720" w:hanging="720"/>
      </w:pPr>
      <w:rPr>
        <w:rFonts w:cs="Arial" w:hint="default"/>
        <w:color w:val="0F4761"/>
        <w:sz w:val="24"/>
      </w:rPr>
    </w:lvl>
    <w:lvl w:ilvl="5">
      <w:start w:val="1"/>
      <w:numFmt w:val="decimal"/>
      <w:lvlText w:val="%1.%2.%3.%4.%5.%6."/>
      <w:lvlJc w:val="left"/>
      <w:pPr>
        <w:ind w:left="1080" w:hanging="1080"/>
      </w:pPr>
      <w:rPr>
        <w:rFonts w:cs="Arial" w:hint="default"/>
        <w:color w:val="0F4761"/>
        <w:sz w:val="24"/>
      </w:rPr>
    </w:lvl>
    <w:lvl w:ilvl="6">
      <w:start w:val="1"/>
      <w:numFmt w:val="decimal"/>
      <w:lvlText w:val="%1.%2.%3.%4.%5.%6.%7."/>
      <w:lvlJc w:val="left"/>
      <w:pPr>
        <w:ind w:left="1080" w:hanging="1080"/>
      </w:pPr>
      <w:rPr>
        <w:rFonts w:cs="Arial" w:hint="default"/>
        <w:color w:val="0F4761"/>
        <w:sz w:val="24"/>
      </w:rPr>
    </w:lvl>
    <w:lvl w:ilvl="7">
      <w:start w:val="1"/>
      <w:numFmt w:val="decimal"/>
      <w:lvlText w:val="%1.%2.%3.%4.%5.%6.%7.%8."/>
      <w:lvlJc w:val="left"/>
      <w:pPr>
        <w:ind w:left="1080" w:hanging="1080"/>
      </w:pPr>
      <w:rPr>
        <w:rFonts w:cs="Arial" w:hint="default"/>
        <w:color w:val="0F4761"/>
        <w:sz w:val="24"/>
      </w:rPr>
    </w:lvl>
    <w:lvl w:ilvl="8">
      <w:start w:val="1"/>
      <w:numFmt w:val="decimal"/>
      <w:lvlText w:val="%1.%2.%3.%4.%5.%6.%7.%8.%9."/>
      <w:lvlJc w:val="left"/>
      <w:pPr>
        <w:ind w:left="1440" w:hanging="1440"/>
      </w:pPr>
      <w:rPr>
        <w:rFonts w:cs="Arial" w:hint="default"/>
        <w:color w:val="0F4761"/>
        <w:sz w:val="24"/>
      </w:rPr>
    </w:lvl>
  </w:abstractNum>
  <w:abstractNum w:abstractNumId="1" w15:restartNumberingAfterBreak="0">
    <w:nsid w:val="318C7CEC"/>
    <w:multiLevelType w:val="hybridMultilevel"/>
    <w:tmpl w:val="2A50BC2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7E74930"/>
    <w:multiLevelType w:val="hybridMultilevel"/>
    <w:tmpl w:val="F8EC0D58"/>
    <w:lvl w:ilvl="0" w:tplc="0407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763282">
    <w:abstractNumId w:val="3"/>
  </w:num>
  <w:num w:numId="2" w16cid:durableId="1815752783">
    <w:abstractNumId w:val="0"/>
  </w:num>
  <w:num w:numId="3" w16cid:durableId="1107307349">
    <w:abstractNumId w:val="1"/>
  </w:num>
  <w:num w:numId="4" w16cid:durableId="1569265784">
    <w:abstractNumId w:val="0"/>
    <w:lvlOverride w:ilvl="0">
      <w:lvl w:ilvl="0">
        <w:start w:val="1"/>
        <w:numFmt w:val="none"/>
        <w:lvlText w:val=""/>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720"/>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5" w16cid:durableId="936640961">
    <w:abstractNumId w:val="0"/>
    <w:lvlOverride w:ilvl="0">
      <w:lvl w:ilvl="0">
        <w:start w:val="1"/>
        <w:numFmt w:val="none"/>
        <w:lvlText w:val=""/>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720"/>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6" w16cid:durableId="1733386141">
    <w:abstractNumId w:val="0"/>
    <w:lvlOverride w:ilvl="0">
      <w:lvl w:ilvl="0">
        <w:start w:val="1"/>
        <w:numFmt w:val="none"/>
        <w:lvlText w:val=""/>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720"/>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7" w16cid:durableId="215286554">
    <w:abstractNumId w:val="0"/>
    <w:lvlOverride w:ilvl="0">
      <w:lvl w:ilvl="0">
        <w:start w:val="1"/>
        <w:numFmt w:val="decimal"/>
        <w:lvlText w:val="%1."/>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851" w:hanging="511"/>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8" w16cid:durableId="1954550397">
    <w:abstractNumId w:val="0"/>
    <w:lvlOverride w:ilvl="0">
      <w:lvl w:ilvl="0">
        <w:start w:val="1"/>
        <w:numFmt w:val="decimal"/>
        <w:lvlText w:val="%1."/>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567" w:hanging="227"/>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9" w16cid:durableId="116535005">
    <w:abstractNumId w:val="0"/>
    <w:lvlOverride w:ilvl="0">
      <w:lvl w:ilvl="0">
        <w:start w:val="1"/>
        <w:numFmt w:val="decimal"/>
        <w:lvlText w:val="%1."/>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436"/>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10" w16cid:durableId="1771074872">
    <w:abstractNumId w:val="0"/>
    <w:lvlOverride w:ilvl="0">
      <w:lvl w:ilvl="0">
        <w:start w:val="1"/>
        <w:numFmt w:val="decimal"/>
        <w:lvlText w:val="%1."/>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493"/>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11" w16cid:durableId="663167044">
    <w:abstractNumId w:val="0"/>
    <w:lvlOverride w:ilvl="0">
      <w:lvl w:ilvl="0">
        <w:start w:val="1"/>
        <w:numFmt w:val="none"/>
        <w:lvlText w:val=""/>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720"/>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 w:numId="12" w16cid:durableId="1865442863">
    <w:abstractNumId w:val="2"/>
  </w:num>
  <w:num w:numId="13" w16cid:durableId="1146823141">
    <w:abstractNumId w:val="0"/>
    <w:lvlOverride w:ilvl="0">
      <w:lvl w:ilvl="0">
        <w:start w:val="1"/>
        <w:numFmt w:val="none"/>
        <w:lvlText w:val=""/>
        <w:lvlJc w:val="left"/>
        <w:pPr>
          <w:ind w:left="420" w:hanging="420"/>
        </w:pPr>
        <w:rPr>
          <w:rFonts w:cs="Arial" w:hint="default"/>
          <w:color w:val="0F4761"/>
          <w:sz w:val="24"/>
        </w:rPr>
      </w:lvl>
    </w:lvlOverride>
    <w:lvlOverride w:ilvl="1">
      <w:lvl w:ilvl="1">
        <w:start w:val="1"/>
        <w:numFmt w:val="decimal"/>
        <w:lvlText w:val="%1.%2."/>
        <w:lvlJc w:val="left"/>
        <w:pPr>
          <w:ind w:left="420" w:hanging="420"/>
        </w:pPr>
        <w:rPr>
          <w:rFonts w:cs="Arial" w:hint="default"/>
          <w:color w:val="auto"/>
          <w:sz w:val="24"/>
        </w:rPr>
      </w:lvl>
    </w:lvlOverride>
    <w:lvlOverride w:ilvl="2">
      <w:lvl w:ilvl="2">
        <w:start w:val="1"/>
        <w:numFmt w:val="decimal"/>
        <w:lvlText w:val="%1.%2.%3."/>
        <w:lvlJc w:val="left"/>
        <w:pPr>
          <w:ind w:left="720" w:hanging="720"/>
        </w:pPr>
        <w:rPr>
          <w:rFonts w:cs="Arial" w:hint="default"/>
          <w:color w:val="auto"/>
          <w:sz w:val="24"/>
        </w:rPr>
      </w:lvl>
    </w:lvlOverride>
    <w:lvlOverride w:ilvl="3">
      <w:lvl w:ilvl="3">
        <w:start w:val="1"/>
        <w:numFmt w:val="decimal"/>
        <w:lvlText w:val="%1.%2.%3.%4."/>
        <w:lvlJc w:val="left"/>
        <w:pPr>
          <w:ind w:left="720" w:hanging="720"/>
        </w:pPr>
        <w:rPr>
          <w:rFonts w:cs="Arial" w:hint="default"/>
          <w:color w:val="0F4761"/>
          <w:sz w:val="24"/>
        </w:rPr>
      </w:lvl>
    </w:lvlOverride>
    <w:lvlOverride w:ilvl="4">
      <w:lvl w:ilvl="4">
        <w:start w:val="1"/>
        <w:numFmt w:val="decimal"/>
        <w:lvlText w:val="%1.%2.%3.%4.%5."/>
        <w:lvlJc w:val="left"/>
        <w:pPr>
          <w:ind w:left="720" w:hanging="720"/>
        </w:pPr>
        <w:rPr>
          <w:rFonts w:cs="Arial" w:hint="default"/>
          <w:color w:val="0F4761"/>
          <w:sz w:val="24"/>
        </w:rPr>
      </w:lvl>
    </w:lvlOverride>
    <w:lvlOverride w:ilvl="5">
      <w:lvl w:ilvl="5">
        <w:start w:val="1"/>
        <w:numFmt w:val="decimal"/>
        <w:lvlText w:val="%1.%2.%3.%4.%5.%6."/>
        <w:lvlJc w:val="left"/>
        <w:pPr>
          <w:ind w:left="1080" w:hanging="1080"/>
        </w:pPr>
        <w:rPr>
          <w:rFonts w:cs="Arial" w:hint="default"/>
          <w:color w:val="0F4761"/>
          <w:sz w:val="24"/>
        </w:rPr>
      </w:lvl>
    </w:lvlOverride>
    <w:lvlOverride w:ilvl="6">
      <w:lvl w:ilvl="6">
        <w:start w:val="1"/>
        <w:numFmt w:val="decimal"/>
        <w:lvlText w:val="%1.%2.%3.%4.%5.%6.%7."/>
        <w:lvlJc w:val="left"/>
        <w:pPr>
          <w:ind w:left="1080" w:hanging="1080"/>
        </w:pPr>
        <w:rPr>
          <w:rFonts w:cs="Arial" w:hint="default"/>
          <w:color w:val="0F4761"/>
          <w:sz w:val="24"/>
        </w:rPr>
      </w:lvl>
    </w:lvlOverride>
    <w:lvlOverride w:ilvl="7">
      <w:lvl w:ilvl="7">
        <w:start w:val="1"/>
        <w:numFmt w:val="decimal"/>
        <w:lvlText w:val="%1.%2.%3.%4.%5.%6.%7.%8."/>
        <w:lvlJc w:val="left"/>
        <w:pPr>
          <w:ind w:left="1080" w:hanging="1080"/>
        </w:pPr>
        <w:rPr>
          <w:rFonts w:cs="Arial" w:hint="default"/>
          <w:color w:val="0F4761"/>
          <w:sz w:val="24"/>
        </w:rPr>
      </w:lvl>
    </w:lvlOverride>
    <w:lvlOverride w:ilvl="8">
      <w:lvl w:ilvl="8">
        <w:start w:val="1"/>
        <w:numFmt w:val="decimal"/>
        <w:lvlText w:val="%1.%2.%3.%4.%5.%6.%7.%8.%9."/>
        <w:lvlJc w:val="left"/>
        <w:pPr>
          <w:ind w:left="1440" w:hanging="1440"/>
        </w:pPr>
        <w:rPr>
          <w:rFonts w:cs="Arial" w:hint="default"/>
          <w:color w:val="0F4761"/>
          <w:sz w:val="24"/>
        </w:rPr>
      </w:lvl>
    </w:lvlOverride>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69E"/>
    <w:rsid w:val="0000198B"/>
    <w:rsid w:val="00001FC3"/>
    <w:rsid w:val="000030BB"/>
    <w:rsid w:val="00003C3C"/>
    <w:rsid w:val="00004BC5"/>
    <w:rsid w:val="00005959"/>
    <w:rsid w:val="00007668"/>
    <w:rsid w:val="00007A88"/>
    <w:rsid w:val="00007BDF"/>
    <w:rsid w:val="00012FC3"/>
    <w:rsid w:val="0001484E"/>
    <w:rsid w:val="0001582E"/>
    <w:rsid w:val="00021186"/>
    <w:rsid w:val="00021BA2"/>
    <w:rsid w:val="00022FAC"/>
    <w:rsid w:val="00023173"/>
    <w:rsid w:val="00024DC5"/>
    <w:rsid w:val="000264A2"/>
    <w:rsid w:val="0003006C"/>
    <w:rsid w:val="00031074"/>
    <w:rsid w:val="00031AC4"/>
    <w:rsid w:val="0003492A"/>
    <w:rsid w:val="000400E4"/>
    <w:rsid w:val="00040DEF"/>
    <w:rsid w:val="000411CE"/>
    <w:rsid w:val="000411E8"/>
    <w:rsid w:val="00042CF3"/>
    <w:rsid w:val="00043AAF"/>
    <w:rsid w:val="00044417"/>
    <w:rsid w:val="00050A78"/>
    <w:rsid w:val="000555E5"/>
    <w:rsid w:val="00062B03"/>
    <w:rsid w:val="00063B4C"/>
    <w:rsid w:val="000649BD"/>
    <w:rsid w:val="00065750"/>
    <w:rsid w:val="00070908"/>
    <w:rsid w:val="00070E1F"/>
    <w:rsid w:val="00073C5D"/>
    <w:rsid w:val="0007475B"/>
    <w:rsid w:val="0007519D"/>
    <w:rsid w:val="00075F71"/>
    <w:rsid w:val="000778F1"/>
    <w:rsid w:val="00081619"/>
    <w:rsid w:val="0008378F"/>
    <w:rsid w:val="000839A2"/>
    <w:rsid w:val="000853E6"/>
    <w:rsid w:val="00086625"/>
    <w:rsid w:val="00087F6A"/>
    <w:rsid w:val="0009239F"/>
    <w:rsid w:val="00093522"/>
    <w:rsid w:val="00094DB6"/>
    <w:rsid w:val="000956AB"/>
    <w:rsid w:val="0009666B"/>
    <w:rsid w:val="000972BC"/>
    <w:rsid w:val="00097977"/>
    <w:rsid w:val="00097FEE"/>
    <w:rsid w:val="000A0F81"/>
    <w:rsid w:val="000A164D"/>
    <w:rsid w:val="000A1B18"/>
    <w:rsid w:val="000A634B"/>
    <w:rsid w:val="000A6DD9"/>
    <w:rsid w:val="000A74CA"/>
    <w:rsid w:val="000A79E3"/>
    <w:rsid w:val="000B2766"/>
    <w:rsid w:val="000B4BB8"/>
    <w:rsid w:val="000B757C"/>
    <w:rsid w:val="000B7B67"/>
    <w:rsid w:val="000B7D88"/>
    <w:rsid w:val="000C0AC3"/>
    <w:rsid w:val="000C0F41"/>
    <w:rsid w:val="000C1629"/>
    <w:rsid w:val="000C24AB"/>
    <w:rsid w:val="000C2DBB"/>
    <w:rsid w:val="000C3C23"/>
    <w:rsid w:val="000C6E52"/>
    <w:rsid w:val="000D0487"/>
    <w:rsid w:val="000D05D8"/>
    <w:rsid w:val="000D0641"/>
    <w:rsid w:val="000D1270"/>
    <w:rsid w:val="000D2B00"/>
    <w:rsid w:val="000D4437"/>
    <w:rsid w:val="000D46DB"/>
    <w:rsid w:val="000E0B1C"/>
    <w:rsid w:val="000E5CEA"/>
    <w:rsid w:val="000E6D82"/>
    <w:rsid w:val="000E7085"/>
    <w:rsid w:val="000F0852"/>
    <w:rsid w:val="000F3E2C"/>
    <w:rsid w:val="000F4602"/>
    <w:rsid w:val="000F6948"/>
    <w:rsid w:val="001003EC"/>
    <w:rsid w:val="00100445"/>
    <w:rsid w:val="00104A5E"/>
    <w:rsid w:val="00104E66"/>
    <w:rsid w:val="00105797"/>
    <w:rsid w:val="00105B57"/>
    <w:rsid w:val="00107C67"/>
    <w:rsid w:val="0011102C"/>
    <w:rsid w:val="00111D6D"/>
    <w:rsid w:val="00115096"/>
    <w:rsid w:val="00121142"/>
    <w:rsid w:val="00121A70"/>
    <w:rsid w:val="00124F3D"/>
    <w:rsid w:val="001256C6"/>
    <w:rsid w:val="001258C4"/>
    <w:rsid w:val="001268FA"/>
    <w:rsid w:val="00126F0D"/>
    <w:rsid w:val="00127BA6"/>
    <w:rsid w:val="00131D94"/>
    <w:rsid w:val="00134044"/>
    <w:rsid w:val="0013627E"/>
    <w:rsid w:val="00141104"/>
    <w:rsid w:val="001419D4"/>
    <w:rsid w:val="00142D77"/>
    <w:rsid w:val="0014308F"/>
    <w:rsid w:val="00143A55"/>
    <w:rsid w:val="00143A62"/>
    <w:rsid w:val="00143B60"/>
    <w:rsid w:val="00144B12"/>
    <w:rsid w:val="0014501E"/>
    <w:rsid w:val="00145372"/>
    <w:rsid w:val="00147279"/>
    <w:rsid w:val="001507D9"/>
    <w:rsid w:val="00150902"/>
    <w:rsid w:val="001512A9"/>
    <w:rsid w:val="0015182F"/>
    <w:rsid w:val="001527B2"/>
    <w:rsid w:val="00154FFE"/>
    <w:rsid w:val="00157106"/>
    <w:rsid w:val="001601E6"/>
    <w:rsid w:val="001652FA"/>
    <w:rsid w:val="0016685F"/>
    <w:rsid w:val="001711E8"/>
    <w:rsid w:val="0017432A"/>
    <w:rsid w:val="0017464E"/>
    <w:rsid w:val="00174BE3"/>
    <w:rsid w:val="00177A9B"/>
    <w:rsid w:val="00180102"/>
    <w:rsid w:val="00181096"/>
    <w:rsid w:val="0018173D"/>
    <w:rsid w:val="0018453A"/>
    <w:rsid w:val="00185281"/>
    <w:rsid w:val="00190B3A"/>
    <w:rsid w:val="00191A9C"/>
    <w:rsid w:val="00192584"/>
    <w:rsid w:val="00196FB0"/>
    <w:rsid w:val="001A1454"/>
    <w:rsid w:val="001A707B"/>
    <w:rsid w:val="001B0087"/>
    <w:rsid w:val="001B2345"/>
    <w:rsid w:val="001B29FF"/>
    <w:rsid w:val="001B456F"/>
    <w:rsid w:val="001B58E3"/>
    <w:rsid w:val="001B7D8D"/>
    <w:rsid w:val="001C1586"/>
    <w:rsid w:val="001C1A55"/>
    <w:rsid w:val="001C3AF6"/>
    <w:rsid w:val="001C4622"/>
    <w:rsid w:val="001D1485"/>
    <w:rsid w:val="001D208A"/>
    <w:rsid w:val="001D26B7"/>
    <w:rsid w:val="001D35BE"/>
    <w:rsid w:val="001D4C13"/>
    <w:rsid w:val="001E1776"/>
    <w:rsid w:val="001E4175"/>
    <w:rsid w:val="001E53C5"/>
    <w:rsid w:val="001E5660"/>
    <w:rsid w:val="001E6E30"/>
    <w:rsid w:val="001F05E6"/>
    <w:rsid w:val="001F12F8"/>
    <w:rsid w:val="001F19A6"/>
    <w:rsid w:val="001F1A6C"/>
    <w:rsid w:val="001F429E"/>
    <w:rsid w:val="001F7ECE"/>
    <w:rsid w:val="00200417"/>
    <w:rsid w:val="002011CD"/>
    <w:rsid w:val="00201255"/>
    <w:rsid w:val="00202ACD"/>
    <w:rsid w:val="002031CB"/>
    <w:rsid w:val="002043A4"/>
    <w:rsid w:val="00204FC3"/>
    <w:rsid w:val="002052D6"/>
    <w:rsid w:val="00205728"/>
    <w:rsid w:val="002077C4"/>
    <w:rsid w:val="00207918"/>
    <w:rsid w:val="00211184"/>
    <w:rsid w:val="00212A65"/>
    <w:rsid w:val="00212C01"/>
    <w:rsid w:val="0021364B"/>
    <w:rsid w:val="00213D64"/>
    <w:rsid w:val="00213FFD"/>
    <w:rsid w:val="00214A50"/>
    <w:rsid w:val="002150D1"/>
    <w:rsid w:val="0022200C"/>
    <w:rsid w:val="0022297E"/>
    <w:rsid w:val="00230C20"/>
    <w:rsid w:val="0023286B"/>
    <w:rsid w:val="00233CDE"/>
    <w:rsid w:val="00234713"/>
    <w:rsid w:val="00235A3F"/>
    <w:rsid w:val="002364B9"/>
    <w:rsid w:val="00236AE1"/>
    <w:rsid w:val="00236D1A"/>
    <w:rsid w:val="00241299"/>
    <w:rsid w:val="0024186B"/>
    <w:rsid w:val="0024195A"/>
    <w:rsid w:val="00241EC4"/>
    <w:rsid w:val="0024358E"/>
    <w:rsid w:val="00246CA5"/>
    <w:rsid w:val="0025020C"/>
    <w:rsid w:val="0025056E"/>
    <w:rsid w:val="002507A2"/>
    <w:rsid w:val="00251017"/>
    <w:rsid w:val="00253D31"/>
    <w:rsid w:val="00253FF8"/>
    <w:rsid w:val="002541D9"/>
    <w:rsid w:val="00256951"/>
    <w:rsid w:val="00256D83"/>
    <w:rsid w:val="002605AB"/>
    <w:rsid w:val="002607D9"/>
    <w:rsid w:val="00262346"/>
    <w:rsid w:val="002639A5"/>
    <w:rsid w:val="002639D5"/>
    <w:rsid w:val="00265339"/>
    <w:rsid w:val="002654CD"/>
    <w:rsid w:val="002656BC"/>
    <w:rsid w:val="00266007"/>
    <w:rsid w:val="0027040E"/>
    <w:rsid w:val="00272967"/>
    <w:rsid w:val="00272B78"/>
    <w:rsid w:val="00273C8A"/>
    <w:rsid w:val="00274C99"/>
    <w:rsid w:val="00280320"/>
    <w:rsid w:val="0028068B"/>
    <w:rsid w:val="00281067"/>
    <w:rsid w:val="00281A44"/>
    <w:rsid w:val="002826D0"/>
    <w:rsid w:val="002837BC"/>
    <w:rsid w:val="002853A8"/>
    <w:rsid w:val="002865F5"/>
    <w:rsid w:val="00287354"/>
    <w:rsid w:val="00290143"/>
    <w:rsid w:val="0029051B"/>
    <w:rsid w:val="00292151"/>
    <w:rsid w:val="00292A36"/>
    <w:rsid w:val="00294293"/>
    <w:rsid w:val="002950EB"/>
    <w:rsid w:val="00295BE0"/>
    <w:rsid w:val="002A12FE"/>
    <w:rsid w:val="002A18AE"/>
    <w:rsid w:val="002A1B45"/>
    <w:rsid w:val="002A4387"/>
    <w:rsid w:val="002A4CF0"/>
    <w:rsid w:val="002A4E9E"/>
    <w:rsid w:val="002A63D0"/>
    <w:rsid w:val="002A7E27"/>
    <w:rsid w:val="002B2AC0"/>
    <w:rsid w:val="002B320E"/>
    <w:rsid w:val="002B3607"/>
    <w:rsid w:val="002B382E"/>
    <w:rsid w:val="002B3A55"/>
    <w:rsid w:val="002B5D7D"/>
    <w:rsid w:val="002B646D"/>
    <w:rsid w:val="002B6974"/>
    <w:rsid w:val="002B731D"/>
    <w:rsid w:val="002C00DF"/>
    <w:rsid w:val="002C1069"/>
    <w:rsid w:val="002C130A"/>
    <w:rsid w:val="002C4793"/>
    <w:rsid w:val="002D0599"/>
    <w:rsid w:val="002D0CC5"/>
    <w:rsid w:val="002D13AE"/>
    <w:rsid w:val="002D2F3B"/>
    <w:rsid w:val="002D4C22"/>
    <w:rsid w:val="002D4E1B"/>
    <w:rsid w:val="002D64A3"/>
    <w:rsid w:val="002D65B3"/>
    <w:rsid w:val="002D6719"/>
    <w:rsid w:val="002E06E0"/>
    <w:rsid w:val="002E08CF"/>
    <w:rsid w:val="002E286A"/>
    <w:rsid w:val="002E49FB"/>
    <w:rsid w:val="002E6A9D"/>
    <w:rsid w:val="002F0AB5"/>
    <w:rsid w:val="002F0F5F"/>
    <w:rsid w:val="002F1453"/>
    <w:rsid w:val="002F350A"/>
    <w:rsid w:val="002F37FF"/>
    <w:rsid w:val="002F4459"/>
    <w:rsid w:val="002F5C32"/>
    <w:rsid w:val="002F5E53"/>
    <w:rsid w:val="002F6995"/>
    <w:rsid w:val="002F76B8"/>
    <w:rsid w:val="002F7E20"/>
    <w:rsid w:val="003027C4"/>
    <w:rsid w:val="0030482A"/>
    <w:rsid w:val="0030636A"/>
    <w:rsid w:val="0030707C"/>
    <w:rsid w:val="00307E65"/>
    <w:rsid w:val="0031041F"/>
    <w:rsid w:val="003114DC"/>
    <w:rsid w:val="00312A5A"/>
    <w:rsid w:val="003135AD"/>
    <w:rsid w:val="0031482F"/>
    <w:rsid w:val="00317903"/>
    <w:rsid w:val="00324575"/>
    <w:rsid w:val="0032642E"/>
    <w:rsid w:val="003316B5"/>
    <w:rsid w:val="00332A8A"/>
    <w:rsid w:val="00335E65"/>
    <w:rsid w:val="003373AD"/>
    <w:rsid w:val="003406B7"/>
    <w:rsid w:val="00341B0E"/>
    <w:rsid w:val="00342442"/>
    <w:rsid w:val="00343875"/>
    <w:rsid w:val="00345EFE"/>
    <w:rsid w:val="00347C6F"/>
    <w:rsid w:val="00351A18"/>
    <w:rsid w:val="0035495A"/>
    <w:rsid w:val="003560A9"/>
    <w:rsid w:val="00357478"/>
    <w:rsid w:val="00360037"/>
    <w:rsid w:val="003616A6"/>
    <w:rsid w:val="00361FB7"/>
    <w:rsid w:val="00362500"/>
    <w:rsid w:val="0036278F"/>
    <w:rsid w:val="00362851"/>
    <w:rsid w:val="00362893"/>
    <w:rsid w:val="003679A2"/>
    <w:rsid w:val="00370658"/>
    <w:rsid w:val="00374031"/>
    <w:rsid w:val="00375B7A"/>
    <w:rsid w:val="003762F7"/>
    <w:rsid w:val="00380288"/>
    <w:rsid w:val="00380657"/>
    <w:rsid w:val="00381BD5"/>
    <w:rsid w:val="0038352D"/>
    <w:rsid w:val="00383EAB"/>
    <w:rsid w:val="003840B5"/>
    <w:rsid w:val="00384F12"/>
    <w:rsid w:val="00385063"/>
    <w:rsid w:val="0038632B"/>
    <w:rsid w:val="00386917"/>
    <w:rsid w:val="00390639"/>
    <w:rsid w:val="00390A38"/>
    <w:rsid w:val="00391C9C"/>
    <w:rsid w:val="003920E6"/>
    <w:rsid w:val="003925A4"/>
    <w:rsid w:val="00393F39"/>
    <w:rsid w:val="0039481B"/>
    <w:rsid w:val="00394888"/>
    <w:rsid w:val="00394AD4"/>
    <w:rsid w:val="00395A57"/>
    <w:rsid w:val="00395F1C"/>
    <w:rsid w:val="0039640C"/>
    <w:rsid w:val="003A2E58"/>
    <w:rsid w:val="003A2EDF"/>
    <w:rsid w:val="003A382B"/>
    <w:rsid w:val="003A5847"/>
    <w:rsid w:val="003A66FD"/>
    <w:rsid w:val="003A79AF"/>
    <w:rsid w:val="003B07EF"/>
    <w:rsid w:val="003B1308"/>
    <w:rsid w:val="003B1E32"/>
    <w:rsid w:val="003B3C03"/>
    <w:rsid w:val="003B43F2"/>
    <w:rsid w:val="003B519D"/>
    <w:rsid w:val="003B5520"/>
    <w:rsid w:val="003B5859"/>
    <w:rsid w:val="003B5877"/>
    <w:rsid w:val="003B597E"/>
    <w:rsid w:val="003B7BE8"/>
    <w:rsid w:val="003C0442"/>
    <w:rsid w:val="003C157F"/>
    <w:rsid w:val="003C17D8"/>
    <w:rsid w:val="003C416E"/>
    <w:rsid w:val="003C4578"/>
    <w:rsid w:val="003C62D3"/>
    <w:rsid w:val="003C734C"/>
    <w:rsid w:val="003D0E31"/>
    <w:rsid w:val="003D2FED"/>
    <w:rsid w:val="003D3016"/>
    <w:rsid w:val="003D3EED"/>
    <w:rsid w:val="003D41D0"/>
    <w:rsid w:val="003D5F62"/>
    <w:rsid w:val="003D725D"/>
    <w:rsid w:val="003D76E7"/>
    <w:rsid w:val="003E115F"/>
    <w:rsid w:val="003E1229"/>
    <w:rsid w:val="003E1FF9"/>
    <w:rsid w:val="003E2564"/>
    <w:rsid w:val="003E3F25"/>
    <w:rsid w:val="003E66B1"/>
    <w:rsid w:val="003E772C"/>
    <w:rsid w:val="003F283E"/>
    <w:rsid w:val="003F296E"/>
    <w:rsid w:val="003F472D"/>
    <w:rsid w:val="003F64D3"/>
    <w:rsid w:val="003F77CB"/>
    <w:rsid w:val="004030E7"/>
    <w:rsid w:val="00403D4A"/>
    <w:rsid w:val="004046C1"/>
    <w:rsid w:val="004103CC"/>
    <w:rsid w:val="004126F2"/>
    <w:rsid w:val="00414125"/>
    <w:rsid w:val="00414A9C"/>
    <w:rsid w:val="00414CD9"/>
    <w:rsid w:val="00415C42"/>
    <w:rsid w:val="00416E22"/>
    <w:rsid w:val="00416EBB"/>
    <w:rsid w:val="00426CDB"/>
    <w:rsid w:val="00432154"/>
    <w:rsid w:val="004322E2"/>
    <w:rsid w:val="00432610"/>
    <w:rsid w:val="00434C26"/>
    <w:rsid w:val="00440E91"/>
    <w:rsid w:val="0045109B"/>
    <w:rsid w:val="00451F25"/>
    <w:rsid w:val="00452783"/>
    <w:rsid w:val="004527DB"/>
    <w:rsid w:val="00457612"/>
    <w:rsid w:val="00460ECE"/>
    <w:rsid w:val="0046104A"/>
    <w:rsid w:val="00461057"/>
    <w:rsid w:val="00462770"/>
    <w:rsid w:val="0046414D"/>
    <w:rsid w:val="00470212"/>
    <w:rsid w:val="00470F4C"/>
    <w:rsid w:val="00474306"/>
    <w:rsid w:val="00476E1F"/>
    <w:rsid w:val="0047710A"/>
    <w:rsid w:val="004779CF"/>
    <w:rsid w:val="00477D9D"/>
    <w:rsid w:val="00482ABB"/>
    <w:rsid w:val="00482AEA"/>
    <w:rsid w:val="00484186"/>
    <w:rsid w:val="00485268"/>
    <w:rsid w:val="0048720A"/>
    <w:rsid w:val="004874A2"/>
    <w:rsid w:val="00487E94"/>
    <w:rsid w:val="00492F3C"/>
    <w:rsid w:val="00496968"/>
    <w:rsid w:val="0049782C"/>
    <w:rsid w:val="00497FC8"/>
    <w:rsid w:val="004A0C02"/>
    <w:rsid w:val="004A1B55"/>
    <w:rsid w:val="004B0F04"/>
    <w:rsid w:val="004B1647"/>
    <w:rsid w:val="004B1751"/>
    <w:rsid w:val="004B18E8"/>
    <w:rsid w:val="004B7522"/>
    <w:rsid w:val="004B7F35"/>
    <w:rsid w:val="004C11A2"/>
    <w:rsid w:val="004C1756"/>
    <w:rsid w:val="004C1AD2"/>
    <w:rsid w:val="004C238C"/>
    <w:rsid w:val="004C364A"/>
    <w:rsid w:val="004C3711"/>
    <w:rsid w:val="004C39C9"/>
    <w:rsid w:val="004C4465"/>
    <w:rsid w:val="004C5145"/>
    <w:rsid w:val="004C73CE"/>
    <w:rsid w:val="004D0223"/>
    <w:rsid w:val="004D4021"/>
    <w:rsid w:val="004D4E15"/>
    <w:rsid w:val="004D52EF"/>
    <w:rsid w:val="004D560C"/>
    <w:rsid w:val="004D5770"/>
    <w:rsid w:val="004D6F32"/>
    <w:rsid w:val="004E0DB0"/>
    <w:rsid w:val="004E1791"/>
    <w:rsid w:val="004E1BB5"/>
    <w:rsid w:val="004E3E9B"/>
    <w:rsid w:val="004E6A04"/>
    <w:rsid w:val="004E7073"/>
    <w:rsid w:val="004F7958"/>
    <w:rsid w:val="005017FC"/>
    <w:rsid w:val="005031EF"/>
    <w:rsid w:val="005035AB"/>
    <w:rsid w:val="00506A9B"/>
    <w:rsid w:val="005073A8"/>
    <w:rsid w:val="0051112D"/>
    <w:rsid w:val="0051191B"/>
    <w:rsid w:val="005119DE"/>
    <w:rsid w:val="0051287E"/>
    <w:rsid w:val="00513C76"/>
    <w:rsid w:val="005140A2"/>
    <w:rsid w:val="00521620"/>
    <w:rsid w:val="0052216F"/>
    <w:rsid w:val="00522908"/>
    <w:rsid w:val="0052297B"/>
    <w:rsid w:val="00523418"/>
    <w:rsid w:val="00524C30"/>
    <w:rsid w:val="0052623D"/>
    <w:rsid w:val="00530BA0"/>
    <w:rsid w:val="00532D31"/>
    <w:rsid w:val="00532E44"/>
    <w:rsid w:val="00533FDD"/>
    <w:rsid w:val="00542BAA"/>
    <w:rsid w:val="00542BB5"/>
    <w:rsid w:val="00542EF4"/>
    <w:rsid w:val="005446BF"/>
    <w:rsid w:val="005460AF"/>
    <w:rsid w:val="00546782"/>
    <w:rsid w:val="0055147E"/>
    <w:rsid w:val="005521FA"/>
    <w:rsid w:val="005522D3"/>
    <w:rsid w:val="00552523"/>
    <w:rsid w:val="005527FE"/>
    <w:rsid w:val="00552C46"/>
    <w:rsid w:val="0055639E"/>
    <w:rsid w:val="0055660A"/>
    <w:rsid w:val="00560CCE"/>
    <w:rsid w:val="00560FC9"/>
    <w:rsid w:val="00562F07"/>
    <w:rsid w:val="0056304A"/>
    <w:rsid w:val="0056367A"/>
    <w:rsid w:val="00563BB6"/>
    <w:rsid w:val="00563E42"/>
    <w:rsid w:val="00564275"/>
    <w:rsid w:val="005648A5"/>
    <w:rsid w:val="00566698"/>
    <w:rsid w:val="00571F79"/>
    <w:rsid w:val="00572AE7"/>
    <w:rsid w:val="00575BD2"/>
    <w:rsid w:val="00576DBC"/>
    <w:rsid w:val="00577A50"/>
    <w:rsid w:val="0058380D"/>
    <w:rsid w:val="00587ADE"/>
    <w:rsid w:val="0059109E"/>
    <w:rsid w:val="00591B59"/>
    <w:rsid w:val="00592D79"/>
    <w:rsid w:val="005945A6"/>
    <w:rsid w:val="005961D3"/>
    <w:rsid w:val="00596A34"/>
    <w:rsid w:val="005A096D"/>
    <w:rsid w:val="005A2A5C"/>
    <w:rsid w:val="005A61AF"/>
    <w:rsid w:val="005B3EDE"/>
    <w:rsid w:val="005B5A71"/>
    <w:rsid w:val="005B6E67"/>
    <w:rsid w:val="005C1D7A"/>
    <w:rsid w:val="005C2085"/>
    <w:rsid w:val="005C24CF"/>
    <w:rsid w:val="005C5E80"/>
    <w:rsid w:val="005C735E"/>
    <w:rsid w:val="005D1DE2"/>
    <w:rsid w:val="005D3992"/>
    <w:rsid w:val="005D3E5E"/>
    <w:rsid w:val="005D4C39"/>
    <w:rsid w:val="005D5664"/>
    <w:rsid w:val="005D77D2"/>
    <w:rsid w:val="005D7A1E"/>
    <w:rsid w:val="005E0BC1"/>
    <w:rsid w:val="005E1650"/>
    <w:rsid w:val="005E1FB2"/>
    <w:rsid w:val="005E25BD"/>
    <w:rsid w:val="005E29DE"/>
    <w:rsid w:val="005E4B8D"/>
    <w:rsid w:val="005E4C2C"/>
    <w:rsid w:val="005E5A15"/>
    <w:rsid w:val="005E608D"/>
    <w:rsid w:val="005E6446"/>
    <w:rsid w:val="005E6853"/>
    <w:rsid w:val="005E796F"/>
    <w:rsid w:val="005E7DD5"/>
    <w:rsid w:val="005F12EE"/>
    <w:rsid w:val="005F180E"/>
    <w:rsid w:val="005F223D"/>
    <w:rsid w:val="005F3719"/>
    <w:rsid w:val="005F37D6"/>
    <w:rsid w:val="005F3BB3"/>
    <w:rsid w:val="005F4BAE"/>
    <w:rsid w:val="005F5191"/>
    <w:rsid w:val="005F5922"/>
    <w:rsid w:val="005F6639"/>
    <w:rsid w:val="005F6FCE"/>
    <w:rsid w:val="005F77C7"/>
    <w:rsid w:val="00600E64"/>
    <w:rsid w:val="00602402"/>
    <w:rsid w:val="0060266C"/>
    <w:rsid w:val="00603B9C"/>
    <w:rsid w:val="006045FF"/>
    <w:rsid w:val="00604639"/>
    <w:rsid w:val="00604A87"/>
    <w:rsid w:val="0060504B"/>
    <w:rsid w:val="006111DC"/>
    <w:rsid w:val="00611207"/>
    <w:rsid w:val="00612637"/>
    <w:rsid w:val="006133A6"/>
    <w:rsid w:val="00613732"/>
    <w:rsid w:val="00621776"/>
    <w:rsid w:val="00621872"/>
    <w:rsid w:val="00622B01"/>
    <w:rsid w:val="00622EF1"/>
    <w:rsid w:val="00624033"/>
    <w:rsid w:val="0062434C"/>
    <w:rsid w:val="00627ABD"/>
    <w:rsid w:val="0063056A"/>
    <w:rsid w:val="00630E10"/>
    <w:rsid w:val="00633FA4"/>
    <w:rsid w:val="006355A1"/>
    <w:rsid w:val="00635B3E"/>
    <w:rsid w:val="00636D9A"/>
    <w:rsid w:val="00640640"/>
    <w:rsid w:val="00641850"/>
    <w:rsid w:val="0064222B"/>
    <w:rsid w:val="00642AB3"/>
    <w:rsid w:val="00643529"/>
    <w:rsid w:val="0064640D"/>
    <w:rsid w:val="00646A4F"/>
    <w:rsid w:val="0065017E"/>
    <w:rsid w:val="00650F15"/>
    <w:rsid w:val="00653158"/>
    <w:rsid w:val="00653C31"/>
    <w:rsid w:val="00654353"/>
    <w:rsid w:val="00654D0D"/>
    <w:rsid w:val="006557F5"/>
    <w:rsid w:val="0065608C"/>
    <w:rsid w:val="00656322"/>
    <w:rsid w:val="00657200"/>
    <w:rsid w:val="00657EA5"/>
    <w:rsid w:val="0066101E"/>
    <w:rsid w:val="00662458"/>
    <w:rsid w:val="00664AB6"/>
    <w:rsid w:val="00665FF8"/>
    <w:rsid w:val="00673243"/>
    <w:rsid w:val="00674537"/>
    <w:rsid w:val="006748A0"/>
    <w:rsid w:val="00680AAD"/>
    <w:rsid w:val="00680C1E"/>
    <w:rsid w:val="00681EC1"/>
    <w:rsid w:val="006823A8"/>
    <w:rsid w:val="00683681"/>
    <w:rsid w:val="00683B61"/>
    <w:rsid w:val="00683D6A"/>
    <w:rsid w:val="00684904"/>
    <w:rsid w:val="006851CD"/>
    <w:rsid w:val="00686430"/>
    <w:rsid w:val="00686AB0"/>
    <w:rsid w:val="00690019"/>
    <w:rsid w:val="0069087B"/>
    <w:rsid w:val="006912F4"/>
    <w:rsid w:val="00692855"/>
    <w:rsid w:val="00692B33"/>
    <w:rsid w:val="00693281"/>
    <w:rsid w:val="00694853"/>
    <w:rsid w:val="00696041"/>
    <w:rsid w:val="0069735E"/>
    <w:rsid w:val="006A0EEA"/>
    <w:rsid w:val="006A3F0D"/>
    <w:rsid w:val="006A3FCD"/>
    <w:rsid w:val="006A4515"/>
    <w:rsid w:val="006A4EE2"/>
    <w:rsid w:val="006A5023"/>
    <w:rsid w:val="006B003F"/>
    <w:rsid w:val="006B0738"/>
    <w:rsid w:val="006B0FA8"/>
    <w:rsid w:val="006B2410"/>
    <w:rsid w:val="006B5F9A"/>
    <w:rsid w:val="006C055E"/>
    <w:rsid w:val="006C0EAC"/>
    <w:rsid w:val="006C2BA7"/>
    <w:rsid w:val="006C2C7D"/>
    <w:rsid w:val="006C342D"/>
    <w:rsid w:val="006C4C22"/>
    <w:rsid w:val="006C4F52"/>
    <w:rsid w:val="006C6C57"/>
    <w:rsid w:val="006C714E"/>
    <w:rsid w:val="006C78AA"/>
    <w:rsid w:val="006C7D61"/>
    <w:rsid w:val="006D1A1A"/>
    <w:rsid w:val="006D39D0"/>
    <w:rsid w:val="006D3BA7"/>
    <w:rsid w:val="006D59CA"/>
    <w:rsid w:val="006E02E4"/>
    <w:rsid w:val="006E1FBB"/>
    <w:rsid w:val="006E209F"/>
    <w:rsid w:val="006E4899"/>
    <w:rsid w:val="006E5253"/>
    <w:rsid w:val="006E5950"/>
    <w:rsid w:val="006E77B8"/>
    <w:rsid w:val="006F04D4"/>
    <w:rsid w:val="006F28F2"/>
    <w:rsid w:val="006F4546"/>
    <w:rsid w:val="006F4AB2"/>
    <w:rsid w:val="006F4C2D"/>
    <w:rsid w:val="006F5F22"/>
    <w:rsid w:val="007001E0"/>
    <w:rsid w:val="007004FF"/>
    <w:rsid w:val="00701851"/>
    <w:rsid w:val="0070195B"/>
    <w:rsid w:val="007037A8"/>
    <w:rsid w:val="00704C4F"/>
    <w:rsid w:val="00704C57"/>
    <w:rsid w:val="007063BA"/>
    <w:rsid w:val="007068E0"/>
    <w:rsid w:val="00706CE3"/>
    <w:rsid w:val="0071076E"/>
    <w:rsid w:val="007119E4"/>
    <w:rsid w:val="00712D86"/>
    <w:rsid w:val="007138FC"/>
    <w:rsid w:val="007172CC"/>
    <w:rsid w:val="00717329"/>
    <w:rsid w:val="007232B8"/>
    <w:rsid w:val="00723AE3"/>
    <w:rsid w:val="00724619"/>
    <w:rsid w:val="00725468"/>
    <w:rsid w:val="00726D3F"/>
    <w:rsid w:val="00730C3C"/>
    <w:rsid w:val="0073280B"/>
    <w:rsid w:val="00735C58"/>
    <w:rsid w:val="00737E78"/>
    <w:rsid w:val="00740851"/>
    <w:rsid w:val="00744056"/>
    <w:rsid w:val="00746C96"/>
    <w:rsid w:val="00747FFD"/>
    <w:rsid w:val="007503D0"/>
    <w:rsid w:val="00750ABB"/>
    <w:rsid w:val="00750B5B"/>
    <w:rsid w:val="00750C6E"/>
    <w:rsid w:val="0075137B"/>
    <w:rsid w:val="00751E95"/>
    <w:rsid w:val="00752830"/>
    <w:rsid w:val="00753000"/>
    <w:rsid w:val="00754DF5"/>
    <w:rsid w:val="007570D5"/>
    <w:rsid w:val="00757ED6"/>
    <w:rsid w:val="0076027C"/>
    <w:rsid w:val="007622D0"/>
    <w:rsid w:val="00762858"/>
    <w:rsid w:val="00763473"/>
    <w:rsid w:val="00763F04"/>
    <w:rsid w:val="00764B98"/>
    <w:rsid w:val="007653EB"/>
    <w:rsid w:val="00766DD0"/>
    <w:rsid w:val="0077117C"/>
    <w:rsid w:val="007714ED"/>
    <w:rsid w:val="0077163A"/>
    <w:rsid w:val="00772532"/>
    <w:rsid w:val="00773B5A"/>
    <w:rsid w:val="007748E1"/>
    <w:rsid w:val="00774CC8"/>
    <w:rsid w:val="00775DF2"/>
    <w:rsid w:val="00776ACA"/>
    <w:rsid w:val="00780388"/>
    <w:rsid w:val="00780B32"/>
    <w:rsid w:val="0078111B"/>
    <w:rsid w:val="007812BE"/>
    <w:rsid w:val="00782408"/>
    <w:rsid w:val="00783E2D"/>
    <w:rsid w:val="00784180"/>
    <w:rsid w:val="00784352"/>
    <w:rsid w:val="00785752"/>
    <w:rsid w:val="007859C2"/>
    <w:rsid w:val="00786008"/>
    <w:rsid w:val="0078787D"/>
    <w:rsid w:val="00791909"/>
    <w:rsid w:val="007A1ABE"/>
    <w:rsid w:val="007A1CAD"/>
    <w:rsid w:val="007A2263"/>
    <w:rsid w:val="007A3F97"/>
    <w:rsid w:val="007A4DF0"/>
    <w:rsid w:val="007A59C8"/>
    <w:rsid w:val="007A5C23"/>
    <w:rsid w:val="007A6386"/>
    <w:rsid w:val="007A712E"/>
    <w:rsid w:val="007A75EB"/>
    <w:rsid w:val="007B15F9"/>
    <w:rsid w:val="007B5444"/>
    <w:rsid w:val="007B706C"/>
    <w:rsid w:val="007C20C7"/>
    <w:rsid w:val="007C246B"/>
    <w:rsid w:val="007C28C9"/>
    <w:rsid w:val="007C46B3"/>
    <w:rsid w:val="007C660C"/>
    <w:rsid w:val="007C685B"/>
    <w:rsid w:val="007D0614"/>
    <w:rsid w:val="007D1A08"/>
    <w:rsid w:val="007D3697"/>
    <w:rsid w:val="007D3DB9"/>
    <w:rsid w:val="007D44C7"/>
    <w:rsid w:val="007D6DFB"/>
    <w:rsid w:val="007E07D3"/>
    <w:rsid w:val="007E6689"/>
    <w:rsid w:val="007E7B39"/>
    <w:rsid w:val="007F0779"/>
    <w:rsid w:val="007F307C"/>
    <w:rsid w:val="007F3A41"/>
    <w:rsid w:val="007F6CC3"/>
    <w:rsid w:val="007F6D4D"/>
    <w:rsid w:val="007F77F0"/>
    <w:rsid w:val="007F7847"/>
    <w:rsid w:val="008009AC"/>
    <w:rsid w:val="0080176B"/>
    <w:rsid w:val="00801C5E"/>
    <w:rsid w:val="00801DAE"/>
    <w:rsid w:val="00801EDD"/>
    <w:rsid w:val="0080340C"/>
    <w:rsid w:val="00804B94"/>
    <w:rsid w:val="008066F4"/>
    <w:rsid w:val="00807415"/>
    <w:rsid w:val="00807B11"/>
    <w:rsid w:val="00812BEA"/>
    <w:rsid w:val="00812FF1"/>
    <w:rsid w:val="00816AFC"/>
    <w:rsid w:val="00817475"/>
    <w:rsid w:val="008201CA"/>
    <w:rsid w:val="008219FC"/>
    <w:rsid w:val="00821A7C"/>
    <w:rsid w:val="008232A1"/>
    <w:rsid w:val="008234BF"/>
    <w:rsid w:val="00824CF5"/>
    <w:rsid w:val="008271A2"/>
    <w:rsid w:val="0082760D"/>
    <w:rsid w:val="00832C54"/>
    <w:rsid w:val="00835D43"/>
    <w:rsid w:val="00837C9F"/>
    <w:rsid w:val="0084002D"/>
    <w:rsid w:val="00840EBD"/>
    <w:rsid w:val="0084360E"/>
    <w:rsid w:val="00845BEC"/>
    <w:rsid w:val="00846D84"/>
    <w:rsid w:val="0085013E"/>
    <w:rsid w:val="00851295"/>
    <w:rsid w:val="00860499"/>
    <w:rsid w:val="00861A4D"/>
    <w:rsid w:val="008628D8"/>
    <w:rsid w:val="00862A75"/>
    <w:rsid w:val="00863034"/>
    <w:rsid w:val="00863D29"/>
    <w:rsid w:val="00866622"/>
    <w:rsid w:val="008670E3"/>
    <w:rsid w:val="00867D64"/>
    <w:rsid w:val="00867E4D"/>
    <w:rsid w:val="0087044D"/>
    <w:rsid w:val="00872490"/>
    <w:rsid w:val="008734B2"/>
    <w:rsid w:val="00873DB5"/>
    <w:rsid w:val="0087421E"/>
    <w:rsid w:val="00875D3B"/>
    <w:rsid w:val="008765DF"/>
    <w:rsid w:val="00880B2D"/>
    <w:rsid w:val="00881AF9"/>
    <w:rsid w:val="00881BFD"/>
    <w:rsid w:val="00883AB0"/>
    <w:rsid w:val="008841FB"/>
    <w:rsid w:val="00891779"/>
    <w:rsid w:val="0089199E"/>
    <w:rsid w:val="008921F5"/>
    <w:rsid w:val="0089275F"/>
    <w:rsid w:val="00894108"/>
    <w:rsid w:val="00894C08"/>
    <w:rsid w:val="0089674B"/>
    <w:rsid w:val="0089698E"/>
    <w:rsid w:val="008972FF"/>
    <w:rsid w:val="008973CD"/>
    <w:rsid w:val="00897F16"/>
    <w:rsid w:val="008A1DCF"/>
    <w:rsid w:val="008A3F0A"/>
    <w:rsid w:val="008A3F5B"/>
    <w:rsid w:val="008A44B1"/>
    <w:rsid w:val="008A4D13"/>
    <w:rsid w:val="008A509D"/>
    <w:rsid w:val="008A5C19"/>
    <w:rsid w:val="008A79DC"/>
    <w:rsid w:val="008A7A19"/>
    <w:rsid w:val="008B0A63"/>
    <w:rsid w:val="008B1159"/>
    <w:rsid w:val="008B18E2"/>
    <w:rsid w:val="008B1DFA"/>
    <w:rsid w:val="008B28AE"/>
    <w:rsid w:val="008B4C13"/>
    <w:rsid w:val="008B4F67"/>
    <w:rsid w:val="008B5B6C"/>
    <w:rsid w:val="008B6060"/>
    <w:rsid w:val="008B6CEF"/>
    <w:rsid w:val="008B7472"/>
    <w:rsid w:val="008C07AE"/>
    <w:rsid w:val="008C13C8"/>
    <w:rsid w:val="008C2EBA"/>
    <w:rsid w:val="008C38C3"/>
    <w:rsid w:val="008C3DE8"/>
    <w:rsid w:val="008C4A3E"/>
    <w:rsid w:val="008C5944"/>
    <w:rsid w:val="008D0714"/>
    <w:rsid w:val="008D0CCD"/>
    <w:rsid w:val="008D0EF6"/>
    <w:rsid w:val="008D1334"/>
    <w:rsid w:val="008D1FF0"/>
    <w:rsid w:val="008D428D"/>
    <w:rsid w:val="008D449F"/>
    <w:rsid w:val="008D6B2E"/>
    <w:rsid w:val="008D6F0F"/>
    <w:rsid w:val="008D7450"/>
    <w:rsid w:val="008E054F"/>
    <w:rsid w:val="008E0A5C"/>
    <w:rsid w:val="008E10FD"/>
    <w:rsid w:val="008E7B2E"/>
    <w:rsid w:val="008F1517"/>
    <w:rsid w:val="008F26F4"/>
    <w:rsid w:val="008F2847"/>
    <w:rsid w:val="008F3A86"/>
    <w:rsid w:val="008F3E09"/>
    <w:rsid w:val="008F4206"/>
    <w:rsid w:val="008F48DA"/>
    <w:rsid w:val="008F4C0A"/>
    <w:rsid w:val="008F616F"/>
    <w:rsid w:val="008F6903"/>
    <w:rsid w:val="0090294F"/>
    <w:rsid w:val="009030BF"/>
    <w:rsid w:val="00903627"/>
    <w:rsid w:val="00903B34"/>
    <w:rsid w:val="00903DC9"/>
    <w:rsid w:val="00904E6B"/>
    <w:rsid w:val="00905965"/>
    <w:rsid w:val="00906182"/>
    <w:rsid w:val="0090626F"/>
    <w:rsid w:val="00912058"/>
    <w:rsid w:val="00913F34"/>
    <w:rsid w:val="00914419"/>
    <w:rsid w:val="00916814"/>
    <w:rsid w:val="00916994"/>
    <w:rsid w:val="00920B48"/>
    <w:rsid w:val="00921AE1"/>
    <w:rsid w:val="00922A6A"/>
    <w:rsid w:val="00922D74"/>
    <w:rsid w:val="00923F65"/>
    <w:rsid w:val="009253B8"/>
    <w:rsid w:val="00925945"/>
    <w:rsid w:val="009266C9"/>
    <w:rsid w:val="00926BF5"/>
    <w:rsid w:val="009327F5"/>
    <w:rsid w:val="00932CAF"/>
    <w:rsid w:val="009349F5"/>
    <w:rsid w:val="00935F78"/>
    <w:rsid w:val="00936E2A"/>
    <w:rsid w:val="00937F7D"/>
    <w:rsid w:val="009403D6"/>
    <w:rsid w:val="00941B93"/>
    <w:rsid w:val="00942A54"/>
    <w:rsid w:val="00944174"/>
    <w:rsid w:val="00944557"/>
    <w:rsid w:val="00944CD8"/>
    <w:rsid w:val="00944EDE"/>
    <w:rsid w:val="00945C3C"/>
    <w:rsid w:val="00947BFC"/>
    <w:rsid w:val="00951AC6"/>
    <w:rsid w:val="009522B0"/>
    <w:rsid w:val="00952BD6"/>
    <w:rsid w:val="00953CB1"/>
    <w:rsid w:val="00955BCA"/>
    <w:rsid w:val="0096131D"/>
    <w:rsid w:val="00961431"/>
    <w:rsid w:val="009626A1"/>
    <w:rsid w:val="00962DDC"/>
    <w:rsid w:val="00964440"/>
    <w:rsid w:val="009644C4"/>
    <w:rsid w:val="00964630"/>
    <w:rsid w:val="00966963"/>
    <w:rsid w:val="0097303D"/>
    <w:rsid w:val="009761B0"/>
    <w:rsid w:val="00976299"/>
    <w:rsid w:val="00976312"/>
    <w:rsid w:val="00980976"/>
    <w:rsid w:val="00982F0F"/>
    <w:rsid w:val="009837CD"/>
    <w:rsid w:val="00984673"/>
    <w:rsid w:val="00985AA5"/>
    <w:rsid w:val="00986C8E"/>
    <w:rsid w:val="00986F17"/>
    <w:rsid w:val="00987F1E"/>
    <w:rsid w:val="009914F0"/>
    <w:rsid w:val="009915AA"/>
    <w:rsid w:val="0099217B"/>
    <w:rsid w:val="00992D8F"/>
    <w:rsid w:val="009930B0"/>
    <w:rsid w:val="009932FD"/>
    <w:rsid w:val="00995444"/>
    <w:rsid w:val="009955A0"/>
    <w:rsid w:val="00996362"/>
    <w:rsid w:val="0099699D"/>
    <w:rsid w:val="009969FC"/>
    <w:rsid w:val="0099735F"/>
    <w:rsid w:val="009977F2"/>
    <w:rsid w:val="009A0841"/>
    <w:rsid w:val="009A18CB"/>
    <w:rsid w:val="009A2070"/>
    <w:rsid w:val="009A2C85"/>
    <w:rsid w:val="009A35EE"/>
    <w:rsid w:val="009A3BC8"/>
    <w:rsid w:val="009A462A"/>
    <w:rsid w:val="009A6AED"/>
    <w:rsid w:val="009A7017"/>
    <w:rsid w:val="009A7156"/>
    <w:rsid w:val="009B0F99"/>
    <w:rsid w:val="009B3F2B"/>
    <w:rsid w:val="009B43B0"/>
    <w:rsid w:val="009B5DDC"/>
    <w:rsid w:val="009B735F"/>
    <w:rsid w:val="009C0AC9"/>
    <w:rsid w:val="009C22CE"/>
    <w:rsid w:val="009C4834"/>
    <w:rsid w:val="009C58E4"/>
    <w:rsid w:val="009C5C63"/>
    <w:rsid w:val="009C6496"/>
    <w:rsid w:val="009C6714"/>
    <w:rsid w:val="009D06C5"/>
    <w:rsid w:val="009D534C"/>
    <w:rsid w:val="009D5F7B"/>
    <w:rsid w:val="009D728C"/>
    <w:rsid w:val="009E289C"/>
    <w:rsid w:val="009E4C32"/>
    <w:rsid w:val="009E5B14"/>
    <w:rsid w:val="009F1FE0"/>
    <w:rsid w:val="009F23D4"/>
    <w:rsid w:val="009F3197"/>
    <w:rsid w:val="009F6646"/>
    <w:rsid w:val="009F6D8C"/>
    <w:rsid w:val="00A00122"/>
    <w:rsid w:val="00A008BE"/>
    <w:rsid w:val="00A0152C"/>
    <w:rsid w:val="00A018D3"/>
    <w:rsid w:val="00A01F17"/>
    <w:rsid w:val="00A03DA3"/>
    <w:rsid w:val="00A05A5D"/>
    <w:rsid w:val="00A064AC"/>
    <w:rsid w:val="00A06CA9"/>
    <w:rsid w:val="00A10672"/>
    <w:rsid w:val="00A110BD"/>
    <w:rsid w:val="00A11E09"/>
    <w:rsid w:val="00A120C6"/>
    <w:rsid w:val="00A14A7F"/>
    <w:rsid w:val="00A16BD3"/>
    <w:rsid w:val="00A17C88"/>
    <w:rsid w:val="00A2182D"/>
    <w:rsid w:val="00A2232F"/>
    <w:rsid w:val="00A24CD6"/>
    <w:rsid w:val="00A25E8D"/>
    <w:rsid w:val="00A263D3"/>
    <w:rsid w:val="00A26599"/>
    <w:rsid w:val="00A26F6C"/>
    <w:rsid w:val="00A2716B"/>
    <w:rsid w:val="00A2777E"/>
    <w:rsid w:val="00A30293"/>
    <w:rsid w:val="00A31AC2"/>
    <w:rsid w:val="00A31D86"/>
    <w:rsid w:val="00A325D5"/>
    <w:rsid w:val="00A33E64"/>
    <w:rsid w:val="00A356CA"/>
    <w:rsid w:val="00A371FA"/>
    <w:rsid w:val="00A40048"/>
    <w:rsid w:val="00A41877"/>
    <w:rsid w:val="00A422F9"/>
    <w:rsid w:val="00A4355C"/>
    <w:rsid w:val="00A4449C"/>
    <w:rsid w:val="00A4619D"/>
    <w:rsid w:val="00A50B23"/>
    <w:rsid w:val="00A523ED"/>
    <w:rsid w:val="00A54987"/>
    <w:rsid w:val="00A549ED"/>
    <w:rsid w:val="00A573A4"/>
    <w:rsid w:val="00A6098A"/>
    <w:rsid w:val="00A65C41"/>
    <w:rsid w:val="00A66AF4"/>
    <w:rsid w:val="00A70189"/>
    <w:rsid w:val="00A70369"/>
    <w:rsid w:val="00A7129B"/>
    <w:rsid w:val="00A72917"/>
    <w:rsid w:val="00A76CEE"/>
    <w:rsid w:val="00A77205"/>
    <w:rsid w:val="00A77C61"/>
    <w:rsid w:val="00A809E9"/>
    <w:rsid w:val="00A80AC1"/>
    <w:rsid w:val="00A849AD"/>
    <w:rsid w:val="00A84A81"/>
    <w:rsid w:val="00A864FD"/>
    <w:rsid w:val="00A87F67"/>
    <w:rsid w:val="00A90A7A"/>
    <w:rsid w:val="00A92F9F"/>
    <w:rsid w:val="00A94D02"/>
    <w:rsid w:val="00A95B8B"/>
    <w:rsid w:val="00A95C60"/>
    <w:rsid w:val="00AA03A4"/>
    <w:rsid w:val="00AA1318"/>
    <w:rsid w:val="00AA2393"/>
    <w:rsid w:val="00AA437C"/>
    <w:rsid w:val="00AA5A21"/>
    <w:rsid w:val="00AB033E"/>
    <w:rsid w:val="00AB05E0"/>
    <w:rsid w:val="00AB0A8C"/>
    <w:rsid w:val="00AB1ACF"/>
    <w:rsid w:val="00AB1C93"/>
    <w:rsid w:val="00AB23C4"/>
    <w:rsid w:val="00AB6508"/>
    <w:rsid w:val="00AB6DA6"/>
    <w:rsid w:val="00AB78F0"/>
    <w:rsid w:val="00AC0F76"/>
    <w:rsid w:val="00AC5958"/>
    <w:rsid w:val="00AC7651"/>
    <w:rsid w:val="00AD058F"/>
    <w:rsid w:val="00AD081A"/>
    <w:rsid w:val="00AD1453"/>
    <w:rsid w:val="00AD261A"/>
    <w:rsid w:val="00AD400C"/>
    <w:rsid w:val="00AD4886"/>
    <w:rsid w:val="00AD767A"/>
    <w:rsid w:val="00AE20A8"/>
    <w:rsid w:val="00AE5647"/>
    <w:rsid w:val="00AE5D60"/>
    <w:rsid w:val="00AF0426"/>
    <w:rsid w:val="00AF179A"/>
    <w:rsid w:val="00AF1F4B"/>
    <w:rsid w:val="00AF417C"/>
    <w:rsid w:val="00AF4917"/>
    <w:rsid w:val="00AF4AA4"/>
    <w:rsid w:val="00AF6835"/>
    <w:rsid w:val="00AF7408"/>
    <w:rsid w:val="00AF7A4C"/>
    <w:rsid w:val="00B01396"/>
    <w:rsid w:val="00B026DB"/>
    <w:rsid w:val="00B04147"/>
    <w:rsid w:val="00B067A5"/>
    <w:rsid w:val="00B127C3"/>
    <w:rsid w:val="00B13DAC"/>
    <w:rsid w:val="00B1425F"/>
    <w:rsid w:val="00B15D94"/>
    <w:rsid w:val="00B172DC"/>
    <w:rsid w:val="00B17614"/>
    <w:rsid w:val="00B178DA"/>
    <w:rsid w:val="00B20643"/>
    <w:rsid w:val="00B20C9D"/>
    <w:rsid w:val="00B20F63"/>
    <w:rsid w:val="00B2418B"/>
    <w:rsid w:val="00B24937"/>
    <w:rsid w:val="00B26973"/>
    <w:rsid w:val="00B26BAB"/>
    <w:rsid w:val="00B27505"/>
    <w:rsid w:val="00B308D7"/>
    <w:rsid w:val="00B3183E"/>
    <w:rsid w:val="00B3504F"/>
    <w:rsid w:val="00B3613E"/>
    <w:rsid w:val="00B41310"/>
    <w:rsid w:val="00B4213F"/>
    <w:rsid w:val="00B421EF"/>
    <w:rsid w:val="00B43968"/>
    <w:rsid w:val="00B43A9C"/>
    <w:rsid w:val="00B4437E"/>
    <w:rsid w:val="00B46546"/>
    <w:rsid w:val="00B46E4E"/>
    <w:rsid w:val="00B46F9B"/>
    <w:rsid w:val="00B5008B"/>
    <w:rsid w:val="00B50607"/>
    <w:rsid w:val="00B525EB"/>
    <w:rsid w:val="00B52EF4"/>
    <w:rsid w:val="00B54546"/>
    <w:rsid w:val="00B55603"/>
    <w:rsid w:val="00B575E2"/>
    <w:rsid w:val="00B64BB4"/>
    <w:rsid w:val="00B64D1C"/>
    <w:rsid w:val="00B65C6B"/>
    <w:rsid w:val="00B7073C"/>
    <w:rsid w:val="00B73DB2"/>
    <w:rsid w:val="00B75A34"/>
    <w:rsid w:val="00B76B3C"/>
    <w:rsid w:val="00B8014A"/>
    <w:rsid w:val="00B811B1"/>
    <w:rsid w:val="00B81BD5"/>
    <w:rsid w:val="00B824AD"/>
    <w:rsid w:val="00B858A1"/>
    <w:rsid w:val="00B86697"/>
    <w:rsid w:val="00B909B2"/>
    <w:rsid w:val="00B91B5D"/>
    <w:rsid w:val="00B91BA5"/>
    <w:rsid w:val="00B97B95"/>
    <w:rsid w:val="00BA0AEC"/>
    <w:rsid w:val="00BA12BA"/>
    <w:rsid w:val="00BA7C36"/>
    <w:rsid w:val="00BB02FE"/>
    <w:rsid w:val="00BB037D"/>
    <w:rsid w:val="00BB07F8"/>
    <w:rsid w:val="00BB457A"/>
    <w:rsid w:val="00BB65AC"/>
    <w:rsid w:val="00BB70EC"/>
    <w:rsid w:val="00BC1A0E"/>
    <w:rsid w:val="00BC5486"/>
    <w:rsid w:val="00BC6532"/>
    <w:rsid w:val="00BC6AF7"/>
    <w:rsid w:val="00BD2909"/>
    <w:rsid w:val="00BD2B84"/>
    <w:rsid w:val="00BD46DF"/>
    <w:rsid w:val="00BD517F"/>
    <w:rsid w:val="00BD5906"/>
    <w:rsid w:val="00BD6F14"/>
    <w:rsid w:val="00BE0CC2"/>
    <w:rsid w:val="00BE1777"/>
    <w:rsid w:val="00BE2CD7"/>
    <w:rsid w:val="00BE786C"/>
    <w:rsid w:val="00BF1FEE"/>
    <w:rsid w:val="00BF514D"/>
    <w:rsid w:val="00BF519F"/>
    <w:rsid w:val="00BF51E8"/>
    <w:rsid w:val="00BF645B"/>
    <w:rsid w:val="00C00FC1"/>
    <w:rsid w:val="00C03059"/>
    <w:rsid w:val="00C048AC"/>
    <w:rsid w:val="00C05BEC"/>
    <w:rsid w:val="00C16075"/>
    <w:rsid w:val="00C173D2"/>
    <w:rsid w:val="00C1785A"/>
    <w:rsid w:val="00C179F9"/>
    <w:rsid w:val="00C17A49"/>
    <w:rsid w:val="00C20935"/>
    <w:rsid w:val="00C2167A"/>
    <w:rsid w:val="00C22BFE"/>
    <w:rsid w:val="00C23FA8"/>
    <w:rsid w:val="00C26238"/>
    <w:rsid w:val="00C271F3"/>
    <w:rsid w:val="00C30AF4"/>
    <w:rsid w:val="00C325D0"/>
    <w:rsid w:val="00C325E4"/>
    <w:rsid w:val="00C33A30"/>
    <w:rsid w:val="00C35A59"/>
    <w:rsid w:val="00C37FE2"/>
    <w:rsid w:val="00C4233C"/>
    <w:rsid w:val="00C44DBD"/>
    <w:rsid w:val="00C51316"/>
    <w:rsid w:val="00C529AB"/>
    <w:rsid w:val="00C61E87"/>
    <w:rsid w:val="00C621B9"/>
    <w:rsid w:val="00C62DD2"/>
    <w:rsid w:val="00C655E9"/>
    <w:rsid w:val="00C66E65"/>
    <w:rsid w:val="00C67301"/>
    <w:rsid w:val="00C71080"/>
    <w:rsid w:val="00C71BB8"/>
    <w:rsid w:val="00C71D8D"/>
    <w:rsid w:val="00C72141"/>
    <w:rsid w:val="00C727C1"/>
    <w:rsid w:val="00C73F32"/>
    <w:rsid w:val="00C7467C"/>
    <w:rsid w:val="00C74B6E"/>
    <w:rsid w:val="00C74F84"/>
    <w:rsid w:val="00C74FE2"/>
    <w:rsid w:val="00C7622D"/>
    <w:rsid w:val="00C762BC"/>
    <w:rsid w:val="00C77541"/>
    <w:rsid w:val="00C80114"/>
    <w:rsid w:val="00C82D92"/>
    <w:rsid w:val="00C831E4"/>
    <w:rsid w:val="00C840A1"/>
    <w:rsid w:val="00C84B55"/>
    <w:rsid w:val="00C84C5D"/>
    <w:rsid w:val="00C85B0F"/>
    <w:rsid w:val="00C864C3"/>
    <w:rsid w:val="00C872A3"/>
    <w:rsid w:val="00C87507"/>
    <w:rsid w:val="00C879C6"/>
    <w:rsid w:val="00C87CCF"/>
    <w:rsid w:val="00C91196"/>
    <w:rsid w:val="00C91479"/>
    <w:rsid w:val="00C91FFC"/>
    <w:rsid w:val="00C920CA"/>
    <w:rsid w:val="00C92228"/>
    <w:rsid w:val="00C93F4C"/>
    <w:rsid w:val="00C94780"/>
    <w:rsid w:val="00C94A68"/>
    <w:rsid w:val="00C94C10"/>
    <w:rsid w:val="00CA0522"/>
    <w:rsid w:val="00CA79CF"/>
    <w:rsid w:val="00CB01D8"/>
    <w:rsid w:val="00CB1435"/>
    <w:rsid w:val="00CB2363"/>
    <w:rsid w:val="00CB25DF"/>
    <w:rsid w:val="00CB3AF6"/>
    <w:rsid w:val="00CB3C13"/>
    <w:rsid w:val="00CB3EDB"/>
    <w:rsid w:val="00CB4F34"/>
    <w:rsid w:val="00CB5AA1"/>
    <w:rsid w:val="00CB60CA"/>
    <w:rsid w:val="00CB78AF"/>
    <w:rsid w:val="00CC1A33"/>
    <w:rsid w:val="00CC2A38"/>
    <w:rsid w:val="00CC4545"/>
    <w:rsid w:val="00CC4D73"/>
    <w:rsid w:val="00CC5DD3"/>
    <w:rsid w:val="00CC71B7"/>
    <w:rsid w:val="00CD0ADB"/>
    <w:rsid w:val="00CD19A5"/>
    <w:rsid w:val="00CD373A"/>
    <w:rsid w:val="00CD3F27"/>
    <w:rsid w:val="00CD4632"/>
    <w:rsid w:val="00CD4E29"/>
    <w:rsid w:val="00CD7376"/>
    <w:rsid w:val="00CE3CBD"/>
    <w:rsid w:val="00CE3FD1"/>
    <w:rsid w:val="00CE620E"/>
    <w:rsid w:val="00CE67CD"/>
    <w:rsid w:val="00CE69DC"/>
    <w:rsid w:val="00CE7B19"/>
    <w:rsid w:val="00CE7BBB"/>
    <w:rsid w:val="00CE7DB7"/>
    <w:rsid w:val="00CF0762"/>
    <w:rsid w:val="00CF11B6"/>
    <w:rsid w:val="00CF1ED5"/>
    <w:rsid w:val="00CF3981"/>
    <w:rsid w:val="00CF3F8C"/>
    <w:rsid w:val="00CF52C3"/>
    <w:rsid w:val="00CF755B"/>
    <w:rsid w:val="00D02495"/>
    <w:rsid w:val="00D02A03"/>
    <w:rsid w:val="00D05491"/>
    <w:rsid w:val="00D0571D"/>
    <w:rsid w:val="00D0678E"/>
    <w:rsid w:val="00D10520"/>
    <w:rsid w:val="00D10A3C"/>
    <w:rsid w:val="00D1129E"/>
    <w:rsid w:val="00D12AC7"/>
    <w:rsid w:val="00D13A82"/>
    <w:rsid w:val="00D13DB7"/>
    <w:rsid w:val="00D16C72"/>
    <w:rsid w:val="00D2168C"/>
    <w:rsid w:val="00D2170F"/>
    <w:rsid w:val="00D220A6"/>
    <w:rsid w:val="00D24E01"/>
    <w:rsid w:val="00D31A19"/>
    <w:rsid w:val="00D35FAA"/>
    <w:rsid w:val="00D37329"/>
    <w:rsid w:val="00D40B0A"/>
    <w:rsid w:val="00D41E7C"/>
    <w:rsid w:val="00D423E8"/>
    <w:rsid w:val="00D42E41"/>
    <w:rsid w:val="00D43412"/>
    <w:rsid w:val="00D43CE2"/>
    <w:rsid w:val="00D44A02"/>
    <w:rsid w:val="00D46A6A"/>
    <w:rsid w:val="00D512B8"/>
    <w:rsid w:val="00D524BE"/>
    <w:rsid w:val="00D528A8"/>
    <w:rsid w:val="00D53DB3"/>
    <w:rsid w:val="00D54771"/>
    <w:rsid w:val="00D57237"/>
    <w:rsid w:val="00D5797A"/>
    <w:rsid w:val="00D6357F"/>
    <w:rsid w:val="00D64038"/>
    <w:rsid w:val="00D64307"/>
    <w:rsid w:val="00D6624B"/>
    <w:rsid w:val="00D677EE"/>
    <w:rsid w:val="00D70789"/>
    <w:rsid w:val="00D71358"/>
    <w:rsid w:val="00D7240A"/>
    <w:rsid w:val="00D72BAE"/>
    <w:rsid w:val="00D72BF6"/>
    <w:rsid w:val="00D73498"/>
    <w:rsid w:val="00D73F27"/>
    <w:rsid w:val="00D75B1E"/>
    <w:rsid w:val="00D76D33"/>
    <w:rsid w:val="00D76F64"/>
    <w:rsid w:val="00D80318"/>
    <w:rsid w:val="00D80FD8"/>
    <w:rsid w:val="00D813D3"/>
    <w:rsid w:val="00D8161C"/>
    <w:rsid w:val="00D826D0"/>
    <w:rsid w:val="00D8301B"/>
    <w:rsid w:val="00D84259"/>
    <w:rsid w:val="00D85EF0"/>
    <w:rsid w:val="00D90210"/>
    <w:rsid w:val="00D922A4"/>
    <w:rsid w:val="00D93594"/>
    <w:rsid w:val="00DA23AB"/>
    <w:rsid w:val="00DA4376"/>
    <w:rsid w:val="00DA53AA"/>
    <w:rsid w:val="00DB0444"/>
    <w:rsid w:val="00DB0FB1"/>
    <w:rsid w:val="00DB12B1"/>
    <w:rsid w:val="00DB1D7F"/>
    <w:rsid w:val="00DB3489"/>
    <w:rsid w:val="00DB38C5"/>
    <w:rsid w:val="00DB3C78"/>
    <w:rsid w:val="00DB4248"/>
    <w:rsid w:val="00DB5A2F"/>
    <w:rsid w:val="00DB71AC"/>
    <w:rsid w:val="00DC00D1"/>
    <w:rsid w:val="00DC02D1"/>
    <w:rsid w:val="00DC4A53"/>
    <w:rsid w:val="00DC5A56"/>
    <w:rsid w:val="00DC6775"/>
    <w:rsid w:val="00DD02A4"/>
    <w:rsid w:val="00DD0F3F"/>
    <w:rsid w:val="00DD4E31"/>
    <w:rsid w:val="00DD5735"/>
    <w:rsid w:val="00DD61C3"/>
    <w:rsid w:val="00DD679E"/>
    <w:rsid w:val="00DE1A02"/>
    <w:rsid w:val="00DE62C8"/>
    <w:rsid w:val="00DE7EE3"/>
    <w:rsid w:val="00DF00E7"/>
    <w:rsid w:val="00DF0DB8"/>
    <w:rsid w:val="00DF1907"/>
    <w:rsid w:val="00DF30BA"/>
    <w:rsid w:val="00DF3742"/>
    <w:rsid w:val="00DF4A42"/>
    <w:rsid w:val="00DF5762"/>
    <w:rsid w:val="00DF5782"/>
    <w:rsid w:val="00DF5F24"/>
    <w:rsid w:val="00E012B0"/>
    <w:rsid w:val="00E02E2B"/>
    <w:rsid w:val="00E02FC4"/>
    <w:rsid w:val="00E03E5C"/>
    <w:rsid w:val="00E05C6C"/>
    <w:rsid w:val="00E06743"/>
    <w:rsid w:val="00E11419"/>
    <w:rsid w:val="00E1162E"/>
    <w:rsid w:val="00E15584"/>
    <w:rsid w:val="00E157E1"/>
    <w:rsid w:val="00E15DFC"/>
    <w:rsid w:val="00E2182C"/>
    <w:rsid w:val="00E21E58"/>
    <w:rsid w:val="00E2362C"/>
    <w:rsid w:val="00E247AA"/>
    <w:rsid w:val="00E24BD7"/>
    <w:rsid w:val="00E25170"/>
    <w:rsid w:val="00E26585"/>
    <w:rsid w:val="00E27E04"/>
    <w:rsid w:val="00E27E1C"/>
    <w:rsid w:val="00E325CF"/>
    <w:rsid w:val="00E33948"/>
    <w:rsid w:val="00E342D4"/>
    <w:rsid w:val="00E34321"/>
    <w:rsid w:val="00E34A1C"/>
    <w:rsid w:val="00E34EBC"/>
    <w:rsid w:val="00E36E83"/>
    <w:rsid w:val="00E40B0D"/>
    <w:rsid w:val="00E43992"/>
    <w:rsid w:val="00E43B9A"/>
    <w:rsid w:val="00E44284"/>
    <w:rsid w:val="00E44E84"/>
    <w:rsid w:val="00E503DB"/>
    <w:rsid w:val="00E5043B"/>
    <w:rsid w:val="00E5191D"/>
    <w:rsid w:val="00E5245D"/>
    <w:rsid w:val="00E52C99"/>
    <w:rsid w:val="00E5322D"/>
    <w:rsid w:val="00E532AA"/>
    <w:rsid w:val="00E54425"/>
    <w:rsid w:val="00E5705D"/>
    <w:rsid w:val="00E607A7"/>
    <w:rsid w:val="00E62096"/>
    <w:rsid w:val="00E64F9B"/>
    <w:rsid w:val="00E71315"/>
    <w:rsid w:val="00E71420"/>
    <w:rsid w:val="00E72FDA"/>
    <w:rsid w:val="00E740B7"/>
    <w:rsid w:val="00E77B32"/>
    <w:rsid w:val="00E80228"/>
    <w:rsid w:val="00E81BDA"/>
    <w:rsid w:val="00E83147"/>
    <w:rsid w:val="00E84D3A"/>
    <w:rsid w:val="00E85496"/>
    <w:rsid w:val="00E87968"/>
    <w:rsid w:val="00E87A29"/>
    <w:rsid w:val="00E919A5"/>
    <w:rsid w:val="00E94DA0"/>
    <w:rsid w:val="00EA1933"/>
    <w:rsid w:val="00EA2075"/>
    <w:rsid w:val="00EA3DBB"/>
    <w:rsid w:val="00EA5CC3"/>
    <w:rsid w:val="00EA60B6"/>
    <w:rsid w:val="00EB0400"/>
    <w:rsid w:val="00EB1E81"/>
    <w:rsid w:val="00EB2FEF"/>
    <w:rsid w:val="00EB33FE"/>
    <w:rsid w:val="00EB4CA0"/>
    <w:rsid w:val="00EB71B5"/>
    <w:rsid w:val="00EC1751"/>
    <w:rsid w:val="00EC3EAB"/>
    <w:rsid w:val="00EC4A25"/>
    <w:rsid w:val="00EC72C6"/>
    <w:rsid w:val="00ED0621"/>
    <w:rsid w:val="00ED1212"/>
    <w:rsid w:val="00ED24EE"/>
    <w:rsid w:val="00ED398F"/>
    <w:rsid w:val="00ED59A0"/>
    <w:rsid w:val="00ED6201"/>
    <w:rsid w:val="00EE07E2"/>
    <w:rsid w:val="00EE1B8A"/>
    <w:rsid w:val="00EE32F7"/>
    <w:rsid w:val="00EE6416"/>
    <w:rsid w:val="00EE6512"/>
    <w:rsid w:val="00EE67EA"/>
    <w:rsid w:val="00EF092A"/>
    <w:rsid w:val="00EF2983"/>
    <w:rsid w:val="00EF3E21"/>
    <w:rsid w:val="00EF461E"/>
    <w:rsid w:val="00EF4A79"/>
    <w:rsid w:val="00EF5088"/>
    <w:rsid w:val="00EF5E4B"/>
    <w:rsid w:val="00EF5F36"/>
    <w:rsid w:val="00EF6341"/>
    <w:rsid w:val="00EF6D93"/>
    <w:rsid w:val="00F010A8"/>
    <w:rsid w:val="00F01252"/>
    <w:rsid w:val="00F014F9"/>
    <w:rsid w:val="00F04920"/>
    <w:rsid w:val="00F0560A"/>
    <w:rsid w:val="00F06113"/>
    <w:rsid w:val="00F0625A"/>
    <w:rsid w:val="00F071A7"/>
    <w:rsid w:val="00F073DE"/>
    <w:rsid w:val="00F07FA7"/>
    <w:rsid w:val="00F11AEF"/>
    <w:rsid w:val="00F158D7"/>
    <w:rsid w:val="00F16744"/>
    <w:rsid w:val="00F167B9"/>
    <w:rsid w:val="00F20EE5"/>
    <w:rsid w:val="00F214F9"/>
    <w:rsid w:val="00F22FE3"/>
    <w:rsid w:val="00F24010"/>
    <w:rsid w:val="00F24879"/>
    <w:rsid w:val="00F268A6"/>
    <w:rsid w:val="00F27A50"/>
    <w:rsid w:val="00F311EC"/>
    <w:rsid w:val="00F323FE"/>
    <w:rsid w:val="00F40575"/>
    <w:rsid w:val="00F44833"/>
    <w:rsid w:val="00F53A71"/>
    <w:rsid w:val="00F5426B"/>
    <w:rsid w:val="00F544B0"/>
    <w:rsid w:val="00F54BE1"/>
    <w:rsid w:val="00F567B6"/>
    <w:rsid w:val="00F60F3A"/>
    <w:rsid w:val="00F646ED"/>
    <w:rsid w:val="00F65929"/>
    <w:rsid w:val="00F66D6D"/>
    <w:rsid w:val="00F66D87"/>
    <w:rsid w:val="00F6731E"/>
    <w:rsid w:val="00F67449"/>
    <w:rsid w:val="00F67C87"/>
    <w:rsid w:val="00F707AF"/>
    <w:rsid w:val="00F724EE"/>
    <w:rsid w:val="00F7289D"/>
    <w:rsid w:val="00F72FA0"/>
    <w:rsid w:val="00F73502"/>
    <w:rsid w:val="00F80568"/>
    <w:rsid w:val="00F8108A"/>
    <w:rsid w:val="00F81547"/>
    <w:rsid w:val="00F82C5E"/>
    <w:rsid w:val="00F832AD"/>
    <w:rsid w:val="00F83A45"/>
    <w:rsid w:val="00F840A2"/>
    <w:rsid w:val="00F84C23"/>
    <w:rsid w:val="00F85090"/>
    <w:rsid w:val="00F86741"/>
    <w:rsid w:val="00F871D3"/>
    <w:rsid w:val="00F90EA3"/>
    <w:rsid w:val="00F97149"/>
    <w:rsid w:val="00F9722A"/>
    <w:rsid w:val="00FA1F80"/>
    <w:rsid w:val="00FA26BF"/>
    <w:rsid w:val="00FA2E13"/>
    <w:rsid w:val="00FA3933"/>
    <w:rsid w:val="00FA4AE4"/>
    <w:rsid w:val="00FB0FF4"/>
    <w:rsid w:val="00FB1681"/>
    <w:rsid w:val="00FB3FC8"/>
    <w:rsid w:val="00FB746A"/>
    <w:rsid w:val="00FB7C87"/>
    <w:rsid w:val="00FC469B"/>
    <w:rsid w:val="00FD1AB8"/>
    <w:rsid w:val="00FD22BB"/>
    <w:rsid w:val="00FD3DE0"/>
    <w:rsid w:val="00FD6D48"/>
    <w:rsid w:val="00FD7729"/>
    <w:rsid w:val="00FD793F"/>
    <w:rsid w:val="00FD7C22"/>
    <w:rsid w:val="00FE043D"/>
    <w:rsid w:val="00FE0889"/>
    <w:rsid w:val="00FE0C98"/>
    <w:rsid w:val="00FE10FC"/>
    <w:rsid w:val="00FE2ACD"/>
    <w:rsid w:val="00FE38AE"/>
    <w:rsid w:val="00FE42F6"/>
    <w:rsid w:val="00FE5C58"/>
    <w:rsid w:val="00FE71D4"/>
    <w:rsid w:val="00FF0745"/>
    <w:rsid w:val="00FF2CF3"/>
    <w:rsid w:val="00FF2E2E"/>
    <w:rsid w:val="00FF5F4E"/>
    <w:rsid w:val="00FF7558"/>
    <w:rsid w:val="00FF79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whitespace-normal">
    <w:name w:val="whitespace-normal"/>
    <w:basedOn w:val="DefaultParagraphFont"/>
    <w:rsid w:val="00FF0745"/>
  </w:style>
  <w:style w:type="character" w:styleId="Emphasis">
    <w:name w:val="Emphasis"/>
    <w:basedOn w:val="DefaultParagraphFont"/>
    <w:uiPriority w:val="20"/>
    <w:qFormat/>
    <w:rsid w:val="00FF0745"/>
    <w:rPr>
      <w:i/>
      <w:iCs/>
    </w:rPr>
  </w:style>
  <w:style w:type="paragraph" w:customStyle="1" w:styleId="pdq2pgselectionanchorcontainer">
    <w:name w:val="pdq2pg_selectionanchorcontainer"/>
    <w:basedOn w:val="Normal"/>
    <w:rsid w:val="00FF79D4"/>
    <w:pPr>
      <w:spacing w:before="100" w:beforeAutospacing="1" w:after="100" w:afterAutospacing="1" w:line="240" w:lineRule="auto"/>
      <w:jc w:val="left"/>
    </w:pPr>
    <w:rPr>
      <w:rFonts w:ascii="Times New Roman" w:eastAsia="Times New Roman" w:hAnsi="Times New Roman" w:cs="Times New Roman"/>
      <w:kern w:val="0"/>
      <w:sz w:val="24"/>
      <w:szCs w:val="24"/>
      <w:lang w:val="en-US" w:eastAsia="en-US"/>
      <w14:ligatures w14:val="none"/>
    </w:rPr>
  </w:style>
  <w:style w:type="table" w:styleId="PlainTable3">
    <w:name w:val="Plain Table 3"/>
    <w:basedOn w:val="TableNormal"/>
    <w:uiPriority w:val="43"/>
    <w:rsid w:val="00050A7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3">
    <w:name w:val="Grid Table 2 Accent 3"/>
    <w:basedOn w:val="TableNormal"/>
    <w:uiPriority w:val="47"/>
    <w:rsid w:val="00050A78"/>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4">
    <w:name w:val="Plain Table 4"/>
    <w:basedOn w:val="TableNormal"/>
    <w:uiPriority w:val="44"/>
    <w:rsid w:val="0065608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65608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513C76"/>
    <w:pPr>
      <w:spacing w:after="200" w:line="240" w:lineRule="auto"/>
    </w:pPr>
    <w:rPr>
      <w:i/>
      <w:iCs/>
      <w:color w:val="44546A" w:themeColor="text2"/>
      <w:sz w:val="18"/>
      <w:szCs w:val="18"/>
    </w:rPr>
  </w:style>
  <w:style w:type="table" w:styleId="GridTable5Dark-Accent5">
    <w:name w:val="Grid Table 5 Dark Accent 5"/>
    <w:basedOn w:val="TableNormal"/>
    <w:uiPriority w:val="50"/>
    <w:rsid w:val="009522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2">
    <w:name w:val="Plain Table 2"/>
    <w:basedOn w:val="TableNormal"/>
    <w:uiPriority w:val="42"/>
    <w:rsid w:val="00646A4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9A3BC8"/>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9A3BC8"/>
    <w:pPr>
      <w:spacing w:after="100"/>
    </w:pPr>
  </w:style>
  <w:style w:type="paragraph" w:styleId="TOC2">
    <w:name w:val="toc 2"/>
    <w:basedOn w:val="Normal"/>
    <w:next w:val="Normal"/>
    <w:autoRedefine/>
    <w:uiPriority w:val="39"/>
    <w:unhideWhenUsed/>
    <w:rsid w:val="009A3BC8"/>
    <w:pPr>
      <w:spacing w:after="100"/>
      <w:ind w:left="220"/>
    </w:pPr>
  </w:style>
  <w:style w:type="paragraph" w:styleId="TOC3">
    <w:name w:val="toc 3"/>
    <w:basedOn w:val="Normal"/>
    <w:next w:val="Normal"/>
    <w:autoRedefine/>
    <w:uiPriority w:val="39"/>
    <w:unhideWhenUsed/>
    <w:rsid w:val="009A3BC8"/>
    <w:pPr>
      <w:spacing w:after="100"/>
      <w:ind w:left="440"/>
    </w:pPr>
  </w:style>
  <w:style w:type="paragraph" w:styleId="TableofFigures">
    <w:name w:val="table of figures"/>
    <w:basedOn w:val="Normal"/>
    <w:next w:val="Normal"/>
    <w:uiPriority w:val="99"/>
    <w:unhideWhenUsed/>
    <w:rsid w:val="00E72F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insight-and-analysis/long-reads/whats-your-problem-social-care" TargetMode="External" /><Relationship Id="rId18" Type="http://schemas.openxmlformats.org/officeDocument/2006/relationships/hyperlink" Target="https://www.cqc.org.uk/guidance-regulation/providers/regulations-service-providers-and-managers/health-social-care-act/regulation-9" TargetMode="External" /><Relationship Id="rId26" Type="http://schemas.openxmlformats.org/officeDocument/2006/relationships/hyperlink" Target="https://cconpalm.com/the-role-of-family-involvement-in-assisted-living-care-plans/" TargetMode="External" /><Relationship Id="rId39" Type="http://schemas.openxmlformats.org/officeDocument/2006/relationships/hyperlink" Target="https://usingsources.fas.harvard.edu/avoiding-plagiarism-0" TargetMode="External" /><Relationship Id="rId21" Type="http://schemas.openxmlformats.org/officeDocument/2006/relationships/hyperlink" Target="https://www.ncbi.nlm.nih.gov/books/NBK430847/" TargetMode="External" /><Relationship Id="rId34" Type="http://schemas.openxmlformats.org/officeDocument/2006/relationships/hyperlink" Target="https://www.ncbi.nlm.nih.gov/books/NBK585650/" TargetMode="External" /><Relationship Id="rId42" Type="http://schemas.openxmlformats.org/officeDocument/2006/relationships/hyperlink" Target="https://thiis.co.uk/skills-for-care-report-reveals-how-international-recruitment-is-growing-social-care-workforce/" TargetMode="External" /><Relationship Id="rId47" Type="http://schemas.openxmlformats.org/officeDocument/2006/relationships/hyperlink" Target="https://www.england.nhs.uk/personalisedcare/social-prescribing/" TargetMode="External" /><Relationship Id="rId50" Type="http://schemas.openxmlformats.org/officeDocument/2006/relationships/hyperlink" Target="https://www.undp.org/sites/g/files/zskgke326/files/2024-05/undp_digital_inclusion_in_a_dynamic_world.pdf" TargetMode="External" /><Relationship Id="rId55" Type="http://schemas.openxmlformats.org/officeDocument/2006/relationships/hyperlink" Target="https://extranet.who.int/agefriendlyworld/wp-content/uploads/2014/06/WHO-Active-Ageing-Framework.pdf" TargetMode="External" /><Relationship Id="rId63" Type="http://schemas.openxmlformats.org/officeDocument/2006/relationships/theme" Target="theme/theme1.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hyperlink" Target="https://www.legislation.gov.uk/ukpga/2014/23/contents" TargetMode="External" /><Relationship Id="rId20" Type="http://schemas.openxmlformats.org/officeDocument/2006/relationships/hyperlink" Target="https://www.cqc.org.uk/about-us/fundamental-standards" TargetMode="External" /><Relationship Id="rId29" Type="http://schemas.openxmlformats.org/officeDocument/2006/relationships/hyperlink" Target="https://www.nursing.upenn.edu/nhhc/nurses-institutions-caring/history-of-psychiatric-hospitals/" TargetMode="External" /><Relationship Id="rId41" Type="http://schemas.openxmlformats.org/officeDocument/2006/relationships/hyperlink" Target="https://commonslibrary.parliament.uk/research-briefings/cbp-9731/" TargetMode="External" /><Relationship Id="rId54" Type="http://schemas.openxmlformats.org/officeDocument/2006/relationships/hyperlink" Target="https://laneguides.stanford.edu/LitSearch/step4" TargetMode="External" /><Relationship Id="rId62"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geuk.org.uk/our-impact/programmes/reducing-loneliness/" TargetMode="External" /><Relationship Id="rId24" Type="http://schemas.openxmlformats.org/officeDocument/2006/relationships/hyperlink" Target="https://www.cochrane.org/about-us/news/music-based-therapy-may-improve-depressive-symptoms-people-dementia" TargetMode="External" /><Relationship Id="rId32" Type="http://schemas.openxmlformats.org/officeDocument/2006/relationships/hyperlink" Target="https://hogeweyk.dementiavillage.com/" TargetMode="External" /><Relationship Id="rId37" Type="http://schemas.openxmlformats.org/officeDocument/2006/relationships/hyperlink" Target="https://epi.org.uk/publications-and-research/the-stability-of-the-early-years-workforce-in-england/" TargetMode="External" /><Relationship Id="rId40" Type="http://schemas.openxmlformats.org/officeDocument/2006/relationships/hyperlink" Target="https://www.interactivehealthcaretraining.co.uk/blog/dementia-awareness-training-for-healthcare-staff-supporting-independence-and-quality-of-life/" TargetMode="External" /><Relationship Id="rId45" Type="http://schemas.openxmlformats.org/officeDocument/2006/relationships/hyperlink" Target="https://www.england.nhs.uk/mental-health/adults/" TargetMode="External" /><Relationship Id="rId53" Type="http://schemas.openxmlformats.org/officeDocument/2006/relationships/hyperlink" Target="https://www.who.int/news-room/fact-sheets/detail/ageing-and-health" TargetMode="External" /><Relationship Id="rId58" Type="http://schemas.openxmlformats.org/officeDocument/2006/relationships/hyperlink" Target="https://www.who.int/news-room/fact-sheets/detail/mental-health-of-older-adults" TargetMode="External" /><Relationship Id="rId5" Type="http://schemas.openxmlformats.org/officeDocument/2006/relationships/webSettings" Target="webSettings.xml" /><Relationship Id="rId15" Type="http://schemas.openxmlformats.org/officeDocument/2006/relationships/hyperlink" Target="https://www.caily.com/blog/how-staffing-shortages-impact-care-continuity-in-nursing-home-communities" TargetMode="External" /><Relationship Id="rId23" Type="http://schemas.openxmlformats.org/officeDocument/2006/relationships/hyperlink" Target="https://therapygroupdc.com/therapist-dc-blog/understanding-person-focused-therapy-techniques-and-benefits/" TargetMode="External" /><Relationship Id="rId28" Type="http://schemas.openxmlformats.org/officeDocument/2006/relationships/hyperlink" Target="https://casp-uk.net/news/what-is-a-systematic-review/" TargetMode="External" /><Relationship Id="rId36" Type="http://schemas.openxmlformats.org/officeDocument/2006/relationships/hyperlink" Target="https://www.weforum.org/stories/2023/09/elderly-oldest-population-world-japan/" TargetMode="External" /><Relationship Id="rId49" Type="http://schemas.openxmlformats.org/officeDocument/2006/relationships/hyperlink" Target="https://www.trustedcare.co.uk/help-and-advice/age-uks-befriending-services" TargetMode="External" /><Relationship Id="rId57" Type="http://schemas.openxmlformats.org/officeDocument/2006/relationships/hyperlink" Target="https://www.who.int/news-room/fact-sheets/detail/mental-health-strengthening-our-response" TargetMode="External" /><Relationship Id="rId61" Type="http://schemas.openxmlformats.org/officeDocument/2006/relationships/footer" Target="footer2.xml" /><Relationship Id="rId10" Type="http://schemas.openxmlformats.org/officeDocument/2006/relationships/hyperlink" Target="https://www.ageuk.org.uk/services/befriending-services/" TargetMode="External" /><Relationship Id="rId19" Type="http://schemas.openxmlformats.org/officeDocument/2006/relationships/hyperlink" Target="https://www.cqc.org.uk/about-us/fundamental-standards" TargetMode="External" /><Relationship Id="rId31" Type="http://schemas.openxmlformats.org/officeDocument/2006/relationships/hyperlink" Target="https://dementiaallianceinternational.org/blog/the-remarkable-de-hogeweyk-dementia-village-a-blueprint-for-living-with-end-stage-dementia" TargetMode="External" /><Relationship Id="rId44" Type="http://schemas.openxmlformats.org/officeDocument/2006/relationships/hyperlink" Target="https://post.parliament.uk/sustaining-the-health-and-adult-social-care-workforce/" TargetMode="External" /><Relationship Id="rId52" Type="http://schemas.openxmlformats.org/officeDocument/2006/relationships/hyperlink" Target="https://cdn.who.int/media/docs/default-source/decade-of-healthy-ageing/decade-proposal-final-apr2020-en.pdf" TargetMode="External" /><Relationship Id="rId60" Type="http://schemas.openxmlformats.org/officeDocument/2006/relationships/hyperlink" Target="https://www.who.int/teams/social-determinants-of-health/demographic-change-and-healthy-ageing/social-isolation-and-loneliness"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skimle.com/blog/thematic-analysis" TargetMode="External" /><Relationship Id="rId22" Type="http://schemas.openxmlformats.org/officeDocument/2006/relationships/hyperlink" Target="https://www.verywellmind.com/what-is-attachment-theory-2795337" TargetMode="External" /><Relationship Id="rId27" Type="http://schemas.openxmlformats.org/officeDocument/2006/relationships/hyperlink" Target="https://www.cqc.org.uk/publications/major-report/state-care/2022-2023/workforce" TargetMode="External" /><Relationship Id="rId30" Type="http://schemas.openxmlformats.org/officeDocument/2006/relationships/hyperlink" Target="https://dementiaallianceinternational.org/blog/the-remarkable-de-hogeweyk-dementia-village-a-blueprint-for-living-with-end-stage-dementia" TargetMode="External" /><Relationship Id="rId35" Type="http://schemas.openxmlformats.org/officeDocument/2006/relationships/hyperlink" Target="https://www.ncbi.nlm.nih.gov/books/NBK585650/" TargetMode="External" /><Relationship Id="rId43" Type="http://schemas.openxmlformats.org/officeDocument/2006/relationships/hyperlink" Target="https://www.caresyncexperts.co.uk/blogs/what-is-person-centred-care-2026-guide" TargetMode="External" /><Relationship Id="rId48" Type="http://schemas.openxmlformats.org/officeDocument/2006/relationships/hyperlink" Target="https://getthematic.com/insights/coding-qualitative-data" TargetMode="External" /><Relationship Id="rId56" Type="http://schemas.openxmlformats.org/officeDocument/2006/relationships/hyperlink" Target="https://extranet.who.int/agefriendlyworld/wp-content/uploads/2014/06/WHO-Active-Ageing-Framework.pdf" TargetMode="External" /><Relationship Id="rId8" Type="http://schemas.openxmlformats.org/officeDocument/2006/relationships/image" Target="media/image1.png" /><Relationship Id="rId51" Type="http://schemas.openxmlformats.org/officeDocument/2006/relationships/hyperlink" Target="https://cdn.who.int/media/docs/default-source/decade-of-healthy-ageing/decade-proposal-final-apr2020-en.pdf" TargetMode="External" /><Relationship Id="rId3" Type="http://schemas.openxmlformats.org/officeDocument/2006/relationships/styles" Target="styles.xml" /><Relationship Id="rId12" Type="http://schemas.openxmlformats.org/officeDocument/2006/relationships/hyperlink" Target="https://www.nm.org/healthbeat/healthy-tips/emotional-health/music-as-medicine-alzheimers-dementia" TargetMode="External" /><Relationship Id="rId17" Type="http://schemas.openxmlformats.org/officeDocument/2006/relationships/hyperlink" Target="https://www.legislation.gov.uk/ukpga/2014/23/contents" TargetMode="External" /><Relationship Id="rId25" Type="http://schemas.openxmlformats.org/officeDocument/2006/relationships/hyperlink" Target="https://psycnet.apa.org/record/2004-20395-002" TargetMode="External" /><Relationship Id="rId33" Type="http://schemas.openxmlformats.org/officeDocument/2006/relationships/hyperlink" Target="https://www.gov.uk/government/publications/disability-loneliness-and-relationships-a-thematic-report/disability-loneliness-and-relationships-a-thematic-report" TargetMode="External" /><Relationship Id="rId38" Type="http://schemas.openxmlformats.org/officeDocument/2006/relationships/hyperlink" Target="https://esmed.org/impact-of-person-centered-care-on-nursing-home-mental-health/" TargetMode="External" /><Relationship Id="rId46" Type="http://schemas.openxmlformats.org/officeDocument/2006/relationships/hyperlink" Target="https://www.england.nhs.uk/personalisedcare/social-prescribing/" TargetMode="External" /><Relationship Id="rId59" Type="http://schemas.openxmlformats.org/officeDocument/2006/relationships/hyperlink" Target="https://www.who.int/news-room/fact-sheets/detail/mental-health-of-older-adul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50</Pages>
  <Words>15820</Words>
  <Characters>90176</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Guest User</cp:lastModifiedBy>
  <cp:revision>2</cp:revision>
  <dcterms:created xsi:type="dcterms:W3CDTF">2026-07-15T15:06:00Z</dcterms:created>
  <dcterms:modified xsi:type="dcterms:W3CDTF">2026-07-15T15:06:00Z</dcterms:modified>
</cp:coreProperties>
</file>