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80D8E05" w14:textId="15E90F4A" w:rsidR="000B6239" w:rsidRDefault="000B6239" w:rsidP="000B6239">
      <w:pPr>
        <w:jc w:val="center"/>
        <w:rPr>
          <w:rFonts w:ascii="Baskerville Old Face" w:hAnsi="Baskerville Old Face"/>
          <w:b/>
          <w:bCs/>
          <w:sz w:val="32"/>
          <w:szCs w:val="32"/>
        </w:rPr>
      </w:pPr>
      <w:r>
        <w:rPr>
          <w:rFonts w:ascii="Baskerville Old Face" w:hAnsi="Baskerville Old Face"/>
          <w:b/>
          <w:bCs/>
          <w:sz w:val="32"/>
          <w:szCs w:val="32"/>
        </w:rPr>
        <w:t xml:space="preserve">RECONSTRUCTING ANCIENT HOUSEHOLD ACTIVITY AND ORGANISATION FROM ARCHAEOLOGICAL RECORD: </w:t>
      </w:r>
      <w:r w:rsidR="00C620E8">
        <w:rPr>
          <w:rFonts w:ascii="Baskerville Old Face" w:hAnsi="Baskerville Old Face"/>
          <w:b/>
          <w:bCs/>
          <w:sz w:val="32"/>
          <w:szCs w:val="32"/>
        </w:rPr>
        <w:t>BRONZE AGE CYPRUS</w:t>
      </w:r>
    </w:p>
    <w:p w14:paraId="6A5E03ED" w14:textId="77777777" w:rsidR="00C620E8" w:rsidRDefault="00C620E8" w:rsidP="000B6239">
      <w:pPr>
        <w:jc w:val="center"/>
        <w:rPr>
          <w:rFonts w:ascii="Baskerville Old Face" w:hAnsi="Baskerville Old Face"/>
          <w:b/>
          <w:bCs/>
          <w:sz w:val="24"/>
          <w:szCs w:val="24"/>
        </w:rPr>
      </w:pPr>
    </w:p>
    <w:p w14:paraId="5B1B87A6" w14:textId="13A8A3BB" w:rsidR="00636A24" w:rsidRDefault="00636A24" w:rsidP="00636A24">
      <w:pPr>
        <w:jc w:val="both"/>
        <w:rPr>
          <w:rFonts w:ascii="Baskerville Old Face" w:hAnsi="Baskerville Old Face"/>
          <w:sz w:val="24"/>
          <w:szCs w:val="24"/>
        </w:rPr>
      </w:pPr>
      <w:r>
        <w:rPr>
          <w:rFonts w:ascii="Baskerville Old Face" w:hAnsi="Baskerville Old Face"/>
          <w:sz w:val="24"/>
          <w:szCs w:val="24"/>
        </w:rPr>
        <w:t>Cyprus’s transition from the Chalcolithic to the Bronze Age in the mid-third millennium was marked by significant change – more specifically, the introduction of new material culture and their associated technologies. As society developed externally, an internal shift within the household also began to take place, with domestic habits such as crafts, food serving, even burying the dead</w:t>
      </w:r>
      <w:r w:rsidR="008745E6">
        <w:rPr>
          <w:rFonts w:ascii="Baskerville Old Face" w:hAnsi="Baskerville Old Face"/>
          <w:sz w:val="24"/>
          <w:szCs w:val="24"/>
        </w:rPr>
        <w:t xml:space="preserve">, adapting to this new and growing society. The introduction of cattle, new agricultural technique, the ox-drawn plow, allowed for a rise in labour productivity, and population expansion, improving the quality of life within these settlements. Land that had previously been unattractive under Chalcolithic agriculture was given </w:t>
      </w:r>
      <w:r w:rsidR="00C54888">
        <w:rPr>
          <w:rFonts w:ascii="Baskerville Old Face" w:hAnsi="Baskerville Old Face"/>
          <w:sz w:val="24"/>
          <w:szCs w:val="24"/>
        </w:rPr>
        <w:t xml:space="preserve">new </w:t>
      </w:r>
      <w:r w:rsidR="008745E6">
        <w:rPr>
          <w:rFonts w:ascii="Baskerville Old Face" w:hAnsi="Baskerville Old Face"/>
          <w:sz w:val="24"/>
          <w:szCs w:val="24"/>
        </w:rPr>
        <w:t xml:space="preserve">promise, and in turn, the Cypriot’s </w:t>
      </w:r>
      <w:r w:rsidR="0085202F">
        <w:rPr>
          <w:rFonts w:ascii="Baskerville Old Face" w:hAnsi="Baskerville Old Face"/>
          <w:sz w:val="24"/>
          <w:szCs w:val="24"/>
        </w:rPr>
        <w:t>understanding,</w:t>
      </w:r>
      <w:r w:rsidR="008745E6">
        <w:rPr>
          <w:rFonts w:ascii="Baskerville Old Face" w:hAnsi="Baskerville Old Face"/>
          <w:sz w:val="24"/>
          <w:szCs w:val="24"/>
        </w:rPr>
        <w:t xml:space="preserve"> and competence of the</w:t>
      </w:r>
      <w:r w:rsidR="0085202F">
        <w:rPr>
          <w:rFonts w:ascii="Baskerville Old Face" w:hAnsi="Baskerville Old Face"/>
          <w:sz w:val="24"/>
          <w:szCs w:val="24"/>
        </w:rPr>
        <w:t>ir</w:t>
      </w:r>
      <w:r w:rsidR="008745E6">
        <w:rPr>
          <w:rFonts w:ascii="Baskerville Old Face" w:hAnsi="Baskerville Old Face"/>
          <w:sz w:val="24"/>
          <w:szCs w:val="24"/>
        </w:rPr>
        <w:t xml:space="preserve"> land</w:t>
      </w:r>
      <w:r w:rsidR="0085202F">
        <w:rPr>
          <w:rFonts w:ascii="Baskerville Old Face" w:hAnsi="Baskerville Old Face"/>
          <w:sz w:val="24"/>
          <w:szCs w:val="24"/>
        </w:rPr>
        <w:t xml:space="preserve"> rose. In a similar vein, the development of metallurgy</w:t>
      </w:r>
      <w:r w:rsidR="00557DD6">
        <w:rPr>
          <w:rFonts w:ascii="Baskerville Old Face" w:hAnsi="Baskerville Old Face"/>
          <w:sz w:val="24"/>
          <w:szCs w:val="24"/>
        </w:rPr>
        <w:t xml:space="preserve"> allowed for the revaluation of ‘previously irrelevant landscapes [which] created different opportunities and incentives for developing intersite and interregional relationships’</w:t>
      </w:r>
      <w:r w:rsidR="00557DD6">
        <w:rPr>
          <w:rStyle w:val="FootnoteReference"/>
          <w:rFonts w:ascii="Baskerville Old Face" w:hAnsi="Baskerville Old Face"/>
          <w:sz w:val="24"/>
          <w:szCs w:val="24"/>
        </w:rPr>
        <w:footnoteReference w:id="1"/>
      </w:r>
      <w:r w:rsidR="00557DD6">
        <w:rPr>
          <w:rFonts w:ascii="Baskerville Old Face" w:hAnsi="Baskerville Old Face"/>
          <w:sz w:val="24"/>
          <w:szCs w:val="24"/>
        </w:rPr>
        <w:t xml:space="preserve">. Contextualising bronze age archaeological sites and artefacts within this new, expanding world is central to their interpretation, as wide-scale change in any society is reflected </w:t>
      </w:r>
      <w:r w:rsidR="00E40E5E">
        <w:rPr>
          <w:rFonts w:ascii="Baskerville Old Face" w:hAnsi="Baskerville Old Face"/>
          <w:sz w:val="24"/>
          <w:szCs w:val="24"/>
        </w:rPr>
        <w:t>in individual behaviour and activity.</w:t>
      </w:r>
    </w:p>
    <w:p w14:paraId="4BD3D5A9" w14:textId="1D9C5D09" w:rsidR="00604B08" w:rsidRDefault="007C6237" w:rsidP="00636A24">
      <w:pPr>
        <w:jc w:val="both"/>
        <w:rPr>
          <w:rFonts w:ascii="Baskerville Old Face" w:hAnsi="Baskerville Old Face"/>
          <w:sz w:val="24"/>
          <w:szCs w:val="24"/>
        </w:rPr>
      </w:pPr>
      <w:r>
        <w:rPr>
          <w:rFonts w:ascii="Baskerville Old Face" w:hAnsi="Baskerville Old Face"/>
          <w:sz w:val="24"/>
          <w:szCs w:val="24"/>
        </w:rPr>
        <w:t>Marki, a small village located in central Cyprus</w:t>
      </w:r>
      <w:r w:rsidR="00D8184C">
        <w:rPr>
          <w:rFonts w:ascii="Baskerville Old Face" w:hAnsi="Baskerville Old Face"/>
          <w:sz w:val="24"/>
          <w:szCs w:val="24"/>
        </w:rPr>
        <w:t>, in the northern foothills of the Troodos Mountains,</w:t>
      </w:r>
      <w:r>
        <w:rPr>
          <w:rFonts w:ascii="Baskerville Old Face" w:hAnsi="Baskerville Old Face"/>
          <w:sz w:val="24"/>
          <w:szCs w:val="24"/>
        </w:rPr>
        <w:t xml:space="preserve"> and occupied from around 2350BCE to 1850BCE, is a fascinating, and highly studied case of Bronze Age </w:t>
      </w:r>
      <w:r w:rsidR="008252A0">
        <w:rPr>
          <w:rFonts w:ascii="Baskerville Old Face" w:hAnsi="Baskerville Old Face"/>
          <w:sz w:val="24"/>
          <w:szCs w:val="24"/>
        </w:rPr>
        <w:t>settlements, and life. Field research spanning over a decade, which revealed 2000sqm, provided archaeologists with evidence of domestic structures and their habitation</w:t>
      </w:r>
      <w:r w:rsidR="00D8184C">
        <w:rPr>
          <w:rFonts w:ascii="Baskerville Old Face" w:hAnsi="Baskerville Old Face"/>
          <w:sz w:val="24"/>
          <w:szCs w:val="24"/>
        </w:rPr>
        <w:t xml:space="preserve">, providing the opportunity for closer observation into the social organisation of this community. Frankel and Webb understood Marki, in its most full and booming occupation, to be a result of migration from other previously established villages, following the discovery of copper sources in its close proximity within the Troodos. Though Marki began as an area of limited agricultural productivity, the population growth </w:t>
      </w:r>
      <w:r w:rsidR="00B13579">
        <w:rPr>
          <w:rFonts w:ascii="Baskerville Old Face" w:hAnsi="Baskerville Old Face"/>
          <w:sz w:val="24"/>
          <w:szCs w:val="24"/>
        </w:rPr>
        <w:t xml:space="preserve">was a catalyst to the improvement of productivity, and the introduction of plow-based agriculture which, in turn, allowed for even further expansion. </w:t>
      </w:r>
      <w:r w:rsidR="00003770">
        <w:rPr>
          <w:rFonts w:ascii="Baskerville Old Face" w:hAnsi="Baskerville Old Face"/>
          <w:sz w:val="24"/>
          <w:szCs w:val="24"/>
        </w:rPr>
        <w:t xml:space="preserve">Despite its evolution, Marki </w:t>
      </w:r>
      <w:r w:rsidR="0035219D">
        <w:rPr>
          <w:rFonts w:ascii="Baskerville Old Face" w:hAnsi="Baskerville Old Face"/>
          <w:sz w:val="24"/>
          <w:szCs w:val="24"/>
        </w:rPr>
        <w:t xml:space="preserve">had always been self-sustaining, and </w:t>
      </w:r>
      <w:r w:rsidR="00B862D0">
        <w:rPr>
          <w:rFonts w:ascii="Baskerville Old Face" w:hAnsi="Baskerville Old Face"/>
          <w:sz w:val="24"/>
          <w:szCs w:val="24"/>
        </w:rPr>
        <w:t>heavily involved in cereal agriculture, animal husbandry, ceramic production, and textiles.</w:t>
      </w:r>
      <w:r w:rsidR="00B862D0">
        <w:rPr>
          <w:rStyle w:val="FootnoteReference"/>
          <w:rFonts w:ascii="Baskerville Old Face" w:hAnsi="Baskerville Old Face"/>
          <w:sz w:val="24"/>
          <w:szCs w:val="24"/>
        </w:rPr>
        <w:footnoteReference w:id="2"/>
      </w:r>
      <w:r w:rsidR="00B862D0">
        <w:rPr>
          <w:rFonts w:ascii="Baskerville Old Face" w:hAnsi="Baskerville Old Face"/>
          <w:sz w:val="24"/>
          <w:szCs w:val="24"/>
        </w:rPr>
        <w:t xml:space="preserve"> </w:t>
      </w:r>
      <w:r w:rsidR="00B13579">
        <w:rPr>
          <w:rFonts w:ascii="Baskerville Old Face" w:hAnsi="Baskerville Old Face"/>
          <w:sz w:val="24"/>
          <w:szCs w:val="24"/>
        </w:rPr>
        <w:t xml:space="preserve">After 1950BCE however, Marki faced steep decline, ending with the village’s subsequent abandonment, which is </w:t>
      </w:r>
      <w:r w:rsidR="008E73AB">
        <w:rPr>
          <w:rFonts w:ascii="Baskerville Old Face" w:hAnsi="Baskerville Old Face"/>
          <w:sz w:val="24"/>
          <w:szCs w:val="24"/>
        </w:rPr>
        <w:t xml:space="preserve">as </w:t>
      </w:r>
      <w:r w:rsidR="00B13579">
        <w:rPr>
          <w:rFonts w:ascii="Baskerville Old Face" w:hAnsi="Baskerville Old Face"/>
          <w:sz w:val="24"/>
          <w:szCs w:val="24"/>
        </w:rPr>
        <w:t>equally a part of the village’s history as its inhabitation. The processes of migration, occupation, and abandonment have all affected community behaviour, and to achieve a rounded understanding of prehistoric domestic life within this settlement, one must acknowledge its life-cycle.</w:t>
      </w:r>
      <w:r w:rsidR="00B13579">
        <w:rPr>
          <w:rStyle w:val="FootnoteReference"/>
          <w:rFonts w:ascii="Baskerville Old Face" w:hAnsi="Baskerville Old Face"/>
          <w:sz w:val="24"/>
          <w:szCs w:val="24"/>
        </w:rPr>
        <w:footnoteReference w:id="3"/>
      </w:r>
    </w:p>
    <w:p w14:paraId="3E8DDBB7" w14:textId="77777777" w:rsidR="00BC10F9" w:rsidRDefault="00604B08" w:rsidP="00636A24">
      <w:pPr>
        <w:jc w:val="both"/>
        <w:rPr>
          <w:rFonts w:ascii="Baskerville Old Face" w:hAnsi="Baskerville Old Face"/>
          <w:sz w:val="24"/>
          <w:szCs w:val="24"/>
        </w:rPr>
      </w:pPr>
      <w:r>
        <w:rPr>
          <w:rFonts w:ascii="Baskerville Old Face" w:hAnsi="Baskerville Old Face"/>
          <w:sz w:val="24"/>
          <w:szCs w:val="24"/>
        </w:rPr>
        <w:t xml:space="preserve">Marki’s layout revealed several architectural units, which were thus forth sectioned into compounds </w:t>
      </w:r>
      <w:proofErr w:type="gramStart"/>
      <w:r>
        <w:rPr>
          <w:rFonts w:ascii="Baskerville Old Face" w:hAnsi="Baskerville Old Face"/>
          <w:sz w:val="24"/>
          <w:szCs w:val="24"/>
        </w:rPr>
        <w:t>in order to</w:t>
      </w:r>
      <w:proofErr w:type="gramEnd"/>
      <w:r>
        <w:rPr>
          <w:rFonts w:ascii="Baskerville Old Face" w:hAnsi="Baskerville Old Face"/>
          <w:sz w:val="24"/>
          <w:szCs w:val="24"/>
        </w:rPr>
        <w:t xml:space="preserve"> attend more closely to the structures, and find comparison</w:t>
      </w:r>
      <w:r w:rsidR="008631C4">
        <w:rPr>
          <w:rFonts w:ascii="Baskerville Old Face" w:hAnsi="Baskerville Old Face"/>
          <w:sz w:val="24"/>
          <w:szCs w:val="24"/>
        </w:rPr>
        <w:t xml:space="preserve">. Within these </w:t>
      </w:r>
    </w:p>
    <w:p w14:paraId="2FFD9EA9" w14:textId="77777777" w:rsidR="00BC10F9" w:rsidRDefault="00BC10F9" w:rsidP="00636A24">
      <w:pPr>
        <w:jc w:val="both"/>
        <w:rPr>
          <w:rFonts w:ascii="Baskerville Old Face" w:hAnsi="Baskerville Old Face"/>
          <w:sz w:val="24"/>
          <w:szCs w:val="24"/>
        </w:rPr>
      </w:pPr>
    </w:p>
    <w:p w14:paraId="6F5822C1" w14:textId="43733B66" w:rsidR="00BC10F9" w:rsidRPr="00BC10F9" w:rsidRDefault="00BC10F9" w:rsidP="00BC10F9">
      <w:pPr>
        <w:jc w:val="center"/>
        <w:rPr>
          <w:rFonts w:ascii="Baskerville Old Face" w:hAnsi="Baskerville Old Face"/>
          <w:i/>
          <w:iCs/>
        </w:rPr>
      </w:pPr>
      <w:r w:rsidRPr="00BC10F9">
        <w:rPr>
          <w:rFonts w:ascii="Baskerville Old Face" w:hAnsi="Baskerville Old Face"/>
          <w:i/>
          <w:iCs/>
        </w:rPr>
        <w:lastRenderedPageBreak/>
        <w:drawing>
          <wp:anchor distT="0" distB="0" distL="114300" distR="114300" simplePos="0" relativeHeight="251661312" behindDoc="1" locked="0" layoutInCell="1" allowOverlap="1" wp14:anchorId="1237632C" wp14:editId="75333D83">
            <wp:simplePos x="0" y="0"/>
            <wp:positionH relativeFrom="margin">
              <wp:align>center</wp:align>
            </wp:positionH>
            <wp:positionV relativeFrom="paragraph">
              <wp:posOffset>0</wp:posOffset>
            </wp:positionV>
            <wp:extent cx="4359910" cy="2848610"/>
            <wp:effectExtent l="0" t="0" r="2540" b="8890"/>
            <wp:wrapTopAndBottom/>
            <wp:docPr id="16137792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3779275" name=""/>
                    <pic:cNvPicPr/>
                  </pic:nvPicPr>
                  <pic:blipFill>
                    <a:blip r:embed="rId8">
                      <a:extLst>
                        <a:ext uri="{28A0092B-C50C-407E-A947-70E740481C1C}">
                          <a14:useLocalDpi xmlns:a14="http://schemas.microsoft.com/office/drawing/2010/main" val="0"/>
                        </a:ext>
                      </a:extLst>
                    </a:blip>
                    <a:stretch>
                      <a:fillRect/>
                    </a:stretch>
                  </pic:blipFill>
                  <pic:spPr>
                    <a:xfrm>
                      <a:off x="0" y="0"/>
                      <a:ext cx="4359910" cy="2848610"/>
                    </a:xfrm>
                    <a:prstGeom prst="rect">
                      <a:avLst/>
                    </a:prstGeom>
                  </pic:spPr>
                </pic:pic>
              </a:graphicData>
            </a:graphic>
            <wp14:sizeRelH relativeFrom="margin">
              <wp14:pctWidth>0</wp14:pctWidth>
            </wp14:sizeRelH>
          </wp:anchor>
        </w:drawing>
      </w:r>
      <w:r w:rsidRPr="00BC10F9">
        <w:rPr>
          <w:rFonts w:ascii="Baskerville Old Face" w:hAnsi="Baskerville Old Face"/>
          <w:i/>
          <w:iCs/>
        </w:rPr>
        <w:t>Fig.1 Internal Changes Within Compound 6, from first establishment to abandonment</w:t>
      </w:r>
    </w:p>
    <w:p w14:paraId="17E979CD" w14:textId="77777777" w:rsidR="00BC10F9" w:rsidRDefault="00BC10F9" w:rsidP="00636A24">
      <w:pPr>
        <w:jc w:val="both"/>
        <w:rPr>
          <w:rFonts w:ascii="Baskerville Old Face" w:hAnsi="Baskerville Old Face"/>
          <w:sz w:val="24"/>
          <w:szCs w:val="24"/>
        </w:rPr>
      </w:pPr>
    </w:p>
    <w:p w14:paraId="564C376B" w14:textId="44C6C111" w:rsidR="00604B08" w:rsidRPr="00636A24" w:rsidRDefault="008631C4" w:rsidP="00636A24">
      <w:pPr>
        <w:jc w:val="both"/>
        <w:rPr>
          <w:rFonts w:ascii="Baskerville Old Face" w:hAnsi="Baskerville Old Face"/>
          <w:sz w:val="24"/>
          <w:szCs w:val="24"/>
        </w:rPr>
      </w:pPr>
      <w:r>
        <w:rPr>
          <w:rFonts w:ascii="Baskerville Old Face" w:hAnsi="Baskerville Old Face"/>
          <w:sz w:val="24"/>
          <w:szCs w:val="24"/>
        </w:rPr>
        <w:t xml:space="preserve">compounds, it was observed that some households contained courtyards yet some did not, and it was later realised, through these domestic remains, that there appeared to be a decline </w:t>
      </w:r>
      <w:r w:rsidR="00B84029">
        <w:rPr>
          <w:rFonts w:ascii="Baskerville Old Face" w:hAnsi="Baskerville Old Face"/>
          <w:sz w:val="24"/>
          <w:szCs w:val="24"/>
        </w:rPr>
        <w:t>of courtyards through time, with the decrease of the courtyard’s size, also, mirroring the dwindling of task variety and number within the space. This movement from courtyard to interior space usage suggests the daily activities practiced within the courtyard were no longer a part of a modernising and reformed Bronze Age life, or that location preference had shifted</w:t>
      </w:r>
      <w:r w:rsidR="009F7D6A">
        <w:rPr>
          <w:rFonts w:ascii="Baskerville Old Face" w:hAnsi="Baskerville Old Face"/>
          <w:sz w:val="24"/>
          <w:szCs w:val="24"/>
        </w:rPr>
        <w:t>, and people were re-examining the productivity and effectiveness of household space.</w:t>
      </w:r>
      <w:r w:rsidR="00761DA5">
        <w:rPr>
          <w:rFonts w:ascii="Baskerville Old Face" w:hAnsi="Baskerville Old Face"/>
          <w:sz w:val="24"/>
          <w:szCs w:val="24"/>
        </w:rPr>
        <w:t xml:space="preserve"> By Phase D, as Frankel and Webb refer to the fourth phase of household organisation, not every home followed the same daily activity and production, which carries the implication of economic specialisation as well as growing domestic diversification; this could be attributed to the village’s rise in population. Frankel and Webb theorised that some inhabitants would have been land-owners, and the remaining number without land may have </w:t>
      </w:r>
      <w:r w:rsidR="002523ED">
        <w:rPr>
          <w:rFonts w:ascii="Baskerville Old Face" w:hAnsi="Baskerville Old Face"/>
          <w:sz w:val="24"/>
          <w:szCs w:val="24"/>
        </w:rPr>
        <w:t xml:space="preserve">focused on more specialised activity, perhaps providing economic opportunity in the form of seasonal labour and surplus produce. The pair surmised that the effect of these household shifts </w:t>
      </w:r>
      <w:proofErr w:type="gramStart"/>
      <w:r w:rsidR="002523ED">
        <w:rPr>
          <w:rFonts w:ascii="Baskerville Old Face" w:hAnsi="Baskerville Old Face"/>
          <w:sz w:val="24"/>
          <w:szCs w:val="24"/>
        </w:rPr>
        <w:t>were</w:t>
      </w:r>
      <w:proofErr w:type="gramEnd"/>
      <w:r w:rsidR="002523ED">
        <w:rPr>
          <w:rFonts w:ascii="Baskerville Old Face" w:hAnsi="Baskerville Old Face"/>
          <w:sz w:val="24"/>
          <w:szCs w:val="24"/>
        </w:rPr>
        <w:t xml:space="preserve"> likely a catalyst in propelling the village into an environment of ‘increasing </w:t>
      </w:r>
      <w:r w:rsidR="00FD1334">
        <w:rPr>
          <w:rFonts w:ascii="Baskerville Old Face" w:hAnsi="Baskerville Old Face"/>
          <w:sz w:val="24"/>
          <w:szCs w:val="24"/>
        </w:rPr>
        <w:t xml:space="preserve">divergence of household activities and to changing and increasingly complex relationships between households.’ These changes may also reflect an ‘increasing need or desire for inter-household privacy and security…and the control and manipulation of space and other </w:t>
      </w:r>
      <w:proofErr w:type="gramStart"/>
      <w:r w:rsidR="00FD1334">
        <w:rPr>
          <w:rFonts w:ascii="Baskerville Old Face" w:hAnsi="Baskerville Old Face"/>
          <w:sz w:val="24"/>
          <w:szCs w:val="24"/>
        </w:rPr>
        <w:t>resources’</w:t>
      </w:r>
      <w:proofErr w:type="gramEnd"/>
      <w:r w:rsidR="00FD1334">
        <w:rPr>
          <w:rFonts w:ascii="Baskerville Old Face" w:hAnsi="Baskerville Old Face"/>
          <w:sz w:val="24"/>
          <w:szCs w:val="24"/>
        </w:rPr>
        <w:t>.</w:t>
      </w:r>
      <w:r w:rsidR="00FD1334">
        <w:rPr>
          <w:rStyle w:val="FootnoteReference"/>
          <w:rFonts w:ascii="Baskerville Old Face" w:hAnsi="Baskerville Old Face"/>
          <w:sz w:val="24"/>
          <w:szCs w:val="24"/>
        </w:rPr>
        <w:footnoteReference w:id="4"/>
      </w:r>
    </w:p>
    <w:p w14:paraId="3D74822B" w14:textId="7A854064" w:rsidR="00400AB3" w:rsidRDefault="00EE5874" w:rsidP="00C620E8">
      <w:pPr>
        <w:jc w:val="both"/>
        <w:rPr>
          <w:rFonts w:ascii="Baskerville Old Face" w:hAnsi="Baskerville Old Face"/>
          <w:sz w:val="24"/>
          <w:szCs w:val="24"/>
        </w:rPr>
      </w:pPr>
      <w:r>
        <w:rPr>
          <w:rFonts w:ascii="Baskerville Old Face" w:hAnsi="Baskerville Old Face"/>
          <w:sz w:val="24"/>
          <w:szCs w:val="24"/>
        </w:rPr>
        <w:t xml:space="preserve">Among the tools found in Marki were 323 rubbers and 141 querns, directly suggesting </w:t>
      </w:r>
      <w:r w:rsidR="00C05388">
        <w:rPr>
          <w:rFonts w:ascii="Baskerville Old Face" w:hAnsi="Baskerville Old Face"/>
          <w:sz w:val="24"/>
          <w:szCs w:val="24"/>
        </w:rPr>
        <w:t xml:space="preserve">an </w:t>
      </w:r>
      <w:r>
        <w:rPr>
          <w:rFonts w:ascii="Baskerville Old Face" w:hAnsi="Baskerville Old Face"/>
          <w:sz w:val="24"/>
          <w:szCs w:val="24"/>
        </w:rPr>
        <w:t>emphasis on grain processing within this village.</w:t>
      </w:r>
      <w:r w:rsidR="00C05388">
        <w:rPr>
          <w:rFonts w:ascii="Baskerville Old Face" w:hAnsi="Baskerville Old Face"/>
          <w:sz w:val="24"/>
          <w:szCs w:val="24"/>
        </w:rPr>
        <w:t xml:space="preserve"> Shaped in elongated ovals, the rubbers had a ‘flat or concave work surface and more or less overhanging terminals’.</w:t>
      </w:r>
      <w:r w:rsidR="00C05388">
        <w:rPr>
          <w:rStyle w:val="FootnoteReference"/>
          <w:rFonts w:ascii="Baskerville Old Face" w:hAnsi="Baskerville Old Face"/>
          <w:sz w:val="24"/>
          <w:szCs w:val="24"/>
        </w:rPr>
        <w:footnoteReference w:id="5"/>
      </w:r>
      <w:r w:rsidR="00C05388">
        <w:rPr>
          <w:rFonts w:ascii="Baskerville Old Face" w:hAnsi="Baskerville Old Face"/>
          <w:sz w:val="24"/>
          <w:szCs w:val="24"/>
        </w:rPr>
        <w:t xml:space="preserve"> Rubbers were handled with both hands and would have been worked using a </w:t>
      </w:r>
      <w:proofErr w:type="gramStart"/>
      <w:r w:rsidR="00C05388">
        <w:rPr>
          <w:rFonts w:ascii="Baskerville Old Face" w:hAnsi="Baskerville Old Face"/>
          <w:sz w:val="24"/>
          <w:szCs w:val="24"/>
        </w:rPr>
        <w:t>back and forth</w:t>
      </w:r>
      <w:proofErr w:type="gramEnd"/>
      <w:r w:rsidR="00C05388">
        <w:rPr>
          <w:rFonts w:ascii="Baskerville Old Face" w:hAnsi="Baskerville Old Face"/>
          <w:sz w:val="24"/>
          <w:szCs w:val="24"/>
        </w:rPr>
        <w:t xml:space="preserve"> motion on the length of a quern. </w:t>
      </w:r>
    </w:p>
    <w:p w14:paraId="10A87230" w14:textId="65042381" w:rsidR="00400AB3" w:rsidRDefault="00400AB3" w:rsidP="00C620E8">
      <w:pPr>
        <w:jc w:val="both"/>
        <w:rPr>
          <w:rFonts w:ascii="Baskerville Old Face" w:hAnsi="Baskerville Old Face"/>
          <w:sz w:val="24"/>
          <w:szCs w:val="24"/>
        </w:rPr>
      </w:pPr>
      <w:r w:rsidRPr="00400AB3">
        <w:rPr>
          <w:rFonts w:ascii="Baskerville Old Face" w:hAnsi="Baskerville Old Face"/>
          <w:sz w:val="24"/>
          <w:szCs w:val="24"/>
        </w:rPr>
        <w:lastRenderedPageBreak/>
        <w:drawing>
          <wp:anchor distT="0" distB="0" distL="114300" distR="114300" simplePos="0" relativeHeight="251658240" behindDoc="1" locked="0" layoutInCell="1" allowOverlap="1" wp14:anchorId="2A40852D" wp14:editId="6AD2EA58">
            <wp:simplePos x="0" y="0"/>
            <wp:positionH relativeFrom="margin">
              <wp:align>center</wp:align>
            </wp:positionH>
            <wp:positionV relativeFrom="paragraph">
              <wp:posOffset>66040</wp:posOffset>
            </wp:positionV>
            <wp:extent cx="3740150" cy="2462631"/>
            <wp:effectExtent l="0" t="0" r="0" b="0"/>
            <wp:wrapThrough wrapText="bothSides">
              <wp:wrapPolygon edited="0">
                <wp:start x="0" y="0"/>
                <wp:lineTo x="0" y="21388"/>
                <wp:lineTo x="21453" y="21388"/>
                <wp:lineTo x="21453" y="0"/>
                <wp:lineTo x="0" y="0"/>
              </wp:wrapPolygon>
            </wp:wrapThrough>
            <wp:docPr id="20655149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5514939" name=""/>
                    <pic:cNvPicPr/>
                  </pic:nvPicPr>
                  <pic:blipFill>
                    <a:blip r:embed="rId9">
                      <a:extLst>
                        <a:ext uri="{28A0092B-C50C-407E-A947-70E740481C1C}">
                          <a14:useLocalDpi xmlns:a14="http://schemas.microsoft.com/office/drawing/2010/main" val="0"/>
                        </a:ext>
                      </a:extLst>
                    </a:blip>
                    <a:stretch>
                      <a:fillRect/>
                    </a:stretch>
                  </pic:blipFill>
                  <pic:spPr>
                    <a:xfrm>
                      <a:off x="0" y="0"/>
                      <a:ext cx="3740150" cy="2462631"/>
                    </a:xfrm>
                    <a:prstGeom prst="rect">
                      <a:avLst/>
                    </a:prstGeom>
                  </pic:spPr>
                </pic:pic>
              </a:graphicData>
            </a:graphic>
          </wp:anchor>
        </w:drawing>
      </w:r>
    </w:p>
    <w:p w14:paraId="66B275E4" w14:textId="473DC426" w:rsidR="00400AB3" w:rsidRDefault="00400AB3" w:rsidP="00C620E8">
      <w:pPr>
        <w:jc w:val="both"/>
        <w:rPr>
          <w:rFonts w:ascii="Baskerville Old Face" w:hAnsi="Baskerville Old Face"/>
          <w:sz w:val="24"/>
          <w:szCs w:val="24"/>
        </w:rPr>
      </w:pPr>
    </w:p>
    <w:p w14:paraId="23D8DCB7" w14:textId="6D8F1C11" w:rsidR="00400AB3" w:rsidRDefault="00400AB3" w:rsidP="00C620E8">
      <w:pPr>
        <w:jc w:val="both"/>
        <w:rPr>
          <w:rFonts w:ascii="Baskerville Old Face" w:hAnsi="Baskerville Old Face"/>
          <w:sz w:val="24"/>
          <w:szCs w:val="24"/>
        </w:rPr>
      </w:pPr>
    </w:p>
    <w:p w14:paraId="56762978" w14:textId="209EA2A0" w:rsidR="00400AB3" w:rsidRDefault="00400AB3" w:rsidP="00C620E8">
      <w:pPr>
        <w:jc w:val="both"/>
        <w:rPr>
          <w:rFonts w:ascii="Baskerville Old Face" w:hAnsi="Baskerville Old Face"/>
          <w:sz w:val="24"/>
          <w:szCs w:val="24"/>
        </w:rPr>
      </w:pPr>
    </w:p>
    <w:p w14:paraId="40CE90EB" w14:textId="77777777" w:rsidR="00400AB3" w:rsidRDefault="00400AB3" w:rsidP="00C620E8">
      <w:pPr>
        <w:jc w:val="both"/>
        <w:rPr>
          <w:rFonts w:ascii="Baskerville Old Face" w:hAnsi="Baskerville Old Face"/>
          <w:sz w:val="24"/>
          <w:szCs w:val="24"/>
        </w:rPr>
      </w:pPr>
    </w:p>
    <w:p w14:paraId="6D90A8D1" w14:textId="77777777" w:rsidR="00400AB3" w:rsidRDefault="00400AB3" w:rsidP="00C620E8">
      <w:pPr>
        <w:jc w:val="both"/>
        <w:rPr>
          <w:rFonts w:ascii="Baskerville Old Face" w:hAnsi="Baskerville Old Face"/>
          <w:sz w:val="24"/>
          <w:szCs w:val="24"/>
        </w:rPr>
      </w:pPr>
    </w:p>
    <w:p w14:paraId="370DABAB" w14:textId="77777777" w:rsidR="00400AB3" w:rsidRDefault="00400AB3" w:rsidP="00C620E8">
      <w:pPr>
        <w:jc w:val="both"/>
        <w:rPr>
          <w:rFonts w:ascii="Baskerville Old Face" w:hAnsi="Baskerville Old Face"/>
          <w:sz w:val="24"/>
          <w:szCs w:val="24"/>
        </w:rPr>
      </w:pPr>
    </w:p>
    <w:p w14:paraId="1144A7C3" w14:textId="77777777" w:rsidR="00400AB3" w:rsidRDefault="00400AB3" w:rsidP="00C620E8">
      <w:pPr>
        <w:jc w:val="both"/>
        <w:rPr>
          <w:rFonts w:ascii="Baskerville Old Face" w:hAnsi="Baskerville Old Face"/>
          <w:sz w:val="24"/>
          <w:szCs w:val="24"/>
        </w:rPr>
      </w:pPr>
    </w:p>
    <w:p w14:paraId="2C3F76AC" w14:textId="77777777" w:rsidR="00400AB3" w:rsidRDefault="00400AB3" w:rsidP="00C620E8">
      <w:pPr>
        <w:jc w:val="both"/>
        <w:rPr>
          <w:rFonts w:ascii="Baskerville Old Face" w:hAnsi="Baskerville Old Face"/>
          <w:sz w:val="24"/>
          <w:szCs w:val="24"/>
        </w:rPr>
      </w:pPr>
    </w:p>
    <w:p w14:paraId="55CEB804" w14:textId="4B87FB18" w:rsidR="00400AB3" w:rsidRPr="00400AB3" w:rsidRDefault="00400AB3" w:rsidP="00400AB3">
      <w:pPr>
        <w:jc w:val="center"/>
        <w:rPr>
          <w:rFonts w:ascii="Baskerville Old Face" w:hAnsi="Baskerville Old Face"/>
          <w:i/>
          <w:iCs/>
        </w:rPr>
      </w:pPr>
      <w:r w:rsidRPr="00400AB3">
        <w:rPr>
          <w:rFonts w:ascii="Baskerville Old Face" w:hAnsi="Baskerville Old Face"/>
          <w:i/>
          <w:iCs/>
        </w:rPr>
        <w:t xml:space="preserve">Fig </w:t>
      </w:r>
      <w:r w:rsidR="0042544D">
        <w:rPr>
          <w:rFonts w:ascii="Baskerville Old Face" w:hAnsi="Baskerville Old Face"/>
          <w:i/>
          <w:iCs/>
        </w:rPr>
        <w:t>2</w:t>
      </w:r>
      <w:r w:rsidRPr="00400AB3">
        <w:rPr>
          <w:rFonts w:ascii="Baskerville Old Face" w:hAnsi="Baskerville Old Face"/>
          <w:i/>
          <w:iCs/>
        </w:rPr>
        <w:t>. ‘Three rubbers from Marki at different stages of the reduction sequence’</w:t>
      </w:r>
    </w:p>
    <w:p w14:paraId="035A706D" w14:textId="77777777" w:rsidR="00400AB3" w:rsidRDefault="00400AB3" w:rsidP="00C620E8">
      <w:pPr>
        <w:jc w:val="both"/>
        <w:rPr>
          <w:rFonts w:ascii="Baskerville Old Face" w:hAnsi="Baskerville Old Face"/>
          <w:sz w:val="24"/>
          <w:szCs w:val="24"/>
        </w:rPr>
      </w:pPr>
    </w:p>
    <w:p w14:paraId="7EE72EEA" w14:textId="4A53822D" w:rsidR="00CB1AF8" w:rsidRDefault="000D0764" w:rsidP="00C620E8">
      <w:pPr>
        <w:jc w:val="both"/>
        <w:rPr>
          <w:rFonts w:ascii="Baskerville Old Face" w:hAnsi="Baskerville Old Face"/>
          <w:sz w:val="24"/>
          <w:szCs w:val="24"/>
        </w:rPr>
      </w:pPr>
      <w:r>
        <w:rPr>
          <w:rFonts w:ascii="Baskerville Old Face" w:hAnsi="Baskerville Old Face"/>
          <w:sz w:val="24"/>
          <w:szCs w:val="24"/>
        </w:rPr>
        <w:t xml:space="preserve">The rubbers of Marki had been constructed from diabase and gabbro (or microgabbro) – igneous rocks that could be found along the Alykos streambed, located near to the settlement. </w:t>
      </w:r>
      <w:r w:rsidR="002702A5">
        <w:rPr>
          <w:rFonts w:ascii="Baskerville Old Face" w:hAnsi="Baskerville Old Face"/>
          <w:sz w:val="24"/>
          <w:szCs w:val="24"/>
        </w:rPr>
        <w:t xml:space="preserve">The existence of these tools in such a quantity, and clear regular usage, suggests of these people, competent interaction with their surrounding landscape, </w:t>
      </w:r>
      <w:proofErr w:type="gramStart"/>
      <w:r w:rsidR="002702A5">
        <w:rPr>
          <w:rFonts w:ascii="Baskerville Old Face" w:hAnsi="Baskerville Old Face"/>
          <w:sz w:val="24"/>
          <w:szCs w:val="24"/>
        </w:rPr>
        <w:t>in order to</w:t>
      </w:r>
      <w:proofErr w:type="gramEnd"/>
      <w:r w:rsidR="002702A5">
        <w:rPr>
          <w:rFonts w:ascii="Baskerville Old Face" w:hAnsi="Baskerville Old Face"/>
          <w:sz w:val="24"/>
          <w:szCs w:val="24"/>
        </w:rPr>
        <w:t xml:space="preserve"> have located these igneous rocks, and recognised them to be suitable for the craft of certain tools.</w:t>
      </w:r>
      <w:r w:rsidR="00400AB3">
        <w:rPr>
          <w:rFonts w:ascii="Baskerville Old Face" w:hAnsi="Baskerville Old Face"/>
          <w:sz w:val="24"/>
          <w:szCs w:val="24"/>
        </w:rPr>
        <w:t xml:space="preserve"> </w:t>
      </w:r>
      <w:r w:rsidR="00CB1AF8">
        <w:rPr>
          <w:rFonts w:ascii="Baskerville Old Face" w:hAnsi="Baskerville Old Face"/>
          <w:sz w:val="24"/>
          <w:szCs w:val="24"/>
        </w:rPr>
        <w:t xml:space="preserve">The discovered querns however, were comprised of calcarenite; a significantly coarser material against diabase, but well-suited to working alongside it. </w:t>
      </w:r>
      <w:r w:rsidR="00400AB3">
        <w:rPr>
          <w:rFonts w:ascii="Baskerville Old Face" w:hAnsi="Baskerville Old Face"/>
          <w:sz w:val="24"/>
          <w:szCs w:val="24"/>
        </w:rPr>
        <w:t>The calcarenite had likely been sourced from the north, where the nearest deposit lay some 10km from the village.</w:t>
      </w:r>
      <w:r w:rsidR="009809FD">
        <w:rPr>
          <w:rStyle w:val="FootnoteReference"/>
          <w:rFonts w:ascii="Baskerville Old Face" w:hAnsi="Baskerville Old Face"/>
          <w:sz w:val="24"/>
          <w:szCs w:val="24"/>
        </w:rPr>
        <w:footnoteReference w:id="6"/>
      </w:r>
      <w:r w:rsidR="00400AB3">
        <w:rPr>
          <w:rFonts w:ascii="Baskerville Old Face" w:hAnsi="Baskerville Old Face"/>
          <w:sz w:val="24"/>
          <w:szCs w:val="24"/>
        </w:rPr>
        <w:t xml:space="preserve"> </w:t>
      </w:r>
      <w:r w:rsidR="00400AB3" w:rsidRPr="00400AB3">
        <w:rPr>
          <w:rFonts w:ascii="Baskerville Old Face" w:hAnsi="Baskerville Old Face"/>
          <w:sz w:val="24"/>
          <w:szCs w:val="24"/>
        </w:rPr>
        <w:t xml:space="preserve">In the rubbers that were discovered, it was observed that their work surfaces were worn until smooth, indicating regular and </w:t>
      </w:r>
      <w:r w:rsidR="009809FD">
        <w:rPr>
          <w:rFonts w:ascii="Baskerville Old Face" w:hAnsi="Baskerville Old Face"/>
          <w:sz w:val="24"/>
          <w:szCs w:val="24"/>
        </w:rPr>
        <w:t xml:space="preserve">sustained </w:t>
      </w:r>
      <w:r w:rsidR="00400AB3" w:rsidRPr="00400AB3">
        <w:rPr>
          <w:rFonts w:ascii="Baskerville Old Face" w:hAnsi="Baskerville Old Face"/>
          <w:sz w:val="24"/>
          <w:szCs w:val="24"/>
        </w:rPr>
        <w:t xml:space="preserve">use. It was also observed that in almost </w:t>
      </w:r>
      <w:proofErr w:type="gramStart"/>
      <w:r w:rsidR="00400AB3" w:rsidRPr="00400AB3">
        <w:rPr>
          <w:rFonts w:ascii="Baskerville Old Face" w:hAnsi="Baskerville Old Face"/>
          <w:sz w:val="24"/>
          <w:szCs w:val="24"/>
        </w:rPr>
        <w:t>all of</w:t>
      </w:r>
      <w:proofErr w:type="gramEnd"/>
      <w:r w:rsidR="00400AB3" w:rsidRPr="00400AB3">
        <w:rPr>
          <w:rFonts w:ascii="Baskerville Old Face" w:hAnsi="Baskerville Old Face"/>
          <w:sz w:val="24"/>
          <w:szCs w:val="24"/>
        </w:rPr>
        <w:t xml:space="preserve"> the rubbers, there was evidence of thinning along the ‘leading’ edge, caused by applied pressure, over time.</w:t>
      </w:r>
      <w:r w:rsidR="00400AB3">
        <w:rPr>
          <w:rFonts w:ascii="Baskerville Old Face" w:hAnsi="Baskerville Old Face"/>
          <w:sz w:val="24"/>
          <w:szCs w:val="24"/>
        </w:rPr>
        <w:t xml:space="preserve"> In both the querns and rubbers, evidence of use-wear in the form of consistent fracture patterns from functional abrasion, and sharpening, was found, which allows for the identification of patterned behaviour </w:t>
      </w:r>
      <w:proofErr w:type="gramStart"/>
      <w:r w:rsidR="00400AB3">
        <w:rPr>
          <w:rFonts w:ascii="Baskerville Old Face" w:hAnsi="Baskerville Old Face"/>
          <w:sz w:val="24"/>
          <w:szCs w:val="24"/>
        </w:rPr>
        <w:t>in regard to</w:t>
      </w:r>
      <w:proofErr w:type="gramEnd"/>
      <w:r w:rsidR="00400AB3">
        <w:rPr>
          <w:rFonts w:ascii="Baskerville Old Face" w:hAnsi="Baskerville Old Face"/>
          <w:sz w:val="24"/>
          <w:szCs w:val="24"/>
        </w:rPr>
        <w:t xml:space="preserve"> domestic activity.</w:t>
      </w:r>
    </w:p>
    <w:p w14:paraId="4FEDCDF4" w14:textId="525D3A87" w:rsidR="00F43203" w:rsidRDefault="00E92BB4" w:rsidP="00C620E8">
      <w:pPr>
        <w:jc w:val="both"/>
        <w:rPr>
          <w:rFonts w:ascii="Baskerville Old Face" w:hAnsi="Baskerville Old Face"/>
          <w:sz w:val="24"/>
          <w:szCs w:val="24"/>
        </w:rPr>
      </w:pPr>
      <w:r>
        <w:rPr>
          <w:rFonts w:ascii="Baskerville Old Face" w:hAnsi="Baskerville Old Face"/>
          <w:sz w:val="24"/>
          <w:szCs w:val="24"/>
        </w:rPr>
        <w:t xml:space="preserve">The materiality of food, or kitchenalia, are surprisingly revealing objects within the household, as they themselves hold histories – prehistoric relationships with food, family dynamics, even gender roles. </w:t>
      </w:r>
      <w:r w:rsidR="00C475D1">
        <w:rPr>
          <w:rFonts w:ascii="Baskerville Old Face" w:hAnsi="Baskerville Old Face"/>
          <w:sz w:val="24"/>
          <w:szCs w:val="24"/>
        </w:rPr>
        <w:t xml:space="preserve">A crucial question to ask when analysing kitchenalia in the archaeological record, is ‘how can this </w:t>
      </w:r>
      <w:r w:rsidR="00DB08EB">
        <w:rPr>
          <w:rFonts w:ascii="Baskerville Old Face" w:hAnsi="Baskerville Old Face"/>
          <w:sz w:val="24"/>
          <w:szCs w:val="24"/>
        </w:rPr>
        <w:t xml:space="preserve">object be understood as a part of a household? As a tool of socialisation? </w:t>
      </w:r>
      <w:r w:rsidR="00712D0A" w:rsidRPr="00712D0A">
        <w:rPr>
          <w:rFonts w:ascii="Baskerville Old Face" w:hAnsi="Baskerville Old Face"/>
          <w:sz w:val="24"/>
          <w:szCs w:val="24"/>
        </w:rPr>
        <w:t>Louise Steel understood that ‘it is through people’s interactions with the material world that they become social beings</w:t>
      </w:r>
      <w:r w:rsidR="00712D0A" w:rsidRPr="00712D0A">
        <w:rPr>
          <w:rFonts w:ascii="Baskerville Old Face" w:hAnsi="Baskerville Old Face"/>
          <w:sz w:val="24"/>
          <w:szCs w:val="24"/>
        </w:rPr>
        <w:t>,’</w:t>
      </w:r>
      <w:r w:rsidR="00712D0A" w:rsidRPr="00712D0A">
        <w:rPr>
          <w:rFonts w:ascii="Baskerville Old Face" w:hAnsi="Baskerville Old Face"/>
          <w:sz w:val="24"/>
          <w:szCs w:val="24"/>
        </w:rPr>
        <w:t xml:space="preserve"> and it is with our involvement with our materiality, that the ‘interweaving of objects and people shapes human experiences and identities</w:t>
      </w:r>
      <w:r w:rsidR="00712D0A" w:rsidRPr="00712D0A">
        <w:rPr>
          <w:rFonts w:ascii="Baskerville Old Face" w:hAnsi="Baskerville Old Face"/>
          <w:sz w:val="24"/>
          <w:szCs w:val="24"/>
        </w:rPr>
        <w:t>.’</w:t>
      </w:r>
      <w:r w:rsidR="00712D0A">
        <w:rPr>
          <w:rStyle w:val="FootnoteReference"/>
          <w:rFonts w:ascii="Baskerville Old Face" w:hAnsi="Baskerville Old Face"/>
          <w:sz w:val="24"/>
          <w:szCs w:val="24"/>
        </w:rPr>
        <w:footnoteReference w:id="7"/>
      </w:r>
      <w:r w:rsidR="00712D0A">
        <w:rPr>
          <w:rFonts w:ascii="Baskerville Old Face" w:hAnsi="Baskerville Old Face"/>
          <w:sz w:val="24"/>
          <w:szCs w:val="24"/>
        </w:rPr>
        <w:t xml:space="preserve"> </w:t>
      </w:r>
      <w:r w:rsidR="00615CFA">
        <w:rPr>
          <w:rFonts w:ascii="Baskerville Old Face" w:hAnsi="Baskerville Old Face"/>
          <w:sz w:val="24"/>
          <w:szCs w:val="24"/>
        </w:rPr>
        <w:t xml:space="preserve">Under the most basic of interpretation, pots are commonplace finds in site excavations, and are not by any means, valuable in their material. </w:t>
      </w:r>
      <w:r w:rsidR="000425DF">
        <w:rPr>
          <w:rFonts w:ascii="Baskerville Old Face" w:hAnsi="Baskerville Old Face"/>
          <w:sz w:val="24"/>
          <w:szCs w:val="24"/>
        </w:rPr>
        <w:t xml:space="preserve">To archaeologists however, pottery can prove invaluable to the exploration of ancient people’s activities and in turn, their relationships with food, and its social implications within the household. Actions of serving, consuming, cooking, processing, and hosting, were all familiar to Bronze Age Cypriot homes, traditionally within an open courtyard or an ancillary room. Red </w:t>
      </w:r>
      <w:r w:rsidR="000425DF">
        <w:rPr>
          <w:rFonts w:ascii="Baskerville Old Face" w:hAnsi="Baskerville Old Face"/>
          <w:sz w:val="24"/>
          <w:szCs w:val="24"/>
        </w:rPr>
        <w:lastRenderedPageBreak/>
        <w:t xml:space="preserve">Polished pottery was </w:t>
      </w:r>
      <w:r w:rsidR="00055425">
        <w:rPr>
          <w:rFonts w:ascii="Baskerville Old Face" w:hAnsi="Baskerville Old Face"/>
          <w:sz w:val="24"/>
          <w:szCs w:val="24"/>
        </w:rPr>
        <w:t>used in abundance throughout the island’s Bronze Age, to store, as well as serve food and drink.</w:t>
      </w:r>
      <w:r w:rsidR="00074E71">
        <w:rPr>
          <w:rFonts w:ascii="Baskerville Old Face" w:hAnsi="Baskerville Old Face"/>
          <w:sz w:val="24"/>
          <w:szCs w:val="24"/>
        </w:rPr>
        <w:t xml:space="preserve"> </w:t>
      </w:r>
    </w:p>
    <w:p w14:paraId="0E1C48BD" w14:textId="6DE3355F" w:rsidR="00E92BB4" w:rsidRDefault="005B5FF8" w:rsidP="00C620E8">
      <w:pPr>
        <w:jc w:val="both"/>
        <w:rPr>
          <w:rFonts w:ascii="Baskerville Old Face" w:hAnsi="Baskerville Old Face"/>
          <w:sz w:val="24"/>
          <w:szCs w:val="24"/>
        </w:rPr>
      </w:pPr>
      <w:r w:rsidRPr="000B0A42">
        <w:rPr>
          <w:rFonts w:ascii="Baskerville Old Face" w:hAnsi="Baskerville Old Face"/>
          <w:sz w:val="24"/>
          <w:szCs w:val="24"/>
        </w:rPr>
        <w:drawing>
          <wp:anchor distT="0" distB="0" distL="114300" distR="114300" simplePos="0" relativeHeight="251659264" behindDoc="0" locked="0" layoutInCell="1" allowOverlap="1" wp14:anchorId="30C0E79F" wp14:editId="40835D7F">
            <wp:simplePos x="0" y="0"/>
            <wp:positionH relativeFrom="margin">
              <wp:align>center</wp:align>
            </wp:positionH>
            <wp:positionV relativeFrom="paragraph">
              <wp:posOffset>2904148</wp:posOffset>
            </wp:positionV>
            <wp:extent cx="5731510" cy="1482725"/>
            <wp:effectExtent l="0" t="0" r="2540" b="3175"/>
            <wp:wrapThrough wrapText="bothSides">
              <wp:wrapPolygon edited="0">
                <wp:start x="0" y="0"/>
                <wp:lineTo x="0" y="21369"/>
                <wp:lineTo x="21538" y="21369"/>
                <wp:lineTo x="21538" y="0"/>
                <wp:lineTo x="0" y="0"/>
              </wp:wrapPolygon>
            </wp:wrapThrough>
            <wp:docPr id="8543418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4341819" name=""/>
                    <pic:cNvPicPr/>
                  </pic:nvPicPr>
                  <pic:blipFill>
                    <a:blip r:embed="rId10">
                      <a:extLst>
                        <a:ext uri="{28A0092B-C50C-407E-A947-70E740481C1C}">
                          <a14:useLocalDpi xmlns:a14="http://schemas.microsoft.com/office/drawing/2010/main" val="0"/>
                        </a:ext>
                      </a:extLst>
                    </a:blip>
                    <a:stretch>
                      <a:fillRect/>
                    </a:stretch>
                  </pic:blipFill>
                  <pic:spPr>
                    <a:xfrm>
                      <a:off x="0" y="0"/>
                      <a:ext cx="5731510" cy="1482725"/>
                    </a:xfrm>
                    <a:prstGeom prst="rect">
                      <a:avLst/>
                    </a:prstGeom>
                  </pic:spPr>
                </pic:pic>
              </a:graphicData>
            </a:graphic>
            <wp14:sizeRelH relativeFrom="page">
              <wp14:pctWidth>0</wp14:pctWidth>
            </wp14:sizeRelH>
            <wp14:sizeRelV relativeFrom="page">
              <wp14:pctHeight>0</wp14:pctHeight>
            </wp14:sizeRelV>
          </wp:anchor>
        </w:drawing>
      </w:r>
      <w:r w:rsidR="00074E71" w:rsidRPr="00074E71">
        <w:rPr>
          <w:rFonts w:ascii="Baskerville Old Face" w:hAnsi="Baskerville Old Face"/>
          <w:sz w:val="24"/>
          <w:szCs w:val="24"/>
        </w:rPr>
        <w:t xml:space="preserve">Marki specifically, is known for its Red Polished pottery which features in many scholarly </w:t>
      </w:r>
      <w:proofErr w:type="spellStart"/>
      <w:r w:rsidR="00074E71" w:rsidRPr="00074E71">
        <w:rPr>
          <w:rFonts w:ascii="Baskerville Old Face" w:hAnsi="Baskerville Old Face"/>
          <w:sz w:val="24"/>
          <w:szCs w:val="24"/>
        </w:rPr>
        <w:t>publishings</w:t>
      </w:r>
      <w:proofErr w:type="spellEnd"/>
      <w:r w:rsidR="00074E71" w:rsidRPr="00074E71">
        <w:rPr>
          <w:rFonts w:ascii="Baskerville Old Face" w:hAnsi="Baskerville Old Face"/>
          <w:sz w:val="24"/>
          <w:szCs w:val="24"/>
        </w:rPr>
        <w:t xml:space="preserve"> as a face for domestic pottery and its daily use</w:t>
      </w:r>
      <w:r w:rsidR="00074E71">
        <w:rPr>
          <w:rStyle w:val="FootnoteReference"/>
          <w:rFonts w:ascii="Baskerville Old Face" w:hAnsi="Baskerville Old Face"/>
          <w:sz w:val="24"/>
          <w:szCs w:val="24"/>
        </w:rPr>
        <w:footnoteReference w:id="8"/>
      </w:r>
      <w:r w:rsidR="00074E71" w:rsidRPr="00074E71">
        <w:rPr>
          <w:rFonts w:ascii="Baskerville Old Face" w:hAnsi="Baskerville Old Face"/>
          <w:sz w:val="24"/>
          <w:szCs w:val="24"/>
        </w:rPr>
        <w:t>.</w:t>
      </w:r>
      <w:r w:rsidR="00074E71">
        <w:rPr>
          <w:rFonts w:ascii="Baskerville Old Face" w:hAnsi="Baskerville Old Face"/>
          <w:sz w:val="24"/>
          <w:szCs w:val="24"/>
        </w:rPr>
        <w:t xml:space="preserve"> A vast quantity of such pottery</w:t>
      </w:r>
      <w:r w:rsidR="007E4147">
        <w:rPr>
          <w:rFonts w:ascii="Baskerville Old Face" w:hAnsi="Baskerville Old Face"/>
          <w:sz w:val="24"/>
          <w:szCs w:val="24"/>
        </w:rPr>
        <w:t xml:space="preserve"> was unearthed during the decade of Marki’s excavation, </w:t>
      </w:r>
      <w:r w:rsidR="00074E71">
        <w:rPr>
          <w:rFonts w:ascii="Baskerville Old Face" w:hAnsi="Baskerville Old Face"/>
          <w:sz w:val="24"/>
          <w:szCs w:val="24"/>
        </w:rPr>
        <w:t>including, but not limited to,</w:t>
      </w:r>
      <w:r w:rsidR="007E4147">
        <w:rPr>
          <w:rFonts w:ascii="Baskerville Old Face" w:hAnsi="Baskerville Old Face"/>
          <w:sz w:val="24"/>
          <w:szCs w:val="24"/>
        </w:rPr>
        <w:t xml:space="preserve"> tableware. Amongst them, it was observed that </w:t>
      </w:r>
      <w:proofErr w:type="gramStart"/>
      <w:r w:rsidR="007E4147">
        <w:rPr>
          <w:rFonts w:ascii="Baskerville Old Face" w:hAnsi="Baskerville Old Face"/>
          <w:sz w:val="24"/>
          <w:szCs w:val="24"/>
        </w:rPr>
        <w:t>the majority of</w:t>
      </w:r>
      <w:proofErr w:type="gramEnd"/>
      <w:r w:rsidR="007E4147">
        <w:rPr>
          <w:rFonts w:ascii="Baskerville Old Face" w:hAnsi="Baskerville Old Face"/>
          <w:sz w:val="24"/>
          <w:szCs w:val="24"/>
        </w:rPr>
        <w:t xml:space="preserve"> these bowls and jugs presented similarly, the bowls having been made with small, round bases or conical with a flattened base, and the jugs with round mouths or spouts.</w:t>
      </w:r>
      <w:r w:rsidR="007277C8">
        <w:rPr>
          <w:rStyle w:val="FootnoteReference"/>
          <w:rFonts w:ascii="Baskerville Old Face" w:hAnsi="Baskerville Old Face"/>
          <w:sz w:val="24"/>
          <w:szCs w:val="24"/>
        </w:rPr>
        <w:footnoteReference w:id="9"/>
      </w:r>
      <w:r w:rsidR="00867C0A">
        <w:rPr>
          <w:rFonts w:ascii="Baskerville Old Face" w:hAnsi="Baskerville Old Face"/>
          <w:sz w:val="24"/>
          <w:szCs w:val="24"/>
        </w:rPr>
        <w:t xml:space="preserve"> Aesthetically, the smooth and glossy appearance lent the simple object an element of attractiveness</w:t>
      </w:r>
      <w:r w:rsidR="00F43203">
        <w:rPr>
          <w:rFonts w:ascii="Baskerville Old Face" w:hAnsi="Baskerville Old Face"/>
          <w:sz w:val="24"/>
          <w:szCs w:val="24"/>
        </w:rPr>
        <w:t>.</w:t>
      </w:r>
      <w:r w:rsidR="00867C0A">
        <w:rPr>
          <w:rFonts w:ascii="Baskerville Old Face" w:hAnsi="Baskerville Old Face"/>
          <w:sz w:val="24"/>
          <w:szCs w:val="24"/>
        </w:rPr>
        <w:t xml:space="preserve"> The pottery was handmade, into shapes that would have been relatively simple to form, perhaps suggesting that within the domestic field of Cyprus’s Early Bronze Age, extravagance or grandeur did not have a place. It could also be suggested that the</w:t>
      </w:r>
      <w:r w:rsidR="00FD1334">
        <w:rPr>
          <w:rFonts w:ascii="Baskerville Old Face" w:hAnsi="Baskerville Old Face"/>
          <w:sz w:val="24"/>
          <w:szCs w:val="24"/>
        </w:rPr>
        <w:t xml:space="preserve"> </w:t>
      </w:r>
      <w:r w:rsidR="00000F8B">
        <w:rPr>
          <w:rFonts w:ascii="Baskerville Old Face" w:hAnsi="Baskerville Old Face"/>
          <w:sz w:val="24"/>
          <w:szCs w:val="24"/>
        </w:rPr>
        <w:t>repetition of pottery form amongst households even outside of Marki, is indicative of a ‘monotone cultural experience within the household (certainly with respect to daily engagement with ceramics)</w:t>
      </w:r>
      <w:r w:rsidR="000353C1">
        <w:rPr>
          <w:rFonts w:ascii="Baskerville Old Face" w:hAnsi="Baskerville Old Face"/>
          <w:sz w:val="24"/>
          <w:szCs w:val="24"/>
        </w:rPr>
        <w:t>.’</w:t>
      </w:r>
      <w:r w:rsidR="00000F8B">
        <w:rPr>
          <w:rStyle w:val="FootnoteReference"/>
          <w:rFonts w:ascii="Baskerville Old Face" w:hAnsi="Baskerville Old Face"/>
          <w:sz w:val="24"/>
          <w:szCs w:val="24"/>
        </w:rPr>
        <w:footnoteReference w:id="10"/>
      </w:r>
      <w:r w:rsidR="000353C1">
        <w:rPr>
          <w:rFonts w:ascii="Baskerville Old Face" w:hAnsi="Baskerville Old Face"/>
          <w:sz w:val="24"/>
          <w:szCs w:val="24"/>
        </w:rPr>
        <w:t xml:space="preserve"> Despite that thought, the pottery did indeed reveal significant ideas about people’s interactions with them.</w:t>
      </w:r>
      <w:r w:rsidR="00537DEE">
        <w:rPr>
          <w:rFonts w:ascii="Baskerville Old Face" w:hAnsi="Baskerville Old Face"/>
          <w:sz w:val="24"/>
          <w:szCs w:val="24"/>
        </w:rPr>
        <w:t xml:space="preserve"> Round-bottomed bowls, of course, were not able to stand on any flat surface, which prompts a discussion of whereabouts they would have been ideal to place – essentially, what intention did the </w:t>
      </w:r>
      <w:r w:rsidR="00473AB0">
        <w:rPr>
          <w:rFonts w:ascii="Baskerville Old Face" w:hAnsi="Baskerville Old Face"/>
          <w:sz w:val="24"/>
          <w:szCs w:val="24"/>
        </w:rPr>
        <w:t>potter</w:t>
      </w:r>
      <w:r w:rsidR="00E52EED">
        <w:rPr>
          <w:rFonts w:ascii="Baskerville Old Face" w:hAnsi="Baskerville Old Face"/>
          <w:sz w:val="24"/>
          <w:szCs w:val="24"/>
        </w:rPr>
        <w:t>s</w:t>
      </w:r>
      <w:r w:rsidR="00473AB0">
        <w:rPr>
          <w:rFonts w:ascii="Baskerville Old Face" w:hAnsi="Baskerville Old Face"/>
          <w:sz w:val="24"/>
          <w:szCs w:val="24"/>
        </w:rPr>
        <w:t xml:space="preserve"> have during </w:t>
      </w:r>
      <w:r w:rsidR="00E52EED">
        <w:rPr>
          <w:rFonts w:ascii="Baskerville Old Face" w:hAnsi="Baskerville Old Face"/>
          <w:sz w:val="24"/>
          <w:szCs w:val="24"/>
        </w:rPr>
        <w:t>their</w:t>
      </w:r>
      <w:r w:rsidR="00473AB0">
        <w:rPr>
          <w:rFonts w:ascii="Baskerville Old Face" w:hAnsi="Baskerville Old Face"/>
          <w:sz w:val="24"/>
          <w:szCs w:val="24"/>
        </w:rPr>
        <w:t xml:space="preserve"> creation?</w:t>
      </w:r>
    </w:p>
    <w:p w14:paraId="62F5EF94" w14:textId="1E8AF2F4" w:rsidR="00636A24" w:rsidRPr="000B0A42" w:rsidRDefault="000B0A42" w:rsidP="00FD1334">
      <w:pPr>
        <w:jc w:val="center"/>
        <w:rPr>
          <w:rFonts w:ascii="Baskerville Old Face" w:hAnsi="Baskerville Old Face"/>
          <w:i/>
          <w:iCs/>
        </w:rPr>
      </w:pPr>
      <w:r w:rsidRPr="000B0A42">
        <w:rPr>
          <w:rFonts w:ascii="Baskerville Old Face" w:hAnsi="Baskerville Old Face"/>
          <w:i/>
          <w:iCs/>
        </w:rPr>
        <w:t xml:space="preserve">Fig. </w:t>
      </w:r>
      <w:r w:rsidR="0042544D">
        <w:rPr>
          <w:rFonts w:ascii="Baskerville Old Face" w:hAnsi="Baskerville Old Face"/>
          <w:i/>
          <w:iCs/>
        </w:rPr>
        <w:t>3</w:t>
      </w:r>
      <w:r w:rsidRPr="000B0A42">
        <w:rPr>
          <w:rFonts w:ascii="Baskerville Old Face" w:hAnsi="Baskerville Old Face"/>
          <w:i/>
          <w:iCs/>
        </w:rPr>
        <w:t xml:space="preserve"> Red Polished Pottery, Marki (Illustrated by Steel, 2016)</w:t>
      </w:r>
    </w:p>
    <w:p w14:paraId="74EC6598" w14:textId="7C678B1F" w:rsidR="000B0A42" w:rsidRDefault="000B0A42" w:rsidP="00C620E8">
      <w:pPr>
        <w:jc w:val="both"/>
        <w:rPr>
          <w:rFonts w:ascii="Baskerville Old Face" w:hAnsi="Baskerville Old Face"/>
          <w:sz w:val="24"/>
          <w:szCs w:val="24"/>
        </w:rPr>
      </w:pPr>
    </w:p>
    <w:p w14:paraId="75EF57AF" w14:textId="6A685AF7" w:rsidR="000B0A42" w:rsidRDefault="00CC50D1" w:rsidP="00C620E8">
      <w:pPr>
        <w:jc w:val="both"/>
        <w:rPr>
          <w:rFonts w:ascii="Baskerville Old Face" w:hAnsi="Baskerville Old Face"/>
          <w:sz w:val="24"/>
          <w:szCs w:val="24"/>
        </w:rPr>
      </w:pPr>
      <w:r>
        <w:rPr>
          <w:rFonts w:ascii="Baskerville Old Face" w:hAnsi="Baskerville Old Face"/>
          <w:sz w:val="24"/>
          <w:szCs w:val="24"/>
        </w:rPr>
        <w:t>Assuming and accepting there were ‘culturally constructed ways of using and handling this material, and associated engagements with foodstuffs’</w:t>
      </w:r>
      <w:r>
        <w:rPr>
          <w:rStyle w:val="FootnoteReference"/>
          <w:rFonts w:ascii="Baskerville Old Face" w:hAnsi="Baskerville Old Face"/>
          <w:sz w:val="24"/>
          <w:szCs w:val="24"/>
        </w:rPr>
        <w:footnoteReference w:id="11"/>
      </w:r>
      <w:r>
        <w:rPr>
          <w:rFonts w:ascii="Baskerville Old Face" w:hAnsi="Baskerville Old Face"/>
          <w:sz w:val="24"/>
          <w:szCs w:val="24"/>
        </w:rPr>
        <w:t>, the round-bottomed shape of these such pots carries the plausible implication that Bronze Age families dined not at a</w:t>
      </w:r>
      <w:r w:rsidR="00C92277">
        <w:rPr>
          <w:rFonts w:ascii="Baskerville Old Face" w:hAnsi="Baskerville Old Face"/>
          <w:sz w:val="24"/>
          <w:szCs w:val="24"/>
        </w:rPr>
        <w:t xml:space="preserve">ny family </w:t>
      </w:r>
      <w:r>
        <w:rPr>
          <w:rFonts w:ascii="Baskerville Old Face" w:hAnsi="Baskerville Old Face"/>
          <w:sz w:val="24"/>
          <w:szCs w:val="24"/>
        </w:rPr>
        <w:t xml:space="preserve">table, but instead on the floor, where they could be placed in intended depressions </w:t>
      </w:r>
      <w:r w:rsidR="00C92277">
        <w:rPr>
          <w:rFonts w:ascii="Baskerville Old Face" w:hAnsi="Baskerville Old Face"/>
          <w:sz w:val="24"/>
          <w:szCs w:val="24"/>
        </w:rPr>
        <w:t xml:space="preserve">designed to comfortably support pottery during dining. The shape of the smaller bowls </w:t>
      </w:r>
      <w:r w:rsidR="00987ABD">
        <w:rPr>
          <w:rFonts w:ascii="Baskerville Old Face" w:hAnsi="Baskerville Old Face"/>
          <w:sz w:val="24"/>
          <w:szCs w:val="24"/>
        </w:rPr>
        <w:t>is</w:t>
      </w:r>
      <w:r w:rsidR="00C92277">
        <w:rPr>
          <w:rFonts w:ascii="Baskerville Old Face" w:hAnsi="Baskerville Old Face"/>
          <w:sz w:val="24"/>
          <w:szCs w:val="24"/>
        </w:rPr>
        <w:t xml:space="preserve"> suggestive of being mostly hand-held, which also applies to the eating bowls that were found; these could be comfortably cupped and nursed in one’s hands during a meal. </w:t>
      </w:r>
      <w:r w:rsidR="001E01FE">
        <w:rPr>
          <w:rFonts w:ascii="Baskerville Old Face" w:hAnsi="Baskerville Old Face"/>
          <w:sz w:val="24"/>
          <w:szCs w:val="24"/>
        </w:rPr>
        <w:t xml:space="preserve">Labelled above in Figure 2 as a ‘serving bowl’, these were believed to have been presented on ‘food benches’, which puts forward an image of a very communal mealtime custom. General attitude toward dining within the household cannot be empirically analysed, however certain nuance within </w:t>
      </w:r>
      <w:r w:rsidR="000A38C1">
        <w:rPr>
          <w:rFonts w:ascii="Baskerville Old Face" w:hAnsi="Baskerville Old Face"/>
          <w:sz w:val="24"/>
          <w:szCs w:val="24"/>
        </w:rPr>
        <w:t xml:space="preserve">the archaeological record </w:t>
      </w:r>
      <w:r w:rsidR="000E5241">
        <w:rPr>
          <w:rFonts w:ascii="Baskerville Old Face" w:hAnsi="Baskerville Old Face"/>
          <w:sz w:val="24"/>
          <w:szCs w:val="24"/>
        </w:rPr>
        <w:t>can be revealing, such as pottery decoration</w:t>
      </w:r>
      <w:r w:rsidR="007D4482">
        <w:rPr>
          <w:rFonts w:ascii="Baskerville Old Face" w:hAnsi="Baskerville Old Face"/>
          <w:sz w:val="24"/>
          <w:szCs w:val="24"/>
        </w:rPr>
        <w:t xml:space="preserve">. In the use of relief clay and motifs, even in their use of shape – specifically in reference to the cutaway spout in jugs, which exaggerated the act of pouring and </w:t>
      </w:r>
      <w:r w:rsidR="007D4482">
        <w:rPr>
          <w:rFonts w:ascii="Baskerville Old Face" w:hAnsi="Baskerville Old Face"/>
          <w:sz w:val="24"/>
          <w:szCs w:val="24"/>
        </w:rPr>
        <w:lastRenderedPageBreak/>
        <w:t xml:space="preserve">created visual, and possibly auditory interest in a typically mundane motion – it is clear that a certain care was taken to beautify this routine task, </w:t>
      </w:r>
      <w:r w:rsidR="009E15BC">
        <w:rPr>
          <w:rFonts w:ascii="Baskerville Old Face" w:hAnsi="Baskerville Old Face"/>
          <w:sz w:val="24"/>
          <w:szCs w:val="24"/>
        </w:rPr>
        <w:t>therefore perpetuating the act of dining as prominently socially valued.</w:t>
      </w:r>
    </w:p>
    <w:p w14:paraId="009381A2" w14:textId="60A0388C" w:rsidR="000B0A42" w:rsidRDefault="009E15BC" w:rsidP="00C620E8">
      <w:pPr>
        <w:jc w:val="both"/>
        <w:rPr>
          <w:rFonts w:ascii="Baskerville Old Face" w:hAnsi="Baskerville Old Face"/>
          <w:sz w:val="24"/>
          <w:szCs w:val="24"/>
        </w:rPr>
      </w:pPr>
      <w:r>
        <w:rPr>
          <w:rFonts w:ascii="Baskerville Old Face" w:hAnsi="Baskerville Old Face"/>
          <w:sz w:val="24"/>
          <w:szCs w:val="24"/>
        </w:rPr>
        <w:t>It remains difficult for archaeologists to make determinate statements about Cyprus’s EBA diet, due to the fact food is perishable and consumed by nature, however the findings of animal bones, geographical archaeobotanical study, and further observation of kitchenalia all remain to be helpful tools in the attempt to confirm dietary components.</w:t>
      </w:r>
      <w:r w:rsidR="00861E6A">
        <w:rPr>
          <w:rStyle w:val="FootnoteReference"/>
          <w:rFonts w:ascii="Baskerville Old Face" w:hAnsi="Baskerville Old Face"/>
          <w:sz w:val="24"/>
          <w:szCs w:val="24"/>
        </w:rPr>
        <w:footnoteReference w:id="12"/>
      </w:r>
      <w:r w:rsidR="001D59E6">
        <w:rPr>
          <w:rFonts w:ascii="Baskerville Old Face" w:hAnsi="Baskerville Old Face"/>
          <w:sz w:val="24"/>
          <w:szCs w:val="24"/>
        </w:rPr>
        <w:t xml:space="preserve"> The pottery in Steel’s illustrations (Fig. 1) would have been ideal for foodstuffs such as pulse-based stews, porridges and gruels of ground cereals, which align geographically with available resources of the area. Additionally, the abundant presence of flat pans excavated </w:t>
      </w:r>
      <w:r w:rsidR="006D77DC">
        <w:rPr>
          <w:rFonts w:ascii="Baskerville Old Face" w:hAnsi="Baskerville Old Face"/>
          <w:sz w:val="24"/>
          <w:szCs w:val="24"/>
        </w:rPr>
        <w:t xml:space="preserve">indicates bread to have been a dietary staple. Used until breakage and subsequently replaced, these flat pans were heavily integrated within the household, and could even have been utilised as a replacement for utensils. Food serving utensils were for the majority, absent amongst Marki’s excavation, leading archaeologists to infer </w:t>
      </w:r>
      <w:r w:rsidR="0045267B">
        <w:rPr>
          <w:rFonts w:ascii="Baskerville Old Face" w:hAnsi="Baskerville Old Face"/>
          <w:sz w:val="24"/>
          <w:szCs w:val="24"/>
        </w:rPr>
        <w:t xml:space="preserve">food was consumed in a hand-to-mouth manner, or in equal possibility, it was flat bread that provided a means to scoop food and sauce. </w:t>
      </w:r>
      <w:r w:rsidR="002F712E">
        <w:rPr>
          <w:rFonts w:ascii="Baskerville Old Face" w:hAnsi="Baskerville Old Face"/>
          <w:sz w:val="24"/>
          <w:szCs w:val="24"/>
        </w:rPr>
        <w:t xml:space="preserve">In similar settlements like </w:t>
      </w:r>
      <w:r w:rsidR="001D2A05">
        <w:rPr>
          <w:rFonts w:ascii="Baskerville Old Face" w:hAnsi="Baskerville Old Face"/>
          <w:sz w:val="24"/>
          <w:szCs w:val="24"/>
        </w:rPr>
        <w:t>Politiko-Troullia, located near the Troodos mountains</w:t>
      </w:r>
      <w:r w:rsidR="002F712E">
        <w:rPr>
          <w:rFonts w:ascii="Baskerville Old Face" w:hAnsi="Baskerville Old Face"/>
          <w:sz w:val="24"/>
          <w:szCs w:val="24"/>
        </w:rPr>
        <w:t xml:space="preserve"> also</w:t>
      </w:r>
      <w:r w:rsidR="001D2A05">
        <w:rPr>
          <w:rFonts w:ascii="Baskerville Old Face" w:hAnsi="Baskerville Old Face"/>
          <w:sz w:val="24"/>
          <w:szCs w:val="24"/>
        </w:rPr>
        <w:t xml:space="preserve">, </w:t>
      </w:r>
      <w:r w:rsidR="002F712E">
        <w:rPr>
          <w:rFonts w:ascii="Baskerville Old Face" w:hAnsi="Baskerville Old Face"/>
          <w:sz w:val="24"/>
          <w:szCs w:val="24"/>
        </w:rPr>
        <w:t>bones of the Mesopotamian fallow deer have been connected to communal feasting, a practice that became an ‘important forum for the increasingly complex social relations of the ensuing Late Bronze Age</w:t>
      </w:r>
      <w:r w:rsidR="005F2A45">
        <w:rPr>
          <w:rFonts w:ascii="Baskerville Old Face" w:hAnsi="Baskerville Old Face"/>
          <w:sz w:val="24"/>
          <w:szCs w:val="24"/>
        </w:rPr>
        <w:t>.’</w:t>
      </w:r>
      <w:r w:rsidR="002F712E">
        <w:rPr>
          <w:rStyle w:val="FootnoteReference"/>
          <w:rFonts w:ascii="Baskerville Old Face" w:hAnsi="Baskerville Old Face"/>
          <w:sz w:val="24"/>
          <w:szCs w:val="24"/>
        </w:rPr>
        <w:footnoteReference w:id="13"/>
      </w:r>
      <w:r w:rsidR="001D2A05">
        <w:rPr>
          <w:rFonts w:ascii="Baskerville Old Face" w:hAnsi="Baskerville Old Face"/>
          <w:sz w:val="24"/>
          <w:szCs w:val="24"/>
        </w:rPr>
        <w:t xml:space="preserve"> </w:t>
      </w:r>
      <w:r w:rsidR="0045267B">
        <w:rPr>
          <w:rFonts w:ascii="Baskerville Old Face" w:hAnsi="Baskerville Old Face"/>
          <w:sz w:val="24"/>
          <w:szCs w:val="24"/>
        </w:rPr>
        <w:t xml:space="preserve">Diet, and practice of consumption, are heavily cultural, intrinsically imbued with social behaviour and beliefs, like religion. Thusly, the examination of </w:t>
      </w:r>
      <w:r w:rsidR="00B67F8A">
        <w:rPr>
          <w:rFonts w:ascii="Baskerville Old Face" w:hAnsi="Baskerville Old Face"/>
          <w:sz w:val="24"/>
          <w:szCs w:val="24"/>
        </w:rPr>
        <w:t>foodstuffs within archaeology is best achieved alongside the consideration of cultural and social behaviours.</w:t>
      </w:r>
      <w:r w:rsidR="00367989">
        <w:rPr>
          <w:rStyle w:val="FootnoteReference"/>
          <w:rFonts w:ascii="Baskerville Old Face" w:hAnsi="Baskerville Old Face"/>
          <w:sz w:val="24"/>
          <w:szCs w:val="24"/>
        </w:rPr>
        <w:footnoteReference w:id="14"/>
      </w:r>
    </w:p>
    <w:p w14:paraId="6CD18908" w14:textId="6D8D955B" w:rsidR="00847E5E" w:rsidRDefault="00526154" w:rsidP="00C620E8">
      <w:pPr>
        <w:jc w:val="both"/>
        <w:rPr>
          <w:rFonts w:ascii="Baskerville Old Face" w:hAnsi="Baskerville Old Face"/>
          <w:sz w:val="24"/>
          <w:szCs w:val="24"/>
        </w:rPr>
      </w:pPr>
      <w:r>
        <w:rPr>
          <w:rFonts w:ascii="Baskerville Old Face" w:hAnsi="Baskerville Old Face"/>
          <w:sz w:val="24"/>
          <w:szCs w:val="24"/>
        </w:rPr>
        <w:t>In the archaeological record, ‘water does not survive as a meaningful, measurable entity…but instead is transient and ephemeral’</w:t>
      </w:r>
      <w:r>
        <w:rPr>
          <w:rStyle w:val="FootnoteReference"/>
          <w:rFonts w:ascii="Baskerville Old Face" w:hAnsi="Baskerville Old Face"/>
          <w:sz w:val="24"/>
          <w:szCs w:val="24"/>
        </w:rPr>
        <w:footnoteReference w:id="15"/>
      </w:r>
      <w:r w:rsidR="004E15EE">
        <w:rPr>
          <w:rFonts w:ascii="Baskerville Old Face" w:hAnsi="Baskerville Old Face"/>
          <w:sz w:val="24"/>
          <w:szCs w:val="24"/>
        </w:rPr>
        <w:t xml:space="preserve">, therefore archaeologists </w:t>
      </w:r>
      <w:r w:rsidR="00245B0C">
        <w:rPr>
          <w:rFonts w:ascii="Baskerville Old Face" w:hAnsi="Baskerville Old Face"/>
          <w:sz w:val="24"/>
          <w:szCs w:val="24"/>
        </w:rPr>
        <w:t xml:space="preserve">work with the associated material remains of their relationship with water: wells, cisterns, aqueducts and drains. </w:t>
      </w:r>
      <w:r w:rsidR="00804962">
        <w:rPr>
          <w:rFonts w:ascii="Baskerville Old Face" w:hAnsi="Baskerville Old Face"/>
          <w:sz w:val="24"/>
          <w:szCs w:val="24"/>
        </w:rPr>
        <w:t xml:space="preserve">Although the role of water within a society has been well-documented, the idea of water as a material influencer is a relatively new perspective, of which has been referred to as </w:t>
      </w:r>
      <w:r w:rsidR="00B06043">
        <w:rPr>
          <w:rFonts w:ascii="Baskerville Old Face" w:hAnsi="Baskerville Old Face"/>
          <w:sz w:val="24"/>
          <w:szCs w:val="24"/>
        </w:rPr>
        <w:t xml:space="preserve">a New Materialities approach, heavily supported by </w:t>
      </w:r>
      <w:r w:rsidR="00EB5716">
        <w:rPr>
          <w:rFonts w:ascii="Baskerville Old Face" w:hAnsi="Baskerville Old Face"/>
          <w:sz w:val="24"/>
          <w:szCs w:val="24"/>
        </w:rPr>
        <w:t>archaeologists such as Attala</w:t>
      </w:r>
      <w:r w:rsidR="00B06043">
        <w:rPr>
          <w:rFonts w:ascii="Baskerville Old Face" w:hAnsi="Baskerville Old Face"/>
          <w:sz w:val="24"/>
          <w:szCs w:val="24"/>
        </w:rPr>
        <w:t>.</w:t>
      </w:r>
      <w:r w:rsidR="00B06043">
        <w:rPr>
          <w:rStyle w:val="FootnoteReference"/>
          <w:rFonts w:ascii="Baskerville Old Face" w:hAnsi="Baskerville Old Face"/>
          <w:sz w:val="24"/>
          <w:szCs w:val="24"/>
        </w:rPr>
        <w:footnoteReference w:id="16"/>
      </w:r>
      <w:r w:rsidR="00804962">
        <w:rPr>
          <w:rFonts w:ascii="Baskerville Old Face" w:hAnsi="Baskerville Old Face"/>
          <w:sz w:val="24"/>
          <w:szCs w:val="24"/>
        </w:rPr>
        <w:t xml:space="preserve"> </w:t>
      </w:r>
      <w:r w:rsidR="00573A9A">
        <w:rPr>
          <w:rFonts w:ascii="Baskerville Old Face" w:hAnsi="Baskerville Old Face"/>
          <w:sz w:val="24"/>
          <w:szCs w:val="24"/>
        </w:rPr>
        <w:t xml:space="preserve">The New Materialities approach discusses the way in which water affects human behaviour and activity. </w:t>
      </w:r>
      <w:r w:rsidR="00245B0C">
        <w:rPr>
          <w:rFonts w:ascii="Baskerville Old Face" w:hAnsi="Baskerville Old Face"/>
          <w:sz w:val="24"/>
          <w:szCs w:val="24"/>
        </w:rPr>
        <w:t>Proximity to water source was naturally, essential to settlement location because of everyday dependence. It is suggested that pottery jugs were used in the carrying of water</w:t>
      </w:r>
      <w:r w:rsidR="00245B0C">
        <w:rPr>
          <w:rStyle w:val="FootnoteReference"/>
          <w:rFonts w:ascii="Baskerville Old Face" w:hAnsi="Baskerville Old Face"/>
          <w:sz w:val="24"/>
          <w:szCs w:val="24"/>
        </w:rPr>
        <w:footnoteReference w:id="17"/>
      </w:r>
      <w:r w:rsidR="00245B0C">
        <w:rPr>
          <w:rFonts w:ascii="Baskerville Old Face" w:hAnsi="Baskerville Old Face"/>
          <w:sz w:val="24"/>
          <w:szCs w:val="24"/>
        </w:rPr>
        <w:t xml:space="preserve">, an action that would have occurred daily, for household requirements such as drinking, </w:t>
      </w:r>
      <w:r w:rsidR="001E6FE5">
        <w:rPr>
          <w:rFonts w:ascii="Baskerville Old Face" w:hAnsi="Baskerville Old Face"/>
          <w:sz w:val="24"/>
          <w:szCs w:val="24"/>
        </w:rPr>
        <w:t>cooking,</w:t>
      </w:r>
      <w:r w:rsidR="00245B0C">
        <w:rPr>
          <w:rFonts w:ascii="Baskerville Old Face" w:hAnsi="Baskerville Old Face"/>
          <w:sz w:val="24"/>
          <w:szCs w:val="24"/>
        </w:rPr>
        <w:t xml:space="preserve"> and cleaning.</w:t>
      </w:r>
    </w:p>
    <w:p w14:paraId="349C60D0" w14:textId="498ABE30" w:rsidR="00847E5E" w:rsidRDefault="00847E5E" w:rsidP="00C620E8">
      <w:pPr>
        <w:jc w:val="both"/>
        <w:rPr>
          <w:rFonts w:ascii="Baskerville Old Face" w:hAnsi="Baskerville Old Face"/>
          <w:sz w:val="24"/>
          <w:szCs w:val="24"/>
        </w:rPr>
      </w:pPr>
    </w:p>
    <w:p w14:paraId="2A030011" w14:textId="29A0B03A" w:rsidR="000B0A42" w:rsidRDefault="000B0A42" w:rsidP="00C620E8">
      <w:pPr>
        <w:jc w:val="both"/>
        <w:rPr>
          <w:rFonts w:ascii="Baskerville Old Face" w:hAnsi="Baskerville Old Face"/>
          <w:sz w:val="24"/>
          <w:szCs w:val="24"/>
        </w:rPr>
      </w:pPr>
    </w:p>
    <w:p w14:paraId="4EFD3278" w14:textId="6075A6D5" w:rsidR="00731A9A" w:rsidRDefault="00731A9A" w:rsidP="00C620E8">
      <w:pPr>
        <w:jc w:val="both"/>
        <w:rPr>
          <w:rFonts w:ascii="Baskerville Old Face" w:hAnsi="Baskerville Old Face"/>
          <w:sz w:val="24"/>
          <w:szCs w:val="24"/>
        </w:rPr>
      </w:pPr>
    </w:p>
    <w:p w14:paraId="4C347982" w14:textId="3D4E7A9A" w:rsidR="00731A9A" w:rsidRDefault="00731A9A" w:rsidP="00C620E8">
      <w:pPr>
        <w:jc w:val="both"/>
        <w:rPr>
          <w:rFonts w:ascii="Baskerville Old Face" w:hAnsi="Baskerville Old Face"/>
          <w:sz w:val="24"/>
          <w:szCs w:val="24"/>
        </w:rPr>
      </w:pPr>
    </w:p>
    <w:p w14:paraId="1ECE5F00" w14:textId="06C2329A" w:rsidR="00731A9A" w:rsidRDefault="0091794D" w:rsidP="00C620E8">
      <w:pPr>
        <w:jc w:val="both"/>
        <w:rPr>
          <w:rFonts w:ascii="Baskerville Old Face" w:hAnsi="Baskerville Old Face"/>
          <w:sz w:val="24"/>
          <w:szCs w:val="24"/>
        </w:rPr>
      </w:pPr>
      <w:r w:rsidRPr="00731A9A">
        <w:rPr>
          <w:rFonts w:ascii="Baskerville Old Face" w:hAnsi="Baskerville Old Face"/>
          <w:sz w:val="24"/>
          <w:szCs w:val="24"/>
        </w:rPr>
        <w:lastRenderedPageBreak/>
        <w:drawing>
          <wp:anchor distT="0" distB="0" distL="114300" distR="114300" simplePos="0" relativeHeight="251660288" behindDoc="1" locked="0" layoutInCell="1" allowOverlap="1" wp14:anchorId="20192867" wp14:editId="6B432757">
            <wp:simplePos x="0" y="0"/>
            <wp:positionH relativeFrom="margin">
              <wp:align>center</wp:align>
            </wp:positionH>
            <wp:positionV relativeFrom="paragraph">
              <wp:posOffset>-1270</wp:posOffset>
            </wp:positionV>
            <wp:extent cx="2982934" cy="1784350"/>
            <wp:effectExtent l="0" t="0" r="8255" b="6350"/>
            <wp:wrapNone/>
            <wp:docPr id="16099576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9957660" name=""/>
                    <pic:cNvPicPr/>
                  </pic:nvPicPr>
                  <pic:blipFill rotWithShape="1">
                    <a:blip r:embed="rId11">
                      <a:extLst>
                        <a:ext uri="{28A0092B-C50C-407E-A947-70E740481C1C}">
                          <a14:useLocalDpi xmlns:a14="http://schemas.microsoft.com/office/drawing/2010/main" val="0"/>
                        </a:ext>
                      </a:extLst>
                    </a:blip>
                    <a:srcRect l="4082" t="14558" b="1931"/>
                    <a:stretch/>
                  </pic:blipFill>
                  <pic:spPr bwMode="auto">
                    <a:xfrm>
                      <a:off x="0" y="0"/>
                      <a:ext cx="2982934" cy="17843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284896F" w14:textId="77777777" w:rsidR="00731A9A" w:rsidRDefault="00731A9A" w:rsidP="00C620E8">
      <w:pPr>
        <w:jc w:val="both"/>
        <w:rPr>
          <w:rFonts w:ascii="Baskerville Old Face" w:hAnsi="Baskerville Old Face"/>
          <w:sz w:val="24"/>
          <w:szCs w:val="24"/>
        </w:rPr>
      </w:pPr>
    </w:p>
    <w:p w14:paraId="041C33E3" w14:textId="77777777" w:rsidR="00FD1334" w:rsidRDefault="00FD1334" w:rsidP="00731A9A">
      <w:pPr>
        <w:jc w:val="center"/>
        <w:rPr>
          <w:rFonts w:ascii="Baskerville Old Face" w:hAnsi="Baskerville Old Face"/>
          <w:i/>
          <w:iCs/>
        </w:rPr>
      </w:pPr>
    </w:p>
    <w:p w14:paraId="05A25842" w14:textId="77777777" w:rsidR="00FD1334" w:rsidRDefault="00FD1334" w:rsidP="00731A9A">
      <w:pPr>
        <w:jc w:val="center"/>
        <w:rPr>
          <w:rFonts w:ascii="Baskerville Old Face" w:hAnsi="Baskerville Old Face"/>
          <w:i/>
          <w:iCs/>
        </w:rPr>
      </w:pPr>
    </w:p>
    <w:p w14:paraId="5EE69574" w14:textId="77777777" w:rsidR="0091794D" w:rsidRDefault="0091794D" w:rsidP="00731A9A">
      <w:pPr>
        <w:jc w:val="center"/>
        <w:rPr>
          <w:rFonts w:ascii="Baskerville Old Face" w:hAnsi="Baskerville Old Face"/>
          <w:i/>
          <w:iCs/>
        </w:rPr>
      </w:pPr>
    </w:p>
    <w:p w14:paraId="60C463C3" w14:textId="77777777" w:rsidR="0091794D" w:rsidRDefault="0091794D" w:rsidP="00731A9A">
      <w:pPr>
        <w:jc w:val="center"/>
        <w:rPr>
          <w:rFonts w:ascii="Baskerville Old Face" w:hAnsi="Baskerville Old Face"/>
          <w:i/>
          <w:iCs/>
        </w:rPr>
      </w:pPr>
    </w:p>
    <w:p w14:paraId="0DB19AE2" w14:textId="77777777" w:rsidR="0091794D" w:rsidRDefault="0091794D" w:rsidP="00731A9A">
      <w:pPr>
        <w:jc w:val="center"/>
        <w:rPr>
          <w:rFonts w:ascii="Baskerville Old Face" w:hAnsi="Baskerville Old Face"/>
          <w:i/>
          <w:iCs/>
        </w:rPr>
      </w:pPr>
    </w:p>
    <w:p w14:paraId="39FABE96" w14:textId="6C9426C1" w:rsidR="00731A9A" w:rsidRDefault="00731A9A" w:rsidP="0091794D">
      <w:pPr>
        <w:jc w:val="center"/>
        <w:rPr>
          <w:rFonts w:ascii="Baskerville Old Face" w:hAnsi="Baskerville Old Face"/>
          <w:i/>
          <w:iCs/>
        </w:rPr>
      </w:pPr>
      <w:r w:rsidRPr="00731A9A">
        <w:rPr>
          <w:rFonts w:ascii="Baskerville Old Face" w:hAnsi="Baskerville Old Face"/>
          <w:i/>
          <w:iCs/>
        </w:rPr>
        <w:t xml:space="preserve">Fig. </w:t>
      </w:r>
      <w:r w:rsidR="0042544D">
        <w:rPr>
          <w:rFonts w:ascii="Baskerville Old Face" w:hAnsi="Baskerville Old Face"/>
          <w:i/>
          <w:iCs/>
        </w:rPr>
        <w:t>4</w:t>
      </w:r>
      <w:r w:rsidRPr="00731A9A">
        <w:rPr>
          <w:rFonts w:ascii="Baskerville Old Face" w:hAnsi="Baskerville Old Face"/>
          <w:i/>
          <w:iCs/>
        </w:rPr>
        <w:t xml:space="preserve"> Cropped Plan of Compound 29, indicating hearth and oven layout</w:t>
      </w:r>
    </w:p>
    <w:p w14:paraId="6BE671BF" w14:textId="77777777" w:rsidR="00604B08" w:rsidRPr="00731A9A" w:rsidRDefault="00604B08" w:rsidP="00731A9A">
      <w:pPr>
        <w:jc w:val="center"/>
        <w:rPr>
          <w:rFonts w:ascii="Baskerville Old Face" w:hAnsi="Baskerville Old Face"/>
          <w:i/>
          <w:iCs/>
        </w:rPr>
      </w:pPr>
    </w:p>
    <w:p w14:paraId="1B1EF62F" w14:textId="230F7377" w:rsidR="007403C7" w:rsidRDefault="003A2F3E" w:rsidP="00C620E8">
      <w:pPr>
        <w:jc w:val="both"/>
        <w:rPr>
          <w:rFonts w:ascii="Baskerville Old Face" w:hAnsi="Baskerville Old Face"/>
          <w:sz w:val="24"/>
          <w:szCs w:val="24"/>
        </w:rPr>
      </w:pPr>
      <w:r>
        <w:rPr>
          <w:rFonts w:ascii="Baskerville Old Face" w:hAnsi="Baskerville Old Face"/>
          <w:sz w:val="24"/>
          <w:szCs w:val="24"/>
        </w:rPr>
        <w:t>Unfortunately, only a single hearth at Marki was well-preserved enough for examination, however its presence was enough to inform the characteristics of Philia</w:t>
      </w:r>
      <w:r>
        <w:rPr>
          <w:rStyle w:val="FootnoteReference"/>
          <w:rFonts w:ascii="Baskerville Old Face" w:hAnsi="Baskerville Old Face"/>
          <w:sz w:val="24"/>
          <w:szCs w:val="24"/>
        </w:rPr>
        <w:footnoteReference w:id="18"/>
      </w:r>
      <w:r>
        <w:rPr>
          <w:rFonts w:ascii="Baskerville Old Face" w:hAnsi="Baskerville Old Face"/>
          <w:sz w:val="24"/>
          <w:szCs w:val="24"/>
        </w:rPr>
        <w:t xml:space="preserve"> hearths as rectangular, set against a wall</w:t>
      </w:r>
      <w:r w:rsidR="00731A9A">
        <w:rPr>
          <w:rFonts w:ascii="Baskerville Old Face" w:hAnsi="Baskerville Old Face"/>
          <w:sz w:val="24"/>
          <w:szCs w:val="24"/>
        </w:rPr>
        <w:t xml:space="preserve"> exclusively within an inner room</w:t>
      </w:r>
      <w:r>
        <w:rPr>
          <w:rFonts w:ascii="Baskerville Old Face" w:hAnsi="Baskerville Old Face"/>
          <w:sz w:val="24"/>
          <w:szCs w:val="24"/>
        </w:rPr>
        <w:t>, and equipped with in-built or portable hobs, for the purpose of supporting cookware over the fire.</w:t>
      </w:r>
      <w:r>
        <w:rPr>
          <w:rStyle w:val="FootnoteReference"/>
          <w:rFonts w:ascii="Baskerville Old Face" w:hAnsi="Baskerville Old Face"/>
          <w:sz w:val="24"/>
          <w:szCs w:val="24"/>
        </w:rPr>
        <w:footnoteReference w:id="19"/>
      </w:r>
      <w:r w:rsidR="00BC0564">
        <w:rPr>
          <w:rFonts w:ascii="Baskerville Old Face" w:hAnsi="Baskerville Old Face"/>
          <w:sz w:val="24"/>
          <w:szCs w:val="24"/>
        </w:rPr>
        <w:t xml:space="preserve"> </w:t>
      </w:r>
      <w:r w:rsidR="00731A9A">
        <w:rPr>
          <w:rFonts w:ascii="Baskerville Old Face" w:hAnsi="Baskerville Old Face"/>
          <w:sz w:val="24"/>
          <w:szCs w:val="24"/>
        </w:rPr>
        <w:t xml:space="preserve">Ovens, which could be found in the courtyard in the earlier phases of the Bronze Age, transitioned to interior rooms, with the addition of screen walls for visual concealment. </w:t>
      </w:r>
      <w:r w:rsidR="00BC0564">
        <w:rPr>
          <w:rFonts w:ascii="Baskerville Old Face" w:hAnsi="Baskerville Old Face"/>
          <w:sz w:val="24"/>
          <w:szCs w:val="24"/>
        </w:rPr>
        <w:t>Household pyrotechnology should not be underestimated for its associated social insight, and for its informing in the organisation of household</w:t>
      </w:r>
      <w:r w:rsidR="0042544D">
        <w:rPr>
          <w:rFonts w:ascii="Baskerville Old Face" w:hAnsi="Baskerville Old Face"/>
          <w:sz w:val="24"/>
          <w:szCs w:val="24"/>
        </w:rPr>
        <w:t>.</w:t>
      </w:r>
    </w:p>
    <w:p w14:paraId="5F7948CF" w14:textId="656F59BC" w:rsidR="004761A1" w:rsidRDefault="00D013A7" w:rsidP="00C620E8">
      <w:pPr>
        <w:jc w:val="both"/>
        <w:rPr>
          <w:rFonts w:ascii="Baskerville Old Face" w:hAnsi="Baskerville Old Face"/>
          <w:sz w:val="24"/>
          <w:szCs w:val="24"/>
        </w:rPr>
      </w:pPr>
      <w:r>
        <w:rPr>
          <w:rFonts w:ascii="Baskerville Old Face" w:hAnsi="Baskerville Old Face"/>
          <w:sz w:val="24"/>
          <w:szCs w:val="24"/>
        </w:rPr>
        <w:t xml:space="preserve">Excavated during the 1930’s and thus uncovering a total of 164 tombs dating from the Early Cypriot to Middle Cypriot periods, the settlement of Vounous and its archaeological finds aid in the engendering of prehistory. Amongst certain, more elaborate tombs, the remains were discovered to have been buried alongside figurines – the likes of which materialise some of the </w:t>
      </w:r>
      <w:r w:rsidR="00383BFD">
        <w:rPr>
          <w:rFonts w:ascii="Baskerville Old Face" w:hAnsi="Baskerville Old Face"/>
          <w:sz w:val="24"/>
          <w:szCs w:val="24"/>
        </w:rPr>
        <w:t xml:space="preserve">shifting gender constructs of the Bronze Age. </w:t>
      </w:r>
      <w:r w:rsidR="005F4D8A">
        <w:rPr>
          <w:rFonts w:ascii="Baskerville Old Face" w:hAnsi="Baskerville Old Face"/>
          <w:sz w:val="24"/>
          <w:szCs w:val="24"/>
        </w:rPr>
        <w:t>Though they were discovered within burial sites, and therefore associated with funerary ritual, they should not be classified as solely funerary items; the figurines within the tombs have been understood as necessary for an ‘accurate correspondence between a tomb and the physical space of the living society…the symbolic representations of humans</w:t>
      </w:r>
      <w:r w:rsidR="004761A1">
        <w:rPr>
          <w:rFonts w:ascii="Baskerville Old Face" w:hAnsi="Baskerville Old Face"/>
          <w:sz w:val="24"/>
          <w:szCs w:val="24"/>
        </w:rPr>
        <w:t>.’</w:t>
      </w:r>
      <w:r w:rsidR="005F4D8A">
        <w:rPr>
          <w:rStyle w:val="FootnoteReference"/>
          <w:rFonts w:ascii="Baskerville Old Face" w:hAnsi="Baskerville Old Face"/>
          <w:sz w:val="24"/>
          <w:szCs w:val="24"/>
        </w:rPr>
        <w:footnoteReference w:id="20"/>
      </w:r>
      <w:r w:rsidR="005F4D8A">
        <w:rPr>
          <w:rFonts w:ascii="Baskerville Old Face" w:hAnsi="Baskerville Old Face"/>
          <w:sz w:val="24"/>
          <w:szCs w:val="24"/>
        </w:rPr>
        <w:t xml:space="preserve"> </w:t>
      </w:r>
    </w:p>
    <w:p w14:paraId="00440AE6" w14:textId="020881E8" w:rsidR="000B365C" w:rsidRDefault="009D4091" w:rsidP="00C620E8">
      <w:pPr>
        <w:jc w:val="both"/>
        <w:rPr>
          <w:rFonts w:ascii="Baskerville Old Face" w:hAnsi="Baskerville Old Face"/>
          <w:sz w:val="24"/>
          <w:szCs w:val="24"/>
        </w:rPr>
      </w:pPr>
      <w:r>
        <w:rPr>
          <w:rFonts w:ascii="Baskerville Old Face" w:hAnsi="Baskerville Old Face"/>
          <w:sz w:val="24"/>
          <w:szCs w:val="24"/>
        </w:rPr>
        <w:t>Orphanides categorised Bronze Age figurines into four types, the last of which is of most interest to the discussion of prehistoric gender roles: inactive figurines</w:t>
      </w:r>
      <w:r w:rsidR="005F51AE">
        <w:rPr>
          <w:rFonts w:ascii="Baskerville Old Face" w:hAnsi="Baskerville Old Face"/>
          <w:sz w:val="24"/>
          <w:szCs w:val="24"/>
        </w:rPr>
        <w:t xml:space="preserve">, figurines holding infants, figurines of individuals in beds or cradles, and active figurines; the last category referring to the portrayal of scenes from daily life. </w:t>
      </w:r>
      <w:r w:rsidR="00383BFD">
        <w:rPr>
          <w:rFonts w:ascii="Baskerville Old Face" w:hAnsi="Baskerville Old Face"/>
          <w:sz w:val="24"/>
          <w:szCs w:val="24"/>
        </w:rPr>
        <w:t>Female figures portraying the nursing or cradling of children, opposite-sex pairs, as well as material scenes of everyday activity</w:t>
      </w:r>
      <w:r w:rsidR="000B365C">
        <w:rPr>
          <w:rFonts w:ascii="Baskerville Old Face" w:hAnsi="Baskerville Old Face"/>
          <w:sz w:val="24"/>
          <w:szCs w:val="24"/>
        </w:rPr>
        <w:t xml:space="preserve"> -</w:t>
      </w:r>
      <w:r w:rsidR="00383BFD">
        <w:rPr>
          <w:rFonts w:ascii="Baskerville Old Face" w:hAnsi="Baskerville Old Face"/>
          <w:sz w:val="24"/>
          <w:szCs w:val="24"/>
        </w:rPr>
        <w:t xml:space="preserve"> which in some cases, embodied gendered labour divisions</w:t>
      </w:r>
      <w:r w:rsidR="000B365C">
        <w:rPr>
          <w:rFonts w:ascii="Baskerville Old Face" w:hAnsi="Baskerville Old Face"/>
          <w:sz w:val="24"/>
          <w:szCs w:val="24"/>
        </w:rPr>
        <w:t xml:space="preserve"> -</w:t>
      </w:r>
      <w:r w:rsidR="00383BFD">
        <w:rPr>
          <w:rFonts w:ascii="Baskerville Old Face" w:hAnsi="Baskerville Old Face"/>
          <w:sz w:val="24"/>
          <w:szCs w:val="24"/>
        </w:rPr>
        <w:t xml:space="preserve"> can all be observed in </w:t>
      </w:r>
      <w:r w:rsidR="000B365C">
        <w:rPr>
          <w:rFonts w:ascii="Baskerville Old Face" w:hAnsi="Baskerville Old Face"/>
          <w:sz w:val="24"/>
          <w:szCs w:val="24"/>
        </w:rPr>
        <w:t>Cyprus’s mortuary</w:t>
      </w:r>
      <w:r w:rsidR="00383BFD">
        <w:rPr>
          <w:rFonts w:ascii="Baskerville Old Face" w:hAnsi="Baskerville Old Face"/>
          <w:sz w:val="24"/>
          <w:szCs w:val="24"/>
        </w:rPr>
        <w:t xml:space="preserve"> archaeological record.</w:t>
      </w:r>
      <w:r w:rsidR="000B365C">
        <w:rPr>
          <w:rFonts w:ascii="Baskerville Old Face" w:hAnsi="Baskerville Old Face"/>
          <w:sz w:val="24"/>
          <w:szCs w:val="24"/>
        </w:rPr>
        <w:t xml:space="preserve"> Figures such as these reaffirm the increasing nature of social hierarchy and gender-based division, in addition to ‘[underscoring] the collective nature of productive labour and [locating] the processes of production and reproduction firmly within the context of family and household groups</w:t>
      </w:r>
      <w:r w:rsidR="00A33C57">
        <w:rPr>
          <w:rFonts w:ascii="Baskerville Old Face" w:hAnsi="Baskerville Old Face"/>
          <w:sz w:val="24"/>
          <w:szCs w:val="24"/>
        </w:rPr>
        <w:t>.’</w:t>
      </w:r>
      <w:r w:rsidR="000B365C">
        <w:rPr>
          <w:rStyle w:val="FootnoteReference"/>
          <w:rFonts w:ascii="Baskerville Old Face" w:hAnsi="Baskerville Old Face"/>
          <w:sz w:val="24"/>
          <w:szCs w:val="24"/>
        </w:rPr>
        <w:footnoteReference w:id="21"/>
      </w:r>
      <w:r w:rsidR="00A33C57">
        <w:rPr>
          <w:rFonts w:ascii="Baskerville Old Face" w:hAnsi="Baskerville Old Face"/>
          <w:sz w:val="24"/>
          <w:szCs w:val="24"/>
        </w:rPr>
        <w:t xml:space="preserve"> It could </w:t>
      </w:r>
      <w:r w:rsidR="00A56132">
        <w:rPr>
          <w:rFonts w:ascii="Baskerville Old Face" w:hAnsi="Baskerville Old Face"/>
          <w:noProof/>
          <w:sz w:val="24"/>
          <w:szCs w:val="24"/>
        </w:rPr>
        <w:lastRenderedPageBreak/>
        <w:drawing>
          <wp:anchor distT="0" distB="0" distL="114300" distR="114300" simplePos="0" relativeHeight="251662336" behindDoc="0" locked="0" layoutInCell="1" allowOverlap="1" wp14:anchorId="6FAD8E61" wp14:editId="645C01D8">
            <wp:simplePos x="0" y="0"/>
            <wp:positionH relativeFrom="margin">
              <wp:align>left</wp:align>
            </wp:positionH>
            <wp:positionV relativeFrom="paragraph">
              <wp:posOffset>488</wp:posOffset>
            </wp:positionV>
            <wp:extent cx="3144129" cy="2191787"/>
            <wp:effectExtent l="0" t="0" r="0" b="0"/>
            <wp:wrapThrough wrapText="bothSides">
              <wp:wrapPolygon edited="0">
                <wp:start x="0" y="0"/>
                <wp:lineTo x="0" y="21406"/>
                <wp:lineTo x="21465" y="21406"/>
                <wp:lineTo x="21465" y="0"/>
                <wp:lineTo x="0" y="0"/>
              </wp:wrapPolygon>
            </wp:wrapThrough>
            <wp:docPr id="7736950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144129" cy="2191787"/>
                    </a:xfrm>
                    <a:prstGeom prst="rect">
                      <a:avLst/>
                    </a:prstGeom>
                    <a:noFill/>
                  </pic:spPr>
                </pic:pic>
              </a:graphicData>
            </a:graphic>
          </wp:anchor>
        </w:drawing>
      </w:r>
      <w:r w:rsidR="00A33C57">
        <w:rPr>
          <w:rFonts w:ascii="Baskerville Old Face" w:hAnsi="Baskerville Old Face"/>
          <w:sz w:val="24"/>
          <w:szCs w:val="24"/>
        </w:rPr>
        <w:t>be suggested that an undercurrent of tension</w:t>
      </w:r>
      <w:r w:rsidR="00257C5D">
        <w:rPr>
          <w:rFonts w:ascii="Baskerville Old Face" w:hAnsi="Baskerville Old Face"/>
          <w:sz w:val="24"/>
          <w:szCs w:val="24"/>
        </w:rPr>
        <w:t>,</w:t>
      </w:r>
      <w:r w:rsidR="00A33C57">
        <w:rPr>
          <w:rFonts w:ascii="Baskerville Old Face" w:hAnsi="Baskerville Old Face"/>
          <w:sz w:val="24"/>
          <w:szCs w:val="24"/>
        </w:rPr>
        <w:t xml:space="preserve"> with respect to </w:t>
      </w:r>
      <w:r w:rsidR="00257C5D">
        <w:rPr>
          <w:rFonts w:ascii="Baskerville Old Face" w:hAnsi="Baskerville Old Face"/>
          <w:sz w:val="24"/>
          <w:szCs w:val="24"/>
        </w:rPr>
        <w:t xml:space="preserve">the </w:t>
      </w:r>
      <w:r w:rsidR="00A33C57">
        <w:rPr>
          <w:rFonts w:ascii="Baskerville Old Face" w:hAnsi="Baskerville Old Face"/>
          <w:sz w:val="24"/>
          <w:szCs w:val="24"/>
        </w:rPr>
        <w:t>labour</w:t>
      </w:r>
      <w:r w:rsidR="00257C5D">
        <w:rPr>
          <w:rFonts w:ascii="Baskerville Old Face" w:hAnsi="Baskerville Old Face"/>
          <w:sz w:val="24"/>
          <w:szCs w:val="24"/>
        </w:rPr>
        <w:t xml:space="preserve"> divide,</w:t>
      </w:r>
      <w:r w:rsidR="00A33C57">
        <w:rPr>
          <w:rFonts w:ascii="Baskerville Old Face" w:hAnsi="Baskerville Old Face"/>
          <w:sz w:val="24"/>
          <w:szCs w:val="24"/>
        </w:rPr>
        <w:t xml:space="preserve"> was surfacing, and the excavated figures which paint an idealistic portrayal of engendered social behaviour</w:t>
      </w:r>
      <w:r w:rsidR="00257C5D">
        <w:rPr>
          <w:rFonts w:ascii="Baskerville Old Face" w:hAnsi="Baskerville Old Face"/>
          <w:sz w:val="24"/>
          <w:szCs w:val="24"/>
        </w:rPr>
        <w:t>, was an attempt to smooth, or placate these troubles.</w:t>
      </w:r>
      <w:r w:rsidR="005F51AE">
        <w:rPr>
          <w:rFonts w:ascii="Baskerville Old Face" w:hAnsi="Baskerville Old Face"/>
          <w:sz w:val="24"/>
          <w:szCs w:val="24"/>
        </w:rPr>
        <w:t xml:space="preserve"> The most common of themes seems to be that of females with babies in arm, in either sittin</w:t>
      </w:r>
      <w:r w:rsidR="00034E35">
        <w:rPr>
          <w:rFonts w:ascii="Baskerville Old Face" w:hAnsi="Baskerville Old Face"/>
          <w:sz w:val="24"/>
          <w:szCs w:val="24"/>
        </w:rPr>
        <w:t xml:space="preserve">g or standing positions, indicating the social value ascribed to the act of child-rearing, and the importance of </w:t>
      </w:r>
      <w:r w:rsidR="00A56132" w:rsidRPr="0042544D">
        <w:rPr>
          <w:rFonts w:ascii="Baskerville Old Face" w:hAnsi="Baskerville Old Face"/>
          <w:noProof/>
          <w:sz w:val="24"/>
          <w:szCs w:val="24"/>
        </w:rPr>
        <mc:AlternateContent>
          <mc:Choice Requires="wps">
            <w:drawing>
              <wp:anchor distT="45720" distB="45720" distL="114300" distR="114300" simplePos="0" relativeHeight="251664384" behindDoc="0" locked="0" layoutInCell="1" allowOverlap="1" wp14:anchorId="57B7C8BD" wp14:editId="01DA4BD8">
                <wp:simplePos x="0" y="0"/>
                <wp:positionH relativeFrom="margin">
                  <wp:align>left</wp:align>
                </wp:positionH>
                <wp:positionV relativeFrom="paragraph">
                  <wp:posOffset>2179955</wp:posOffset>
                </wp:positionV>
                <wp:extent cx="3143885" cy="1404620"/>
                <wp:effectExtent l="0" t="0" r="0" b="63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43885" cy="1404620"/>
                        </a:xfrm>
                        <a:prstGeom prst="rect">
                          <a:avLst/>
                        </a:prstGeom>
                        <a:solidFill>
                          <a:srgbClr val="FFFFFF"/>
                        </a:solidFill>
                        <a:ln w="9525">
                          <a:noFill/>
                          <a:miter lim="800000"/>
                          <a:headEnd/>
                          <a:tailEnd/>
                        </a:ln>
                      </wps:spPr>
                      <wps:txbx>
                        <w:txbxContent>
                          <w:p w14:paraId="023B3E78" w14:textId="7F5783BA" w:rsidR="0042544D" w:rsidRPr="00E609F5" w:rsidRDefault="0042544D">
                            <w:pPr>
                              <w:rPr>
                                <w:rFonts w:ascii="Baskerville Old Face" w:hAnsi="Baskerville Old Face"/>
                                <w:i/>
                                <w:iCs/>
                              </w:rPr>
                            </w:pPr>
                            <w:r w:rsidRPr="00E609F5">
                              <w:rPr>
                                <w:rFonts w:ascii="Baskerville Old Face" w:hAnsi="Baskerville Old Face"/>
                                <w:i/>
                                <w:iCs/>
                              </w:rPr>
                              <w:t xml:space="preserve">Fig 5. </w:t>
                            </w:r>
                            <w:r w:rsidR="00E609F5" w:rsidRPr="00E609F5">
                              <w:rPr>
                                <w:rFonts w:ascii="Baskerville Old Face" w:hAnsi="Baskerville Old Face"/>
                                <w:i/>
                                <w:iCs/>
                              </w:rPr>
                              <w:t>Early Bronze Age Figurines (Lapithos, left; unprovenanced, centre and right)</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57B7C8BD" id="_x0000_t202" coordsize="21600,21600" o:spt="202" path="m,l,21600r21600,l21600,xe">
                <v:stroke joinstyle="miter"/>
                <v:path gradientshapeok="t" o:connecttype="rect"/>
              </v:shapetype>
              <v:shape id="Text Box 2" o:spid="_x0000_s1026" type="#_x0000_t202" style="position:absolute;left:0;text-align:left;margin-left:0;margin-top:171.65pt;width:247.55pt;height:110.6pt;z-index:251664384;visibility:visible;mso-wrap-style:square;mso-width-percent:0;mso-height-percent:200;mso-wrap-distance-left:9pt;mso-wrap-distance-top:3.6pt;mso-wrap-distance-right:9pt;mso-wrap-distance-bottom:3.6pt;mso-position-horizontal:lef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" stroked="f">
                <v:textbox style="mso-fit-shape-to-text:t">
                  <w:txbxContent>
                    <w:p w14:paraId="023B3E78" w14:textId="7F5783BA" w:rsidR="0042544D" w:rsidRPr="00E609F5" w:rsidRDefault="0042544D">
                      <w:pPr>
                        <w:rPr>
                          <w:rFonts w:ascii="Baskerville Old Face" w:hAnsi="Baskerville Old Face"/>
                          <w:i/>
                          <w:iCs/>
                        </w:rPr>
                      </w:pPr>
                      <w:r w:rsidRPr="00E609F5">
                        <w:rPr>
                          <w:rFonts w:ascii="Baskerville Old Face" w:hAnsi="Baskerville Old Face"/>
                          <w:i/>
                          <w:iCs/>
                        </w:rPr>
                        <w:t xml:space="preserve">Fig 5. </w:t>
                      </w:r>
                      <w:r w:rsidR="00E609F5" w:rsidRPr="00E609F5">
                        <w:rPr>
                          <w:rFonts w:ascii="Baskerville Old Face" w:hAnsi="Baskerville Old Face"/>
                          <w:i/>
                          <w:iCs/>
                        </w:rPr>
                        <w:t>Early Bronze Age Figurines (Lapithos, left; unprovenanced, centre and right)</w:t>
                      </w:r>
                    </w:p>
                  </w:txbxContent>
                </v:textbox>
                <w10:wrap type="square" anchorx="margin"/>
              </v:shape>
            </w:pict>
          </mc:Fallback>
        </mc:AlternateContent>
      </w:r>
      <w:r w:rsidR="00034E35">
        <w:rPr>
          <w:rFonts w:ascii="Baskerville Old Face" w:hAnsi="Baskerville Old Face"/>
          <w:sz w:val="24"/>
          <w:szCs w:val="24"/>
        </w:rPr>
        <w:t>female domestication to the economic structure of both household and society, in that it was required of women to focus on mothering and domestic production such as textile, while their male counterparts were perhaps attending to livestock, or engaged in outdoor manual labour – scenes of similar nature were depicted in figurines, also.</w:t>
      </w:r>
      <w:r w:rsidR="00856753">
        <w:rPr>
          <w:rStyle w:val="FootnoteReference"/>
          <w:rFonts w:ascii="Baskerville Old Face" w:hAnsi="Baskerville Old Face"/>
          <w:sz w:val="24"/>
          <w:szCs w:val="24"/>
        </w:rPr>
        <w:footnoteReference w:id="22"/>
      </w:r>
    </w:p>
    <w:p w14:paraId="4785952D" w14:textId="4AA8E568" w:rsidR="00A56132" w:rsidRDefault="00A56132" w:rsidP="00C620E8">
      <w:pPr>
        <w:jc w:val="both"/>
        <w:rPr>
          <w:rFonts w:ascii="Baskerville Old Face" w:hAnsi="Baskerville Old Face"/>
          <w:sz w:val="24"/>
          <w:szCs w:val="24"/>
        </w:rPr>
      </w:pPr>
      <w:r>
        <w:rPr>
          <w:rFonts w:ascii="Baskerville Old Face" w:hAnsi="Baskerville Old Face"/>
          <w:sz w:val="24"/>
          <w:szCs w:val="24"/>
        </w:rPr>
        <w:t>In the interpretation of Bronze Age figurines through the lens of a sexual division of labour</w:t>
      </w:r>
      <w:r w:rsidR="00EF5340">
        <w:rPr>
          <w:rFonts w:ascii="Baskerville Old Face" w:hAnsi="Baskerville Old Face"/>
          <w:sz w:val="24"/>
          <w:szCs w:val="24"/>
        </w:rPr>
        <w:t>, one can regard the objects as a materialisation of gendered social belief. Division of labour was born as a sociological concept that examined the relationship between women and household labour, and proposed a criterion for the determination of gendered job allocation within the household. Following the sociological understanding</w:t>
      </w:r>
      <w:r w:rsidR="002476A2">
        <w:rPr>
          <w:rFonts w:ascii="Baskerville Old Face" w:hAnsi="Baskerville Old Face"/>
          <w:sz w:val="24"/>
          <w:szCs w:val="24"/>
        </w:rPr>
        <w:t xml:space="preserve"> of the concept, Brown’s proposition that female tasks tend to be those that do not impede or inconvenience simultaneous childcare; safe, home-based, and interruptible.</w:t>
      </w:r>
      <w:r w:rsidR="002476A2">
        <w:rPr>
          <w:rStyle w:val="FootnoteReference"/>
          <w:rFonts w:ascii="Baskerville Old Face" w:hAnsi="Baskerville Old Face"/>
          <w:sz w:val="24"/>
          <w:szCs w:val="24"/>
        </w:rPr>
        <w:footnoteReference w:id="23"/>
      </w:r>
      <w:r w:rsidR="002476A2">
        <w:rPr>
          <w:rFonts w:ascii="Baskerville Old Face" w:hAnsi="Baskerville Old Face"/>
          <w:sz w:val="24"/>
          <w:szCs w:val="24"/>
        </w:rPr>
        <w:t xml:space="preserve"> Murdock and Provost argue also, that masculine tasks are usually characterised by the requirement of physical strength or exertion, as well as considering the tendency for people to produce whatever tool or material that they, themselves, are going to use.</w:t>
      </w:r>
      <w:r w:rsidR="002F41AC">
        <w:rPr>
          <w:rStyle w:val="FootnoteReference"/>
          <w:rFonts w:ascii="Baskerville Old Face" w:hAnsi="Baskerville Old Face"/>
          <w:sz w:val="24"/>
          <w:szCs w:val="24"/>
        </w:rPr>
        <w:footnoteReference w:id="24"/>
      </w:r>
      <w:r w:rsidR="004519CB">
        <w:rPr>
          <w:rFonts w:ascii="Baskerville Old Face" w:hAnsi="Baskerville Old Face"/>
          <w:sz w:val="24"/>
          <w:szCs w:val="24"/>
        </w:rPr>
        <w:t xml:space="preserve"> In connection to the Cypriot EBA household, it could be assumed, even without archaeological data, that they too, would have followed this traditional </w:t>
      </w:r>
      <w:proofErr w:type="spellStart"/>
      <w:r w:rsidR="004519CB">
        <w:rPr>
          <w:rFonts w:ascii="Baskerville Old Face" w:hAnsi="Baskerville Old Face"/>
          <w:sz w:val="24"/>
          <w:szCs w:val="24"/>
        </w:rPr>
        <w:t>mold</w:t>
      </w:r>
      <w:proofErr w:type="spellEnd"/>
      <w:r w:rsidR="004519CB">
        <w:rPr>
          <w:rFonts w:ascii="Baskerville Old Face" w:hAnsi="Baskerville Old Face"/>
          <w:sz w:val="24"/>
          <w:szCs w:val="24"/>
        </w:rPr>
        <w:t xml:space="preserve">. With the archaeological record however, it is evident. The socially ascribed importance of fertility and motherhood amongst women </w:t>
      </w:r>
      <w:r w:rsidR="00BF1A63">
        <w:rPr>
          <w:rFonts w:ascii="Baskerville Old Face" w:hAnsi="Baskerville Old Face"/>
          <w:sz w:val="24"/>
          <w:szCs w:val="24"/>
        </w:rPr>
        <w:t>would have severely impacted a woman’s effectiveness to carry out manual labour, when one considers pregnancy, post-partum recovery, breast-feeding, and childminding responsibilities. Therefore, female presence seemed to have been by the hearth, or the loom, or the bed areas. Thusly, Orphanides concluded that the dominant representation of women holding children, and participating in certain domestic tasks, corroborates with the compatibility-with-child-care theory.</w:t>
      </w:r>
      <w:r w:rsidR="00BF1A63">
        <w:rPr>
          <w:rStyle w:val="FootnoteReference"/>
          <w:rFonts w:ascii="Baskerville Old Face" w:hAnsi="Baskerville Old Face"/>
          <w:sz w:val="24"/>
          <w:szCs w:val="24"/>
        </w:rPr>
        <w:footnoteReference w:id="25"/>
      </w:r>
    </w:p>
    <w:p w14:paraId="78E501D4" w14:textId="77777777" w:rsidR="004F6AD1" w:rsidRDefault="004F6AD1" w:rsidP="00C620E8">
      <w:pPr>
        <w:jc w:val="both"/>
        <w:rPr>
          <w:rFonts w:ascii="Baskerville Old Face" w:hAnsi="Baskerville Old Face"/>
          <w:sz w:val="24"/>
          <w:szCs w:val="24"/>
        </w:rPr>
      </w:pPr>
    </w:p>
    <w:p w14:paraId="0C38FAD5" w14:textId="77777777" w:rsidR="004F6AD1" w:rsidRDefault="004F6AD1" w:rsidP="00C620E8">
      <w:pPr>
        <w:jc w:val="both"/>
        <w:rPr>
          <w:rFonts w:ascii="Baskerville Old Face" w:hAnsi="Baskerville Old Face"/>
          <w:sz w:val="24"/>
          <w:szCs w:val="24"/>
        </w:rPr>
      </w:pPr>
    </w:p>
    <w:p w14:paraId="01792EAC" w14:textId="333826E5" w:rsidR="00EF2414" w:rsidRDefault="00EF2414" w:rsidP="00C620E8">
      <w:pPr>
        <w:jc w:val="both"/>
        <w:rPr>
          <w:rFonts w:ascii="Baskerville Old Face" w:hAnsi="Baskerville Old Face"/>
          <w:sz w:val="24"/>
          <w:szCs w:val="24"/>
        </w:rPr>
      </w:pPr>
      <w:r>
        <w:rPr>
          <w:rFonts w:ascii="Baskerville Old Face" w:hAnsi="Baskerville Old Face"/>
          <w:sz w:val="24"/>
          <w:szCs w:val="24"/>
        </w:rPr>
        <w:lastRenderedPageBreak/>
        <w:t xml:space="preserve">To summarise, </w:t>
      </w:r>
      <w:r w:rsidR="004F6AD1">
        <w:rPr>
          <w:rFonts w:ascii="Baskerville Old Face" w:hAnsi="Baskerville Old Face"/>
          <w:sz w:val="24"/>
          <w:szCs w:val="24"/>
        </w:rPr>
        <w:t xml:space="preserve">the movement of Cyprus from the Chalcolithic to Bronze Age period brought with it a second movement of evolving social workings and behaviour, which in turn, evolved the household. Many factors, including some that went without examination in this essay, such as religion, ethnicity, and funerary ritual, each had its own hand in marking household activity. The archaeological record as a tool for social observation is undoubtedly an effective one, if the volume of published study in the field is any indicator as to the extent of its insight. </w:t>
      </w:r>
    </w:p>
    <w:p w14:paraId="3A1A713F" w14:textId="77777777" w:rsidR="005F4D8A" w:rsidRDefault="005F4D8A" w:rsidP="00C620E8">
      <w:pPr>
        <w:jc w:val="both"/>
        <w:rPr>
          <w:rFonts w:ascii="Baskerville Old Face" w:hAnsi="Baskerville Old Face"/>
          <w:sz w:val="24"/>
          <w:szCs w:val="24"/>
        </w:rPr>
      </w:pPr>
    </w:p>
    <w:p w14:paraId="28123517" w14:textId="1AF86669" w:rsidR="0042544D" w:rsidRDefault="0042544D" w:rsidP="00C620E8">
      <w:pPr>
        <w:jc w:val="both"/>
        <w:rPr>
          <w:rFonts w:ascii="Baskerville Old Face" w:hAnsi="Baskerville Old Face"/>
          <w:sz w:val="24"/>
          <w:szCs w:val="24"/>
        </w:rPr>
      </w:pPr>
    </w:p>
    <w:p w14:paraId="49A3F7A7" w14:textId="4474C970" w:rsidR="0042544D" w:rsidRDefault="0042544D" w:rsidP="00C620E8">
      <w:pPr>
        <w:jc w:val="both"/>
        <w:rPr>
          <w:rFonts w:ascii="Baskerville Old Face" w:hAnsi="Baskerville Old Face"/>
          <w:sz w:val="24"/>
          <w:szCs w:val="24"/>
        </w:rPr>
      </w:pPr>
    </w:p>
    <w:p w14:paraId="3E82A42D" w14:textId="5521521E" w:rsidR="0042544D" w:rsidRDefault="0042544D" w:rsidP="00C620E8">
      <w:pPr>
        <w:jc w:val="both"/>
        <w:rPr>
          <w:rFonts w:ascii="Baskerville Old Face" w:hAnsi="Baskerville Old Face"/>
          <w:sz w:val="24"/>
          <w:szCs w:val="24"/>
        </w:rPr>
      </w:pPr>
    </w:p>
    <w:p w14:paraId="0040A549" w14:textId="4D42817F" w:rsidR="0049092F" w:rsidRDefault="0049092F" w:rsidP="00C620E8">
      <w:pPr>
        <w:jc w:val="both"/>
        <w:rPr>
          <w:rFonts w:ascii="Baskerville Old Face" w:hAnsi="Baskerville Old Face"/>
          <w:sz w:val="24"/>
          <w:szCs w:val="24"/>
        </w:rPr>
      </w:pPr>
    </w:p>
    <w:p w14:paraId="6C6C55E4" w14:textId="0CCF3F9C" w:rsidR="000B0A42" w:rsidRDefault="000B0A42" w:rsidP="00C620E8">
      <w:pPr>
        <w:jc w:val="both"/>
        <w:rPr>
          <w:rFonts w:ascii="Baskerville Old Face" w:hAnsi="Baskerville Old Face"/>
          <w:sz w:val="24"/>
          <w:szCs w:val="24"/>
        </w:rPr>
      </w:pPr>
    </w:p>
    <w:p w14:paraId="7E602EE5" w14:textId="7164E0C8" w:rsidR="000B0A42" w:rsidRDefault="000B0A42" w:rsidP="00C620E8">
      <w:pPr>
        <w:jc w:val="both"/>
        <w:rPr>
          <w:rFonts w:ascii="Baskerville Old Face" w:hAnsi="Baskerville Old Face"/>
          <w:sz w:val="24"/>
          <w:szCs w:val="24"/>
        </w:rPr>
      </w:pPr>
    </w:p>
    <w:p w14:paraId="0D14B34E" w14:textId="08C45326" w:rsidR="000B0A42" w:rsidRDefault="000B0A42" w:rsidP="00C620E8">
      <w:pPr>
        <w:jc w:val="both"/>
        <w:rPr>
          <w:rFonts w:ascii="Baskerville Old Face" w:hAnsi="Baskerville Old Face"/>
          <w:sz w:val="24"/>
          <w:szCs w:val="24"/>
        </w:rPr>
      </w:pPr>
    </w:p>
    <w:p w14:paraId="492B13CB" w14:textId="77777777" w:rsidR="00C401FE" w:rsidRDefault="00C401FE" w:rsidP="00C401FE">
      <w:pPr>
        <w:rPr>
          <w:rFonts w:ascii="Baskerville Old Face" w:hAnsi="Baskerville Old Face"/>
          <w:sz w:val="24"/>
          <w:szCs w:val="24"/>
        </w:rPr>
      </w:pPr>
    </w:p>
    <w:p w14:paraId="6E628800" w14:textId="77777777" w:rsidR="007014A2" w:rsidRDefault="007014A2" w:rsidP="00C401FE">
      <w:pPr>
        <w:jc w:val="center"/>
        <w:rPr>
          <w:rFonts w:ascii="Baskerville Old Face" w:hAnsi="Baskerville Old Face"/>
          <w:b/>
          <w:bCs/>
          <w:sz w:val="28"/>
          <w:szCs w:val="28"/>
        </w:rPr>
      </w:pPr>
    </w:p>
    <w:p w14:paraId="3CC39989" w14:textId="77777777" w:rsidR="007014A2" w:rsidRDefault="007014A2" w:rsidP="00C401FE">
      <w:pPr>
        <w:jc w:val="center"/>
        <w:rPr>
          <w:rFonts w:ascii="Baskerville Old Face" w:hAnsi="Baskerville Old Face"/>
          <w:b/>
          <w:bCs/>
          <w:sz w:val="28"/>
          <w:szCs w:val="28"/>
        </w:rPr>
      </w:pPr>
    </w:p>
    <w:p w14:paraId="2D2A47C1" w14:textId="77777777" w:rsidR="007014A2" w:rsidRDefault="007014A2" w:rsidP="00C401FE">
      <w:pPr>
        <w:jc w:val="center"/>
        <w:rPr>
          <w:rFonts w:ascii="Baskerville Old Face" w:hAnsi="Baskerville Old Face"/>
          <w:b/>
          <w:bCs/>
          <w:sz w:val="28"/>
          <w:szCs w:val="28"/>
        </w:rPr>
      </w:pPr>
    </w:p>
    <w:p w14:paraId="4EF437F2" w14:textId="77777777" w:rsidR="007014A2" w:rsidRDefault="007014A2" w:rsidP="00C401FE">
      <w:pPr>
        <w:jc w:val="center"/>
        <w:rPr>
          <w:rFonts w:ascii="Baskerville Old Face" w:hAnsi="Baskerville Old Face"/>
          <w:b/>
          <w:bCs/>
          <w:sz w:val="28"/>
          <w:szCs w:val="28"/>
        </w:rPr>
      </w:pPr>
    </w:p>
    <w:p w14:paraId="1B16855D" w14:textId="77777777" w:rsidR="007014A2" w:rsidRDefault="007014A2" w:rsidP="00C401FE">
      <w:pPr>
        <w:jc w:val="center"/>
        <w:rPr>
          <w:rFonts w:ascii="Baskerville Old Face" w:hAnsi="Baskerville Old Face"/>
          <w:b/>
          <w:bCs/>
          <w:sz w:val="28"/>
          <w:szCs w:val="28"/>
        </w:rPr>
      </w:pPr>
    </w:p>
    <w:p w14:paraId="09D24920" w14:textId="77777777" w:rsidR="007014A2" w:rsidRDefault="007014A2" w:rsidP="00C401FE">
      <w:pPr>
        <w:jc w:val="center"/>
        <w:rPr>
          <w:rFonts w:ascii="Baskerville Old Face" w:hAnsi="Baskerville Old Face"/>
          <w:b/>
          <w:bCs/>
          <w:sz w:val="28"/>
          <w:szCs w:val="28"/>
        </w:rPr>
      </w:pPr>
    </w:p>
    <w:p w14:paraId="7620CCCC" w14:textId="77777777" w:rsidR="007014A2" w:rsidRDefault="007014A2" w:rsidP="00C401FE">
      <w:pPr>
        <w:jc w:val="center"/>
        <w:rPr>
          <w:rFonts w:ascii="Baskerville Old Face" w:hAnsi="Baskerville Old Face"/>
          <w:b/>
          <w:bCs/>
          <w:sz w:val="28"/>
          <w:szCs w:val="28"/>
        </w:rPr>
      </w:pPr>
    </w:p>
    <w:p w14:paraId="5439734A" w14:textId="77777777" w:rsidR="007014A2" w:rsidRDefault="007014A2" w:rsidP="00C401FE">
      <w:pPr>
        <w:jc w:val="center"/>
        <w:rPr>
          <w:rFonts w:ascii="Baskerville Old Face" w:hAnsi="Baskerville Old Face"/>
          <w:b/>
          <w:bCs/>
          <w:sz w:val="28"/>
          <w:szCs w:val="28"/>
        </w:rPr>
      </w:pPr>
    </w:p>
    <w:p w14:paraId="5BA7A168" w14:textId="77777777" w:rsidR="007014A2" w:rsidRDefault="007014A2" w:rsidP="00C401FE">
      <w:pPr>
        <w:jc w:val="center"/>
        <w:rPr>
          <w:rFonts w:ascii="Baskerville Old Face" w:hAnsi="Baskerville Old Face"/>
          <w:b/>
          <w:bCs/>
          <w:sz w:val="28"/>
          <w:szCs w:val="28"/>
        </w:rPr>
      </w:pPr>
    </w:p>
    <w:p w14:paraId="086CB366" w14:textId="77777777" w:rsidR="007014A2" w:rsidRDefault="007014A2" w:rsidP="00C401FE">
      <w:pPr>
        <w:jc w:val="center"/>
        <w:rPr>
          <w:rFonts w:ascii="Baskerville Old Face" w:hAnsi="Baskerville Old Face"/>
          <w:b/>
          <w:bCs/>
          <w:sz w:val="28"/>
          <w:szCs w:val="28"/>
        </w:rPr>
      </w:pPr>
    </w:p>
    <w:p w14:paraId="04BD9AE5" w14:textId="77777777" w:rsidR="007014A2" w:rsidRDefault="007014A2" w:rsidP="00C401FE">
      <w:pPr>
        <w:jc w:val="center"/>
        <w:rPr>
          <w:rFonts w:ascii="Baskerville Old Face" w:hAnsi="Baskerville Old Face"/>
          <w:b/>
          <w:bCs/>
          <w:sz w:val="28"/>
          <w:szCs w:val="28"/>
        </w:rPr>
      </w:pPr>
    </w:p>
    <w:p w14:paraId="0F1DD2E6" w14:textId="77777777" w:rsidR="007014A2" w:rsidRDefault="007014A2" w:rsidP="00C401FE">
      <w:pPr>
        <w:jc w:val="center"/>
        <w:rPr>
          <w:rFonts w:ascii="Baskerville Old Face" w:hAnsi="Baskerville Old Face"/>
          <w:b/>
          <w:bCs/>
          <w:sz w:val="28"/>
          <w:szCs w:val="28"/>
        </w:rPr>
      </w:pPr>
    </w:p>
    <w:p w14:paraId="0F4DDFD1" w14:textId="77777777" w:rsidR="007014A2" w:rsidRDefault="007014A2" w:rsidP="00C401FE">
      <w:pPr>
        <w:jc w:val="center"/>
        <w:rPr>
          <w:rFonts w:ascii="Baskerville Old Face" w:hAnsi="Baskerville Old Face"/>
          <w:b/>
          <w:bCs/>
          <w:sz w:val="28"/>
          <w:szCs w:val="28"/>
        </w:rPr>
      </w:pPr>
    </w:p>
    <w:p w14:paraId="69313FF6" w14:textId="77777777" w:rsidR="007014A2" w:rsidRDefault="007014A2" w:rsidP="00C401FE">
      <w:pPr>
        <w:jc w:val="center"/>
        <w:rPr>
          <w:rFonts w:ascii="Baskerville Old Face" w:hAnsi="Baskerville Old Face"/>
          <w:b/>
          <w:bCs/>
          <w:sz w:val="28"/>
          <w:szCs w:val="28"/>
        </w:rPr>
      </w:pPr>
    </w:p>
    <w:p w14:paraId="563E7E17" w14:textId="77777777" w:rsidR="007014A2" w:rsidRDefault="007014A2" w:rsidP="00C401FE">
      <w:pPr>
        <w:jc w:val="center"/>
        <w:rPr>
          <w:rFonts w:ascii="Baskerville Old Face" w:hAnsi="Baskerville Old Face"/>
          <w:b/>
          <w:bCs/>
          <w:sz w:val="28"/>
          <w:szCs w:val="28"/>
        </w:rPr>
      </w:pPr>
    </w:p>
    <w:p w14:paraId="39E87C9C" w14:textId="77777777" w:rsidR="007014A2" w:rsidRDefault="007014A2" w:rsidP="00C401FE">
      <w:pPr>
        <w:jc w:val="center"/>
        <w:rPr>
          <w:rFonts w:ascii="Baskerville Old Face" w:hAnsi="Baskerville Old Face"/>
          <w:b/>
          <w:bCs/>
          <w:sz w:val="28"/>
          <w:szCs w:val="28"/>
        </w:rPr>
      </w:pPr>
    </w:p>
    <w:p w14:paraId="694CE176" w14:textId="36782321" w:rsidR="000B6239" w:rsidRDefault="00C54888" w:rsidP="00C401FE">
      <w:pPr>
        <w:jc w:val="center"/>
        <w:rPr>
          <w:rFonts w:ascii="Baskerville Old Face" w:hAnsi="Baskerville Old Face"/>
          <w:b/>
          <w:bCs/>
          <w:sz w:val="28"/>
          <w:szCs w:val="28"/>
        </w:rPr>
      </w:pPr>
      <w:r w:rsidRPr="00C54888">
        <w:rPr>
          <w:rFonts w:ascii="Baskerville Old Face" w:hAnsi="Baskerville Old Face"/>
          <w:b/>
          <w:bCs/>
          <w:sz w:val="28"/>
          <w:szCs w:val="28"/>
        </w:rPr>
        <w:lastRenderedPageBreak/>
        <w:t>BIBLIOGRAPHY</w:t>
      </w:r>
    </w:p>
    <w:p w14:paraId="620AE997" w14:textId="77777777" w:rsidR="00C401FE" w:rsidRPr="00C54888" w:rsidRDefault="00C401FE" w:rsidP="00C401FE">
      <w:pPr>
        <w:jc w:val="center"/>
        <w:rPr>
          <w:rFonts w:ascii="Baskerville Old Face" w:hAnsi="Baskerville Old Face"/>
          <w:b/>
          <w:bCs/>
          <w:sz w:val="28"/>
          <w:szCs w:val="28"/>
        </w:rPr>
      </w:pPr>
    </w:p>
    <w:p w14:paraId="51F7AAC8" w14:textId="35F5FFA5" w:rsidR="00C54888" w:rsidRDefault="00C54888" w:rsidP="00C54888">
      <w:pPr>
        <w:pStyle w:val="ListParagraph"/>
        <w:numPr>
          <w:ilvl w:val="0"/>
          <w:numId w:val="1"/>
        </w:numPr>
        <w:jc w:val="both"/>
        <w:rPr>
          <w:rFonts w:ascii="Baskerville Old Face" w:hAnsi="Baskerville Old Face"/>
          <w:sz w:val="24"/>
          <w:szCs w:val="24"/>
        </w:rPr>
      </w:pPr>
      <w:bookmarkStart w:id="0" w:name="_Hlk172821541"/>
      <w:r w:rsidRPr="00C54888">
        <w:rPr>
          <w:rFonts w:ascii="Baskerville Old Face" w:hAnsi="Baskerville Old Face"/>
          <w:sz w:val="24"/>
          <w:szCs w:val="24"/>
        </w:rPr>
        <w:t>Frankel, David, and Jennifer M. Webb. 2012. ‘Household Continuity and Transformation in a Prehistoric Cypriot Village’, in New Perspectives on Household Archaeology (</w:t>
      </w:r>
      <w:proofErr w:type="spellStart"/>
      <w:r w:rsidRPr="00C54888">
        <w:rPr>
          <w:rFonts w:ascii="Baskerville Old Face" w:hAnsi="Baskerville Old Face"/>
          <w:sz w:val="24"/>
          <w:szCs w:val="24"/>
        </w:rPr>
        <w:t>Eisenbrauns</w:t>
      </w:r>
      <w:proofErr w:type="spellEnd"/>
      <w:r w:rsidRPr="00C54888">
        <w:rPr>
          <w:rFonts w:ascii="Baskerville Old Face" w:hAnsi="Baskerville Old Face"/>
          <w:sz w:val="24"/>
          <w:szCs w:val="24"/>
        </w:rPr>
        <w:t>)</w:t>
      </w:r>
      <w:bookmarkEnd w:id="0"/>
    </w:p>
    <w:p w14:paraId="58083A76" w14:textId="1C39C328" w:rsidR="00C05388" w:rsidRDefault="00C05388" w:rsidP="00C54888">
      <w:pPr>
        <w:pStyle w:val="ListParagraph"/>
        <w:numPr>
          <w:ilvl w:val="0"/>
          <w:numId w:val="1"/>
        </w:numPr>
        <w:jc w:val="both"/>
        <w:rPr>
          <w:rFonts w:ascii="Baskerville Old Face" w:hAnsi="Baskerville Old Face"/>
          <w:sz w:val="24"/>
          <w:szCs w:val="24"/>
        </w:rPr>
      </w:pPr>
      <w:r w:rsidRPr="00C05388">
        <w:rPr>
          <w:rFonts w:ascii="Baskerville Old Face" w:hAnsi="Baskerville Old Face"/>
          <w:sz w:val="24"/>
          <w:szCs w:val="24"/>
        </w:rPr>
        <w:t>M. Webb, Jennifer. 2006. ‘Material Culture and the Value of Context: A Case Study from Marki, Cyprus’, in Deconstructing Context: A Critical Approach to Archaeological Practice (Oxbow)</w:t>
      </w:r>
    </w:p>
    <w:p w14:paraId="4A4AED2E" w14:textId="5D5396D8" w:rsidR="00C475D1" w:rsidRDefault="00C475D1" w:rsidP="00C54888">
      <w:pPr>
        <w:pStyle w:val="ListParagraph"/>
        <w:numPr>
          <w:ilvl w:val="0"/>
          <w:numId w:val="1"/>
        </w:numPr>
        <w:jc w:val="both"/>
        <w:rPr>
          <w:rFonts w:ascii="Baskerville Old Face" w:hAnsi="Baskerville Old Face"/>
          <w:sz w:val="24"/>
          <w:szCs w:val="24"/>
        </w:rPr>
      </w:pPr>
      <w:r w:rsidRPr="00C475D1">
        <w:rPr>
          <w:rFonts w:ascii="Baskerville Old Face" w:hAnsi="Baskerville Old Face"/>
          <w:sz w:val="24"/>
          <w:szCs w:val="24"/>
        </w:rPr>
        <w:t xml:space="preserve">Steel, Louise. 2016. ‘Kitchenalia in Bronze Age Cyprus’, Gastronomica, 16.3: 79–90 </w:t>
      </w:r>
    </w:p>
    <w:p w14:paraId="696948B1" w14:textId="5E47CAFF" w:rsidR="00155B53" w:rsidRDefault="00155B53" w:rsidP="00C54888">
      <w:pPr>
        <w:pStyle w:val="ListParagraph"/>
        <w:numPr>
          <w:ilvl w:val="0"/>
          <w:numId w:val="1"/>
        </w:numPr>
        <w:jc w:val="both"/>
        <w:rPr>
          <w:rFonts w:ascii="Baskerville Old Face" w:hAnsi="Baskerville Old Face"/>
          <w:sz w:val="24"/>
          <w:szCs w:val="24"/>
        </w:rPr>
      </w:pPr>
      <w:r w:rsidRPr="00155B53">
        <w:rPr>
          <w:rFonts w:ascii="Baskerville Old Face" w:hAnsi="Baskerville Old Face"/>
          <w:sz w:val="24"/>
          <w:szCs w:val="24"/>
        </w:rPr>
        <w:t xml:space="preserve">Falconer, Steven E, and Patricia L Fall. 2013. ‘Household and Community </w:t>
      </w:r>
      <w:proofErr w:type="spellStart"/>
      <w:r w:rsidRPr="00155B53">
        <w:rPr>
          <w:rFonts w:ascii="Baskerville Old Face" w:hAnsi="Baskerville Old Face"/>
          <w:sz w:val="24"/>
          <w:szCs w:val="24"/>
        </w:rPr>
        <w:t>Behavior</w:t>
      </w:r>
      <w:proofErr w:type="spellEnd"/>
      <w:r w:rsidRPr="00155B53">
        <w:rPr>
          <w:rFonts w:ascii="Baskerville Old Face" w:hAnsi="Baskerville Old Face"/>
          <w:sz w:val="24"/>
          <w:szCs w:val="24"/>
        </w:rPr>
        <w:t xml:space="preserve"> at Bronze Age Politiko-Troullia, Cyprus’, Journal of Field Archaeology, 38.2 (Taylor &amp; Francis): 101–19 </w:t>
      </w:r>
    </w:p>
    <w:p w14:paraId="4FBD0D90" w14:textId="5AC0B989" w:rsidR="00C475D1" w:rsidRDefault="00861E6A" w:rsidP="00C54888">
      <w:pPr>
        <w:pStyle w:val="ListParagraph"/>
        <w:numPr>
          <w:ilvl w:val="0"/>
          <w:numId w:val="1"/>
        </w:numPr>
        <w:jc w:val="both"/>
        <w:rPr>
          <w:rFonts w:ascii="Baskerville Old Face" w:hAnsi="Baskerville Old Face"/>
          <w:sz w:val="24"/>
          <w:szCs w:val="24"/>
        </w:rPr>
      </w:pPr>
      <w:r w:rsidRPr="00861E6A">
        <w:rPr>
          <w:rFonts w:ascii="Baskerville Old Face" w:hAnsi="Baskerville Old Face"/>
          <w:sz w:val="24"/>
          <w:szCs w:val="24"/>
        </w:rPr>
        <w:t xml:space="preserve">Steel, Louise. 2004. ‘A Goodly Feast … a Cup of Mellow Wine: Feasting in Bronze Age Cyprus’, Hesperia, 73.2: 281–300 </w:t>
      </w:r>
    </w:p>
    <w:p w14:paraId="0F9D5C97" w14:textId="31B7A49B" w:rsidR="004E15EE" w:rsidRDefault="004E15EE" w:rsidP="00C54888">
      <w:pPr>
        <w:pStyle w:val="ListParagraph"/>
        <w:numPr>
          <w:ilvl w:val="0"/>
          <w:numId w:val="1"/>
        </w:numPr>
        <w:jc w:val="both"/>
        <w:rPr>
          <w:rFonts w:ascii="Baskerville Old Face" w:hAnsi="Baskerville Old Face"/>
          <w:sz w:val="24"/>
          <w:szCs w:val="24"/>
        </w:rPr>
      </w:pPr>
      <w:r>
        <w:rPr>
          <w:rFonts w:ascii="Baskerville Old Face" w:hAnsi="Baskerville Old Face"/>
          <w:sz w:val="24"/>
          <w:szCs w:val="24"/>
        </w:rPr>
        <w:t>Steel, Louise</w:t>
      </w:r>
      <w:r w:rsidRPr="004E15EE">
        <w:rPr>
          <w:rFonts w:ascii="Baskerville Old Face" w:hAnsi="Baskerville Old Face"/>
          <w:sz w:val="24"/>
          <w:szCs w:val="24"/>
        </w:rPr>
        <w:t>. 2018. ‘Watery Entanglements in the Cypriot Hinterland’, Land, 7.3</w:t>
      </w:r>
    </w:p>
    <w:p w14:paraId="3AD99610" w14:textId="4B871C94" w:rsidR="00804962" w:rsidRDefault="00804962" w:rsidP="00C54888">
      <w:pPr>
        <w:pStyle w:val="ListParagraph"/>
        <w:numPr>
          <w:ilvl w:val="0"/>
          <w:numId w:val="1"/>
        </w:numPr>
        <w:jc w:val="both"/>
        <w:rPr>
          <w:rFonts w:ascii="Baskerville Old Face" w:hAnsi="Baskerville Old Face"/>
          <w:sz w:val="24"/>
          <w:szCs w:val="24"/>
        </w:rPr>
      </w:pPr>
      <w:r w:rsidRPr="00804962">
        <w:rPr>
          <w:rFonts w:ascii="Baskerville Old Face" w:hAnsi="Baskerville Old Face"/>
          <w:sz w:val="24"/>
          <w:szCs w:val="24"/>
        </w:rPr>
        <w:t>Strang, Veronica. 2014. ‘Fluid Consistencies. Material Relationality in Human Engagements with Water</w:t>
      </w:r>
      <w:proofErr w:type="gramStart"/>
      <w:r w:rsidRPr="00804962">
        <w:rPr>
          <w:rFonts w:ascii="Baskerville Old Face" w:hAnsi="Baskerville Old Face"/>
          <w:sz w:val="24"/>
          <w:szCs w:val="24"/>
        </w:rPr>
        <w:t>’,</w:t>
      </w:r>
      <w:proofErr w:type="gramEnd"/>
      <w:r w:rsidRPr="00804962">
        <w:rPr>
          <w:rFonts w:ascii="Baskerville Old Face" w:hAnsi="Baskerville Old Face"/>
          <w:sz w:val="24"/>
          <w:szCs w:val="24"/>
        </w:rPr>
        <w:t xml:space="preserve"> Archaeological Dialogues, 21.2: 133–50 </w:t>
      </w:r>
    </w:p>
    <w:p w14:paraId="188F0B2B" w14:textId="5EC73F0E" w:rsidR="00804962" w:rsidRDefault="00573A9A" w:rsidP="00C54888">
      <w:pPr>
        <w:pStyle w:val="ListParagraph"/>
        <w:numPr>
          <w:ilvl w:val="0"/>
          <w:numId w:val="1"/>
        </w:numPr>
        <w:jc w:val="both"/>
        <w:rPr>
          <w:rFonts w:ascii="Baskerville Old Face" w:hAnsi="Baskerville Old Face"/>
          <w:sz w:val="24"/>
          <w:szCs w:val="24"/>
        </w:rPr>
      </w:pPr>
      <w:r w:rsidRPr="00573A9A">
        <w:rPr>
          <w:rFonts w:ascii="Baskerville Old Face" w:hAnsi="Baskerville Old Face"/>
          <w:sz w:val="24"/>
          <w:szCs w:val="24"/>
        </w:rPr>
        <w:t>Attala, Luci. 2017. ‘Bodies of Water: Exploring Water Flow in Rural Kenya’, in Exploring the Materiality of Food Stuffs (Routledge), pp. 79–95</w:t>
      </w:r>
    </w:p>
    <w:p w14:paraId="2FB6B1A7" w14:textId="2418F8EF" w:rsidR="00573A9A" w:rsidRDefault="007D7A15" w:rsidP="00C54888">
      <w:pPr>
        <w:pStyle w:val="ListParagraph"/>
        <w:numPr>
          <w:ilvl w:val="0"/>
          <w:numId w:val="1"/>
        </w:numPr>
        <w:jc w:val="both"/>
        <w:rPr>
          <w:rFonts w:ascii="Baskerville Old Face" w:hAnsi="Baskerville Old Face"/>
          <w:sz w:val="24"/>
          <w:szCs w:val="24"/>
        </w:rPr>
      </w:pPr>
      <w:r w:rsidRPr="007D7A15">
        <w:rPr>
          <w:rFonts w:ascii="Baskerville Old Face" w:hAnsi="Baskerville Old Face"/>
          <w:sz w:val="24"/>
          <w:szCs w:val="24"/>
        </w:rPr>
        <w:t>Frankel, David, and Jennifer M. Webb. 2011. ‘Hearth and Home as Identifiers of Community in Mid-Third Millennium Cyprus’, in On Cooking Pots, Drinking Cups, Loomweights and Ethnicity in Bronze Age Cyprus and Neighbouring Regions (A.G Leventis Foundation), pp. 29–35</w:t>
      </w:r>
    </w:p>
    <w:p w14:paraId="2E6E4C9B" w14:textId="7861EDAE" w:rsidR="00EC3210" w:rsidRDefault="00EC3210" w:rsidP="00C54888">
      <w:pPr>
        <w:pStyle w:val="ListParagraph"/>
        <w:numPr>
          <w:ilvl w:val="0"/>
          <w:numId w:val="1"/>
        </w:numPr>
        <w:jc w:val="both"/>
        <w:rPr>
          <w:rFonts w:ascii="Baskerville Old Face" w:hAnsi="Baskerville Old Face"/>
          <w:sz w:val="24"/>
          <w:szCs w:val="24"/>
        </w:rPr>
      </w:pPr>
      <w:r w:rsidRPr="00EC3210">
        <w:rPr>
          <w:rFonts w:ascii="Baskerville Old Face" w:hAnsi="Baskerville Old Face"/>
          <w:sz w:val="24"/>
          <w:szCs w:val="24"/>
        </w:rPr>
        <w:t xml:space="preserve">Bolger, Dianne. 2002. ‘Gender and Mortuary Ritual During the Bronze Age’, in Engendering Aphrodite: Women and Society in Ancient Cyprus (American Schools of Oriental Research), p. </w:t>
      </w:r>
      <w:r>
        <w:rPr>
          <w:rFonts w:ascii="Baskerville Old Face" w:hAnsi="Baskerville Old Face"/>
          <w:sz w:val="24"/>
          <w:szCs w:val="24"/>
        </w:rPr>
        <w:t>79-83</w:t>
      </w:r>
    </w:p>
    <w:p w14:paraId="51585D64" w14:textId="218FDD97" w:rsidR="00034E35" w:rsidRDefault="00034E35" w:rsidP="00C54888">
      <w:pPr>
        <w:pStyle w:val="ListParagraph"/>
        <w:numPr>
          <w:ilvl w:val="0"/>
          <w:numId w:val="1"/>
        </w:numPr>
        <w:jc w:val="both"/>
        <w:rPr>
          <w:rFonts w:ascii="Baskerville Old Face" w:hAnsi="Baskerville Old Face"/>
          <w:sz w:val="24"/>
          <w:szCs w:val="24"/>
        </w:rPr>
      </w:pPr>
      <w:r w:rsidRPr="00034E35">
        <w:rPr>
          <w:rFonts w:ascii="Baskerville Old Face" w:hAnsi="Baskerville Old Face"/>
          <w:sz w:val="24"/>
          <w:szCs w:val="24"/>
        </w:rPr>
        <w:t xml:space="preserve">Orphanides, Andreas G. 2001. ‘The Bronze Age Anthropomorphic Figurines from Cyprus: Women’s Child Caring Role’: 83–92 </w:t>
      </w:r>
    </w:p>
    <w:p w14:paraId="29117137" w14:textId="3C763110" w:rsidR="00034E35" w:rsidRDefault="00C401FE" w:rsidP="00C54888">
      <w:pPr>
        <w:pStyle w:val="ListParagraph"/>
        <w:numPr>
          <w:ilvl w:val="0"/>
          <w:numId w:val="1"/>
        </w:numPr>
        <w:jc w:val="both"/>
        <w:rPr>
          <w:rFonts w:ascii="Baskerville Old Face" w:hAnsi="Baskerville Old Face"/>
          <w:sz w:val="24"/>
          <w:szCs w:val="24"/>
        </w:rPr>
      </w:pPr>
      <w:r w:rsidRPr="00C401FE">
        <w:rPr>
          <w:rFonts w:ascii="Baskerville Old Face" w:hAnsi="Baskerville Old Face"/>
          <w:sz w:val="24"/>
          <w:szCs w:val="24"/>
        </w:rPr>
        <w:t>Brown, J.K. 1970. ‘A Note on the Division of Labour by Sex.’ American Anthropologist 65: 837-853</w:t>
      </w:r>
    </w:p>
    <w:p w14:paraId="7DDACAA3" w14:textId="795EA1BF" w:rsidR="00C401FE" w:rsidRDefault="004519CB" w:rsidP="00C54888">
      <w:pPr>
        <w:pStyle w:val="ListParagraph"/>
        <w:numPr>
          <w:ilvl w:val="0"/>
          <w:numId w:val="1"/>
        </w:numPr>
        <w:jc w:val="both"/>
        <w:rPr>
          <w:rFonts w:ascii="Baskerville Old Face" w:hAnsi="Baskerville Old Face"/>
          <w:sz w:val="24"/>
          <w:szCs w:val="24"/>
        </w:rPr>
      </w:pPr>
      <w:r w:rsidRPr="004519CB">
        <w:rPr>
          <w:rFonts w:ascii="Baskerville Old Face" w:hAnsi="Baskerville Old Face"/>
          <w:sz w:val="24"/>
          <w:szCs w:val="24"/>
        </w:rPr>
        <w:t>Murdock, G. P, Provost, C. 1973. ‘Factors in the Division of Labour by Sex: A Cross-cultural Analysis’ Ethnology 12: 203-225</w:t>
      </w:r>
    </w:p>
    <w:p w14:paraId="6AD54354" w14:textId="77777777" w:rsidR="004519CB" w:rsidRPr="00C54888" w:rsidRDefault="004519CB" w:rsidP="003F1241">
      <w:pPr>
        <w:pStyle w:val="ListParagraph"/>
        <w:jc w:val="both"/>
        <w:rPr>
          <w:rFonts w:ascii="Baskerville Old Face" w:hAnsi="Baskerville Old Face"/>
          <w:sz w:val="24"/>
          <w:szCs w:val="24"/>
        </w:rPr>
      </w:pPr>
    </w:p>
    <w:sectPr w:rsidR="004519CB" w:rsidRPr="00C5488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81A5D40" w14:textId="77777777" w:rsidR="00EB50E5" w:rsidRDefault="00EB50E5" w:rsidP="00557DD6">
      <w:pPr>
        <w:spacing w:after="0" w:line="240" w:lineRule="auto"/>
      </w:pPr>
      <w:r>
        <w:separator/>
      </w:r>
    </w:p>
  </w:endnote>
  <w:endnote w:type="continuationSeparator" w:id="0">
    <w:p w14:paraId="7027F5C5" w14:textId="77777777" w:rsidR="00EB50E5" w:rsidRDefault="00EB50E5" w:rsidP="00557DD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Baskerville Old Face">
    <w:charset w:val="00"/>
    <w:family w:val="roman"/>
    <w:pitch w:val="variable"/>
    <w:sig w:usb0="0000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20635D0" w14:textId="77777777" w:rsidR="00EB50E5" w:rsidRDefault="00EB50E5" w:rsidP="00557DD6">
      <w:pPr>
        <w:spacing w:after="0" w:line="240" w:lineRule="auto"/>
      </w:pPr>
      <w:r>
        <w:separator/>
      </w:r>
    </w:p>
  </w:footnote>
  <w:footnote w:type="continuationSeparator" w:id="0">
    <w:p w14:paraId="55F33BF7" w14:textId="77777777" w:rsidR="00EB50E5" w:rsidRDefault="00EB50E5" w:rsidP="00557DD6">
      <w:pPr>
        <w:spacing w:after="0" w:line="240" w:lineRule="auto"/>
      </w:pPr>
      <w:r>
        <w:continuationSeparator/>
      </w:r>
    </w:p>
  </w:footnote>
  <w:footnote w:id="1">
    <w:p w14:paraId="7FCD5E21" w14:textId="39F2D747" w:rsidR="00557DD6" w:rsidRPr="00557DD6" w:rsidRDefault="00557DD6">
      <w:pPr>
        <w:pStyle w:val="FootnoteText"/>
        <w:rPr>
          <w:rFonts w:ascii="Baskerville Old Face" w:hAnsi="Baskerville Old Face"/>
        </w:rPr>
      </w:pPr>
      <w:r w:rsidRPr="00557DD6">
        <w:rPr>
          <w:rStyle w:val="FootnoteReference"/>
          <w:rFonts w:ascii="Baskerville Old Face" w:hAnsi="Baskerville Old Face"/>
        </w:rPr>
        <w:footnoteRef/>
      </w:r>
      <w:r w:rsidRPr="00557DD6">
        <w:rPr>
          <w:rFonts w:ascii="Baskerville Old Face" w:hAnsi="Baskerville Old Face"/>
        </w:rPr>
        <w:t xml:space="preserve"> </w:t>
      </w:r>
      <w:r w:rsidRPr="00557DD6">
        <w:rPr>
          <w:rFonts w:ascii="Baskerville Old Face" w:hAnsi="Baskerville Old Face"/>
        </w:rPr>
        <w:t>Frankel, David, and Jennifer M. Webb. 2012. ‘Household Continuity and Transformation in a Prehistoric Cypriot Village’, in New Perspectives on Household Archaeology (</w:t>
      </w:r>
      <w:proofErr w:type="spellStart"/>
      <w:r w:rsidRPr="00557DD6">
        <w:rPr>
          <w:rFonts w:ascii="Baskerville Old Face" w:hAnsi="Baskerville Old Face"/>
        </w:rPr>
        <w:t>Eisenbrauns</w:t>
      </w:r>
      <w:proofErr w:type="spellEnd"/>
      <w:r w:rsidRPr="00557DD6">
        <w:rPr>
          <w:rFonts w:ascii="Baskerville Old Face" w:hAnsi="Baskerville Old Face"/>
        </w:rPr>
        <w:t>)</w:t>
      </w:r>
      <w:r w:rsidRPr="00557DD6">
        <w:rPr>
          <w:rFonts w:ascii="Baskerville Old Face" w:hAnsi="Baskerville Old Face"/>
        </w:rPr>
        <w:t xml:space="preserve"> p.474</w:t>
      </w:r>
    </w:p>
  </w:footnote>
  <w:footnote w:id="2">
    <w:p w14:paraId="42061E2F" w14:textId="6DACA7F1" w:rsidR="00B862D0" w:rsidRPr="00450C16" w:rsidRDefault="00B862D0">
      <w:pPr>
        <w:pStyle w:val="FootnoteText"/>
        <w:rPr>
          <w:rFonts w:ascii="Baskerville Old Face" w:hAnsi="Baskerville Old Face"/>
        </w:rPr>
      </w:pPr>
      <w:r w:rsidRPr="00450C16">
        <w:rPr>
          <w:rStyle w:val="FootnoteReference"/>
          <w:rFonts w:ascii="Baskerville Old Face" w:hAnsi="Baskerville Old Face"/>
        </w:rPr>
        <w:footnoteRef/>
      </w:r>
      <w:r w:rsidRPr="00450C16">
        <w:rPr>
          <w:rFonts w:ascii="Baskerville Old Face" w:hAnsi="Baskerville Old Face"/>
        </w:rPr>
        <w:t xml:space="preserve"> </w:t>
      </w:r>
      <w:r w:rsidR="00450C16" w:rsidRPr="00450C16">
        <w:rPr>
          <w:rFonts w:ascii="Baskerville Old Face" w:hAnsi="Baskerville Old Face"/>
        </w:rPr>
        <w:t>M. Webb, Jennifer. 2006. ‘Material Culture and the Value of Context: A Case Study from Marki, Cyprus’, in Deconstructing Context: A Critical Approach to Archaeological Practice (Oxbow)</w:t>
      </w:r>
      <w:r w:rsidR="00450C16" w:rsidRPr="00450C16">
        <w:rPr>
          <w:rFonts w:ascii="Baskerville Old Face" w:hAnsi="Baskerville Old Face"/>
        </w:rPr>
        <w:t xml:space="preserve"> p.99</w:t>
      </w:r>
    </w:p>
  </w:footnote>
  <w:footnote w:id="3">
    <w:p w14:paraId="26C881E5" w14:textId="712EB3C5" w:rsidR="00B13579" w:rsidRPr="00B13579" w:rsidRDefault="00B13579">
      <w:pPr>
        <w:pStyle w:val="FootnoteText"/>
        <w:rPr>
          <w:rFonts w:ascii="Baskerville Old Face" w:hAnsi="Baskerville Old Face"/>
        </w:rPr>
      </w:pPr>
      <w:r w:rsidRPr="00B13579">
        <w:rPr>
          <w:rStyle w:val="FootnoteReference"/>
          <w:rFonts w:ascii="Baskerville Old Face" w:hAnsi="Baskerville Old Face"/>
        </w:rPr>
        <w:footnoteRef/>
      </w:r>
      <w:r w:rsidRPr="00B13579">
        <w:rPr>
          <w:rFonts w:ascii="Baskerville Old Face" w:hAnsi="Baskerville Old Face"/>
        </w:rPr>
        <w:t xml:space="preserve"> Ibid.</w:t>
      </w:r>
    </w:p>
  </w:footnote>
  <w:footnote w:id="4">
    <w:p w14:paraId="0CF14B4F" w14:textId="224263D7" w:rsidR="00FD1334" w:rsidRPr="00FD1334" w:rsidRDefault="00FD1334">
      <w:pPr>
        <w:pStyle w:val="FootnoteText"/>
        <w:rPr>
          <w:rFonts w:ascii="Baskerville Old Face" w:hAnsi="Baskerville Old Face"/>
        </w:rPr>
      </w:pPr>
      <w:r w:rsidRPr="00FD1334">
        <w:rPr>
          <w:rStyle w:val="FootnoteReference"/>
          <w:rFonts w:ascii="Baskerville Old Face" w:hAnsi="Baskerville Old Face"/>
        </w:rPr>
        <w:footnoteRef/>
      </w:r>
      <w:r w:rsidRPr="00FD1334">
        <w:rPr>
          <w:rFonts w:ascii="Baskerville Old Face" w:hAnsi="Baskerville Old Face"/>
        </w:rPr>
        <w:t xml:space="preserve"> </w:t>
      </w:r>
      <w:r w:rsidRPr="00FD1334">
        <w:rPr>
          <w:rFonts w:ascii="Baskerville Old Face" w:hAnsi="Baskerville Old Face"/>
        </w:rPr>
        <w:t>Frankel, David, and Jennifer M. Webb. 2012. ‘Household Continuity and Transformation in a Prehistoric Cypriot Village’, in New Perspectives on Household Archaeology (</w:t>
      </w:r>
      <w:proofErr w:type="spellStart"/>
      <w:r w:rsidRPr="00FD1334">
        <w:rPr>
          <w:rFonts w:ascii="Baskerville Old Face" w:hAnsi="Baskerville Old Face"/>
        </w:rPr>
        <w:t>Eisenbrauns</w:t>
      </w:r>
      <w:proofErr w:type="spellEnd"/>
      <w:r w:rsidRPr="00FD1334">
        <w:rPr>
          <w:rFonts w:ascii="Baskerville Old Face" w:hAnsi="Baskerville Old Face"/>
        </w:rPr>
        <w:t>)</w:t>
      </w:r>
      <w:r w:rsidRPr="00FD1334">
        <w:rPr>
          <w:rFonts w:ascii="Baskerville Old Face" w:hAnsi="Baskerville Old Face"/>
        </w:rPr>
        <w:t xml:space="preserve"> p. 483-484</w:t>
      </w:r>
    </w:p>
  </w:footnote>
  <w:footnote w:id="5">
    <w:p w14:paraId="10AED69D" w14:textId="0A897B01" w:rsidR="00C05388" w:rsidRPr="00C05388" w:rsidRDefault="00C05388">
      <w:pPr>
        <w:pStyle w:val="FootnoteText"/>
        <w:rPr>
          <w:rFonts w:ascii="Baskerville Old Face" w:hAnsi="Baskerville Old Face"/>
        </w:rPr>
      </w:pPr>
      <w:r w:rsidRPr="00C05388">
        <w:rPr>
          <w:rStyle w:val="FootnoteReference"/>
          <w:rFonts w:ascii="Baskerville Old Face" w:hAnsi="Baskerville Old Face"/>
        </w:rPr>
        <w:footnoteRef/>
      </w:r>
      <w:r w:rsidRPr="00C05388">
        <w:rPr>
          <w:rFonts w:ascii="Baskerville Old Face" w:hAnsi="Baskerville Old Face"/>
        </w:rPr>
        <w:t xml:space="preserve"> </w:t>
      </w:r>
      <w:r w:rsidRPr="00C05388">
        <w:rPr>
          <w:rFonts w:ascii="Baskerville Old Face" w:hAnsi="Baskerville Old Face"/>
        </w:rPr>
        <w:t>M. Webb, Jennifer. 2006. ‘Material Culture and the Value of Context: A Case Study from Marki, Cyprus’, in Deconstructing Context: A Critical Approach to Archaeological Practice (Oxbow) p.</w:t>
      </w:r>
      <w:r w:rsidRPr="00C05388">
        <w:rPr>
          <w:rFonts w:ascii="Baskerville Old Face" w:hAnsi="Baskerville Old Face"/>
        </w:rPr>
        <w:t>107</w:t>
      </w:r>
    </w:p>
  </w:footnote>
  <w:footnote w:id="6">
    <w:p w14:paraId="2B74B4EE" w14:textId="7C9D8FF1" w:rsidR="009809FD" w:rsidRDefault="009809FD">
      <w:pPr>
        <w:pStyle w:val="FootnoteText"/>
      </w:pPr>
      <w:r>
        <w:rPr>
          <w:rStyle w:val="FootnoteReference"/>
        </w:rPr>
        <w:footnoteRef/>
      </w:r>
      <w:r>
        <w:t xml:space="preserve"> 1!!!!!</w:t>
      </w:r>
    </w:p>
  </w:footnote>
  <w:footnote w:id="7">
    <w:p w14:paraId="6CBBAA2A" w14:textId="3730E395" w:rsidR="00712D0A" w:rsidRPr="00712D0A" w:rsidRDefault="00712D0A">
      <w:pPr>
        <w:pStyle w:val="FootnoteText"/>
        <w:rPr>
          <w:rFonts w:ascii="Baskerville Old Face" w:hAnsi="Baskerville Old Face"/>
        </w:rPr>
      </w:pPr>
      <w:r w:rsidRPr="00712D0A">
        <w:rPr>
          <w:rStyle w:val="FootnoteReference"/>
          <w:rFonts w:ascii="Baskerville Old Face" w:hAnsi="Baskerville Old Face"/>
        </w:rPr>
        <w:footnoteRef/>
      </w:r>
      <w:r w:rsidRPr="00712D0A">
        <w:rPr>
          <w:rFonts w:ascii="Baskerville Old Face" w:hAnsi="Baskerville Old Face"/>
        </w:rPr>
        <w:t xml:space="preserve"> </w:t>
      </w:r>
      <w:r w:rsidRPr="00712D0A">
        <w:rPr>
          <w:rFonts w:ascii="Baskerville Old Face" w:hAnsi="Baskerville Old Face"/>
        </w:rPr>
        <w:t xml:space="preserve">Steel, Louise. 2016. ‘Kitchenalia in Bronze Age Cyprus’, Gastronomica, 16.3: </w:t>
      </w:r>
      <w:r w:rsidRPr="00712D0A">
        <w:rPr>
          <w:rFonts w:ascii="Baskerville Old Face" w:hAnsi="Baskerville Old Face"/>
        </w:rPr>
        <w:t>p.79</w:t>
      </w:r>
    </w:p>
  </w:footnote>
  <w:footnote w:id="8">
    <w:p w14:paraId="1A784830" w14:textId="7DCB03A9" w:rsidR="00074E71" w:rsidRPr="00074E71" w:rsidRDefault="00074E71">
      <w:pPr>
        <w:pStyle w:val="FootnoteText"/>
        <w:rPr>
          <w:rFonts w:ascii="Baskerville Old Face" w:hAnsi="Baskerville Old Face"/>
        </w:rPr>
      </w:pPr>
      <w:r w:rsidRPr="00074E71">
        <w:rPr>
          <w:rStyle w:val="FootnoteReference"/>
          <w:rFonts w:ascii="Baskerville Old Face" w:hAnsi="Baskerville Old Face"/>
        </w:rPr>
        <w:footnoteRef/>
      </w:r>
      <w:r w:rsidRPr="00074E71">
        <w:rPr>
          <w:rFonts w:ascii="Baskerville Old Face" w:hAnsi="Baskerville Old Face"/>
        </w:rPr>
        <w:t xml:space="preserve"> Frankel, Webb. 2006. ‘Marki Alonia: An Early and Middle Bronze Age Settlement in Cyprus: Excavations 1995-2000 in Studies in Mediterranean Archaeology </w:t>
      </w:r>
      <w:r>
        <w:rPr>
          <w:rFonts w:ascii="Baskerville Old Face" w:hAnsi="Baskerville Old Face"/>
        </w:rPr>
        <w:t>as one prominent example.</w:t>
      </w:r>
    </w:p>
  </w:footnote>
  <w:footnote w:id="9">
    <w:p w14:paraId="348012B8" w14:textId="7091D25F" w:rsidR="007277C8" w:rsidRPr="007277C8" w:rsidRDefault="007277C8">
      <w:pPr>
        <w:pStyle w:val="FootnoteText"/>
        <w:rPr>
          <w:rFonts w:ascii="Baskerville Old Face" w:hAnsi="Baskerville Old Face"/>
        </w:rPr>
      </w:pPr>
      <w:r w:rsidRPr="007277C8">
        <w:rPr>
          <w:rStyle w:val="FootnoteReference"/>
          <w:rFonts w:ascii="Baskerville Old Face" w:hAnsi="Baskerville Old Face"/>
        </w:rPr>
        <w:footnoteRef/>
      </w:r>
      <w:r w:rsidRPr="007277C8">
        <w:rPr>
          <w:rFonts w:ascii="Baskerville Old Face" w:hAnsi="Baskerville Old Face"/>
        </w:rPr>
        <w:t xml:space="preserve"> </w:t>
      </w:r>
      <w:r w:rsidRPr="007277C8">
        <w:rPr>
          <w:rFonts w:ascii="Baskerville Old Face" w:hAnsi="Baskerville Old Face"/>
        </w:rPr>
        <w:t>Steel, Louise. 2016. ‘Kitchenalia in Bronze Age Cyprus’, Gastronomica, 16.3:</w:t>
      </w:r>
      <w:r w:rsidRPr="007277C8">
        <w:rPr>
          <w:rFonts w:ascii="Baskerville Old Face" w:hAnsi="Baskerville Old Face"/>
        </w:rPr>
        <w:t xml:space="preserve"> p. 80</w:t>
      </w:r>
    </w:p>
  </w:footnote>
  <w:footnote w:id="10">
    <w:p w14:paraId="0D9C7858" w14:textId="7907E8A1" w:rsidR="00000F8B" w:rsidRPr="00000F8B" w:rsidRDefault="00000F8B">
      <w:pPr>
        <w:pStyle w:val="FootnoteText"/>
        <w:rPr>
          <w:rFonts w:ascii="Baskerville Old Face" w:hAnsi="Baskerville Old Face"/>
        </w:rPr>
      </w:pPr>
      <w:r w:rsidRPr="00000F8B">
        <w:rPr>
          <w:rStyle w:val="FootnoteReference"/>
          <w:rFonts w:ascii="Baskerville Old Face" w:hAnsi="Baskerville Old Face"/>
        </w:rPr>
        <w:footnoteRef/>
      </w:r>
      <w:r w:rsidRPr="00000F8B">
        <w:rPr>
          <w:rFonts w:ascii="Baskerville Old Face" w:hAnsi="Baskerville Old Face"/>
        </w:rPr>
        <w:t xml:space="preserve"> Ibid.</w:t>
      </w:r>
    </w:p>
  </w:footnote>
  <w:footnote w:id="11">
    <w:p w14:paraId="044987C9" w14:textId="469A900F" w:rsidR="00CC50D1" w:rsidRPr="00CC50D1" w:rsidRDefault="00CC50D1">
      <w:pPr>
        <w:pStyle w:val="FootnoteText"/>
        <w:rPr>
          <w:rFonts w:ascii="Baskerville Old Face" w:hAnsi="Baskerville Old Face"/>
        </w:rPr>
      </w:pPr>
      <w:r w:rsidRPr="00CC50D1">
        <w:rPr>
          <w:rStyle w:val="FootnoteReference"/>
          <w:rFonts w:ascii="Baskerville Old Face" w:hAnsi="Baskerville Old Face"/>
        </w:rPr>
        <w:footnoteRef/>
      </w:r>
      <w:r w:rsidRPr="00CC50D1">
        <w:rPr>
          <w:rFonts w:ascii="Baskerville Old Face" w:hAnsi="Baskerville Old Face"/>
        </w:rPr>
        <w:t xml:space="preserve"> Ibid.</w:t>
      </w:r>
    </w:p>
  </w:footnote>
  <w:footnote w:id="12">
    <w:p w14:paraId="5B91CDB2" w14:textId="49A4A5DE" w:rsidR="00861E6A" w:rsidRPr="00861E6A" w:rsidRDefault="00861E6A">
      <w:pPr>
        <w:pStyle w:val="FootnoteText"/>
        <w:rPr>
          <w:rFonts w:ascii="Baskerville Old Face" w:hAnsi="Baskerville Old Face"/>
        </w:rPr>
      </w:pPr>
      <w:r w:rsidRPr="00861E6A">
        <w:rPr>
          <w:rStyle w:val="FootnoteReference"/>
          <w:rFonts w:ascii="Baskerville Old Face" w:hAnsi="Baskerville Old Face"/>
        </w:rPr>
        <w:footnoteRef/>
      </w:r>
      <w:r w:rsidRPr="00861E6A">
        <w:rPr>
          <w:rFonts w:ascii="Baskerville Old Face" w:hAnsi="Baskerville Old Face"/>
        </w:rPr>
        <w:t xml:space="preserve"> </w:t>
      </w:r>
      <w:r w:rsidRPr="00861E6A">
        <w:rPr>
          <w:rFonts w:ascii="Baskerville Old Face" w:hAnsi="Baskerville Old Face"/>
        </w:rPr>
        <w:t>Steel, Louise. 2016. ‘Kitchenalia in Bronze Age Cyprus’, Gastronomica, 16.3: p.</w:t>
      </w:r>
      <w:r w:rsidRPr="00861E6A">
        <w:rPr>
          <w:rFonts w:ascii="Baskerville Old Face" w:hAnsi="Baskerville Old Face"/>
        </w:rPr>
        <w:t xml:space="preserve"> 81</w:t>
      </w:r>
    </w:p>
  </w:footnote>
  <w:footnote w:id="13">
    <w:p w14:paraId="1B5695EE" w14:textId="3E025F9C" w:rsidR="002F712E" w:rsidRPr="005F2A45" w:rsidRDefault="002F712E">
      <w:pPr>
        <w:pStyle w:val="FootnoteText"/>
        <w:rPr>
          <w:rFonts w:ascii="Baskerville Old Face" w:hAnsi="Baskerville Old Face"/>
        </w:rPr>
      </w:pPr>
      <w:r w:rsidRPr="005F2A45">
        <w:rPr>
          <w:rStyle w:val="FootnoteReference"/>
          <w:rFonts w:ascii="Baskerville Old Face" w:hAnsi="Baskerville Old Face"/>
        </w:rPr>
        <w:footnoteRef/>
      </w:r>
      <w:r w:rsidRPr="005F2A45">
        <w:rPr>
          <w:rFonts w:ascii="Baskerville Old Face" w:hAnsi="Baskerville Old Face"/>
        </w:rPr>
        <w:t xml:space="preserve"> </w:t>
      </w:r>
      <w:r w:rsidR="005F2A45" w:rsidRPr="005F2A45">
        <w:rPr>
          <w:rFonts w:ascii="Baskerville Old Face" w:hAnsi="Baskerville Old Face"/>
        </w:rPr>
        <w:t xml:space="preserve">Falconer, Steven E, and Patricia L Fall. 2013. ‘Household and Community </w:t>
      </w:r>
      <w:proofErr w:type="spellStart"/>
      <w:r w:rsidR="005F2A45" w:rsidRPr="005F2A45">
        <w:rPr>
          <w:rFonts w:ascii="Baskerville Old Face" w:hAnsi="Baskerville Old Face"/>
        </w:rPr>
        <w:t>Behavior</w:t>
      </w:r>
      <w:proofErr w:type="spellEnd"/>
      <w:r w:rsidR="005F2A45" w:rsidRPr="005F2A45">
        <w:rPr>
          <w:rFonts w:ascii="Baskerville Old Face" w:hAnsi="Baskerville Old Face"/>
        </w:rPr>
        <w:t xml:space="preserve"> at Bronze Age Politiko-Troullia, Cyprus’, Journal of Field Archaeology, 38.2 (Taylor &amp; Francis): 101–19 </w:t>
      </w:r>
    </w:p>
  </w:footnote>
  <w:footnote w:id="14">
    <w:p w14:paraId="779565CB" w14:textId="1F1BF6A2" w:rsidR="00367989" w:rsidRPr="00367989" w:rsidRDefault="00367989">
      <w:pPr>
        <w:pStyle w:val="FootnoteText"/>
        <w:rPr>
          <w:rFonts w:ascii="Baskerville Old Face" w:hAnsi="Baskerville Old Face"/>
        </w:rPr>
      </w:pPr>
      <w:r w:rsidRPr="00367989">
        <w:rPr>
          <w:rStyle w:val="FootnoteReference"/>
          <w:rFonts w:ascii="Baskerville Old Face" w:hAnsi="Baskerville Old Face"/>
        </w:rPr>
        <w:footnoteRef/>
      </w:r>
      <w:r w:rsidRPr="00367989">
        <w:rPr>
          <w:rFonts w:ascii="Baskerville Old Face" w:hAnsi="Baskerville Old Face"/>
        </w:rPr>
        <w:t xml:space="preserve"> </w:t>
      </w:r>
      <w:r w:rsidRPr="00367989">
        <w:rPr>
          <w:rFonts w:ascii="Baskerville Old Face" w:hAnsi="Baskerville Old Face"/>
        </w:rPr>
        <w:t>Steel, Louise. 2004. ‘A Goodly Feast … a Cup of Mellow Wine: Feasting in Bronze Age Cyprus’, Hesperia, 73.2:</w:t>
      </w:r>
      <w:r w:rsidRPr="00367989">
        <w:rPr>
          <w:rFonts w:ascii="Baskerville Old Face" w:hAnsi="Baskerville Old Face"/>
        </w:rPr>
        <w:t xml:space="preserve"> p.281-282</w:t>
      </w:r>
    </w:p>
  </w:footnote>
  <w:footnote w:id="15">
    <w:p w14:paraId="2716C0A1" w14:textId="017B6685" w:rsidR="00526154" w:rsidRPr="004E15EE" w:rsidRDefault="00526154">
      <w:pPr>
        <w:pStyle w:val="FootnoteText"/>
        <w:rPr>
          <w:rFonts w:ascii="Baskerville Old Face" w:hAnsi="Baskerville Old Face"/>
        </w:rPr>
      </w:pPr>
      <w:r w:rsidRPr="004E15EE">
        <w:rPr>
          <w:rStyle w:val="FootnoteReference"/>
          <w:rFonts w:ascii="Baskerville Old Face" w:hAnsi="Baskerville Old Face"/>
        </w:rPr>
        <w:footnoteRef/>
      </w:r>
      <w:r w:rsidRPr="004E15EE">
        <w:rPr>
          <w:rFonts w:ascii="Baskerville Old Face" w:hAnsi="Baskerville Old Face"/>
        </w:rPr>
        <w:t xml:space="preserve"> Steel, Louise</w:t>
      </w:r>
      <w:r w:rsidRPr="004E15EE">
        <w:rPr>
          <w:rFonts w:ascii="Baskerville Old Face" w:hAnsi="Baskerville Old Face"/>
        </w:rPr>
        <w:t>. 2018. ‘Watery Entanglements in the Cypriot Hinterland’, Land, 7.3:</w:t>
      </w:r>
      <w:r w:rsidR="004E15EE" w:rsidRPr="004E15EE">
        <w:rPr>
          <w:rFonts w:ascii="Baskerville Old Face" w:hAnsi="Baskerville Old Face"/>
        </w:rPr>
        <w:t xml:space="preserve"> p.</w:t>
      </w:r>
      <w:r w:rsidR="004E15EE">
        <w:rPr>
          <w:rFonts w:ascii="Baskerville Old Face" w:hAnsi="Baskerville Old Face"/>
        </w:rPr>
        <w:t>6</w:t>
      </w:r>
    </w:p>
  </w:footnote>
  <w:footnote w:id="16">
    <w:p w14:paraId="05CE0718" w14:textId="4F351999" w:rsidR="00B06043" w:rsidRPr="00573A9A" w:rsidRDefault="00B06043">
      <w:pPr>
        <w:pStyle w:val="FootnoteText"/>
        <w:rPr>
          <w:rFonts w:ascii="Baskerville Old Face" w:hAnsi="Baskerville Old Face"/>
        </w:rPr>
      </w:pPr>
      <w:r w:rsidRPr="00573A9A">
        <w:rPr>
          <w:rStyle w:val="FootnoteReference"/>
          <w:rFonts w:ascii="Baskerville Old Face" w:hAnsi="Baskerville Old Face"/>
        </w:rPr>
        <w:footnoteRef/>
      </w:r>
      <w:r w:rsidRPr="00573A9A">
        <w:rPr>
          <w:rFonts w:ascii="Baskerville Old Face" w:hAnsi="Baskerville Old Face"/>
        </w:rPr>
        <w:t xml:space="preserve"> </w:t>
      </w:r>
      <w:r w:rsidR="00573A9A" w:rsidRPr="00573A9A">
        <w:rPr>
          <w:rFonts w:ascii="Baskerville Old Face" w:hAnsi="Baskerville Old Face"/>
        </w:rPr>
        <w:t>Attala, Luci. 2017. ‘Bodies of Water: Exploring Water Flow in Rural Kenya’, in Exploring the Materiality of Food Stuffs (Routledge), pp. 79–95</w:t>
      </w:r>
      <w:r w:rsidR="00573A9A" w:rsidRPr="00573A9A">
        <w:rPr>
          <w:rFonts w:ascii="Baskerville Old Face" w:hAnsi="Baskerville Old Face"/>
        </w:rPr>
        <w:t>, for example</w:t>
      </w:r>
    </w:p>
  </w:footnote>
  <w:footnote w:id="17">
    <w:p w14:paraId="1CDD3D0F" w14:textId="66C4D48C" w:rsidR="00245B0C" w:rsidRPr="00245B0C" w:rsidRDefault="00245B0C">
      <w:pPr>
        <w:pStyle w:val="FootnoteText"/>
        <w:rPr>
          <w:rFonts w:ascii="Baskerville Old Face" w:hAnsi="Baskerville Old Face"/>
        </w:rPr>
      </w:pPr>
      <w:r w:rsidRPr="00245B0C">
        <w:rPr>
          <w:rStyle w:val="FootnoteReference"/>
          <w:rFonts w:ascii="Baskerville Old Face" w:hAnsi="Baskerville Old Face"/>
        </w:rPr>
        <w:footnoteRef/>
      </w:r>
      <w:r w:rsidRPr="00245B0C">
        <w:rPr>
          <w:rFonts w:ascii="Baskerville Old Face" w:hAnsi="Baskerville Old Face"/>
        </w:rPr>
        <w:t xml:space="preserve"> Ibid.</w:t>
      </w:r>
    </w:p>
  </w:footnote>
  <w:footnote w:id="18">
    <w:p w14:paraId="7B982719" w14:textId="43400FF0" w:rsidR="003A2F3E" w:rsidRPr="003A2F3E" w:rsidRDefault="003A2F3E">
      <w:pPr>
        <w:pStyle w:val="FootnoteText"/>
        <w:rPr>
          <w:rFonts w:ascii="Baskerville Old Face" w:hAnsi="Baskerville Old Face"/>
        </w:rPr>
      </w:pPr>
      <w:r w:rsidRPr="003A2F3E">
        <w:rPr>
          <w:rStyle w:val="FootnoteReference"/>
          <w:rFonts w:ascii="Baskerville Old Face" w:hAnsi="Baskerville Old Face"/>
        </w:rPr>
        <w:footnoteRef/>
      </w:r>
      <w:r w:rsidRPr="003A2F3E">
        <w:rPr>
          <w:rFonts w:ascii="Baskerville Old Face" w:hAnsi="Baskerville Old Face"/>
        </w:rPr>
        <w:t xml:space="preserve"> The earliest phase of Cyprus’s Bronze Age (</w:t>
      </w:r>
      <w:r w:rsidRPr="003A2F3E">
        <w:rPr>
          <w:rFonts w:ascii="Baskerville Old Face" w:hAnsi="Baskerville Old Face"/>
          <w:i/>
          <w:iCs/>
        </w:rPr>
        <w:t>c</w:t>
      </w:r>
      <w:r w:rsidRPr="003A2F3E">
        <w:rPr>
          <w:rFonts w:ascii="Baskerville Old Face" w:hAnsi="Baskerville Old Face"/>
        </w:rPr>
        <w:t>. 2500/2400-2300BC)</w:t>
      </w:r>
      <w:r>
        <w:rPr>
          <w:rFonts w:ascii="Baskerville Old Face" w:hAnsi="Baskerville Old Face"/>
        </w:rPr>
        <w:t>.</w:t>
      </w:r>
    </w:p>
  </w:footnote>
  <w:footnote w:id="19">
    <w:p w14:paraId="44DE20BB" w14:textId="30ED8E26" w:rsidR="003A2F3E" w:rsidRPr="009A1140" w:rsidRDefault="003A2F3E">
      <w:pPr>
        <w:pStyle w:val="FootnoteText"/>
        <w:rPr>
          <w:rFonts w:ascii="Baskerville Old Face" w:hAnsi="Baskerville Old Face"/>
        </w:rPr>
      </w:pPr>
      <w:r w:rsidRPr="009A1140">
        <w:rPr>
          <w:rStyle w:val="FootnoteReference"/>
          <w:rFonts w:ascii="Baskerville Old Face" w:hAnsi="Baskerville Old Face"/>
        </w:rPr>
        <w:footnoteRef/>
      </w:r>
      <w:r w:rsidRPr="009A1140">
        <w:rPr>
          <w:rFonts w:ascii="Baskerville Old Face" w:hAnsi="Baskerville Old Face"/>
        </w:rPr>
        <w:t xml:space="preserve"> </w:t>
      </w:r>
      <w:r w:rsidR="009A1140" w:rsidRPr="009A1140">
        <w:rPr>
          <w:rFonts w:ascii="Baskerville Old Face" w:hAnsi="Baskerville Old Face"/>
        </w:rPr>
        <w:t xml:space="preserve">Frankel, David, and Jennifer M. Webb. 2011. ‘Hearth and Home as Identifiers of Community in Mid-Third Millennium Cyprus’, in </w:t>
      </w:r>
      <w:r w:rsidR="009A1140" w:rsidRPr="009A1140">
        <w:rPr>
          <w:rFonts w:ascii="Baskerville Old Face" w:hAnsi="Baskerville Old Face"/>
        </w:rPr>
        <w:t>On Cooking Pots</w:t>
      </w:r>
      <w:r w:rsidR="009A1140" w:rsidRPr="009A1140">
        <w:rPr>
          <w:rFonts w:ascii="Baskerville Old Face" w:hAnsi="Baskerville Old Face"/>
        </w:rPr>
        <w:t xml:space="preserve">, </w:t>
      </w:r>
      <w:r w:rsidR="009A1140" w:rsidRPr="009A1140">
        <w:rPr>
          <w:rFonts w:ascii="Baskerville Old Face" w:hAnsi="Baskerville Old Face"/>
        </w:rPr>
        <w:t>Drinking Cups</w:t>
      </w:r>
      <w:r w:rsidR="009A1140" w:rsidRPr="009A1140">
        <w:rPr>
          <w:rFonts w:ascii="Baskerville Old Face" w:hAnsi="Baskerville Old Face"/>
        </w:rPr>
        <w:t xml:space="preserve">, </w:t>
      </w:r>
      <w:r w:rsidR="009A1140" w:rsidRPr="009A1140">
        <w:rPr>
          <w:rFonts w:ascii="Baskerville Old Face" w:hAnsi="Baskerville Old Face"/>
        </w:rPr>
        <w:t>Loomweights</w:t>
      </w:r>
      <w:r w:rsidR="009A1140" w:rsidRPr="009A1140">
        <w:rPr>
          <w:rFonts w:ascii="Baskerville Old Face" w:hAnsi="Baskerville Old Face"/>
        </w:rPr>
        <w:t xml:space="preserve"> and </w:t>
      </w:r>
      <w:r w:rsidR="009A1140" w:rsidRPr="009A1140">
        <w:rPr>
          <w:rFonts w:ascii="Baskerville Old Face" w:hAnsi="Baskerville Old Face"/>
        </w:rPr>
        <w:t>Ethnicity</w:t>
      </w:r>
      <w:r w:rsidR="009A1140" w:rsidRPr="009A1140">
        <w:rPr>
          <w:rFonts w:ascii="Baskerville Old Face" w:hAnsi="Baskerville Old Face"/>
        </w:rPr>
        <w:t xml:space="preserve"> in B</w:t>
      </w:r>
      <w:r w:rsidR="009A1140" w:rsidRPr="009A1140">
        <w:rPr>
          <w:rFonts w:ascii="Baskerville Old Face" w:hAnsi="Baskerville Old Face"/>
        </w:rPr>
        <w:t>ronze Age Cyprus</w:t>
      </w:r>
      <w:r w:rsidR="009A1140" w:rsidRPr="009A1140">
        <w:rPr>
          <w:rFonts w:ascii="Baskerville Old Face" w:hAnsi="Baskerville Old Face"/>
        </w:rPr>
        <w:t xml:space="preserve"> and N</w:t>
      </w:r>
      <w:r w:rsidR="009A1140" w:rsidRPr="009A1140">
        <w:rPr>
          <w:rFonts w:ascii="Baskerville Old Face" w:hAnsi="Baskerville Old Face"/>
        </w:rPr>
        <w:t>eighbouring Regions</w:t>
      </w:r>
      <w:r w:rsidR="009A1140" w:rsidRPr="009A1140">
        <w:rPr>
          <w:rFonts w:ascii="Baskerville Old Face" w:hAnsi="Baskerville Old Face"/>
        </w:rPr>
        <w:t xml:space="preserve"> (A.G Leventis Foundation), pp. 29–35</w:t>
      </w:r>
    </w:p>
  </w:footnote>
  <w:footnote w:id="20">
    <w:p w14:paraId="44B470A1" w14:textId="13D23E41" w:rsidR="005F4D8A" w:rsidRPr="005F4D8A" w:rsidRDefault="005F4D8A">
      <w:pPr>
        <w:pStyle w:val="FootnoteText"/>
        <w:rPr>
          <w:rFonts w:ascii="Baskerville Old Face" w:hAnsi="Baskerville Old Face"/>
        </w:rPr>
      </w:pPr>
      <w:r w:rsidRPr="005F4D8A">
        <w:rPr>
          <w:rStyle w:val="FootnoteReference"/>
          <w:rFonts w:ascii="Baskerville Old Face" w:hAnsi="Baskerville Old Face"/>
        </w:rPr>
        <w:footnoteRef/>
      </w:r>
      <w:r w:rsidRPr="005F4D8A">
        <w:rPr>
          <w:rFonts w:ascii="Baskerville Old Face" w:hAnsi="Baskerville Old Face"/>
        </w:rPr>
        <w:t xml:space="preserve"> </w:t>
      </w:r>
      <w:r w:rsidRPr="005F4D8A">
        <w:rPr>
          <w:rFonts w:ascii="Baskerville Old Face" w:hAnsi="Baskerville Old Face"/>
        </w:rPr>
        <w:t>Orphanides, Andreas G. 2001. ‘The Bronze Age Anthropomorphic Figurines from Cyprus: Women’s Child Caring Role’</w:t>
      </w:r>
      <w:r w:rsidRPr="005F4D8A">
        <w:rPr>
          <w:rFonts w:ascii="Baskerville Old Face" w:hAnsi="Baskerville Old Face"/>
        </w:rPr>
        <w:t xml:space="preserve"> p.89</w:t>
      </w:r>
    </w:p>
  </w:footnote>
  <w:footnote w:id="21">
    <w:p w14:paraId="43221B98" w14:textId="6D010365" w:rsidR="000B365C" w:rsidRPr="00EC3210" w:rsidRDefault="000B365C">
      <w:pPr>
        <w:pStyle w:val="FootnoteText"/>
        <w:rPr>
          <w:rFonts w:ascii="Baskerville Old Face" w:hAnsi="Baskerville Old Face"/>
        </w:rPr>
      </w:pPr>
      <w:r w:rsidRPr="00EC3210">
        <w:rPr>
          <w:rStyle w:val="FootnoteReference"/>
          <w:rFonts w:ascii="Baskerville Old Face" w:hAnsi="Baskerville Old Face"/>
        </w:rPr>
        <w:footnoteRef/>
      </w:r>
      <w:r w:rsidRPr="00EC3210">
        <w:rPr>
          <w:rFonts w:ascii="Baskerville Old Face" w:hAnsi="Baskerville Old Face"/>
        </w:rPr>
        <w:t xml:space="preserve"> </w:t>
      </w:r>
      <w:r w:rsidR="00EC3210" w:rsidRPr="00EC3210">
        <w:rPr>
          <w:rFonts w:ascii="Baskerville Old Face" w:hAnsi="Baskerville Old Face"/>
        </w:rPr>
        <w:t xml:space="preserve">Bolger, Dianne. 2002. ‘Gender and </w:t>
      </w:r>
      <w:r w:rsidR="00EC3210" w:rsidRPr="00EC3210">
        <w:rPr>
          <w:rFonts w:ascii="Baskerville Old Face" w:hAnsi="Baskerville Old Face"/>
        </w:rPr>
        <w:t>Mortuary Ritual During the</w:t>
      </w:r>
      <w:r w:rsidR="00EC3210" w:rsidRPr="00EC3210">
        <w:rPr>
          <w:rFonts w:ascii="Baskerville Old Face" w:hAnsi="Baskerville Old Face"/>
        </w:rPr>
        <w:t xml:space="preserve"> </w:t>
      </w:r>
      <w:r w:rsidR="00EC3210" w:rsidRPr="00EC3210">
        <w:rPr>
          <w:rFonts w:ascii="Baskerville Old Face" w:hAnsi="Baskerville Old Face"/>
        </w:rPr>
        <w:t>Bronze Age</w:t>
      </w:r>
      <w:r w:rsidR="00EC3210" w:rsidRPr="00EC3210">
        <w:rPr>
          <w:rFonts w:ascii="Baskerville Old Face" w:hAnsi="Baskerville Old Face"/>
        </w:rPr>
        <w:t>’, in Engendering Aphrodite: Women and Society in Ancient Cyprus (American Schools of Oriental Research), p</w:t>
      </w:r>
      <w:r w:rsidR="00EC3210" w:rsidRPr="00EC3210">
        <w:rPr>
          <w:rFonts w:ascii="Baskerville Old Face" w:hAnsi="Baskerville Old Face"/>
        </w:rPr>
        <w:t>. 83</w:t>
      </w:r>
    </w:p>
  </w:footnote>
  <w:footnote w:id="22">
    <w:p w14:paraId="1B7FD741" w14:textId="7DD93F64" w:rsidR="00856753" w:rsidRPr="00856753" w:rsidRDefault="00856753">
      <w:pPr>
        <w:pStyle w:val="FootnoteText"/>
        <w:rPr>
          <w:rFonts w:ascii="Baskerville Old Face" w:hAnsi="Baskerville Old Face"/>
        </w:rPr>
      </w:pPr>
      <w:r w:rsidRPr="00856753">
        <w:rPr>
          <w:rStyle w:val="FootnoteReference"/>
          <w:rFonts w:ascii="Baskerville Old Face" w:hAnsi="Baskerville Old Face"/>
        </w:rPr>
        <w:footnoteRef/>
      </w:r>
      <w:r w:rsidRPr="00856753">
        <w:rPr>
          <w:rFonts w:ascii="Baskerville Old Face" w:hAnsi="Baskerville Old Face"/>
        </w:rPr>
        <w:t xml:space="preserve"> Agricultural activities, such as riding horses, ploughing using oxen, and transports by boat or livestock stand as specific examples of male-oriented figurine depictions.</w:t>
      </w:r>
    </w:p>
  </w:footnote>
  <w:footnote w:id="23">
    <w:p w14:paraId="6AB03769" w14:textId="26B21375" w:rsidR="002476A2" w:rsidRPr="002476A2" w:rsidRDefault="002476A2">
      <w:pPr>
        <w:pStyle w:val="FootnoteText"/>
        <w:rPr>
          <w:rFonts w:ascii="Baskerville Old Face" w:hAnsi="Baskerville Old Face"/>
        </w:rPr>
      </w:pPr>
      <w:r w:rsidRPr="002476A2">
        <w:rPr>
          <w:rStyle w:val="FootnoteReference"/>
          <w:rFonts w:ascii="Baskerville Old Face" w:hAnsi="Baskerville Old Face"/>
        </w:rPr>
        <w:footnoteRef/>
      </w:r>
      <w:r w:rsidRPr="002476A2">
        <w:rPr>
          <w:rFonts w:ascii="Baskerville Old Face" w:hAnsi="Baskerville Old Face"/>
        </w:rPr>
        <w:t xml:space="preserve"> Brown, J.K. 1970. ‘A Note on the Division of Labour by Sex.’ American Anthropologist 65: 837-853</w:t>
      </w:r>
    </w:p>
  </w:footnote>
  <w:footnote w:id="24">
    <w:p w14:paraId="40CD9848" w14:textId="75F01C3A" w:rsidR="002F41AC" w:rsidRPr="001746CD" w:rsidRDefault="002F41AC">
      <w:pPr>
        <w:pStyle w:val="FootnoteText"/>
        <w:rPr>
          <w:rFonts w:ascii="Baskerville Old Face" w:hAnsi="Baskerville Old Face"/>
        </w:rPr>
      </w:pPr>
      <w:r w:rsidRPr="001746CD">
        <w:rPr>
          <w:rStyle w:val="FootnoteReference"/>
          <w:rFonts w:ascii="Baskerville Old Face" w:hAnsi="Baskerville Old Face"/>
        </w:rPr>
        <w:footnoteRef/>
      </w:r>
      <w:r w:rsidRPr="001746CD">
        <w:rPr>
          <w:rFonts w:ascii="Baskerville Old Face" w:hAnsi="Baskerville Old Face"/>
        </w:rPr>
        <w:t xml:space="preserve"> Murdock, G. P</w:t>
      </w:r>
      <w:r w:rsidR="001746CD" w:rsidRPr="001746CD">
        <w:rPr>
          <w:rFonts w:ascii="Baskerville Old Face" w:hAnsi="Baskerville Old Face"/>
        </w:rPr>
        <w:t>, Provost, C. 1973. ‘Factors in the Division of Labour by Sex: A Cross-cultural Analysis’ Ethnology 12: 203-225</w:t>
      </w:r>
    </w:p>
  </w:footnote>
  <w:footnote w:id="25">
    <w:p w14:paraId="4C75A02C" w14:textId="1DB20B32" w:rsidR="00BF1A63" w:rsidRPr="00BF1A63" w:rsidRDefault="00BF1A63">
      <w:pPr>
        <w:pStyle w:val="FootnoteText"/>
        <w:rPr>
          <w:rFonts w:ascii="Baskerville Old Face" w:hAnsi="Baskerville Old Face"/>
        </w:rPr>
      </w:pPr>
      <w:r w:rsidRPr="00BF1A63">
        <w:rPr>
          <w:rStyle w:val="FootnoteReference"/>
          <w:rFonts w:ascii="Baskerville Old Face" w:hAnsi="Baskerville Old Face"/>
        </w:rPr>
        <w:footnoteRef/>
      </w:r>
      <w:r w:rsidRPr="00BF1A63">
        <w:rPr>
          <w:rFonts w:ascii="Baskerville Old Face" w:hAnsi="Baskerville Old Face"/>
        </w:rPr>
        <w:t xml:space="preserve"> </w:t>
      </w:r>
      <w:r w:rsidRPr="00BF1A63">
        <w:rPr>
          <w:rFonts w:ascii="Baskerville Old Face" w:hAnsi="Baskerville Old Face"/>
        </w:rPr>
        <w:t>Orphanides, Andreas G. 2001. ‘The Bronze Age Anthropomorphic Figurines from Cyprus: Women’s Child Caring Role’</w:t>
      </w:r>
      <w:r w:rsidRPr="00BF1A63">
        <w:rPr>
          <w:rFonts w:ascii="Baskerville Old Face" w:hAnsi="Baskerville Old Face"/>
        </w:rPr>
        <w:t xml:space="preserve"> p.92</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74D71CC2"/>
    <w:multiLevelType w:val="hybridMultilevel"/>
    <w:tmpl w:val="C46CE93A"/>
    <w:lvl w:ilvl="0" w:tplc="08090005">
      <w:start w:val="1"/>
      <w:numFmt w:val="bullet"/>
      <w:lvlText w:val=""/>
      <w:lvlJc w:val="left"/>
      <w:pPr>
        <w:ind w:left="720" w:hanging="360"/>
      </w:pPr>
      <w:rPr>
        <w:rFonts w:ascii="Wingdings" w:hAnsi="Wingdings" w:cs="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8349212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6239"/>
    <w:rsid w:val="00000F8B"/>
    <w:rsid w:val="00003770"/>
    <w:rsid w:val="00034E35"/>
    <w:rsid w:val="000353C1"/>
    <w:rsid w:val="000425DF"/>
    <w:rsid w:val="00055425"/>
    <w:rsid w:val="00074E71"/>
    <w:rsid w:val="000A38C1"/>
    <w:rsid w:val="000B0A42"/>
    <w:rsid w:val="000B365C"/>
    <w:rsid w:val="000B6239"/>
    <w:rsid w:val="000D0764"/>
    <w:rsid w:val="000E5241"/>
    <w:rsid w:val="00155B53"/>
    <w:rsid w:val="001746CD"/>
    <w:rsid w:val="001D0525"/>
    <w:rsid w:val="001D2A05"/>
    <w:rsid w:val="001D4A29"/>
    <w:rsid w:val="001D59E6"/>
    <w:rsid w:val="001E01FE"/>
    <w:rsid w:val="001E6FE5"/>
    <w:rsid w:val="00245B0C"/>
    <w:rsid w:val="002476A2"/>
    <w:rsid w:val="002523ED"/>
    <w:rsid w:val="00257C5D"/>
    <w:rsid w:val="002702A5"/>
    <w:rsid w:val="002C3E13"/>
    <w:rsid w:val="002F41AC"/>
    <w:rsid w:val="002F712E"/>
    <w:rsid w:val="0035219D"/>
    <w:rsid w:val="00367989"/>
    <w:rsid w:val="00383BFD"/>
    <w:rsid w:val="003A2F3E"/>
    <w:rsid w:val="003F1241"/>
    <w:rsid w:val="00400AB3"/>
    <w:rsid w:val="0042544D"/>
    <w:rsid w:val="00450C16"/>
    <w:rsid w:val="004519CB"/>
    <w:rsid w:val="0045267B"/>
    <w:rsid w:val="00473AB0"/>
    <w:rsid w:val="004761A1"/>
    <w:rsid w:val="0049092F"/>
    <w:rsid w:val="004D6241"/>
    <w:rsid w:val="004E15EE"/>
    <w:rsid w:val="004F6AD1"/>
    <w:rsid w:val="00511C30"/>
    <w:rsid w:val="00526154"/>
    <w:rsid w:val="00537DEE"/>
    <w:rsid w:val="00557DD6"/>
    <w:rsid w:val="00573A9A"/>
    <w:rsid w:val="005B5FF8"/>
    <w:rsid w:val="005F2A45"/>
    <w:rsid w:val="005F4D8A"/>
    <w:rsid w:val="005F51AE"/>
    <w:rsid w:val="00604B08"/>
    <w:rsid w:val="00615CFA"/>
    <w:rsid w:val="00636A24"/>
    <w:rsid w:val="006D77DC"/>
    <w:rsid w:val="007014A2"/>
    <w:rsid w:val="00712D0A"/>
    <w:rsid w:val="007277C8"/>
    <w:rsid w:val="00731A9A"/>
    <w:rsid w:val="007403C7"/>
    <w:rsid w:val="00761DA5"/>
    <w:rsid w:val="007C6237"/>
    <w:rsid w:val="007D4482"/>
    <w:rsid w:val="007D7A15"/>
    <w:rsid w:val="007E0861"/>
    <w:rsid w:val="007E4147"/>
    <w:rsid w:val="00804962"/>
    <w:rsid w:val="008252A0"/>
    <w:rsid w:val="00847E5E"/>
    <w:rsid w:val="0085202F"/>
    <w:rsid w:val="00856753"/>
    <w:rsid w:val="00861E6A"/>
    <w:rsid w:val="008631C4"/>
    <w:rsid w:val="00867C0A"/>
    <w:rsid w:val="008745E6"/>
    <w:rsid w:val="008E73AB"/>
    <w:rsid w:val="0091794D"/>
    <w:rsid w:val="009809FD"/>
    <w:rsid w:val="00987ABD"/>
    <w:rsid w:val="009A1140"/>
    <w:rsid w:val="009D4091"/>
    <w:rsid w:val="009E15BC"/>
    <w:rsid w:val="009F7D6A"/>
    <w:rsid w:val="00A33C57"/>
    <w:rsid w:val="00A56132"/>
    <w:rsid w:val="00B06043"/>
    <w:rsid w:val="00B13579"/>
    <w:rsid w:val="00B460C4"/>
    <w:rsid w:val="00B67F8A"/>
    <w:rsid w:val="00B84029"/>
    <w:rsid w:val="00B862D0"/>
    <w:rsid w:val="00BC0564"/>
    <w:rsid w:val="00BC10F9"/>
    <w:rsid w:val="00BF1A63"/>
    <w:rsid w:val="00C05388"/>
    <w:rsid w:val="00C401FE"/>
    <w:rsid w:val="00C475D1"/>
    <w:rsid w:val="00C54888"/>
    <w:rsid w:val="00C620E8"/>
    <w:rsid w:val="00C92277"/>
    <w:rsid w:val="00CB1AF8"/>
    <w:rsid w:val="00CC50D1"/>
    <w:rsid w:val="00D013A7"/>
    <w:rsid w:val="00D8184C"/>
    <w:rsid w:val="00DB08EB"/>
    <w:rsid w:val="00DB700B"/>
    <w:rsid w:val="00E40E5E"/>
    <w:rsid w:val="00E52EED"/>
    <w:rsid w:val="00E609F5"/>
    <w:rsid w:val="00E92BB4"/>
    <w:rsid w:val="00EB50E5"/>
    <w:rsid w:val="00EB5716"/>
    <w:rsid w:val="00EC3210"/>
    <w:rsid w:val="00EE5874"/>
    <w:rsid w:val="00EF2414"/>
    <w:rsid w:val="00EF5340"/>
    <w:rsid w:val="00F43203"/>
    <w:rsid w:val="00FD1334"/>
    <w:rsid w:val="00FD27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0AF478"/>
  <w15:chartTrackingRefBased/>
  <w15:docId w15:val="{B5972B24-A0C7-4861-A5A0-61831ACDC2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54888"/>
    <w:pPr>
      <w:ind w:left="720"/>
      <w:contextualSpacing/>
    </w:pPr>
  </w:style>
  <w:style w:type="paragraph" w:styleId="FootnoteText">
    <w:name w:val="footnote text"/>
    <w:basedOn w:val="Normal"/>
    <w:link w:val="FootnoteTextChar"/>
    <w:uiPriority w:val="99"/>
    <w:semiHidden/>
    <w:unhideWhenUsed/>
    <w:rsid w:val="00557DD6"/>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57DD6"/>
    <w:rPr>
      <w:sz w:val="20"/>
      <w:szCs w:val="20"/>
    </w:rPr>
  </w:style>
  <w:style w:type="character" w:styleId="FootnoteReference">
    <w:name w:val="footnote reference"/>
    <w:basedOn w:val="DefaultParagraphFont"/>
    <w:uiPriority w:val="99"/>
    <w:semiHidden/>
    <w:unhideWhenUsed/>
    <w:rsid w:val="00557DD6"/>
    <w:rPr>
      <w:vertAlign w:val="superscript"/>
    </w:rPr>
  </w:style>
  <w:style w:type="character" w:styleId="Hyperlink">
    <w:name w:val="Hyperlink"/>
    <w:basedOn w:val="DefaultParagraphFont"/>
    <w:uiPriority w:val="99"/>
    <w:unhideWhenUsed/>
    <w:rsid w:val="00C475D1"/>
    <w:rPr>
      <w:color w:val="0563C1" w:themeColor="hyperlink"/>
      <w:u w:val="single"/>
    </w:rPr>
  </w:style>
  <w:style w:type="character" w:styleId="UnresolvedMention">
    <w:name w:val="Unresolved Mention"/>
    <w:basedOn w:val="DefaultParagraphFont"/>
    <w:uiPriority w:val="99"/>
    <w:semiHidden/>
    <w:unhideWhenUsed/>
    <w:rsid w:val="00C475D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04261B9-440B-4454-87DD-266C271E47B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7394</TotalTime>
  <Pages>9</Pages>
  <Words>3053</Words>
  <Characters>17408</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francesca quieros</dc:creator>
  <cp:keywords/>
  <dc:description/>
  <cp:lastModifiedBy>francesca quieros</cp:lastModifiedBy>
  <cp:revision>66</cp:revision>
  <dcterms:created xsi:type="dcterms:W3CDTF">2024-07-24T14:14:00Z</dcterms:created>
  <dcterms:modified xsi:type="dcterms:W3CDTF">2024-07-29T17:28:00Z</dcterms:modified>
</cp:coreProperties>
</file>