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8FCE0" w14:textId="3F01F095" w:rsidR="008B7D02" w:rsidRPr="008B7D02" w:rsidRDefault="008B7D02" w:rsidP="006D7314">
      <w:pPr>
        <w:rPr>
          <w:u w:val="single"/>
        </w:rPr>
      </w:pPr>
      <w:r w:rsidRPr="008B7D02">
        <w:rPr>
          <w:u w:val="single"/>
        </w:rPr>
        <w:t>Portfolio</w:t>
      </w:r>
    </w:p>
    <w:p w14:paraId="2F1C5AD4" w14:textId="6475FE5A" w:rsidR="008B7D02" w:rsidRPr="00407F98" w:rsidRDefault="00DD18A0" w:rsidP="008B7D02">
      <w:pPr>
        <w:pStyle w:val="ListParagraph"/>
        <w:numPr>
          <w:ilvl w:val="0"/>
          <w:numId w:val="1"/>
        </w:numPr>
        <w:rPr>
          <w:u w:val="single"/>
        </w:rPr>
      </w:pPr>
      <w:r w:rsidRPr="00407F98">
        <w:rPr>
          <w:u w:val="single"/>
        </w:rPr>
        <w:t>Discussing</w:t>
      </w:r>
      <w:r w:rsidR="008B7D02" w:rsidRPr="00407F98">
        <w:rPr>
          <w:u w:val="single"/>
        </w:rPr>
        <w:t xml:space="preserve"> two types of play and how </w:t>
      </w:r>
      <w:r w:rsidRPr="00407F98">
        <w:rPr>
          <w:u w:val="single"/>
        </w:rPr>
        <w:t>they can be</w:t>
      </w:r>
      <w:r w:rsidR="00544229" w:rsidRPr="00407F98">
        <w:rPr>
          <w:u w:val="single"/>
        </w:rPr>
        <w:t xml:space="preserve"> supported in practice</w:t>
      </w:r>
    </w:p>
    <w:p w14:paraId="331D5348" w14:textId="6AEA0706" w:rsidR="00A151B2" w:rsidRDefault="00A151B2" w:rsidP="006D7314">
      <w:r w:rsidRPr="00A151B2">
        <w:t>Educational play can be understood as a purposeful form of play that supports children’s development across multiple domains while still allowing for curiosity, exploration and enjoyment. Howard and McInnes (2013) explain that children’s development is often viewed through the SPICE framework, which includes social, physical, intellectual, communication and emotional growth. Educational play naturally engages all these areas simultaneously, as children interact with others, use their bodies, think critically, express ideas and regulate their emotions through meaningful activity. Cutter-Mackenzie, Edwards, Moore and Boyd (2014) further illustrate this through the concept of environmental play, particularly in outdoor contexts such as exploring pond life. They describe how this type of play encourages children to investigate biodiversity, habitats and sustainability, allowing learning to emerge through direct interaction with the natural world. Rather than delivering knowledge in a purely instructional way, practitioners can use open-ended play as a starting point to observe children’s existing understanding before gently introducing more structured, modelled experiences that deepen knowledge. This balance between child-led exploration and practitioner-guided learning helps children to construct understanding in a way that feels engaging and meaningful. The authors also introduce the idea of ‘child-nature play’, where adults support learning by providing resources such as books, visual materials and imaginative activities in outdoor spaces, enabling children to connect their play to real environmental concepts. Importantly, they discuss how an educator’s attitude towards nature influences how effectively they can support this learning. Practitioners who demonstrate a positive orientation towards the natural environment are more likely to foster children’s appreciation of biodiversity and habitats, whereas discomfort or fear of nature may limit these opportunities. Therefore, educational play, particularly in outdoor and environmental contexts, not only supports intellectual investigation but also promotes emotional connection to the world around them. By intentionally creating environments where exploration is encouraged and gently guided, practitioners can use educational play to promote holistic development across all SPICE domains while nurturing curiosity and respect for the environment.</w:t>
      </w:r>
      <w:r w:rsidR="003C559F" w:rsidRPr="003C559F">
        <w:rPr>
          <w:color w:val="EE0000"/>
        </w:rPr>
        <w:t xml:space="preserve"> </w:t>
      </w:r>
      <w:r w:rsidR="003C559F" w:rsidRPr="00BA56BA">
        <w:rPr>
          <w:color w:val="000000" w:themeColor="text1"/>
        </w:rPr>
        <w:t>In</w:t>
      </w:r>
      <w:r w:rsidR="003C559F" w:rsidRPr="003C559F">
        <w:rPr>
          <w:color w:val="EE0000"/>
        </w:rPr>
        <w:t xml:space="preserve"> </w:t>
      </w:r>
      <w:r w:rsidR="003C559F">
        <w:t>addition to this</w:t>
      </w:r>
      <w:r w:rsidR="003C559F" w:rsidRPr="003C559F">
        <w:t xml:space="preserve">, recreational play, particularly within outdoor environments, emphasises children’s autonomy, enjoyment and sense of agency. Maynard and Waters (2014) argue that an effective outdoor space should respond to the individual needs of each child, enabling them to follow their own interests and lines of inquiry while feeling empowered within the environment. When children are given flexible play spaces that allow them to manipulate materials, move freely and direct their own experiences, they gain greater control over their play. This flexibility increases opportunities for experimentation, which supports emotional wellbeing by generating enjoyment, satisfaction and a sense of achievement. As children experience success through self-directed exploration, their </w:t>
      </w:r>
      <w:r w:rsidR="003C559F" w:rsidRPr="003C559F">
        <w:lastRenderedPageBreak/>
        <w:t>confidence and self-acceptance begin to strengthen. Increased confidence also encourages children to take appropriate risks, broadening their responses to challenges and enhancing resilience. For example, imaginative play with peers in an outdoor setting — such as creating role-play scenarios using natural materials — allows children to negotiate roles, solve problems collaboratively and test ideas in a low-pressure context. Within these experiences, practitioners play a subtle yet significant role. Maynard and Waters (2014) highlight the importance of adults being present, attentive and available without dominating the play. This ‘watchful presence’ provides children with a secure base from which to explore independently. Knowing that a supportive adult is nearby fosters a sense of safety while preserving autonomy. Therefore, recreational outdoor play not only contributes to social and emotional development but also strengthens independence, risk-taking skills and self-confidence. When practitioners intentionally design flexible environments and adopt a responsive rather than directive role, they create conditions in which children feel empowered to explore, imagine and construct their own meanings through play.</w:t>
      </w:r>
    </w:p>
    <w:p w14:paraId="736D65D1" w14:textId="77777777" w:rsidR="00BA6C5F" w:rsidRDefault="00BA6C5F" w:rsidP="006D7314"/>
    <w:p w14:paraId="1D7CC8A8" w14:textId="50AF3CCE" w:rsidR="00017DEB" w:rsidRPr="00407F98" w:rsidRDefault="00017DEB" w:rsidP="00017DEB">
      <w:pPr>
        <w:pStyle w:val="ListParagraph"/>
        <w:numPr>
          <w:ilvl w:val="0"/>
          <w:numId w:val="1"/>
        </w:numPr>
        <w:rPr>
          <w:u w:val="single"/>
        </w:rPr>
      </w:pPr>
      <w:r w:rsidRPr="00407F98">
        <w:rPr>
          <w:u w:val="single"/>
        </w:rPr>
        <w:t>Evidence of a clear understanding of why it is important for children to choose their own play and the importance of the role of the adult in children’s play</w:t>
      </w:r>
    </w:p>
    <w:p w14:paraId="17405ADE" w14:textId="6B36BE87" w:rsidR="00B82EF0" w:rsidRDefault="00D00116" w:rsidP="00BD3F57">
      <w:r>
        <w:t xml:space="preserve">The importance of allowing children to choose their own play is rooted in the recognition that each child develops uniquely and engages with learning in different ways. Murphy (2025) emphasises that an inclusive curriculum must acknowledge variations in developmental pace, learning preferences and individual strengths. When children are given opportunities to direct their own play, they can engage in experiences that align with their personal interests and readiness levels. By valuing the learning process rather than focusing solely on predetermined outcomes, practitioners can create environments where children feel capable, supported and understood. Respecting diverse approaches to learning encourages more meaningful engagement, as children are more likely to invest attention and persistence in activities, they have selected themselves. In this way, child-led play becomes a key mechanism through which inclusive practice is enacted, ensuring that all children have access to developmentally appropriate and motivating experiences. Similarly, Woods (2017) presents the concept of the ‘capable child’, positioning children as active participants in their own growth rather than passive recipients of adult instruction. Play is described as a natural medium through which children explore their surroundings, construct understanding and express themselves. The benefits of play are closely connected to children’s ability to make independent choices and to follow their instincts. Within self-chosen play, children experience autonomy, freedom and ownership, which are essential for developing confidence, curiosity and resilience. This perspective is illustrated through the example of a young child experiencing the beach for the first </w:t>
      </w:r>
      <w:r>
        <w:lastRenderedPageBreak/>
        <w:t>time. Initially hesitant and overwhelmed by the unfamiliar sensory environment, the child preferred to remain in a space that felt safe and manageable. Rather than forcing engagement, adults adapted the experience gradually, beginning with familiar dry sand before introducing shallow water and later natural materials such as seaweed. Through repeated pouring, filling and experimenting at her own pace, the child became deeply absorbed in the activity for an extended period. The play evolved organically according to her interest and comfort, demonstrating sustained concentration and enjoyment. Importantly, the experience concluded when the child indicated she was ready to stop, reinforcing her sense of control. This example highlights how self-directed play supports emotional security, perseverance and cognitive engagement. When children are permitted to choose how, when and with what they play, they are more likely to experience meaningful learning that reflects their developmental stage and personal agency.</w:t>
      </w:r>
    </w:p>
    <w:p w14:paraId="72CAC312" w14:textId="7ECBA882" w:rsidR="00017DEB" w:rsidRDefault="001825F7" w:rsidP="00BD3F57">
      <w:r>
        <w:t>Regarding</w:t>
      </w:r>
      <w:r w:rsidR="00566030">
        <w:t xml:space="preserve"> this, the</w:t>
      </w:r>
      <w:r w:rsidR="00BD3F57">
        <w:t xml:space="preserve"> role of the adult in children’s play is complex and requires thoughtful reflection rather than constant direction or control. Broadhead (2004) argues that practitioners should view themselves as researchers within their own settings. Instead of simply delivering predetermined activities, adults are encouraged to observe, question and reflect critically on children’s play experiences. Practitioner research is described as a process that is owned and directed by the individual, allowing educators to examine their practice in ways that are meaningful to their specific context. Through ongoing cycles of reflection and adaptation, practitioners gradually deepen their understanding of children’s learning. As confidence grows, they become more willing to adjust their approaches, introduce new strategies and take informed risks to enhance children’s experiences. This reflective process strengthens professional judgement and ensures that adult involvement in play is responsive rather than routine.</w:t>
      </w:r>
      <w:r w:rsidR="00B82EF0">
        <w:t xml:space="preserve"> </w:t>
      </w:r>
      <w:r w:rsidR="00BD3F57">
        <w:t xml:space="preserve">Similarly, Else (2014) emphasises that adults are not always required within children’s play, and in some situations, unnecessary interference may even diminish the quality of the experience. Children </w:t>
      </w:r>
      <w:r w:rsidR="0015590A">
        <w:t>can initiate and sustain</w:t>
      </w:r>
      <w:r w:rsidR="00BD3F57">
        <w:t xml:space="preserve"> play independently; however, when adults are present, their role should be intentional and mindful. Rather than directing outcomes, practitioners should aim to be consciously aware of how their presence influences the play environment. Reflection allows adults to evaluate whether their actions are supporting, restricting or reshaping children’s experiences. By considering their impact within a broader social and cultural context, practitioners can identify when to step back, when to scaffold learning, and when to gently challenge thinking. This balanced approach positions the adult as a facilitator rather than a controller of play.</w:t>
      </w:r>
      <w:r w:rsidR="00B82EF0">
        <w:t xml:space="preserve"> </w:t>
      </w:r>
      <w:r w:rsidR="00BD3F57">
        <w:t xml:space="preserve">Together, these perspectives highlight that the importance of the adult role does not lie in constant instruction but in skilled observation, reflection and responsiveness. Effective practitioners create space for child-led exploration while remaining available, attentive and adaptable. Through reflective practice, adults become more attuned to children’s needs, interests and developmental stages, enabling them to provide </w:t>
      </w:r>
      <w:r w:rsidR="00BD3F57">
        <w:lastRenderedPageBreak/>
        <w:t>meaningful support without overpowering children’s autonomy. Therefore, the adult’s role in play is not passive, but carefully considered and evolving, grounded in ongoing professional reflection and a commitment to enhancing children’s learning experiences.</w:t>
      </w:r>
    </w:p>
    <w:p w14:paraId="78B1471A" w14:textId="77777777" w:rsidR="00DF0D63" w:rsidRDefault="00DF0D63" w:rsidP="00BD3F57"/>
    <w:p w14:paraId="0FC5E359" w14:textId="1EE14375" w:rsidR="00DF0D63" w:rsidRPr="00E63791" w:rsidRDefault="003E4219" w:rsidP="00DF0D63">
      <w:pPr>
        <w:pStyle w:val="ListParagraph"/>
        <w:numPr>
          <w:ilvl w:val="0"/>
          <w:numId w:val="1"/>
        </w:numPr>
        <w:rPr>
          <w:u w:val="single"/>
        </w:rPr>
      </w:pPr>
      <w:r w:rsidRPr="00E63791">
        <w:rPr>
          <w:u w:val="single"/>
        </w:rPr>
        <w:t xml:space="preserve">An </w:t>
      </w:r>
      <w:r w:rsidR="0019283D" w:rsidRPr="00E63791">
        <w:rPr>
          <w:u w:val="single"/>
        </w:rPr>
        <w:t>In-depth</w:t>
      </w:r>
      <w:r w:rsidRPr="00E63791">
        <w:rPr>
          <w:u w:val="single"/>
        </w:rPr>
        <w:t xml:space="preserve"> discussion and understanding of</w:t>
      </w:r>
      <w:r w:rsidR="00F63B7E" w:rsidRPr="00E63791">
        <w:rPr>
          <w:u w:val="single"/>
        </w:rPr>
        <w:t xml:space="preserve"> a</w:t>
      </w:r>
      <w:r w:rsidRPr="00E63791">
        <w:rPr>
          <w:u w:val="single"/>
        </w:rPr>
        <w:t xml:space="preserve"> </w:t>
      </w:r>
      <w:r w:rsidR="00F63B7E" w:rsidRPr="00E63791">
        <w:rPr>
          <w:u w:val="single"/>
        </w:rPr>
        <w:t>scale</w:t>
      </w:r>
      <w:r w:rsidR="0019283D" w:rsidRPr="00E63791">
        <w:rPr>
          <w:u w:val="single"/>
        </w:rPr>
        <w:t>-</w:t>
      </w:r>
      <w:r w:rsidR="00F63B7E" w:rsidRPr="00E63791">
        <w:rPr>
          <w:u w:val="single"/>
        </w:rPr>
        <w:t xml:space="preserve">based </w:t>
      </w:r>
      <w:r w:rsidRPr="00E63791">
        <w:rPr>
          <w:u w:val="single"/>
        </w:rPr>
        <w:t>observation method for young children</w:t>
      </w:r>
    </w:p>
    <w:p w14:paraId="4EFBEA46" w14:textId="7BFBC9DF" w:rsidR="00184F3F" w:rsidRDefault="00184F3F" w:rsidP="00184F3F">
      <w:r>
        <w:t>An in-depth understanding of individual child observation methods can be illustrated through Bradbury’s (2014) discussion of assessment practices in early childhood settings. Bradbury outlines how children are commonly assessed across key developmental areas, including personal, social and emotional development (PSED), communication, language and literacy (CLLD), problem solving and numeracy, knowledge and understanding of the world, physical development and creative development. This holistic framework reflects the multifaceted nature of early development and reinforces the importance of observing children across a broad range of experiences rather than focusing on isolated skills. In the example provided, observations were collected throughout the academic year for each child and compiled into individual folders. These included short written notes, more detailed narrative accounts, photographs and samples of children’s work. This approach closely resembles a running record method, where practitioners document children’s actions, language and interactions over time to build a comprehensive picture of development.</w:t>
      </w:r>
    </w:p>
    <w:p w14:paraId="6492449F" w14:textId="54771C15" w:rsidR="00A151B2" w:rsidRDefault="00184F3F" w:rsidP="00184F3F">
      <w:r>
        <w:t xml:space="preserve">Bradbury (2014) suggests that such observation practices contribute to the formation of ‘teacher knowledge’. This knowledge is informed by observing children but is not limited to what is immediately visible. Instead, it represents a professional interpretation shaped by experience, training and contextual understanding. In this sense, observation becomes central to the teacher’s role, contributing to their expertise rather than being viewed as informal or purely subjective. Indeed, Bradbury notes that “the importance of observations had a real effect on how the teachers understood their roles” (p. 333). Through sustained and systematic documentation, practitioners come to see themselves as analysts of learning, responsible for interpreting patterns of development and responding appropriately. However, Bradbury also highlights that teacher knowledge is often influenced by developmental theories that position children as progressing through predictable stages. While this perspective can provide structure, it may also risk oversimplifying children’s experiences by assuming linear development. Critical early childhood literature challenges this narrative, suggesting that development is more complex, socially situated and culturally shaped than stage-based models imply. Therefore, while individual child observations such as running records provide rich qualitative data and support personalised assessment, </w:t>
      </w:r>
      <w:r>
        <w:lastRenderedPageBreak/>
        <w:t>practitioners must remain reflective about the theoretical assumptions that inform their interpretations.</w:t>
      </w:r>
    </w:p>
    <w:p w14:paraId="0901514E" w14:textId="77777777" w:rsidR="00034453" w:rsidRDefault="00034453" w:rsidP="006D7314"/>
    <w:p w14:paraId="445ADD65" w14:textId="7CB9BA4D" w:rsidR="00034453" w:rsidRPr="00E63791" w:rsidRDefault="0019283D" w:rsidP="00034453">
      <w:pPr>
        <w:pStyle w:val="ListParagraph"/>
        <w:numPr>
          <w:ilvl w:val="0"/>
          <w:numId w:val="1"/>
        </w:numPr>
        <w:rPr>
          <w:u w:val="single"/>
        </w:rPr>
      </w:pPr>
      <w:r w:rsidRPr="00E63791">
        <w:rPr>
          <w:u w:val="single"/>
        </w:rPr>
        <w:t>Demonstrate an understanding of the role of play when undertaking observations and assessments of children and consider how this affects the child’s engagement and the accuracy of the observation</w:t>
      </w:r>
    </w:p>
    <w:p w14:paraId="5DAC567B" w14:textId="77777777" w:rsidR="00A151B2" w:rsidRDefault="00A151B2" w:rsidP="006D7314">
      <w:pPr>
        <w:rPr>
          <w:u w:val="single"/>
        </w:rPr>
      </w:pPr>
    </w:p>
    <w:p w14:paraId="6E1E0B7A" w14:textId="604A64CC" w:rsidR="00A151B2" w:rsidRPr="00BA70D9" w:rsidRDefault="00BA70D9" w:rsidP="006D7314">
      <w:r w:rsidRPr="00E63791">
        <w:t xml:space="preserve">Understanding the role of play in observation and assessment requires recognition that systematic observation serves purposes beyond documentation; it enables early identification of developmental needs and supports timely intervention. </w:t>
      </w:r>
      <w:proofErr w:type="spellStart"/>
      <w:r w:rsidRPr="00E63791">
        <w:t>Tallent</w:t>
      </w:r>
      <w:proofErr w:type="spellEnd"/>
      <w:r w:rsidRPr="00E63791">
        <w:t xml:space="preserve"> and Thompson (2022) emphasise that observing children carefully and responsively can help practitioners identify potential difficulties at an early stage, reducing the likelihood of challenges escalating as the child progresses through education. Early recognition allows for appropriate support strategies to be implemented before concerns become more complex or require intensive intervention. This proactive approach not only benefits the child’s long-term development but also supports families, enabling parents to better understand and respond to their child’s needs. Effective observation therefore extends beyond academic tracking and becomes a preventative and supportive mechanism within early years practice.</w:t>
      </w:r>
      <w:r w:rsidR="00E63791">
        <w:t xml:space="preserve"> </w:t>
      </w:r>
      <w:proofErr w:type="spellStart"/>
      <w:r w:rsidRPr="00E63791">
        <w:t>Tallent</w:t>
      </w:r>
      <w:proofErr w:type="spellEnd"/>
      <w:r w:rsidRPr="00E63791">
        <w:t xml:space="preserve"> and Thompson (2022) further argue that observation must consider the whole child, including communication, physical development, emotional wellbeing, social interaction and cognitive growth. Observing within play contexts is particularly valuable in this respect, as play naturally integrates these developmental domains. For example, during imaginative play, a child may demonstrate expressive language, peer negotiation, emotional regulation and fine motor coordination simultaneously. This holistic expression provides practitioners with richer, more accurate insight than isolated, task-based assessments. However, the accuracy of such observations depends significantly on the practitioner’s role. Adults must build respectful, trusting relationships with both children and their families. By listening to parents’ perspectives and incorporating their knowledge of the child, practitioners develop a more comprehensive and contextualised understanding. Without this collaboration, observations risk being partial or misinterpreted.</w:t>
      </w:r>
      <w:r w:rsidR="00E63791">
        <w:t xml:space="preserve"> </w:t>
      </w:r>
      <w:r w:rsidRPr="00BA70D9">
        <w:t xml:space="preserve">Doherty and Hughes (2014) extend this understanding by highlighting the importance of the home as a primary learning environment. Children’s attitudes towards learning, including perseverance and emotional security, are strongly influenced by parental involvement. Therefore, when undertaking assessments, practitioners must recognise that behaviour observed in early years settings may reflect broader familial and social contexts. This has implications for how observations are interpreted, particularly when supporting children considered at risk. Schools and early years settings are encouraged to develop collaborative learning communities that work alongside families, especially </w:t>
      </w:r>
      <w:r w:rsidRPr="00BA70D9">
        <w:lastRenderedPageBreak/>
        <w:t>within disadvantaged contexts, to ensure that assessment practices are both equitable and supportive.</w:t>
      </w:r>
      <w:r w:rsidR="00E63791">
        <w:t xml:space="preserve"> </w:t>
      </w:r>
      <w:r w:rsidRPr="00BA70D9">
        <w:t>Methodologically, repeated and systematic observation strengthens accuracy. Doherty and Hughes (2014) discuss approaches in which the same child is observed multiple times over short periods, enabling practitioners to detect subtle developmental shifts. This type of repeated observation allows for closer analysis of how children acquire new skills, particularly in areas such as language development and problem-solving. Observing children across multiple play episodes enhances reliability, as patterns can be identified rather than conclusions being drawn from isolated moments.</w:t>
      </w:r>
      <w:r w:rsidR="00E63791">
        <w:t xml:space="preserve"> </w:t>
      </w:r>
      <w:r w:rsidRPr="00BA70D9">
        <w:t>However, ethical considerations are central when observing children. Research involving young children requires sensitivity, as they are particularly vulnerable to harm, whether physical, emotional or psychological. While extreme ethical breaches are easily identified, more subtle issues, such as imposing stressful situations or misusing data, must also be carefully considered. When play is used as a context for assessment, practitioners must ensure that observation does not disrupt the child’s sense of safety or autonomy. Ethical practice requires that children are not manipulated into artificial situations purely for assessment purposes, particularly in experimental designs conducted in educational or care settings.</w:t>
      </w:r>
      <w:r w:rsidR="00E63791">
        <w:t xml:space="preserve"> </w:t>
      </w:r>
      <w:r w:rsidRPr="00BA70D9">
        <w:t>Overall, play-based observation, when undertaken ethically and reflectively, enhances both engagement and accuracy. By embedding assessment within meaningful play experiences, practitioners can gather authentic evidence of development while maintaining the child’s wellbeing. However, this requires professional judgement, collaboration with families and ongoing reflection to ensure that observations are valid, sensitive and developmentally appropriate.</w:t>
      </w:r>
    </w:p>
    <w:p w14:paraId="2F537623" w14:textId="77777777" w:rsidR="00266802" w:rsidRDefault="00266802" w:rsidP="006D7314">
      <w:pPr>
        <w:rPr>
          <w:u w:val="single"/>
        </w:rPr>
      </w:pPr>
    </w:p>
    <w:p w14:paraId="6DEAF9C9" w14:textId="77777777" w:rsidR="00266802" w:rsidRDefault="00266802" w:rsidP="006D7314">
      <w:pPr>
        <w:rPr>
          <w:u w:val="single"/>
        </w:rPr>
      </w:pPr>
    </w:p>
    <w:p w14:paraId="3A366BB3" w14:textId="77777777" w:rsidR="00266802" w:rsidRDefault="00266802" w:rsidP="006D7314">
      <w:pPr>
        <w:rPr>
          <w:u w:val="single"/>
        </w:rPr>
      </w:pPr>
    </w:p>
    <w:p w14:paraId="13B042A0" w14:textId="77777777" w:rsidR="00266802" w:rsidRDefault="00266802" w:rsidP="006D7314">
      <w:pPr>
        <w:rPr>
          <w:u w:val="single"/>
        </w:rPr>
      </w:pPr>
    </w:p>
    <w:p w14:paraId="7030DDB8" w14:textId="54CE917D" w:rsidR="00A151B2" w:rsidRDefault="00A151B2" w:rsidP="006D7314">
      <w:pPr>
        <w:rPr>
          <w:u w:val="single"/>
        </w:rPr>
      </w:pPr>
      <w:r w:rsidRPr="00A151B2">
        <w:rPr>
          <w:u w:val="single"/>
        </w:rPr>
        <w:t xml:space="preserve">References: </w:t>
      </w:r>
    </w:p>
    <w:p w14:paraId="6F17BB35" w14:textId="596C1FC5" w:rsidR="00321D8D" w:rsidRPr="00321D8D" w:rsidRDefault="00321D8D" w:rsidP="00321D8D">
      <w:r w:rsidRPr="00321D8D">
        <w:t xml:space="preserve">Bradbury, A. (2014). Early childhood assessment: observation, teacher ‘knowledge’ and the production of attainment data in early years settings. Comparative Education, 50(3), pp.322–339. </w:t>
      </w:r>
      <w:proofErr w:type="spellStart"/>
      <w:proofErr w:type="gramStart"/>
      <w:r w:rsidRPr="00321D8D">
        <w:t>doi:https</w:t>
      </w:r>
      <w:proofErr w:type="spellEnd"/>
      <w:r w:rsidRPr="00321D8D">
        <w:t>://doi.org/10.1080/03050068.2014.921371</w:t>
      </w:r>
      <w:proofErr w:type="gramEnd"/>
      <w:r w:rsidRPr="00321D8D">
        <w:t>.</w:t>
      </w:r>
      <w:r>
        <w:t xml:space="preserve"> Accessed (</w:t>
      </w:r>
      <w:r w:rsidR="00B76050">
        <w:t>23/02/2025)</w:t>
      </w:r>
    </w:p>
    <w:p w14:paraId="305217E5" w14:textId="465F7588" w:rsidR="009626F4" w:rsidRPr="00B76050" w:rsidRDefault="009626F4" w:rsidP="009626F4">
      <w:pPr>
        <w:rPr>
          <w:u w:val="single"/>
        </w:rPr>
      </w:pPr>
      <w:r>
        <w:t>Broadhead, P. (20</w:t>
      </w:r>
      <w:r w:rsidR="00407F98">
        <w:t>04</w:t>
      </w:r>
      <w:r>
        <w:t xml:space="preserve">). EARLY YEARS PLAY AND </w:t>
      </w:r>
      <w:proofErr w:type="gramStart"/>
      <w:r>
        <w:t>LEARNING :</w:t>
      </w:r>
      <w:proofErr w:type="gramEnd"/>
      <w:r>
        <w:t xml:space="preserve"> developing social skills and </w:t>
      </w:r>
      <w:proofErr w:type="gramStart"/>
      <w:r>
        <w:t>cooperation..</w:t>
      </w:r>
      <w:proofErr w:type="gramEnd"/>
    </w:p>
    <w:p w14:paraId="07605F89" w14:textId="47B134DD" w:rsidR="009626F4" w:rsidRDefault="006D7314" w:rsidP="006D7314">
      <w:r>
        <w:t>Cutter-Mackenzie, A., Edwards, S., Moore, D. and Boyd, W. (2014). Young Children’s Play and Environmental Education in Early Childhood Education. Cham Springer International Publishing.</w:t>
      </w:r>
    </w:p>
    <w:p w14:paraId="0B0AA8B4" w14:textId="462A61CD" w:rsidR="00A017A7" w:rsidRDefault="00A017A7" w:rsidP="00A017A7">
      <w:r>
        <w:lastRenderedPageBreak/>
        <w:t xml:space="preserve">Doherty, J. and Hughes, M. (2014). Child </w:t>
      </w:r>
      <w:proofErr w:type="gramStart"/>
      <w:r>
        <w:t>development :</w:t>
      </w:r>
      <w:proofErr w:type="gramEnd"/>
      <w:r>
        <w:t xml:space="preserve"> theory and practice 0-11. 2nd ed. Harlow: Pearson Education Limited.</w:t>
      </w:r>
    </w:p>
    <w:p w14:paraId="561E71F2" w14:textId="77777777" w:rsidR="00CE17D2" w:rsidRDefault="00CE17D2" w:rsidP="00CE17D2">
      <w:r>
        <w:t>Else, P. (2014). EBOOK: Making Sense of Play: Supporting children in their play. McGraw-Hill Education (UK).</w:t>
      </w:r>
    </w:p>
    <w:p w14:paraId="0736D325" w14:textId="426A4326" w:rsidR="00407F98" w:rsidRDefault="006D7314" w:rsidP="00CE34D2">
      <w:r>
        <w:t xml:space="preserve">Howard, J. and </w:t>
      </w:r>
      <w:proofErr w:type="spellStart"/>
      <w:r>
        <w:t>Mcinnes</w:t>
      </w:r>
      <w:proofErr w:type="spellEnd"/>
      <w:r>
        <w:t xml:space="preserve">, K. (2013). The essence of </w:t>
      </w:r>
      <w:proofErr w:type="gramStart"/>
      <w:r>
        <w:t>play :</w:t>
      </w:r>
      <w:proofErr w:type="gramEnd"/>
      <w:r>
        <w:t xml:space="preserve"> a practice companion for professionals working with children and young people. Abingdon, Oxon: Routledge.</w:t>
      </w:r>
    </w:p>
    <w:p w14:paraId="540B5C0C" w14:textId="6212D308" w:rsidR="00CE34D2" w:rsidRDefault="00CE34D2" w:rsidP="00CE34D2">
      <w:r>
        <w:t>Maynard, T. and Waters, J. (2014). Exploring Outdoor Play in the Early Years. Berkshire: Open University Press.</w:t>
      </w:r>
    </w:p>
    <w:p w14:paraId="63F0DA64" w14:textId="77777777" w:rsidR="00266802" w:rsidRDefault="00266802" w:rsidP="00266802">
      <w:r>
        <w:t>Murphy, K. (2025). Neurodiversity-Affirming Practices in Early Childhood. Taylor &amp; Francis.</w:t>
      </w:r>
    </w:p>
    <w:p w14:paraId="4D94266D" w14:textId="7926A90D" w:rsidR="00BB5E98" w:rsidRDefault="00BB5E98" w:rsidP="00BB5E98">
      <w:proofErr w:type="spellStart"/>
      <w:r>
        <w:t>Tallent</w:t>
      </w:r>
      <w:proofErr w:type="spellEnd"/>
      <w:r>
        <w:t xml:space="preserve">, L. and Thompson, J. (2022). The early years intervention </w:t>
      </w:r>
      <w:proofErr w:type="gramStart"/>
      <w:r>
        <w:t>toolkit :</w:t>
      </w:r>
      <w:proofErr w:type="gramEnd"/>
      <w:r>
        <w:t xml:space="preserve"> inclusive activities to support child development. Abingdon, </w:t>
      </w:r>
      <w:proofErr w:type="gramStart"/>
      <w:r>
        <w:t>Oxon ;</w:t>
      </w:r>
      <w:proofErr w:type="gramEnd"/>
      <w:r>
        <w:t xml:space="preserve"> New York, Ny: Routledge.</w:t>
      </w:r>
    </w:p>
    <w:p w14:paraId="49865B30" w14:textId="77777777" w:rsidR="00B82EF0" w:rsidRDefault="00B82EF0" w:rsidP="00B82EF0">
      <w:r>
        <w:t>Woods, A. (2017). Child-Initiated Play and Learning. Routledge.</w:t>
      </w:r>
    </w:p>
    <w:p w14:paraId="42651E79" w14:textId="77777777" w:rsidR="00B82EF0" w:rsidRDefault="00B82EF0" w:rsidP="00B82EF0"/>
    <w:p w14:paraId="29F71F19" w14:textId="3C4EE039" w:rsidR="00266802" w:rsidRDefault="00B82EF0" w:rsidP="00B82EF0">
      <w:r>
        <w:rPr>
          <w:rFonts w:hint="cs"/>
        </w:rPr>
        <w:t>‌</w:t>
      </w:r>
    </w:p>
    <w:p w14:paraId="0DC9CBDC" w14:textId="664620F0" w:rsidR="00E52349" w:rsidRDefault="00266802" w:rsidP="006D7314">
      <w:r>
        <w:rPr>
          <w:rFonts w:hint="cs"/>
        </w:rPr>
        <w:t>‌</w:t>
      </w:r>
    </w:p>
    <w:sectPr w:rsidR="00E523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A57691"/>
    <w:multiLevelType w:val="hybridMultilevel"/>
    <w:tmpl w:val="B09A89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5087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314"/>
    <w:rsid w:val="00017DEB"/>
    <w:rsid w:val="00034453"/>
    <w:rsid w:val="000E3BE7"/>
    <w:rsid w:val="0015590A"/>
    <w:rsid w:val="001825F7"/>
    <w:rsid w:val="00184F3F"/>
    <w:rsid w:val="0019283D"/>
    <w:rsid w:val="001A4E6A"/>
    <w:rsid w:val="00266802"/>
    <w:rsid w:val="002A4287"/>
    <w:rsid w:val="002B4499"/>
    <w:rsid w:val="00321D8D"/>
    <w:rsid w:val="003C559F"/>
    <w:rsid w:val="003E4219"/>
    <w:rsid w:val="00407F98"/>
    <w:rsid w:val="004C715C"/>
    <w:rsid w:val="00527B7B"/>
    <w:rsid w:val="00544229"/>
    <w:rsid w:val="00566030"/>
    <w:rsid w:val="00575343"/>
    <w:rsid w:val="006D7314"/>
    <w:rsid w:val="008673AF"/>
    <w:rsid w:val="008B7D02"/>
    <w:rsid w:val="009626F4"/>
    <w:rsid w:val="00A017A7"/>
    <w:rsid w:val="00A151B2"/>
    <w:rsid w:val="00A20F28"/>
    <w:rsid w:val="00B76050"/>
    <w:rsid w:val="00B82EF0"/>
    <w:rsid w:val="00BA56BA"/>
    <w:rsid w:val="00BA6C5F"/>
    <w:rsid w:val="00BA70D9"/>
    <w:rsid w:val="00BB5E98"/>
    <w:rsid w:val="00BD2C2A"/>
    <w:rsid w:val="00BD3F57"/>
    <w:rsid w:val="00CE17D2"/>
    <w:rsid w:val="00CE34D2"/>
    <w:rsid w:val="00D00116"/>
    <w:rsid w:val="00DD18A0"/>
    <w:rsid w:val="00DF0D63"/>
    <w:rsid w:val="00E52349"/>
    <w:rsid w:val="00E63791"/>
    <w:rsid w:val="00F63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D3104"/>
  <w15:chartTrackingRefBased/>
  <w15:docId w15:val="{1ECD6705-3223-4695-99C2-CCCDE7AA0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73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73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73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3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73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73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73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73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73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73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73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73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73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73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73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73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73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7314"/>
    <w:rPr>
      <w:rFonts w:eastAsiaTheme="majorEastAsia" w:cstheme="majorBidi"/>
      <w:color w:val="272727" w:themeColor="text1" w:themeTint="D8"/>
    </w:rPr>
  </w:style>
  <w:style w:type="paragraph" w:styleId="Title">
    <w:name w:val="Title"/>
    <w:basedOn w:val="Normal"/>
    <w:next w:val="Normal"/>
    <w:link w:val="TitleChar"/>
    <w:uiPriority w:val="10"/>
    <w:qFormat/>
    <w:rsid w:val="006D73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3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3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3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7314"/>
    <w:pPr>
      <w:spacing w:before="160"/>
      <w:jc w:val="center"/>
    </w:pPr>
    <w:rPr>
      <w:i/>
      <w:iCs/>
      <w:color w:val="404040" w:themeColor="text1" w:themeTint="BF"/>
    </w:rPr>
  </w:style>
  <w:style w:type="character" w:customStyle="1" w:styleId="QuoteChar">
    <w:name w:val="Quote Char"/>
    <w:basedOn w:val="DefaultParagraphFont"/>
    <w:link w:val="Quote"/>
    <w:uiPriority w:val="29"/>
    <w:rsid w:val="006D7314"/>
    <w:rPr>
      <w:i/>
      <w:iCs/>
      <w:color w:val="404040" w:themeColor="text1" w:themeTint="BF"/>
    </w:rPr>
  </w:style>
  <w:style w:type="paragraph" w:styleId="ListParagraph">
    <w:name w:val="List Paragraph"/>
    <w:basedOn w:val="Normal"/>
    <w:uiPriority w:val="34"/>
    <w:qFormat/>
    <w:rsid w:val="006D7314"/>
    <w:pPr>
      <w:ind w:left="720"/>
      <w:contextualSpacing/>
    </w:pPr>
  </w:style>
  <w:style w:type="character" w:styleId="IntenseEmphasis">
    <w:name w:val="Intense Emphasis"/>
    <w:basedOn w:val="DefaultParagraphFont"/>
    <w:uiPriority w:val="21"/>
    <w:qFormat/>
    <w:rsid w:val="006D7314"/>
    <w:rPr>
      <w:i/>
      <w:iCs/>
      <w:color w:val="0F4761" w:themeColor="accent1" w:themeShade="BF"/>
    </w:rPr>
  </w:style>
  <w:style w:type="paragraph" w:styleId="IntenseQuote">
    <w:name w:val="Intense Quote"/>
    <w:basedOn w:val="Normal"/>
    <w:next w:val="Normal"/>
    <w:link w:val="IntenseQuoteChar"/>
    <w:uiPriority w:val="30"/>
    <w:qFormat/>
    <w:rsid w:val="006D73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314"/>
    <w:rPr>
      <w:i/>
      <w:iCs/>
      <w:color w:val="0F4761" w:themeColor="accent1" w:themeShade="BF"/>
    </w:rPr>
  </w:style>
  <w:style w:type="character" w:styleId="IntenseReference">
    <w:name w:val="Intense Reference"/>
    <w:basedOn w:val="DefaultParagraphFont"/>
    <w:uiPriority w:val="32"/>
    <w:qFormat/>
    <w:rsid w:val="006D731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2829</Words>
  <Characters>16130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Selim</dc:creator>
  <cp:keywords/>
  <dc:description/>
  <cp:lastModifiedBy>Sarah Selim</cp:lastModifiedBy>
  <cp:revision>2</cp:revision>
  <dcterms:created xsi:type="dcterms:W3CDTF">2026-03-01T18:18:00Z</dcterms:created>
  <dcterms:modified xsi:type="dcterms:W3CDTF">2026-03-01T18:18:00Z</dcterms:modified>
</cp:coreProperties>
</file>