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1421"/>
        </w:tabs>
        <w:jc w:val="center"/>
        <w:rPr>
          <w:rFonts w:asciiTheme="majorBidi" w:hAnsiTheme="majorBidi" w:eastAsiaTheme="majorEastAsia" w:cstheme="majorBidi"/>
          <w:b/>
          <w:bCs/>
          <w:color w:val="000000" w:themeColor="text1"/>
          <w:kern w:val="0"/>
          <w:sz w:val="32"/>
          <w:szCs w:val="32"/>
          <w14:textFill>
            <w14:solidFill>
              <w14:schemeClr w14:val="tx1"/>
            </w14:solidFill>
          </w14:textFill>
          <w14:ligatures w14:val="none"/>
        </w:rPr>
      </w:pPr>
      <w:bookmarkStart w:id="11" w:name="_GoBack"/>
      <w:bookmarkEnd w:id="11"/>
      <w:r>
        <w:drawing>
          <wp:inline distT="0" distB="0" distL="0" distR="0">
            <wp:extent cx="6134100" cy="3270250"/>
            <wp:effectExtent l="0" t="0" r="0" b="6350"/>
            <wp:docPr id="4" name="Picture 4"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6256996" cy="3336183"/>
                    </a:xfrm>
                    <a:prstGeom prst="rect">
                      <a:avLst/>
                    </a:prstGeom>
                    <a:noFill/>
                    <a:ln>
                      <a:noFill/>
                    </a:ln>
                  </pic:spPr>
                </pic:pic>
              </a:graphicData>
            </a:graphic>
          </wp:inline>
        </w:drawing>
      </w:r>
    </w:p>
    <w:p>
      <w:pPr>
        <w:tabs>
          <w:tab w:val="left" w:pos="1421"/>
        </w:tabs>
        <w:spacing w:after="0" w:line="360" w:lineRule="auto"/>
        <w:jc w:val="center"/>
        <w:rPr>
          <w:rFonts w:ascii="Arial Black" w:hAnsi="Arial Black" w:cs="Times New Roman" w:eastAsiaTheme="majorEastAsia"/>
          <w:b/>
          <w:bCs/>
          <w:color w:val="000000" w:themeColor="text1"/>
          <w:kern w:val="0"/>
          <w:sz w:val="28"/>
          <w:szCs w:val="28"/>
          <w14:textFill>
            <w14:solidFill>
              <w14:schemeClr w14:val="tx1"/>
            </w14:solidFill>
          </w14:textFill>
          <w14:ligatures w14:val="none"/>
        </w:rPr>
      </w:pPr>
      <w:r>
        <w:rPr>
          <w:rFonts w:ascii="Arial Black" w:hAnsi="Arial Black" w:cs="Times New Roman" w:eastAsiaTheme="majorEastAsia"/>
          <w:b/>
          <w:bCs/>
          <w:color w:val="000000" w:themeColor="text1"/>
          <w:kern w:val="0"/>
          <w:sz w:val="36"/>
          <w:szCs w:val="36"/>
          <w14:textFill>
            <w14:solidFill>
              <w14:schemeClr w14:val="tx1"/>
            </w14:solidFill>
          </w14:textFill>
          <w14:ligatures w14:val="none"/>
        </w:rPr>
        <w:t>Master of Business Administration</w:t>
      </w:r>
    </w:p>
    <w:p>
      <w:pPr>
        <w:tabs>
          <w:tab w:val="left" w:pos="1421"/>
        </w:tabs>
        <w:spacing w:after="0" w:line="360" w:lineRule="auto"/>
        <w:jc w:val="center"/>
        <w:rPr>
          <w:rFonts w:ascii="Times New Roman" w:hAnsi="Times New Roman" w:cs="Times New Roman" w:eastAsiaTheme="majorEastAsia"/>
          <w:b/>
          <w:bCs/>
          <w:color w:val="000000" w:themeColor="text1"/>
          <w:kern w:val="0"/>
          <w:sz w:val="32"/>
          <w:szCs w:val="32"/>
          <w14:textFill>
            <w14:solidFill>
              <w14:schemeClr w14:val="tx1"/>
            </w14:solidFill>
          </w14:textFill>
          <w14:ligatures w14:val="none"/>
        </w:rPr>
      </w:pPr>
      <w:r>
        <w:rPr>
          <w:rFonts w:ascii="Times New Roman" w:hAnsi="Times New Roman" w:cs="Times New Roman" w:eastAsiaTheme="majorEastAsia"/>
          <w:b/>
          <w:bCs/>
          <w:color w:val="000000" w:themeColor="text1"/>
          <w:kern w:val="0"/>
          <w:sz w:val="32"/>
          <w:szCs w:val="32"/>
          <w14:textFill>
            <w14:solidFill>
              <w14:schemeClr w14:val="tx1"/>
            </w14:solidFill>
          </w14:textFill>
          <w14:ligatures w14:val="none"/>
        </w:rPr>
        <w:t>Human Capital Management (LCMB7023)</w:t>
      </w:r>
    </w:p>
    <w:p>
      <w:pPr>
        <w:tabs>
          <w:tab w:val="left" w:pos="1421"/>
        </w:tabs>
        <w:spacing w:after="0" w:line="360" w:lineRule="auto"/>
        <w:jc w:val="center"/>
        <w:rPr>
          <w:rFonts w:ascii="Times New Roman" w:hAnsi="Times New Roman" w:cs="Times New Roman" w:eastAsiaTheme="majorEastAsia"/>
          <w:b/>
          <w:bCs/>
          <w:color w:val="000000" w:themeColor="text1"/>
          <w:kern w:val="0"/>
          <w:sz w:val="32"/>
          <w:szCs w:val="32"/>
          <w14:textFill>
            <w14:solidFill>
              <w14:schemeClr w14:val="tx1"/>
            </w14:solidFill>
          </w14:textFill>
          <w14:ligatures w14:val="none"/>
        </w:rPr>
      </w:pPr>
      <w:r>
        <w:rPr>
          <w:rFonts w:ascii="Times New Roman" w:hAnsi="Times New Roman" w:cs="Times New Roman" w:eastAsiaTheme="majorEastAsia"/>
          <w:b/>
          <w:bCs/>
          <w:color w:val="000000" w:themeColor="text1"/>
          <w:kern w:val="0"/>
          <w:sz w:val="32"/>
          <w:szCs w:val="32"/>
          <w14:textFill>
            <w14:solidFill>
              <w14:schemeClr w14:val="tx1"/>
            </w14:solidFill>
          </w14:textFill>
          <w14:ligatures w14:val="none"/>
        </w:rPr>
        <w:t>Assessment Component 1: Individual Report</w:t>
      </w:r>
    </w:p>
    <w:p>
      <w:pPr>
        <w:tabs>
          <w:tab w:val="left" w:pos="1421"/>
        </w:tabs>
        <w:spacing w:after="0" w:line="360" w:lineRule="auto"/>
        <w:jc w:val="center"/>
        <w:rPr>
          <w:rFonts w:ascii="Times New Roman" w:hAnsi="Times New Roman" w:cs="Times New Roman" w:eastAsiaTheme="majorEastAsia"/>
          <w:b/>
          <w:bCs/>
          <w:color w:val="000000" w:themeColor="text1"/>
          <w:kern w:val="0"/>
          <w:sz w:val="36"/>
          <w:szCs w:val="36"/>
          <w14:textFill>
            <w14:solidFill>
              <w14:schemeClr w14:val="tx1"/>
            </w14:solidFill>
          </w14:textFill>
          <w14:ligatures w14:val="none"/>
        </w:rPr>
      </w:pPr>
    </w:p>
    <w:p>
      <w:pPr>
        <w:tabs>
          <w:tab w:val="left" w:pos="1421"/>
        </w:tabs>
        <w:spacing w:after="0" w:line="240" w:lineRule="auto"/>
        <w:jc w:val="center"/>
        <w:rPr>
          <w:rFonts w:ascii="Times New Roman" w:hAnsi="Times New Roman" w:cs="Times New Roman" w:eastAsiaTheme="majorEastAsia"/>
          <w:b/>
          <w:bCs/>
          <w:kern w:val="0"/>
          <w:sz w:val="36"/>
          <w:szCs w:val="36"/>
          <w14:ligatures w14:val="none"/>
        </w:rPr>
      </w:pPr>
      <w:r>
        <w:rPr>
          <w:rFonts w:ascii="Times New Roman" w:hAnsi="Times New Roman" w:cs="Times New Roman"/>
          <w:b/>
          <w:bCs/>
          <w:sz w:val="28"/>
          <w:szCs w:val="28"/>
        </w:rPr>
        <w:t>Title: Strategic Human Capital Management: Innovative Working Practices, Talent Development and the Strategic Use of Artificial Intelligence at NHSX</w:t>
      </w:r>
    </w:p>
    <w:p>
      <w:pPr>
        <w:tabs>
          <w:tab w:val="left" w:pos="1421"/>
        </w:tabs>
        <w:spacing w:after="0" w:line="360" w:lineRule="auto"/>
        <w:jc w:val="center"/>
        <w:rPr>
          <w:rFonts w:ascii="Times New Roman" w:hAnsi="Times New Roman" w:cs="Times New Roman" w:eastAsiaTheme="majorEastAsia"/>
          <w:b/>
          <w:bCs/>
          <w:color w:val="000000" w:themeColor="text1"/>
          <w:kern w:val="0"/>
          <w:sz w:val="28"/>
          <w:szCs w:val="28"/>
          <w14:textFill>
            <w14:solidFill>
              <w14:schemeClr w14:val="tx1"/>
            </w14:solidFill>
          </w14:textFill>
          <w14:ligatures w14:val="none"/>
        </w:rPr>
      </w:pPr>
    </w:p>
    <w:p>
      <w:pPr>
        <w:tabs>
          <w:tab w:val="left" w:pos="1421"/>
        </w:tabs>
        <w:spacing w:after="0" w:line="360" w:lineRule="auto"/>
        <w:jc w:val="center"/>
        <w:rPr>
          <w:rFonts w:ascii="Times New Roman" w:hAnsi="Times New Roman" w:cs="Times New Roman" w:eastAsiaTheme="majorEastAsia"/>
          <w:b/>
          <w:bCs/>
          <w:color w:val="000000" w:themeColor="text1"/>
          <w:kern w:val="0"/>
          <w:sz w:val="28"/>
          <w:szCs w:val="28"/>
          <w14:textFill>
            <w14:solidFill>
              <w14:schemeClr w14:val="tx1"/>
            </w14:solidFill>
          </w14:textFill>
          <w14:ligatures w14:val="none"/>
        </w:rPr>
      </w:pPr>
      <w:r>
        <w:rPr>
          <w:rFonts w:ascii="Times New Roman" w:hAnsi="Times New Roman" w:cs="Times New Roman" w:eastAsiaTheme="majorEastAsia"/>
          <w:b/>
          <w:bCs/>
          <w:color w:val="000000" w:themeColor="text1"/>
          <w:kern w:val="0"/>
          <w:sz w:val="28"/>
          <w:szCs w:val="28"/>
          <w14:textFill>
            <w14:solidFill>
              <w14:schemeClr w14:val="tx1"/>
            </w14:solidFill>
          </w14:textFill>
          <w14:ligatures w14:val="none"/>
        </w:rPr>
        <w:t>Lecturer Name: Eno Maycock (Birmingham)</w:t>
      </w:r>
    </w:p>
    <w:p>
      <w:pPr>
        <w:tabs>
          <w:tab w:val="center" w:pos="4873"/>
        </w:tabs>
        <w:spacing w:after="0" w:line="360" w:lineRule="auto"/>
        <w:jc w:val="center"/>
        <w:rPr>
          <w:rFonts w:ascii="Times New Roman" w:hAnsi="Times New Roman" w:cs="Times New Roman" w:eastAsiaTheme="majorEastAsia"/>
          <w:b/>
          <w:bCs/>
          <w:color w:val="000000" w:themeColor="text1"/>
          <w:kern w:val="0"/>
          <w:sz w:val="28"/>
          <w:szCs w:val="28"/>
          <w14:textFill>
            <w14:solidFill>
              <w14:schemeClr w14:val="tx1"/>
            </w14:solidFill>
          </w14:textFill>
          <w14:ligatures w14:val="none"/>
        </w:rPr>
      </w:pPr>
      <w:r>
        <w:rPr>
          <w:rFonts w:ascii="Times New Roman" w:hAnsi="Times New Roman" w:cs="Times New Roman" w:eastAsiaTheme="majorEastAsia"/>
          <w:b/>
          <w:bCs/>
          <w:color w:val="000000" w:themeColor="text1"/>
          <w:kern w:val="0"/>
          <w:sz w:val="28"/>
          <w:szCs w:val="28"/>
          <w14:textFill>
            <w14:solidFill>
              <w14:schemeClr w14:val="tx1"/>
            </w14:solidFill>
          </w14:textFill>
          <w14:ligatures w14:val="none"/>
        </w:rPr>
        <w:t>Student Name: Mankeerat Singh</w:t>
      </w:r>
    </w:p>
    <w:p>
      <w:pPr>
        <w:tabs>
          <w:tab w:val="center" w:pos="4873"/>
        </w:tabs>
        <w:spacing w:after="0" w:line="360" w:lineRule="auto"/>
        <w:jc w:val="center"/>
        <w:rPr>
          <w:rFonts w:ascii="Times New Roman" w:hAnsi="Times New Roman" w:cs="Times New Roman" w:eastAsiaTheme="majorEastAsia"/>
          <w:b/>
          <w:bCs/>
          <w:color w:val="000000" w:themeColor="text1"/>
          <w:kern w:val="0"/>
          <w:sz w:val="28"/>
          <w:szCs w:val="28"/>
          <w14:textFill>
            <w14:solidFill>
              <w14:schemeClr w14:val="tx1"/>
            </w14:solidFill>
          </w14:textFill>
          <w14:ligatures w14:val="none"/>
        </w:rPr>
      </w:pPr>
      <w:r>
        <w:rPr>
          <w:rFonts w:ascii="Times New Roman" w:hAnsi="Times New Roman" w:cs="Times New Roman" w:eastAsiaTheme="majorEastAsia"/>
          <w:b/>
          <w:bCs/>
          <w:color w:val="000000" w:themeColor="text1"/>
          <w:kern w:val="0"/>
          <w:sz w:val="28"/>
          <w:szCs w:val="28"/>
          <w14:textFill>
            <w14:solidFill>
              <w14:schemeClr w14:val="tx1"/>
            </w14:solidFill>
          </w14:textFill>
          <w14:ligatures w14:val="none"/>
        </w:rPr>
        <w:t>Student ID: 2615721</w:t>
      </w:r>
    </w:p>
    <w:p>
      <w:pPr>
        <w:tabs>
          <w:tab w:val="center" w:pos="4873"/>
        </w:tabs>
        <w:spacing w:after="0" w:line="360" w:lineRule="auto"/>
        <w:jc w:val="center"/>
        <w:rPr>
          <w:rFonts w:ascii="Times New Roman" w:hAnsi="Times New Roman" w:cs="Times New Roman" w:eastAsiaTheme="majorEastAsia"/>
          <w:b/>
          <w:bCs/>
          <w:color w:val="000000" w:themeColor="text1"/>
          <w:kern w:val="0"/>
          <w:sz w:val="28"/>
          <w:szCs w:val="28"/>
          <w14:textFill>
            <w14:solidFill>
              <w14:schemeClr w14:val="tx1"/>
            </w14:solidFill>
          </w14:textFill>
          <w14:ligatures w14:val="none"/>
        </w:rPr>
      </w:pPr>
    </w:p>
    <w:p>
      <w:pPr>
        <w:tabs>
          <w:tab w:val="center" w:pos="4873"/>
        </w:tabs>
        <w:spacing w:after="0" w:line="360" w:lineRule="auto"/>
        <w:jc w:val="center"/>
        <w:rPr>
          <w:rFonts w:ascii="Times New Roman" w:hAnsi="Times New Roman" w:cs="Times New Roman" w:eastAsiaTheme="majorEastAsia"/>
          <w:b/>
          <w:bCs/>
          <w:color w:val="000000" w:themeColor="text1"/>
          <w:kern w:val="0"/>
          <w:sz w:val="28"/>
          <w:szCs w:val="28"/>
          <w14:textFill>
            <w14:solidFill>
              <w14:schemeClr w14:val="tx1"/>
            </w14:solidFill>
          </w14:textFill>
          <w14:ligatures w14:val="none"/>
        </w:rPr>
      </w:pPr>
      <w:r>
        <w:rPr>
          <w:rFonts w:ascii="Times New Roman" w:hAnsi="Times New Roman" w:cs="Times New Roman" w:eastAsiaTheme="majorEastAsia"/>
          <w:b/>
          <w:bCs/>
          <w:color w:val="000000" w:themeColor="text1"/>
          <w:kern w:val="0"/>
          <w:sz w:val="28"/>
          <w:szCs w:val="28"/>
          <w14:textFill>
            <w14:solidFill>
              <w14:schemeClr w14:val="tx1"/>
            </w14:solidFill>
          </w14:textFill>
          <w14:ligatures w14:val="none"/>
        </w:rPr>
        <w:t>Words: 2,666</w:t>
      </w:r>
    </w:p>
    <w:p>
      <w:pPr>
        <w:tabs>
          <w:tab w:val="center" w:pos="4873"/>
        </w:tabs>
        <w:spacing w:after="0" w:line="360" w:lineRule="auto"/>
        <w:jc w:val="center"/>
        <w:rPr>
          <w:rFonts w:ascii="Times New Roman" w:hAnsi="Times New Roman" w:cs="Times New Roman" w:eastAsiaTheme="majorEastAsia"/>
          <w:b/>
          <w:bCs/>
          <w:color w:val="000000" w:themeColor="text1"/>
          <w:kern w:val="0"/>
          <w:sz w:val="28"/>
          <w:szCs w:val="28"/>
          <w14:textFill>
            <w14:solidFill>
              <w14:schemeClr w14:val="tx1"/>
            </w14:solidFill>
          </w14:textFill>
          <w14:ligatures w14:val="none"/>
        </w:rPr>
      </w:pPr>
      <w:r>
        <w:rPr>
          <w:rFonts w:ascii="Times New Roman" w:hAnsi="Times New Roman" w:cs="Times New Roman" w:eastAsiaTheme="majorEastAsia"/>
          <w:b/>
          <w:bCs/>
          <w:color w:val="000000" w:themeColor="text1"/>
          <w:kern w:val="0"/>
          <w:sz w:val="28"/>
          <w:szCs w:val="28"/>
          <w14:textFill>
            <w14:solidFill>
              <w14:schemeClr w14:val="tx1"/>
            </w14:solidFill>
          </w14:textFill>
          <w14:ligatures w14:val="none"/>
        </w:rPr>
        <w:t>Submission Date: October 15</w:t>
      </w:r>
      <w:r>
        <w:rPr>
          <w:rFonts w:ascii="Times New Roman" w:hAnsi="Times New Roman" w:cs="Times New Roman" w:eastAsiaTheme="majorEastAsia"/>
          <w:b/>
          <w:bCs/>
          <w:color w:val="000000" w:themeColor="text1"/>
          <w:kern w:val="0"/>
          <w:sz w:val="28"/>
          <w:szCs w:val="28"/>
          <w:vertAlign w:val="superscript"/>
          <w14:textFill>
            <w14:solidFill>
              <w14:schemeClr w14:val="tx1"/>
            </w14:solidFill>
          </w14:textFill>
          <w14:ligatures w14:val="none"/>
        </w:rPr>
        <w:t>th</w:t>
      </w:r>
      <w:r>
        <w:rPr>
          <w:rFonts w:ascii="Times New Roman" w:hAnsi="Times New Roman" w:cs="Times New Roman" w:eastAsiaTheme="majorEastAsia"/>
          <w:b/>
          <w:bCs/>
          <w:color w:val="000000" w:themeColor="text1"/>
          <w:kern w:val="0"/>
          <w:sz w:val="28"/>
          <w:szCs w:val="28"/>
          <w14:textFill>
            <w14:solidFill>
              <w14:schemeClr w14:val="tx1"/>
            </w14:solidFill>
          </w14:textFill>
          <w14:ligatures w14:val="none"/>
        </w:rPr>
        <w:t xml:space="preserve"> , 2026</w:t>
      </w:r>
    </w:p>
    <w:p>
      <w:pPr>
        <w:rPr>
          <w:rFonts w:asciiTheme="majorBidi" w:hAnsiTheme="majorBidi" w:eastAsiaTheme="majorEastAsia" w:cstheme="majorBidi"/>
          <w:b/>
          <w:bCs/>
          <w:color w:val="000000" w:themeColor="text1"/>
          <w:kern w:val="0"/>
          <w:sz w:val="28"/>
          <w:szCs w:val="28"/>
          <w14:textFill>
            <w14:solidFill>
              <w14:schemeClr w14:val="tx1"/>
            </w14:solidFill>
          </w14:textFill>
          <w14:ligatures w14:val="none"/>
        </w:rPr>
      </w:pPr>
      <w:r>
        <w:rPr>
          <w:rFonts w:asciiTheme="majorBidi" w:hAnsiTheme="majorBidi" w:eastAsiaTheme="majorEastAsia" w:cstheme="majorBidi"/>
          <w:b/>
          <w:bCs/>
          <w:color w:val="000000" w:themeColor="text1"/>
          <w:kern w:val="0"/>
          <w:sz w:val="28"/>
          <w:szCs w:val="28"/>
          <w14:textFill>
            <w14:solidFill>
              <w14:schemeClr w14:val="tx1"/>
            </w14:solidFill>
          </w14:textFill>
          <w14:ligatures w14:val="none"/>
        </w:rPr>
        <w:br w:type="page"/>
      </w:r>
    </w:p>
    <w:sdt>
      <w:sdtPr>
        <w:rPr>
          <w:rFonts w:asciiTheme="majorBidi" w:hAnsiTheme="majorBidi" w:eastAsiaTheme="minorHAnsi" w:cstheme="minorBidi"/>
          <w:color w:val="000000" w:themeColor="text1"/>
          <w:kern w:val="2"/>
          <w:sz w:val="24"/>
          <w:szCs w:val="24"/>
          <w14:textFill>
            <w14:solidFill>
              <w14:schemeClr w14:val="tx1"/>
            </w14:solidFill>
          </w14:textFill>
          <w14:ligatures w14:val="standardContextual"/>
        </w:rPr>
        <w:id w:val="-208185383"/>
        <w:docPartObj>
          <w:docPartGallery w:val="Table of Contents"/>
          <w:docPartUnique/>
        </w:docPartObj>
      </w:sdtPr>
      <w:sdtEndPr>
        <w:rPr>
          <w:rFonts w:asciiTheme="majorBidi" w:hAnsiTheme="majorBidi" w:eastAsiaTheme="minorHAnsi" w:cstheme="minorBidi"/>
          <w:b/>
          <w:bCs/>
          <w:color w:val="000000" w:themeColor="text1"/>
          <w:kern w:val="2"/>
          <w:sz w:val="24"/>
          <w:szCs w:val="24"/>
          <w14:textFill>
            <w14:solidFill>
              <w14:schemeClr w14:val="tx1"/>
            </w14:solidFill>
          </w14:textFill>
          <w14:ligatures w14:val="standardContextual"/>
        </w:rPr>
      </w:sdtEndPr>
      <w:sdtContent>
        <w:p>
          <w:pPr>
            <w:pStyle w:val="41"/>
            <w:jc w:val="center"/>
            <w:rPr>
              <w:rFonts w:asciiTheme="majorBidi" w:hAnsiTheme="majorBidi"/>
              <w:color w:val="000000" w:themeColor="text1"/>
              <w14:textFill>
                <w14:solidFill>
                  <w14:schemeClr w14:val="tx1"/>
                </w14:solidFill>
              </w14:textFill>
            </w:rPr>
          </w:pPr>
          <w:r>
            <w:rPr>
              <w:rFonts w:asciiTheme="majorBidi" w:hAnsiTheme="majorBidi"/>
              <w:b/>
              <w:bCs/>
              <w:color w:val="000000" w:themeColor="text1"/>
              <w14:textFill>
                <w14:solidFill>
                  <w14:schemeClr w14:val="tx1"/>
                </w14:solidFill>
              </w14:textFill>
            </w:rPr>
            <w:t>Contents List</w:t>
          </w:r>
        </w:p>
        <w:p>
          <w:pPr>
            <w:pStyle w:val="19"/>
            <w:tabs>
              <w:tab w:val="left" w:pos="480"/>
              <w:tab w:val="right" w:leader="dot" w:pos="9736"/>
            </w:tabs>
            <w:rPr>
              <w:rFonts w:eastAsiaTheme="minorEastAsia"/>
            </w:rPr>
          </w:pPr>
          <w:r>
            <w:rPr>
              <w:rFonts w:asciiTheme="majorBidi" w:hAnsiTheme="majorBidi" w:cstheme="majorBidi"/>
              <w:color w:val="000000" w:themeColor="text1"/>
              <w14:textFill>
                <w14:solidFill>
                  <w14:schemeClr w14:val="tx1"/>
                </w14:solidFill>
              </w14:textFill>
            </w:rPr>
            <w:fldChar w:fldCharType="begin"/>
          </w:r>
          <w:r>
            <w:rPr>
              <w:rFonts w:asciiTheme="majorBidi" w:hAnsiTheme="majorBidi" w:cstheme="majorBidi"/>
              <w:color w:val="000000" w:themeColor="text1"/>
              <w14:textFill>
                <w14:solidFill>
                  <w14:schemeClr w14:val="tx1"/>
                </w14:solidFill>
              </w14:textFill>
            </w:rPr>
            <w:instrText xml:space="preserve"> TOC \o "1-3" \h \z \u </w:instrText>
          </w:r>
          <w:r>
            <w:rPr>
              <w:rFonts w:asciiTheme="majorBidi" w:hAnsiTheme="majorBidi" w:cstheme="majorBidi"/>
              <w:color w:val="000000" w:themeColor="text1"/>
              <w14:textFill>
                <w14:solidFill>
                  <w14:schemeClr w14:val="tx1"/>
                </w14:solidFill>
              </w14:textFill>
            </w:rPr>
            <w:fldChar w:fldCharType="separate"/>
          </w:r>
          <w:r>
            <w:fldChar w:fldCharType="begin"/>
          </w:r>
          <w:r>
            <w:instrText xml:space="preserve"> HYPERLINK \l "_Toc242801639" </w:instrText>
          </w:r>
          <w:r>
            <w:fldChar w:fldCharType="separate"/>
          </w:r>
          <w:r>
            <w:rPr>
              <w:rStyle w:val="15"/>
              <w:rFonts w:asciiTheme="majorBidi" w:hAnsiTheme="majorBidi"/>
              <w:b/>
              <w:bCs/>
            </w:rPr>
            <w:t>1</w:t>
          </w:r>
          <w:r>
            <w:rPr>
              <w:rFonts w:eastAsiaTheme="minorEastAsia"/>
            </w:rPr>
            <w:tab/>
          </w:r>
          <w:r>
            <w:rPr>
              <w:rStyle w:val="15"/>
              <w:rFonts w:asciiTheme="majorBidi" w:hAnsiTheme="majorBidi"/>
              <w:b/>
              <w:bCs/>
            </w:rPr>
            <w:t>Introduction</w:t>
          </w:r>
          <w:r>
            <w:tab/>
          </w:r>
          <w:r>
            <w:fldChar w:fldCharType="begin"/>
          </w:r>
          <w:r>
            <w:instrText xml:space="preserve"> PAGEREF _Toc242801639 \h </w:instrText>
          </w:r>
          <w:r>
            <w:fldChar w:fldCharType="separate"/>
          </w:r>
          <w:r>
            <w:t>3</w:t>
          </w:r>
          <w:r>
            <w:fldChar w:fldCharType="end"/>
          </w:r>
          <w:r>
            <w:fldChar w:fldCharType="end"/>
          </w:r>
        </w:p>
        <w:p>
          <w:pPr>
            <w:pStyle w:val="19"/>
            <w:tabs>
              <w:tab w:val="left" w:pos="480"/>
              <w:tab w:val="right" w:leader="dot" w:pos="9736"/>
            </w:tabs>
            <w:rPr>
              <w:rFonts w:eastAsiaTheme="minorEastAsia"/>
            </w:rPr>
          </w:pPr>
          <w:r>
            <w:fldChar w:fldCharType="begin"/>
          </w:r>
          <w:r>
            <w:instrText xml:space="preserve"> HYPERLINK \l "_Toc242801640" </w:instrText>
          </w:r>
          <w:r>
            <w:fldChar w:fldCharType="separate"/>
          </w:r>
          <w:r>
            <w:rPr>
              <w:rStyle w:val="15"/>
              <w:rFonts w:asciiTheme="majorBidi" w:hAnsiTheme="majorBidi"/>
              <w:b/>
              <w:bCs/>
            </w:rPr>
            <w:t>2</w:t>
          </w:r>
          <w:r>
            <w:rPr>
              <w:rFonts w:eastAsiaTheme="minorEastAsia"/>
            </w:rPr>
            <w:tab/>
          </w:r>
          <w:r>
            <w:rPr>
              <w:rStyle w:val="15"/>
              <w:rFonts w:asciiTheme="majorBidi" w:hAnsiTheme="majorBidi"/>
              <w:b/>
              <w:bCs/>
            </w:rPr>
            <w:t>TASK A: Designing Innovative Working Practices</w:t>
          </w:r>
          <w:r>
            <w:tab/>
          </w:r>
          <w:r>
            <w:fldChar w:fldCharType="begin"/>
          </w:r>
          <w:r>
            <w:instrText xml:space="preserve"> PAGEREF _Toc242801640 \h </w:instrText>
          </w:r>
          <w:r>
            <w:fldChar w:fldCharType="separate"/>
          </w:r>
          <w:r>
            <w:t>3</w:t>
          </w:r>
          <w:r>
            <w:fldChar w:fldCharType="end"/>
          </w:r>
          <w:r>
            <w:fldChar w:fldCharType="end"/>
          </w:r>
        </w:p>
        <w:p>
          <w:pPr>
            <w:pStyle w:val="20"/>
            <w:tabs>
              <w:tab w:val="left" w:pos="960"/>
              <w:tab w:val="right" w:leader="dot" w:pos="9736"/>
            </w:tabs>
            <w:rPr>
              <w:rFonts w:eastAsiaTheme="minorEastAsia"/>
            </w:rPr>
          </w:pPr>
          <w:r>
            <w:fldChar w:fldCharType="begin"/>
          </w:r>
          <w:r>
            <w:instrText xml:space="preserve"> HYPERLINK \l "_Toc242801641" </w:instrText>
          </w:r>
          <w:r>
            <w:fldChar w:fldCharType="separate"/>
          </w:r>
          <w:r>
            <w:rPr>
              <w:rStyle w:val="15"/>
              <w:rFonts w:asciiTheme="majorBidi" w:hAnsiTheme="majorBidi"/>
              <w:b/>
              <w:bCs/>
            </w:rPr>
            <w:t>2.1</w:t>
          </w:r>
          <w:r>
            <w:rPr>
              <w:rFonts w:eastAsiaTheme="minorEastAsia"/>
            </w:rPr>
            <w:tab/>
          </w:r>
          <w:r>
            <w:rPr>
              <w:rStyle w:val="15"/>
              <w:rFonts w:asciiTheme="majorBidi" w:hAnsiTheme="majorBidi"/>
              <w:b/>
              <w:bCs/>
            </w:rPr>
            <w:t>Recommended Innovative Working Practices for NHSX</w:t>
          </w:r>
          <w:r>
            <w:tab/>
          </w:r>
          <w:r>
            <w:fldChar w:fldCharType="begin"/>
          </w:r>
          <w:r>
            <w:instrText xml:space="preserve"> PAGEREF _Toc242801641 \h </w:instrText>
          </w:r>
          <w:r>
            <w:fldChar w:fldCharType="separate"/>
          </w:r>
          <w:r>
            <w:t>5</w:t>
          </w:r>
          <w:r>
            <w:fldChar w:fldCharType="end"/>
          </w:r>
          <w:r>
            <w:fldChar w:fldCharType="end"/>
          </w:r>
        </w:p>
        <w:p>
          <w:pPr>
            <w:pStyle w:val="19"/>
            <w:tabs>
              <w:tab w:val="left" w:pos="480"/>
              <w:tab w:val="right" w:leader="dot" w:pos="9736"/>
            </w:tabs>
            <w:rPr>
              <w:rFonts w:eastAsiaTheme="minorEastAsia"/>
            </w:rPr>
          </w:pPr>
          <w:r>
            <w:fldChar w:fldCharType="begin"/>
          </w:r>
          <w:r>
            <w:instrText xml:space="preserve"> HYPERLINK \l "_Toc242801642" </w:instrText>
          </w:r>
          <w:r>
            <w:fldChar w:fldCharType="separate"/>
          </w:r>
          <w:r>
            <w:rPr>
              <w:rStyle w:val="15"/>
              <w:rFonts w:asciiTheme="majorBidi" w:hAnsiTheme="majorBidi"/>
              <w:b/>
              <w:bCs/>
            </w:rPr>
            <w:t>3</w:t>
          </w:r>
          <w:r>
            <w:rPr>
              <w:rFonts w:eastAsiaTheme="minorEastAsia"/>
            </w:rPr>
            <w:tab/>
          </w:r>
          <w:r>
            <w:rPr>
              <w:rStyle w:val="15"/>
              <w:rFonts w:asciiTheme="majorBidi" w:hAnsiTheme="majorBidi"/>
              <w:b/>
              <w:bCs/>
            </w:rPr>
            <w:t>TASK B: Breeding an Environment Where Talent May Grow</w:t>
          </w:r>
          <w:r>
            <w:tab/>
          </w:r>
          <w:r>
            <w:fldChar w:fldCharType="begin"/>
          </w:r>
          <w:r>
            <w:instrText xml:space="preserve"> PAGEREF _Toc242801642 \h </w:instrText>
          </w:r>
          <w:r>
            <w:fldChar w:fldCharType="separate"/>
          </w:r>
          <w:r>
            <w:t>6</w:t>
          </w:r>
          <w:r>
            <w:fldChar w:fldCharType="end"/>
          </w:r>
          <w:r>
            <w:fldChar w:fldCharType="end"/>
          </w:r>
        </w:p>
        <w:p>
          <w:pPr>
            <w:pStyle w:val="20"/>
            <w:tabs>
              <w:tab w:val="left" w:pos="960"/>
              <w:tab w:val="right" w:leader="dot" w:pos="9736"/>
            </w:tabs>
            <w:rPr>
              <w:rFonts w:eastAsiaTheme="minorEastAsia"/>
            </w:rPr>
          </w:pPr>
          <w:r>
            <w:fldChar w:fldCharType="begin"/>
          </w:r>
          <w:r>
            <w:instrText xml:space="preserve"> HYPERLINK \l "_Toc242801643" </w:instrText>
          </w:r>
          <w:r>
            <w:fldChar w:fldCharType="separate"/>
          </w:r>
          <w:r>
            <w:rPr>
              <w:rStyle w:val="15"/>
              <w:rFonts w:asciiTheme="majorBidi" w:hAnsiTheme="majorBidi"/>
              <w:b/>
              <w:bCs/>
            </w:rPr>
            <w:t>3.1</w:t>
          </w:r>
          <w:r>
            <w:rPr>
              <w:rFonts w:eastAsiaTheme="minorEastAsia"/>
            </w:rPr>
            <w:tab/>
          </w:r>
          <w:r>
            <w:rPr>
              <w:rStyle w:val="15"/>
              <w:rFonts w:asciiTheme="majorBidi" w:hAnsiTheme="majorBidi"/>
              <w:b/>
              <w:bCs/>
            </w:rPr>
            <w:t>Comprehensive Talent Growth Strategy for NHSX</w:t>
          </w:r>
          <w:r>
            <w:tab/>
          </w:r>
          <w:r>
            <w:fldChar w:fldCharType="begin"/>
          </w:r>
          <w:r>
            <w:instrText xml:space="preserve"> PAGEREF _Toc242801643 \h </w:instrText>
          </w:r>
          <w:r>
            <w:fldChar w:fldCharType="separate"/>
          </w:r>
          <w:r>
            <w:t>8</w:t>
          </w:r>
          <w:r>
            <w:fldChar w:fldCharType="end"/>
          </w:r>
          <w:r>
            <w:fldChar w:fldCharType="end"/>
          </w:r>
        </w:p>
        <w:p>
          <w:pPr>
            <w:pStyle w:val="20"/>
            <w:tabs>
              <w:tab w:val="left" w:pos="960"/>
              <w:tab w:val="right" w:leader="dot" w:pos="9736"/>
            </w:tabs>
            <w:rPr>
              <w:rFonts w:eastAsiaTheme="minorEastAsia"/>
            </w:rPr>
          </w:pPr>
          <w:r>
            <w:fldChar w:fldCharType="begin"/>
          </w:r>
          <w:r>
            <w:instrText xml:space="preserve"> HYPERLINK \l "_Toc242801644" </w:instrText>
          </w:r>
          <w:r>
            <w:fldChar w:fldCharType="separate"/>
          </w:r>
          <w:r>
            <w:rPr>
              <w:rStyle w:val="15"/>
              <w:rFonts w:asciiTheme="majorBidi" w:hAnsiTheme="majorBidi"/>
              <w:b/>
              <w:bCs/>
            </w:rPr>
            <w:t>3.2</w:t>
          </w:r>
          <w:r>
            <w:rPr>
              <w:rFonts w:eastAsiaTheme="minorEastAsia"/>
            </w:rPr>
            <w:tab/>
          </w:r>
          <w:r>
            <w:rPr>
              <w:rStyle w:val="15"/>
              <w:rFonts w:asciiTheme="majorBidi" w:hAnsiTheme="majorBidi"/>
              <w:b/>
              <w:bCs/>
            </w:rPr>
            <w:t>Measuring Talent Strategy Success</w:t>
          </w:r>
          <w:r>
            <w:tab/>
          </w:r>
          <w:r>
            <w:fldChar w:fldCharType="begin"/>
          </w:r>
          <w:r>
            <w:instrText xml:space="preserve"> PAGEREF _Toc242801644 \h </w:instrText>
          </w:r>
          <w:r>
            <w:fldChar w:fldCharType="separate"/>
          </w:r>
          <w:r>
            <w:t>9</w:t>
          </w:r>
          <w:r>
            <w:fldChar w:fldCharType="end"/>
          </w:r>
          <w:r>
            <w:fldChar w:fldCharType="end"/>
          </w:r>
        </w:p>
        <w:p>
          <w:pPr>
            <w:pStyle w:val="19"/>
            <w:tabs>
              <w:tab w:val="left" w:pos="480"/>
              <w:tab w:val="right" w:leader="dot" w:pos="9736"/>
            </w:tabs>
            <w:rPr>
              <w:rFonts w:eastAsiaTheme="minorEastAsia"/>
            </w:rPr>
          </w:pPr>
          <w:r>
            <w:fldChar w:fldCharType="begin"/>
          </w:r>
          <w:r>
            <w:instrText xml:space="preserve"> HYPERLINK \l "_Toc242801645" </w:instrText>
          </w:r>
          <w:r>
            <w:fldChar w:fldCharType="separate"/>
          </w:r>
          <w:r>
            <w:rPr>
              <w:rStyle w:val="15"/>
              <w:rFonts w:asciiTheme="majorBidi" w:hAnsiTheme="majorBidi"/>
              <w:b/>
              <w:bCs/>
            </w:rPr>
            <w:t>4</w:t>
          </w:r>
          <w:r>
            <w:rPr>
              <w:rFonts w:eastAsiaTheme="minorEastAsia"/>
            </w:rPr>
            <w:tab/>
          </w:r>
          <w:r>
            <w:rPr>
              <w:rStyle w:val="15"/>
              <w:rFonts w:asciiTheme="majorBidi" w:hAnsiTheme="majorBidi"/>
              <w:b/>
              <w:bCs/>
            </w:rPr>
            <w:t>TASK C: Reflective Report</w:t>
          </w:r>
          <w:r>
            <w:tab/>
          </w:r>
          <w:r>
            <w:fldChar w:fldCharType="begin"/>
          </w:r>
          <w:r>
            <w:instrText xml:space="preserve"> PAGEREF _Toc242801645 \h </w:instrText>
          </w:r>
          <w:r>
            <w:fldChar w:fldCharType="separate"/>
          </w:r>
          <w:r>
            <w:t>9</w:t>
          </w:r>
          <w:r>
            <w:fldChar w:fldCharType="end"/>
          </w:r>
          <w:r>
            <w:fldChar w:fldCharType="end"/>
          </w:r>
        </w:p>
        <w:p>
          <w:pPr>
            <w:pStyle w:val="20"/>
            <w:tabs>
              <w:tab w:val="left" w:pos="960"/>
              <w:tab w:val="right" w:leader="dot" w:pos="9736"/>
            </w:tabs>
            <w:rPr>
              <w:rFonts w:eastAsiaTheme="minorEastAsia"/>
            </w:rPr>
          </w:pPr>
          <w:r>
            <w:fldChar w:fldCharType="begin"/>
          </w:r>
          <w:r>
            <w:instrText xml:space="preserve"> HYPERLINK \l "_Toc242801646" </w:instrText>
          </w:r>
          <w:r>
            <w:fldChar w:fldCharType="separate"/>
          </w:r>
          <w:r>
            <w:rPr>
              <w:rStyle w:val="15"/>
              <w:rFonts w:asciiTheme="majorBidi" w:hAnsiTheme="majorBidi"/>
              <w:b/>
              <w:bCs/>
            </w:rPr>
            <w:t>4.1</w:t>
          </w:r>
          <w:r>
            <w:rPr>
              <w:rFonts w:eastAsiaTheme="minorEastAsia"/>
            </w:rPr>
            <w:tab/>
          </w:r>
          <w:r>
            <w:rPr>
              <w:rStyle w:val="15"/>
              <w:rFonts w:asciiTheme="majorBidi" w:hAnsiTheme="majorBidi"/>
              <w:b/>
              <w:bCs/>
            </w:rPr>
            <w:t>Artificial Intelligence as a Strategic HRM means</w:t>
          </w:r>
          <w:r>
            <w:tab/>
          </w:r>
          <w:r>
            <w:fldChar w:fldCharType="begin"/>
          </w:r>
          <w:r>
            <w:instrText xml:space="preserve"> PAGEREF _Toc242801646 \h </w:instrText>
          </w:r>
          <w:r>
            <w:fldChar w:fldCharType="separate"/>
          </w:r>
          <w:r>
            <w:t>9</w:t>
          </w:r>
          <w:r>
            <w:fldChar w:fldCharType="end"/>
          </w:r>
          <w:r>
            <w:fldChar w:fldCharType="end"/>
          </w:r>
        </w:p>
        <w:p>
          <w:pPr>
            <w:pStyle w:val="20"/>
            <w:tabs>
              <w:tab w:val="left" w:pos="960"/>
              <w:tab w:val="right" w:leader="dot" w:pos="9736"/>
            </w:tabs>
            <w:rPr>
              <w:rFonts w:eastAsiaTheme="minorEastAsia"/>
            </w:rPr>
          </w:pPr>
          <w:r>
            <w:fldChar w:fldCharType="begin"/>
          </w:r>
          <w:r>
            <w:instrText xml:space="preserve"> HYPERLINK \l "_Toc242801647" </w:instrText>
          </w:r>
          <w:r>
            <w:fldChar w:fldCharType="separate"/>
          </w:r>
          <w:r>
            <w:rPr>
              <w:rStyle w:val="15"/>
              <w:rFonts w:asciiTheme="majorBidi" w:hAnsiTheme="majorBidi"/>
              <w:b/>
              <w:bCs/>
            </w:rPr>
            <w:t>3.1</w:t>
          </w:r>
          <w:r>
            <w:rPr>
              <w:rFonts w:eastAsiaTheme="minorEastAsia"/>
            </w:rPr>
            <w:tab/>
          </w:r>
          <w:r>
            <w:rPr>
              <w:rStyle w:val="15"/>
              <w:rFonts w:asciiTheme="majorBidi" w:hAnsiTheme="majorBidi"/>
              <w:b/>
              <w:bCs/>
            </w:rPr>
            <w:t>Reflective Analysis: Three Examples of Personal AI Use</w:t>
          </w:r>
          <w:r>
            <w:tab/>
          </w:r>
          <w:r>
            <w:fldChar w:fldCharType="begin"/>
          </w:r>
          <w:r>
            <w:instrText xml:space="preserve"> PAGEREF _Toc242801647 \h </w:instrText>
          </w:r>
          <w:r>
            <w:fldChar w:fldCharType="separate"/>
          </w:r>
          <w:r>
            <w:t>9</w:t>
          </w:r>
          <w:r>
            <w:fldChar w:fldCharType="end"/>
          </w:r>
          <w:r>
            <w:fldChar w:fldCharType="end"/>
          </w:r>
        </w:p>
        <w:p>
          <w:pPr>
            <w:pStyle w:val="20"/>
            <w:tabs>
              <w:tab w:val="left" w:pos="960"/>
              <w:tab w:val="right" w:leader="dot" w:pos="9736"/>
            </w:tabs>
            <w:rPr>
              <w:rFonts w:eastAsiaTheme="minorEastAsia"/>
            </w:rPr>
          </w:pPr>
          <w:r>
            <w:fldChar w:fldCharType="begin"/>
          </w:r>
          <w:r>
            <w:instrText xml:space="preserve"> HYPERLINK \l "_Toc242801648" </w:instrText>
          </w:r>
          <w:r>
            <w:fldChar w:fldCharType="separate"/>
          </w:r>
          <w:r>
            <w:rPr>
              <w:rStyle w:val="15"/>
              <w:rFonts w:asciiTheme="majorBidi" w:hAnsiTheme="majorBidi"/>
              <w:b/>
              <w:bCs/>
            </w:rPr>
            <w:t>3.2</w:t>
          </w:r>
          <w:r>
            <w:rPr>
              <w:rFonts w:eastAsiaTheme="minorEastAsia"/>
            </w:rPr>
            <w:tab/>
          </w:r>
          <w:r>
            <w:rPr>
              <w:rStyle w:val="15"/>
              <w:rFonts w:asciiTheme="majorBidi" w:hAnsiTheme="majorBidi"/>
              <w:b/>
              <w:bCs/>
            </w:rPr>
            <w:t>Personal Capability Development Plan</w:t>
          </w:r>
          <w:r>
            <w:tab/>
          </w:r>
          <w:r>
            <w:fldChar w:fldCharType="begin"/>
          </w:r>
          <w:r>
            <w:instrText xml:space="preserve"> PAGEREF _Toc242801648 \h </w:instrText>
          </w:r>
          <w:r>
            <w:fldChar w:fldCharType="separate"/>
          </w:r>
          <w:r>
            <w:t>10</w:t>
          </w:r>
          <w:r>
            <w:fldChar w:fldCharType="end"/>
          </w:r>
          <w:r>
            <w:fldChar w:fldCharType="end"/>
          </w:r>
        </w:p>
        <w:p>
          <w:pPr>
            <w:pStyle w:val="19"/>
            <w:tabs>
              <w:tab w:val="left" w:pos="480"/>
              <w:tab w:val="right" w:leader="dot" w:pos="9736"/>
            </w:tabs>
            <w:rPr>
              <w:rFonts w:eastAsiaTheme="minorEastAsia"/>
            </w:rPr>
          </w:pPr>
          <w:r>
            <w:fldChar w:fldCharType="begin"/>
          </w:r>
          <w:r>
            <w:instrText xml:space="preserve"> HYPERLINK \l "_Toc242801649" </w:instrText>
          </w:r>
          <w:r>
            <w:fldChar w:fldCharType="separate"/>
          </w:r>
          <w:r>
            <w:rPr>
              <w:rStyle w:val="15"/>
              <w:rFonts w:asciiTheme="majorBidi" w:hAnsiTheme="majorBidi"/>
              <w:b/>
              <w:bCs/>
            </w:rPr>
            <w:t>5</w:t>
          </w:r>
          <w:r>
            <w:rPr>
              <w:rFonts w:eastAsiaTheme="minorEastAsia"/>
            </w:rPr>
            <w:tab/>
          </w:r>
          <w:r>
            <w:rPr>
              <w:rStyle w:val="15"/>
              <w:rFonts w:asciiTheme="majorBidi" w:hAnsiTheme="majorBidi"/>
              <w:b/>
              <w:bCs/>
            </w:rPr>
            <w:t>Conclusion</w:t>
          </w:r>
          <w:r>
            <w:tab/>
          </w:r>
          <w:r>
            <w:fldChar w:fldCharType="begin"/>
          </w:r>
          <w:r>
            <w:instrText xml:space="preserve"> PAGEREF _Toc242801649 \h </w:instrText>
          </w:r>
          <w:r>
            <w:fldChar w:fldCharType="separate"/>
          </w:r>
          <w:r>
            <w:t>11</w:t>
          </w:r>
          <w:r>
            <w:fldChar w:fldCharType="end"/>
          </w:r>
          <w:r>
            <w:fldChar w:fldCharType="end"/>
          </w:r>
        </w:p>
        <w:p>
          <w:pPr>
            <w:rPr>
              <w:rFonts w:asciiTheme="majorBidi" w:hAnsiTheme="majorBidi" w:cstheme="majorBidi"/>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fldChar w:fldCharType="end"/>
          </w:r>
        </w:p>
      </w:sdtContent>
    </w:sdt>
    <w:p>
      <w:pPr>
        <w:rPr>
          <w:rFonts w:asciiTheme="majorBidi" w:hAnsiTheme="majorBidi" w:eastAsiaTheme="majorEastAsia"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br w:type="page"/>
      </w:r>
    </w:p>
    <w:p>
      <w:pPr>
        <w:pStyle w:val="2"/>
        <w:numPr>
          <w:ilvl w:val="0"/>
          <w:numId w:val="1"/>
        </w:numPr>
        <w:spacing w:before="0" w:after="0" w:line="360" w:lineRule="auto"/>
        <w:rPr>
          <w:rFonts w:asciiTheme="majorBidi" w:hAnsiTheme="majorBidi"/>
          <w:b/>
          <w:bCs/>
          <w:color w:val="000000" w:themeColor="text1"/>
          <w:sz w:val="24"/>
          <w:szCs w:val="24"/>
          <w14:textFill>
            <w14:solidFill>
              <w14:schemeClr w14:val="tx1"/>
            </w14:solidFill>
          </w14:textFill>
        </w:rPr>
      </w:pPr>
      <w:bookmarkStart w:id="0" w:name="_Toc242801639"/>
      <w:r>
        <w:rPr>
          <w:rFonts w:asciiTheme="majorBidi" w:hAnsiTheme="majorBidi"/>
          <w:b/>
          <w:bCs/>
          <w:color w:val="000000" w:themeColor="text1"/>
          <w:sz w:val="24"/>
          <w:szCs w:val="24"/>
          <w14:textFill>
            <w14:solidFill>
              <w14:schemeClr w14:val="tx1"/>
            </w14:solidFill>
          </w14:textFill>
        </w:rPr>
        <w:t>Introduction</w:t>
      </w:r>
      <w:bookmarkEnd w:id="0"/>
    </w:p>
    <w:p>
      <w:pPr>
        <w:spacing w:after="0" w:line="360" w:lineRule="auto"/>
        <w:jc w:val="both"/>
        <w:rPr>
          <w:rFonts w:eastAsia="Times New Roman" w:asciiTheme="majorBidi" w:hAnsiTheme="majorBidi" w:cstheme="majorBidi"/>
          <w:color w:val="000000" w:themeColor="text1"/>
          <w:kern w:val="0"/>
          <w14:textFill>
            <w14:solidFill>
              <w14:schemeClr w14:val="tx1"/>
            </w14:solidFill>
          </w14:textFill>
          <w14:ligatures w14:val="none"/>
        </w:rPr>
      </w:pPr>
      <w:r>
        <w:rPr>
          <w:rFonts w:asciiTheme="majorBidi" w:hAnsiTheme="majorBidi" w:cstheme="majorBidi"/>
          <w:color w:val="000000" w:themeColor="text1"/>
          <w14:textFill>
            <w14:solidFill>
              <w14:schemeClr w14:val="tx1"/>
            </w14:solidFill>
          </w14:textFill>
        </w:rPr>
        <w:t xml:space="preserve">NexSpace Health Systems (NHSX) is a fast growing healthcare technology company that currently employs around 600 individuals in the UK, India and the UAE </w:t>
      </w:r>
      <w:r>
        <w:rPr>
          <w:rFonts w:eastAsia="Times New Roman" w:asciiTheme="majorBidi" w:hAnsiTheme="majorBidi" w:cstheme="majorBidi"/>
          <w:color w:val="000000" w:themeColor="text1"/>
          <w:kern w:val="0"/>
          <w14:textFill>
            <w14:solidFill>
              <w14:schemeClr w14:val="tx1"/>
            </w14:solidFill>
          </w14:textFill>
          <w14:ligatures w14:val="none"/>
        </w:rPr>
        <w:t>(GOV.UK, 2019)</w:t>
      </w:r>
      <w:r>
        <w:rPr>
          <w:rFonts w:asciiTheme="majorBidi" w:hAnsiTheme="majorBidi" w:cstheme="majorBidi"/>
          <w:color w:val="000000" w:themeColor="text1"/>
          <w14:textFill>
            <w14:solidFill>
              <w14:schemeClr w14:val="tx1"/>
            </w14:solidFill>
          </w14:textFill>
        </w:rPr>
        <w:t xml:space="preserve">. Its expansion, and expanded investment in artificial intelligence (AI) has introduced scale effects on the workforce such as tiers of decision making, limited staff creativity, poor cooperation during hybrid working and challenges in employee retention due to high performers. These issues are especially pressing due to the growing rate of change in technologies putting more and more pressure on the requirements of digital skills and other human competences including creativity, adaptability and working together (World Economic Forum, 2025). </w:t>
      </w:r>
    </w:p>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This report critically analyse modern working practice, design strategic talent-development ecosystem and contemplate personal HRM capability development and how AI can be strategically used.</w:t>
      </w:r>
    </w:p>
    <w:p>
      <w:pPr>
        <w:pStyle w:val="2"/>
        <w:numPr>
          <w:ilvl w:val="0"/>
          <w:numId w:val="1"/>
        </w:numPr>
        <w:spacing w:before="0" w:after="0" w:line="360" w:lineRule="auto"/>
        <w:rPr>
          <w:rFonts w:asciiTheme="majorBidi" w:hAnsiTheme="majorBidi"/>
          <w:b/>
          <w:bCs/>
          <w:color w:val="000000" w:themeColor="text1"/>
          <w:sz w:val="24"/>
          <w:szCs w:val="24"/>
          <w14:textFill>
            <w14:solidFill>
              <w14:schemeClr w14:val="tx1"/>
            </w14:solidFill>
          </w14:textFill>
        </w:rPr>
      </w:pPr>
      <w:bookmarkStart w:id="1" w:name="_Toc242801640"/>
      <w:r>
        <w:rPr>
          <w:rFonts w:asciiTheme="majorBidi" w:hAnsiTheme="majorBidi"/>
          <w:b/>
          <w:bCs/>
          <w:color w:val="000000" w:themeColor="text1"/>
          <w:sz w:val="24"/>
          <w:szCs w:val="24"/>
          <w14:textFill>
            <w14:solidFill>
              <w14:schemeClr w14:val="tx1"/>
            </w14:solidFill>
          </w14:textFill>
        </w:rPr>
        <w:t>TASK A: Designing Innovative Working Practices</w:t>
      </w:r>
      <w:bookmarkEnd w:id="1"/>
    </w:p>
    <w:p>
      <w:pPr>
        <w:spacing w:after="0" w:line="360" w:lineRule="auto"/>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Traditional Work Design</w:t>
      </w:r>
    </w:p>
    <w:p>
      <w:pPr>
        <w:spacing w:after="0" w:line="360" w:lineRule="auto"/>
        <w:jc w:val="both"/>
        <w:rPr>
          <w:rFonts w:eastAsia="Times New Roman" w:asciiTheme="majorBidi" w:hAnsiTheme="majorBidi" w:cstheme="majorBidi"/>
          <w:color w:val="000000" w:themeColor="text1"/>
          <w:kern w:val="0"/>
          <w14:textFill>
            <w14:solidFill>
              <w14:schemeClr w14:val="tx1"/>
            </w14:solidFill>
          </w14:textFill>
          <w14:ligatures w14:val="none"/>
        </w:rPr>
      </w:pPr>
      <w:r>
        <w:rPr>
          <w:rFonts w:asciiTheme="majorBidi" w:hAnsiTheme="majorBidi" w:cstheme="majorBidi"/>
          <w:color w:val="000000" w:themeColor="text1"/>
          <w14:textFill>
            <w14:solidFill>
              <w14:schemeClr w14:val="tx1"/>
            </w14:solidFill>
          </w14:textFill>
        </w:rPr>
        <w:t xml:space="preserve">The classical process of work organisation is traditionally typified by a concentration of decision making processes, a centralized system of authority, functional departmentalisation, standardization of jobs as well as moderately determined working conditions </w:t>
      </w:r>
      <w:r>
        <w:rPr>
          <w:rFonts w:eastAsia="Times New Roman" w:asciiTheme="majorBidi" w:hAnsiTheme="majorBidi" w:cstheme="majorBidi"/>
          <w:color w:val="000000" w:themeColor="text1"/>
          <w:kern w:val="0"/>
          <w14:textFill>
            <w14:solidFill>
              <w14:schemeClr w14:val="tx1"/>
            </w14:solidFill>
          </w14:textFill>
          <w14:ligatures w14:val="none"/>
        </w:rPr>
        <w:t>(Ahmed, 2017)</w:t>
      </w:r>
      <w:r>
        <w:rPr>
          <w:rFonts w:asciiTheme="majorBidi" w:hAnsiTheme="majorBidi" w:cstheme="majorBidi"/>
          <w:color w:val="000000" w:themeColor="text1"/>
          <w14:textFill>
            <w14:solidFill>
              <w14:schemeClr w14:val="tx1"/>
            </w14:solidFill>
          </w14:textFill>
        </w:rPr>
        <w:t>. The flow of communication is mostly vertical between managers who make the decisions and employees following given set responsibilities. These kinds of arrangements can deliver clarity, consistency and accountability which is particularly relevant to NHSX since healthcare technologies consider patient safety, data protection, clinical reliability as well as regulatory accountability. In the case of an organisation that is working in swiftly growing AI and digital-health markets, this may limit innovation and creativity on the part of employees.</w:t>
      </w:r>
    </w:p>
    <w:p>
      <w:pPr>
        <w:spacing w:after="0" w:line="360" w:lineRule="auto"/>
        <w:jc w:val="both"/>
        <w:rPr>
          <w:rFonts w:eastAsia="Times New Roman" w:asciiTheme="majorBidi" w:hAnsiTheme="majorBidi" w:cstheme="majorBidi"/>
          <w:kern w:val="0"/>
          <w14:ligatures w14:val="none"/>
        </w:rPr>
      </w:pPr>
      <w:r>
        <w:rPr>
          <w:rFonts w:asciiTheme="majorBidi" w:hAnsiTheme="majorBidi" w:cstheme="majorBidi"/>
          <w:color w:val="000000" w:themeColor="text1"/>
          <w14:textFill>
            <w14:solidFill>
              <w14:schemeClr w14:val="tx1"/>
            </w14:solidFill>
          </w14:textFill>
        </w:rPr>
        <w:t xml:space="preserve">Functional silos may also form in the traditional structures, dividing specialists into functional units </w:t>
      </w:r>
      <w:r>
        <w:rPr>
          <w:rFonts w:eastAsia="Times New Roman" w:asciiTheme="majorBidi" w:hAnsiTheme="majorBidi" w:cstheme="majorBidi"/>
          <w:color w:val="000000" w:themeColor="text1"/>
          <w:kern w:val="0"/>
          <w14:textFill>
            <w14:solidFill>
              <w14:schemeClr w14:val="tx1"/>
            </w14:solidFill>
          </w14:textFill>
          <w14:ligatures w14:val="none"/>
        </w:rPr>
        <w:t>(Bento, Tagliabue and Lorenzo, 2020)</w:t>
      </w:r>
      <w:r>
        <w:rPr>
          <w:rFonts w:asciiTheme="majorBidi" w:hAnsiTheme="majorBidi" w:cstheme="majorBidi"/>
          <w:color w:val="000000" w:themeColor="text1"/>
          <w14:textFill>
            <w14:solidFill>
              <w14:schemeClr w14:val="tx1"/>
            </w14:solidFill>
          </w14:textFill>
        </w:rPr>
        <w:t xml:space="preserve">. This may limit information sharing between product teams, data scientists and clinicians, as well as software developers. Modern studies are focused on the relevance of organisational nimbleness and staff strengths more and more in achieving successful digital transformation </w:t>
      </w:r>
      <w:r>
        <w:rPr>
          <w:rFonts w:eastAsia="Times New Roman" w:asciiTheme="majorBidi" w:hAnsiTheme="majorBidi" w:cstheme="majorBidi"/>
          <w:kern w:val="0"/>
          <w14:ligatures w14:val="none"/>
        </w:rPr>
        <w:t>(Muduli and Choudhury, 2024)</w:t>
      </w:r>
      <w:r>
        <w:rPr>
          <w:rFonts w:asciiTheme="majorBidi" w:hAnsiTheme="majorBidi" w:cstheme="majorBidi"/>
          <w:color w:val="000000" w:themeColor="text1"/>
          <w14:textFill>
            <w14:solidFill>
              <w14:schemeClr w14:val="tx1"/>
            </w14:solidFill>
          </w14:textFill>
        </w:rPr>
        <w:t>. Thus, though hierarchical controls are not to be abolished completely in NHSX, they have to be accompanied by more participative and flexible methodologies.</w:t>
      </w:r>
    </w:p>
    <w:p>
      <w:pPr>
        <w:spacing w:after="0" w:line="360" w:lineRule="auto"/>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Contemporary Work Design</w:t>
      </w:r>
    </w:p>
    <w:p>
      <w:pPr>
        <w:spacing w:after="0" w:line="360" w:lineRule="auto"/>
        <w:jc w:val="both"/>
        <w:rPr>
          <w:rFonts w:eastAsia="Times New Roman" w:asciiTheme="majorBidi" w:hAnsiTheme="majorBidi" w:cstheme="majorBidi"/>
          <w:color w:val="000000" w:themeColor="text1"/>
          <w:kern w:val="0"/>
          <w14:textFill>
            <w14:solidFill>
              <w14:schemeClr w14:val="tx1"/>
            </w14:solidFill>
          </w14:textFill>
          <w14:ligatures w14:val="none"/>
        </w:rPr>
      </w:pPr>
      <w:r>
        <w:rPr>
          <w:rFonts w:asciiTheme="majorBidi" w:hAnsiTheme="majorBidi" w:cstheme="majorBidi"/>
          <w:color w:val="000000" w:themeColor="text1"/>
          <w14:textFill>
            <w14:solidFill>
              <w14:schemeClr w14:val="tx1"/>
            </w14:solidFill>
          </w14:textFill>
        </w:rPr>
        <w:t xml:space="preserve">High-Performance Work Systems (HPWS) incorporates some practices like employee development, training, performance management, participation and proper reward systems to enhance organisational capabilities </w:t>
      </w:r>
      <w:r>
        <w:rPr>
          <w:rFonts w:eastAsia="Times New Roman" w:asciiTheme="majorBidi" w:hAnsiTheme="majorBidi" w:cstheme="majorBidi"/>
          <w:color w:val="000000" w:themeColor="text1"/>
          <w:kern w:val="0"/>
          <w14:textFill>
            <w14:solidFill>
              <w14:schemeClr w14:val="tx1"/>
            </w14:solidFill>
          </w14:textFill>
          <w14:ligatures w14:val="none"/>
        </w:rPr>
        <w:t>(Kaushik and Mukherjee, 2021)</w:t>
      </w:r>
      <w:r>
        <w:rPr>
          <w:rFonts w:asciiTheme="majorBidi" w:hAnsiTheme="majorBidi" w:cstheme="majorBidi"/>
          <w:color w:val="000000" w:themeColor="text1"/>
          <w14:textFill>
            <w14:solidFill>
              <w14:schemeClr w14:val="tx1"/>
            </w14:solidFill>
          </w14:textFill>
        </w:rPr>
        <w:t>. The premise behind all this is that, investing in human capital has the potential to generate competitive advantage. There is an indication that HPWS has the potential to help employees to be more innovative and lead to the improved organisational performance, but the results will depend on the coherence and suitability of the practices (Kaushik and Mukherjee, 2021). In the case of NHSX, however, HPWS might be able to tie continuous learning and performance management to innovation goals. However, too much performance pressure may result in work intensification, such that high performance is to be accompanied by wellbeing of employees.</w:t>
      </w:r>
    </w:p>
    <w:p>
      <w:pPr>
        <w:spacing w:after="0" w:line="360" w:lineRule="auto"/>
        <w:jc w:val="both"/>
        <w:rPr>
          <w:rFonts w:eastAsia="Times New Roman" w:asciiTheme="majorBidi" w:hAnsiTheme="majorBidi" w:cstheme="majorBidi"/>
          <w:kern w:val="0"/>
          <w14:ligatures w14:val="none"/>
        </w:rPr>
      </w:pPr>
      <w:r>
        <w:rPr>
          <w:rFonts w:asciiTheme="majorBidi" w:hAnsiTheme="majorBidi" w:cstheme="majorBidi"/>
          <w:color w:val="000000" w:themeColor="text1"/>
          <w14:textFill>
            <w14:solidFill>
              <w14:schemeClr w14:val="tx1"/>
            </w14:solidFill>
          </w14:textFill>
        </w:rPr>
        <w:t xml:space="preserve">Another alternative offered by Agile working is the concept of iterative working which is based on short development cycles, fast feedbacks and cross-functional teams. According to recent studies, successful agile teams enjoy a shared leadership, power empowerment, psychological safety and collaborative working </w:t>
      </w:r>
      <w:r>
        <w:rPr>
          <w:rFonts w:eastAsia="Times New Roman" w:asciiTheme="majorBidi" w:hAnsiTheme="majorBidi" w:cstheme="majorBidi"/>
          <w:kern w:val="0"/>
          <w14:ligatures w14:val="none"/>
        </w:rPr>
        <w:t>(Steegh, Van De Voorde and Paauwe, 2024)</w:t>
      </w:r>
      <w:r>
        <w:rPr>
          <w:rFonts w:asciiTheme="majorBidi" w:hAnsiTheme="majorBidi" w:cstheme="majorBidi"/>
          <w:color w:val="000000" w:themeColor="text1"/>
          <w14:textFill>
            <w14:solidFill>
              <w14:schemeClr w14:val="tx1"/>
            </w14:solidFill>
          </w14:textFill>
        </w:rPr>
        <w:t xml:space="preserve">. Agile practices can thus make NHSX react quicker to evolving needs of healthcare-providers and upcoming AI technologies. However, agile approaches do not necessarily lead to success: studies single out such issues as time constraints, poor customer engagement and process challenges </w:t>
      </w:r>
      <w:r>
        <w:rPr>
          <w:rFonts w:eastAsia="Times New Roman" w:asciiTheme="majorBidi" w:hAnsiTheme="majorBidi" w:cstheme="majorBidi"/>
          <w:kern w:val="0"/>
          <w14:ligatures w14:val="none"/>
        </w:rPr>
        <w:t>(Meckenstock, 2024)</w:t>
      </w:r>
      <w:r>
        <w:rPr>
          <w:rFonts w:asciiTheme="majorBidi" w:hAnsiTheme="majorBidi" w:cstheme="majorBidi"/>
          <w:color w:val="000000" w:themeColor="text1"/>
          <w14:textFill>
            <w14:solidFill>
              <w14:schemeClr w14:val="tx1"/>
            </w14:solidFill>
          </w14:textFill>
        </w:rPr>
        <w:t>. Agile working can thus be conducted within relevant clinical, cybersecurity and regulatory controls.</w:t>
      </w:r>
    </w:p>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Hybrid and flexible working offer a better choice to employees on where and when work is done. These arrangements have the potential of enhancing flexibility, attraction, retention but on the other hand, it can undermine the organisational connection, organisational culture and management coordination when poorly arranged. According to CIPD (2025), 74 per cent of organisations are now in some form of hybrid working, with employers citing both talent and productivity gains, and issues around management and organisational culture. NHSX then ought not to consider hybrid working merely as a remote-working policy thus should architect it to the nature of different jobs.</w:t>
      </w:r>
    </w:p>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Lastly, Sociotechnical Systems Theory focuses on the collaboration between social and technical systems to optimise them jointly. This is most applicable to NHSX since AI technologies cannot be thought of outside the individuals, workflow and organisational processes upon which it functions. The technological innovation in healthcare needs to be streamlined with professional judgement, capabilities and ethical protection of employees (Almyranti et al., 2024).</w:t>
      </w:r>
    </w:p>
    <w:p>
      <w:pPr>
        <w:pStyle w:val="3"/>
        <w:numPr>
          <w:ilvl w:val="1"/>
          <w:numId w:val="2"/>
        </w:numPr>
        <w:spacing w:before="0" w:after="0" w:line="360" w:lineRule="auto"/>
        <w:rPr>
          <w:rFonts w:asciiTheme="majorBidi" w:hAnsiTheme="majorBidi"/>
          <w:b/>
          <w:bCs/>
          <w:color w:val="000000" w:themeColor="text1"/>
          <w:sz w:val="24"/>
          <w:szCs w:val="24"/>
          <w14:textFill>
            <w14:solidFill>
              <w14:schemeClr w14:val="tx1"/>
            </w14:solidFill>
          </w14:textFill>
        </w:rPr>
      </w:pPr>
      <w:bookmarkStart w:id="2" w:name="_Toc242801641"/>
      <w:r>
        <w:rPr>
          <w:rFonts w:asciiTheme="majorBidi" w:hAnsiTheme="majorBidi"/>
          <w:b/>
          <w:bCs/>
          <w:color w:val="000000" w:themeColor="text1"/>
          <w:sz w:val="24"/>
          <w:szCs w:val="24"/>
          <w14:textFill>
            <w14:solidFill>
              <w14:schemeClr w14:val="tx1"/>
            </w14:solidFill>
          </w14:textFill>
        </w:rPr>
        <w:t>Recommended Innovative Working Practices for NHSX</w:t>
      </w:r>
      <w:bookmarkEnd w:id="2"/>
    </w:p>
    <w:p>
      <w:pPr>
        <w:spacing w:after="0" w:line="360" w:lineRule="auto"/>
        <w:jc w:val="center"/>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drawing>
          <wp:inline distT="0" distB="0" distL="0" distR="0">
            <wp:extent cx="5109210" cy="34055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139814" cy="3426367"/>
                    </a:xfrm>
                    <a:prstGeom prst="rect">
                      <a:avLst/>
                    </a:prstGeom>
                  </pic:spPr>
                </pic:pic>
              </a:graphicData>
            </a:graphic>
          </wp:inline>
        </w:drawing>
      </w:r>
    </w:p>
    <w:p>
      <w:pPr>
        <w:spacing w:after="0" w:line="360" w:lineRule="auto"/>
        <w:jc w:val="center"/>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Image 1: Recommended Framework for NHSX</w:t>
      </w:r>
    </w:p>
    <w:p>
      <w:pPr>
        <w:pStyle w:val="34"/>
        <w:numPr>
          <w:ilvl w:val="0"/>
          <w:numId w:val="3"/>
        </w:numPr>
        <w:spacing w:after="0" w:line="360" w:lineRule="auto"/>
        <w:jc w:val="both"/>
        <w:rPr>
          <w:rFonts w:eastAsia="Times New Roman" w:asciiTheme="majorBidi" w:hAnsiTheme="majorBidi" w:cstheme="majorBidi"/>
          <w:kern w:val="0"/>
          <w14:ligatures w14:val="none"/>
        </w:rPr>
      </w:pPr>
      <w:r>
        <w:rPr>
          <w:rFonts w:asciiTheme="majorBidi" w:hAnsiTheme="majorBidi" w:cstheme="majorBidi"/>
          <w:b/>
          <w:bCs/>
          <w:color w:val="000000" w:themeColor="text1"/>
          <w14:textFill>
            <w14:solidFill>
              <w14:schemeClr w14:val="tx1"/>
            </w14:solidFill>
          </w14:textFill>
        </w:rPr>
        <w:t xml:space="preserve">Cross-Functional Innovation Teams: </w:t>
      </w:r>
      <w:r>
        <w:rPr>
          <w:rFonts w:asciiTheme="majorBidi" w:hAnsiTheme="majorBidi" w:cstheme="majorBidi"/>
          <w:color w:val="000000" w:themeColor="text1"/>
          <w14:textFill>
            <w14:solidFill>
              <w14:schemeClr w14:val="tx1"/>
            </w14:solidFill>
          </w14:textFill>
        </w:rPr>
        <w:t>NHSX ought to form multidisciplinary innovation teams, including AI/software experts, medical personnel, data scientists, product managers, cybersecurity experts, HR and customer representatives. The integration of these views can help eliminate functional silos and promote the integration of knowledge. Research on healthcare innovation highlights the importance of teamwork in supporting successful implementation of innovations (McGuier et al., 2024).</w:t>
      </w:r>
    </w:p>
    <w:p>
      <w:pPr>
        <w:pStyle w:val="34"/>
        <w:numPr>
          <w:ilvl w:val="0"/>
          <w:numId w:val="3"/>
        </w:numPr>
        <w:spacing w:after="0" w:line="360" w:lineRule="auto"/>
        <w:jc w:val="both"/>
        <w:rPr>
          <w:rFonts w:eastAsia="Times New Roman" w:asciiTheme="majorBidi" w:hAnsiTheme="majorBidi" w:cstheme="majorBidi"/>
          <w:kern w:val="0"/>
          <w14:ligatures w14:val="none"/>
        </w:rPr>
      </w:pPr>
      <w:r>
        <w:rPr>
          <w:rFonts w:asciiTheme="majorBidi" w:hAnsiTheme="majorBidi" w:cstheme="majorBidi"/>
          <w:b/>
          <w:bCs/>
          <w:color w:val="000000" w:themeColor="text1"/>
          <w14:textFill>
            <w14:solidFill>
              <w14:schemeClr w14:val="tx1"/>
            </w14:solidFill>
          </w14:textFill>
        </w:rPr>
        <w:t xml:space="preserve">Agile Project Teams: </w:t>
      </w:r>
      <w:r>
        <w:rPr>
          <w:rFonts w:asciiTheme="majorBidi" w:hAnsiTheme="majorBidi" w:cstheme="majorBidi"/>
          <w:color w:val="000000" w:themeColor="text1"/>
          <w14:textFill>
            <w14:solidFill>
              <w14:schemeClr w14:val="tx1"/>
            </w14:solidFill>
          </w14:textFill>
        </w:rPr>
        <w:t xml:space="preserve">NHSX ought to implement agile project teams through brief development sprints, frequent team meetings, sprint reviews and retrospectives </w:t>
      </w:r>
      <w:r>
        <w:rPr>
          <w:rFonts w:eastAsia="Times New Roman" w:asciiTheme="majorBidi" w:hAnsiTheme="majorBidi" w:cstheme="majorBidi"/>
          <w:kern w:val="0"/>
          <w14:ligatures w14:val="none"/>
        </w:rPr>
        <w:t>(Didit Darmawan, 2021)</w:t>
      </w:r>
      <w:r>
        <w:rPr>
          <w:rFonts w:asciiTheme="majorBidi" w:hAnsiTheme="majorBidi" w:cstheme="majorBidi"/>
          <w:color w:val="000000" w:themeColor="text1"/>
          <w14:textFill>
            <w14:solidFill>
              <w14:schemeClr w14:val="tx1"/>
            </w14:solidFill>
          </w14:textFill>
        </w:rPr>
        <w:t>. Teams would get straightforward outcomes but at the same time they would have freedom of their outcomes. Nonetheless, this should not exclude experimentation with clinical uses, which should be formally approved in terms of safety and regulation.</w:t>
      </w:r>
    </w:p>
    <w:p>
      <w:pPr>
        <w:pStyle w:val="34"/>
        <w:numPr>
          <w:ilvl w:val="0"/>
          <w:numId w:val="3"/>
        </w:numPr>
        <w:spacing w:after="0" w:line="360" w:lineRule="auto"/>
        <w:jc w:val="both"/>
        <w:rPr>
          <w:rFonts w:eastAsia="Times New Roman" w:asciiTheme="majorBidi" w:hAnsiTheme="majorBidi" w:cstheme="majorBidi"/>
          <w:kern w:val="0"/>
          <w14:ligatures w14:val="none"/>
        </w:rPr>
      </w:pPr>
      <w:r>
        <w:rPr>
          <w:rFonts w:asciiTheme="majorBidi" w:hAnsiTheme="majorBidi" w:cstheme="majorBidi"/>
          <w:b/>
          <w:bCs/>
          <w:color w:val="000000" w:themeColor="text1"/>
          <w14:textFill>
            <w14:solidFill>
              <w14:schemeClr w14:val="tx1"/>
            </w14:solidFill>
          </w14:textFill>
        </w:rPr>
        <w:t xml:space="preserve">Hybrid and Flexible Working Model: </w:t>
      </w:r>
      <w:r>
        <w:rPr>
          <w:rFonts w:asciiTheme="majorBidi" w:hAnsiTheme="majorBidi" w:cstheme="majorBidi"/>
          <w:color w:val="000000" w:themeColor="text1"/>
          <w14:textFill>
            <w14:solidFill>
              <w14:schemeClr w14:val="tx1"/>
            </w14:solidFill>
          </w14:textFill>
        </w:rPr>
        <w:t xml:space="preserve">A gradual hybrid would be more appropriate: NHSX does not need full-time working in the office and does not need fully remote work. Individual, focus and analytical work could be done as employees worked remotely, whereas team development and complex problem solving along with innovation workshops could be held on designated days of collaboration. </w:t>
      </w:r>
    </w:p>
    <w:p>
      <w:pPr>
        <w:pStyle w:val="34"/>
        <w:numPr>
          <w:ilvl w:val="0"/>
          <w:numId w:val="3"/>
        </w:numPr>
        <w:spacing w:after="0" w:line="360" w:lineRule="auto"/>
        <w:jc w:val="both"/>
        <w:rPr>
          <w:rFonts w:eastAsia="Times New Roman" w:asciiTheme="majorBidi" w:hAnsiTheme="majorBidi" w:cstheme="majorBidi"/>
          <w:kern w:val="0"/>
          <w14:ligatures w14:val="none"/>
        </w:rPr>
      </w:pPr>
      <w:r>
        <w:rPr>
          <w:rFonts w:asciiTheme="majorBidi" w:hAnsiTheme="majorBidi" w:cstheme="majorBidi"/>
          <w:b/>
          <w:bCs/>
          <w:color w:val="000000" w:themeColor="text1"/>
          <w14:textFill>
            <w14:solidFill>
              <w14:schemeClr w14:val="tx1"/>
            </w14:solidFill>
          </w14:textFill>
        </w:rPr>
        <w:t xml:space="preserve">Employee Autonomy and Empowerment: </w:t>
      </w:r>
      <w:r>
        <w:rPr>
          <w:rFonts w:asciiTheme="majorBidi" w:hAnsiTheme="majorBidi" w:cstheme="majorBidi"/>
          <w:color w:val="000000" w:themeColor="text1"/>
          <w14:textFill>
            <w14:solidFill>
              <w14:schemeClr w14:val="tx1"/>
            </w14:solidFill>
          </w14:textFill>
        </w:rPr>
        <w:t xml:space="preserve">Managers need to leave to staff the right operational choices, institute employee-led innovation programs, innovation budgets and structured suggestion programs. Autonomy may enhance ownership and empower the specialists to exercise their knowledge more efficiently </w:t>
      </w:r>
      <w:r>
        <w:rPr>
          <w:rFonts w:eastAsia="Times New Roman" w:asciiTheme="majorBidi" w:hAnsiTheme="majorBidi" w:cstheme="majorBidi"/>
          <w:kern w:val="0"/>
          <w14:ligatures w14:val="none"/>
        </w:rPr>
        <w:t>(Vettriselvan et al., 2025)</w:t>
      </w:r>
      <w:r>
        <w:rPr>
          <w:rFonts w:asciiTheme="majorBidi" w:hAnsiTheme="majorBidi" w:cstheme="majorBidi"/>
          <w:color w:val="000000" w:themeColor="text1"/>
          <w14:textFill>
            <w14:solidFill>
              <w14:schemeClr w14:val="tx1"/>
            </w14:solidFill>
          </w14:textFill>
        </w:rPr>
        <w:t>. Nevertheless, the autonomy must be within a well-defined scope regarding patient safety, cybersecurity, data protection and regulatory compliance.</w:t>
      </w:r>
    </w:p>
    <w:p>
      <w:pPr>
        <w:pStyle w:val="34"/>
        <w:numPr>
          <w:ilvl w:val="0"/>
          <w:numId w:val="3"/>
        </w:num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 xml:space="preserve">Digital Collaboration Infrastructure: </w:t>
      </w:r>
      <w:r>
        <w:rPr>
          <w:rFonts w:asciiTheme="majorBidi" w:hAnsiTheme="majorBidi" w:cstheme="majorBidi"/>
          <w:color w:val="000000" w:themeColor="text1"/>
          <w14:textFill>
            <w14:solidFill>
              <w14:schemeClr w14:val="tx1"/>
            </w14:solidFill>
          </w14:textFill>
        </w:rPr>
        <w:t>Integrated digital collaboration systems like Microsoft Teams or similar applications, digital project-management systems, external knowledge repositories, virtual whiteboards and AI assistance-based collaboration systems should be employed by NHSX. During learning, digital communities of practice would provide the ability to bond employees regardless of geographical areas and decrease the loss of knowledge. But technology must empower and not subtract human interaction especially since sophisticated healthcare innovation entails professional judgement and relationship-building.</w:t>
      </w:r>
    </w:p>
    <w:p>
      <w:pPr>
        <w:spacing w:after="0" w:line="360" w:lineRule="auto"/>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Expected Organisational Performance Outcomes</w:t>
      </w:r>
    </w:p>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It is likely to yield quick decision-making, knowledge sharing, employee engagement and improved productivity, customer responsiveness and enhanced talent retention. According to CIPD (2025), 41 percent of employers relate higher levels of productivity and efficiency with increased home or hybrid working; flexibility also contributes to attraction and retention also. At NHSX, a combination of these advantages with cross-functional and agile working might result in a more innovative and responsive organisation without compromising the governance that is the cornerstone of healthcare technology.</w:t>
      </w:r>
    </w:p>
    <w:p>
      <w:pPr>
        <w:pStyle w:val="2"/>
        <w:numPr>
          <w:ilvl w:val="0"/>
          <w:numId w:val="4"/>
        </w:numPr>
        <w:spacing w:before="0" w:after="0" w:line="360" w:lineRule="auto"/>
        <w:jc w:val="both"/>
        <w:rPr>
          <w:rFonts w:asciiTheme="majorBidi" w:hAnsiTheme="majorBidi"/>
          <w:b/>
          <w:bCs/>
          <w:color w:val="000000" w:themeColor="text1"/>
          <w:sz w:val="24"/>
          <w:szCs w:val="24"/>
          <w14:textFill>
            <w14:solidFill>
              <w14:schemeClr w14:val="tx1"/>
            </w14:solidFill>
          </w14:textFill>
        </w:rPr>
      </w:pPr>
      <w:bookmarkStart w:id="3" w:name="_Toc242801642"/>
      <w:r>
        <w:rPr>
          <w:rFonts w:asciiTheme="majorBidi" w:hAnsiTheme="majorBidi"/>
          <w:b/>
          <w:bCs/>
          <w:color w:val="000000" w:themeColor="text1"/>
          <w:sz w:val="24"/>
          <w:szCs w:val="24"/>
          <w14:textFill>
            <w14:solidFill>
              <w14:schemeClr w14:val="tx1"/>
            </w14:solidFill>
          </w14:textFill>
        </w:rPr>
        <w:t>TASK B: Breeding an Environment Where Talent May Grow</w:t>
      </w:r>
      <w:bookmarkEnd w:id="3"/>
    </w:p>
    <w:p>
      <w:pPr>
        <w:spacing w:after="0" w:line="360" w:lineRule="auto"/>
        <w:jc w:val="both"/>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Creating an Environment Where Talent Flourishes</w:t>
      </w:r>
    </w:p>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With NHSX, talent management must not focus on identifying high performers as well as establishing an organisational climate where a wide variety of employees can learn and contribute and progress continuously.</w:t>
      </w:r>
    </w:p>
    <w:p>
      <w:pPr>
        <w:pStyle w:val="34"/>
        <w:numPr>
          <w:ilvl w:val="0"/>
          <w:numId w:val="5"/>
        </w:num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Learning Organisation — Senge:</w:t>
      </w:r>
      <w:r>
        <w:rPr>
          <w:rFonts w:asciiTheme="majorBidi" w:hAnsiTheme="majorBidi" w:cstheme="majorBidi"/>
          <w:color w:val="000000" w:themeColor="text1"/>
          <w14:textFill>
            <w14:solidFill>
              <w14:schemeClr w14:val="tx1"/>
            </w14:solidFill>
          </w14:textFill>
        </w:rPr>
        <w:t xml:space="preserve"> As argued by Senge (1990) in his learning organisation concept, there are five disciplines which include systems thinking, personal mastery, mental model, shared vision and team learning. Systems thinking will motivate NHSX to treat technological, people and operational problems as interrelated, not independent. Personal mastery motivates employees to engage in lifelong learning, and existing mental models can be challenged, prompting employees to challenge their assumptions regarding AI, healthcare delivery and best working practices. The common vision can bring employees together within the UK, India and UAE towards a shared organisational goal, and knowledge sharing can occur across geographical and professional borders with team learning. </w:t>
      </w:r>
    </w:p>
    <w:p>
      <w:pPr>
        <w:pStyle w:val="34"/>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This strategy is becoming more relevant, as AI is transforming the working activities and the skill demands.</w:t>
      </w:r>
    </w:p>
    <w:p>
      <w:pPr>
        <w:pStyle w:val="34"/>
        <w:numPr>
          <w:ilvl w:val="0"/>
          <w:numId w:val="5"/>
        </w:numPr>
        <w:spacing w:after="0" w:line="360" w:lineRule="auto"/>
        <w:jc w:val="both"/>
        <w:rPr>
          <w:rFonts w:eastAsia="Times New Roman" w:asciiTheme="majorBidi" w:hAnsiTheme="majorBidi" w:cstheme="majorBidi"/>
          <w:kern w:val="0"/>
          <w14:ligatures w14:val="none"/>
        </w:rPr>
      </w:pPr>
      <w:r>
        <w:rPr>
          <w:rFonts w:asciiTheme="majorBidi" w:hAnsiTheme="majorBidi" w:cstheme="majorBidi"/>
          <w:b/>
          <w:bCs/>
          <w:color w:val="000000" w:themeColor="text1"/>
          <w14:textFill>
            <w14:solidFill>
              <w14:schemeClr w14:val="tx1"/>
            </w14:solidFill>
          </w14:textFill>
        </w:rPr>
        <w:t xml:space="preserve">Growth Mindset — Dweck: </w:t>
      </w:r>
      <w:r>
        <w:rPr>
          <w:rFonts w:asciiTheme="majorBidi" w:hAnsiTheme="majorBidi" w:cstheme="majorBidi"/>
          <w:color w:val="000000" w:themeColor="text1"/>
          <w14:textFill>
            <w14:solidFill>
              <w14:schemeClr w14:val="tx1"/>
            </w14:solidFill>
          </w14:textFill>
        </w:rPr>
        <w:t xml:space="preserve">The growth mindset perspective theory advances the idea that skills could be acquired through determination, language and proper techniques instead of taking them as fixed </w:t>
      </w:r>
      <w:r>
        <w:rPr>
          <w:rFonts w:eastAsia="Times New Roman" w:asciiTheme="majorBidi" w:hAnsiTheme="majorBidi" w:cstheme="majorBidi"/>
          <w:kern w:val="0"/>
          <w14:ligatures w14:val="none"/>
        </w:rPr>
        <w:t xml:space="preserve">(Dweck and Yeager, 2019). </w:t>
      </w:r>
      <w:r>
        <w:rPr>
          <w:rFonts w:asciiTheme="majorBidi" w:hAnsiTheme="majorBidi" w:cstheme="majorBidi"/>
          <w:color w:val="000000" w:themeColor="text1"/>
          <w14:textFill>
            <w14:solidFill>
              <w14:schemeClr w14:val="tx1"/>
            </w14:solidFill>
          </w14:textFill>
        </w:rPr>
        <w:t>NHSX can prompt the staff to take some lessons, see risky projects as a learning experience and take constructive criticism to become a better worker. This would endorse experimentation and innovation, especially in the development of AI. Nevertheless, such an attitude towards growth not only ought not to become a managerial slogan but also it does not have organisational support.</w:t>
      </w:r>
    </w:p>
    <w:p>
      <w:pPr>
        <w:pStyle w:val="34"/>
        <w:numPr>
          <w:ilvl w:val="0"/>
          <w:numId w:val="5"/>
        </w:num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b/>
          <w:color w:val="000000" w:themeColor="text1"/>
          <w14:textFill>
            <w14:solidFill>
              <w14:schemeClr w14:val="tx1"/>
            </w14:solidFill>
          </w14:textFill>
        </w:rPr>
        <w:t xml:space="preserve">Psychological Safety — Edmondson: </w:t>
      </w:r>
      <w:r>
        <w:rPr>
          <w:rFonts w:asciiTheme="majorBidi" w:hAnsiTheme="majorBidi" w:cstheme="majorBidi"/>
          <w:color w:val="000000" w:themeColor="text1"/>
          <w14:textFill>
            <w14:solidFill>
              <w14:schemeClr w14:val="tx1"/>
            </w14:solidFill>
          </w14:textFill>
        </w:rPr>
        <w:t>The idea of psychological safety means that the employees should be convinced that they can speak up, raise questions and take interpersonal risks without any negative outcomes (Edmondson and Lei, 2014). In the case of NHSX, this is especially crucial as the employees of AI-enabled healthcare technologies should be able to shoot down the assumptions, report the errors and raise the concerns regarding the data quality, the results of the algorithm and patient safety.</w:t>
      </w:r>
    </w:p>
    <w:p>
      <w:pPr>
        <w:pStyle w:val="34"/>
        <w:numPr>
          <w:ilvl w:val="0"/>
          <w:numId w:val="5"/>
        </w:numPr>
        <w:spacing w:after="0" w:line="360" w:lineRule="auto"/>
        <w:jc w:val="both"/>
        <w:rPr>
          <w:rFonts w:eastAsia="Times New Roman" w:asciiTheme="majorBidi" w:hAnsiTheme="majorBidi" w:cstheme="majorBidi"/>
          <w:kern w:val="0"/>
          <w14:ligatures w14:val="none"/>
        </w:rPr>
      </w:pPr>
      <w:r>
        <w:rPr>
          <w:rFonts w:asciiTheme="majorBidi" w:hAnsiTheme="majorBidi" w:cstheme="majorBidi"/>
          <w:b/>
          <w:color w:val="000000" w:themeColor="text1"/>
          <w14:textFill>
            <w14:solidFill>
              <w14:schemeClr w14:val="tx1"/>
            </w14:solidFill>
          </w14:textFill>
        </w:rPr>
        <w:t xml:space="preserve">Job Crafting: </w:t>
      </w:r>
      <w:r>
        <w:rPr>
          <w:rFonts w:asciiTheme="majorBidi" w:hAnsiTheme="majorBidi" w:cstheme="majorBidi"/>
          <w:color w:val="000000" w:themeColor="text1"/>
          <w14:textFill>
            <w14:solidFill>
              <w14:schemeClr w14:val="tx1"/>
            </w14:solidFill>
          </w14:textFill>
        </w:rPr>
        <w:t>Job crafting enables the employees to recreate their jobs actively by constructing their work through redefining their tasks, relationships and perceiving their work (Wrzesniewski and Dutton, 2001). An AI specialist could have further mentoring or work with clinical teams, or an innovation project, at NHSX, which fits their career interests. Job crafting will thus aid in shaping the competencies of employees by allowing them to utilize their strong points as they acquire new skills.</w:t>
      </w:r>
    </w:p>
    <w:p>
      <w:pPr>
        <w:pStyle w:val="34"/>
        <w:numPr>
          <w:ilvl w:val="0"/>
          <w:numId w:val="5"/>
        </w:numPr>
        <w:spacing w:after="0" w:line="360" w:lineRule="auto"/>
        <w:jc w:val="both"/>
        <w:rPr>
          <w:rFonts w:eastAsia="Times New Roman" w:asciiTheme="majorBidi" w:hAnsiTheme="majorBidi" w:cstheme="majorBidi"/>
          <w:kern w:val="0"/>
          <w14:ligatures w14:val="none"/>
        </w:rPr>
      </w:pPr>
      <w:r>
        <w:rPr>
          <w:rFonts w:asciiTheme="majorBidi" w:hAnsiTheme="majorBidi" w:cstheme="majorBidi"/>
          <w:b/>
          <w:color w:val="000000" w:themeColor="text1"/>
          <w14:textFill>
            <w14:solidFill>
              <w14:schemeClr w14:val="tx1"/>
            </w14:solidFill>
          </w14:textFill>
        </w:rPr>
        <w:t xml:space="preserve">Strategic Talent Management and Employee Experience: </w:t>
      </w:r>
      <w:r>
        <w:rPr>
          <w:rFonts w:asciiTheme="majorBidi" w:hAnsiTheme="majorBidi" w:cstheme="majorBidi"/>
          <w:color w:val="000000" w:themeColor="text1"/>
          <w14:textFill>
            <w14:solidFill>
              <w14:schemeClr w14:val="tx1"/>
            </w14:solidFill>
          </w14:textFill>
        </w:rPr>
        <w:t xml:space="preserve">Identifying talent, career pathway, succession planning, learning and development, mentoring, coaching, internal mobility, recognition and employee experience should be combined in NHSX. Supply access to more people in development would result in more talent pipeline and eliminate feelings of injustice </w:t>
      </w:r>
      <w:r>
        <w:rPr>
          <w:rFonts w:eastAsia="Times New Roman" w:asciiTheme="majorBidi" w:hAnsiTheme="majorBidi" w:cstheme="majorBidi"/>
          <w:kern w:val="0"/>
          <w14:ligatures w14:val="none"/>
        </w:rPr>
        <w:t>(George and George, 2024)</w:t>
      </w:r>
      <w:r>
        <w:rPr>
          <w:rFonts w:asciiTheme="majorBidi" w:hAnsiTheme="majorBidi" w:cstheme="majorBidi"/>
          <w:color w:val="000000" w:themeColor="text1"/>
          <w14:textFill>
            <w14:solidFill>
              <w14:schemeClr w14:val="tx1"/>
            </w14:solidFill>
          </w14:textFill>
        </w:rPr>
        <w:t>. Employee experience needs also to be looked at in a holistic way to include the way employees interact with managers, technology, workplace practices, and career opportunities and organisational culture. A good employee experience can thus work in harmony with the formal talent-management practices and aid NHSX retain employees who otherwise would leave due to lack of career advancement.</w:t>
      </w:r>
    </w:p>
    <w:p>
      <w:pPr>
        <w:spacing w:after="0" w:line="360" w:lineRule="auto"/>
        <w:rPr>
          <w:rFonts w:asciiTheme="majorBidi" w:hAnsiTheme="majorBidi" w:eastAsiaTheme="majorEastAsia"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br w:type="page"/>
      </w:r>
    </w:p>
    <w:p>
      <w:pPr>
        <w:pStyle w:val="3"/>
        <w:numPr>
          <w:ilvl w:val="1"/>
          <w:numId w:val="4"/>
        </w:numPr>
        <w:spacing w:before="0" w:after="0" w:line="360" w:lineRule="auto"/>
        <w:rPr>
          <w:rFonts w:asciiTheme="majorBidi" w:hAnsiTheme="majorBidi"/>
          <w:b/>
          <w:bCs/>
          <w:color w:val="000000" w:themeColor="text1"/>
          <w:sz w:val="24"/>
          <w:szCs w:val="24"/>
          <w14:textFill>
            <w14:solidFill>
              <w14:schemeClr w14:val="tx1"/>
            </w14:solidFill>
          </w14:textFill>
        </w:rPr>
      </w:pPr>
      <w:bookmarkStart w:id="4" w:name="_Toc242801643"/>
      <w:r>
        <w:rPr>
          <w:rFonts w:asciiTheme="majorBidi" w:hAnsiTheme="majorBidi"/>
          <w:b/>
          <w:bCs/>
          <w:color w:val="000000" w:themeColor="text1"/>
          <w:sz w:val="24"/>
          <w:szCs w:val="24"/>
          <w14:textFill>
            <w14:solidFill>
              <w14:schemeClr w14:val="tx1"/>
            </w14:solidFill>
          </w14:textFill>
        </w:rPr>
        <w:t>Comprehensive Talent Growth Strategy for NHSX</w:t>
      </w:r>
      <w:bookmarkEnd w:id="4"/>
    </w:p>
    <w:p>
      <w:pPr>
        <w:spacing w:after="0" w:line="360" w:lineRule="auto"/>
        <w:jc w:val="center"/>
        <w:rPr>
          <w:rFonts w:asciiTheme="majorBidi" w:hAnsiTheme="majorBidi" w:cstheme="majorBidi"/>
        </w:rPr>
      </w:pPr>
      <w:r>
        <w:rPr>
          <w:rFonts w:asciiTheme="majorBidi" w:hAnsiTheme="majorBidi" w:cstheme="majorBidi"/>
        </w:rPr>
        <w:drawing>
          <wp:inline distT="0" distB="0" distL="0" distR="0">
            <wp:extent cx="5655310" cy="29813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55310" cy="2981325"/>
                    </a:xfrm>
                    <a:prstGeom prst="rect">
                      <a:avLst/>
                    </a:prstGeom>
                  </pic:spPr>
                </pic:pic>
              </a:graphicData>
            </a:graphic>
          </wp:inline>
        </w:drawing>
      </w:r>
    </w:p>
    <w:p>
      <w:pPr>
        <w:spacing w:after="0" w:line="360" w:lineRule="auto"/>
        <w:jc w:val="center"/>
        <w:rPr>
          <w:rFonts w:asciiTheme="majorBidi" w:hAnsiTheme="majorBidi" w:cstheme="majorBidi"/>
        </w:rPr>
      </w:pPr>
      <w:r>
        <w:rPr>
          <w:rFonts w:asciiTheme="majorBidi" w:hAnsiTheme="majorBidi" w:cstheme="majorBidi"/>
          <w:b/>
          <w:bCs/>
          <w:color w:val="000000" w:themeColor="text1"/>
          <w14:textFill>
            <w14:solidFill>
              <w14:schemeClr w14:val="tx1"/>
            </w14:solidFill>
          </w14:textFill>
        </w:rPr>
        <w:t>Image 2: Talent Growth Strategy for NHSX</w:t>
      </w:r>
    </w:p>
    <w:p>
      <w:pPr>
        <w:pStyle w:val="34"/>
        <w:numPr>
          <w:ilvl w:val="0"/>
          <w:numId w:val="6"/>
        </w:numPr>
        <w:spacing w:after="0" w:line="360" w:lineRule="auto"/>
        <w:jc w:val="both"/>
        <w:rPr>
          <w:rFonts w:eastAsia="Times New Roman" w:asciiTheme="majorBidi" w:hAnsiTheme="majorBidi" w:cstheme="majorBidi"/>
          <w:kern w:val="0"/>
          <w14:ligatures w14:val="none"/>
        </w:rPr>
      </w:pPr>
      <w:r>
        <w:rPr>
          <w:rFonts w:asciiTheme="majorBidi" w:hAnsiTheme="majorBidi" w:cstheme="majorBidi"/>
          <w:b/>
          <w:bCs/>
          <w:color w:val="000000" w:themeColor="text1"/>
          <w14:textFill>
            <w14:solidFill>
              <w14:schemeClr w14:val="tx1"/>
            </w14:solidFill>
          </w14:textFill>
        </w:rPr>
        <w:t xml:space="preserve">Continuous Learning Academy: </w:t>
      </w:r>
      <w:r>
        <w:rPr>
          <w:rFonts w:asciiTheme="majorBidi" w:hAnsiTheme="majorBidi" w:cstheme="majorBidi"/>
          <w:bCs/>
          <w:color w:val="000000" w:themeColor="text1"/>
          <w14:textFill>
            <w14:solidFill>
              <w14:schemeClr w14:val="tx1"/>
            </w14:solidFill>
          </w14:textFill>
        </w:rPr>
        <w:t xml:space="preserve">Established by NHSX is an internal NHSX Learning Academy that offers formal development in AI, digital healthcare, leadership, project management, data analytics, cybersecurity, communication and cross-cultural management </w:t>
      </w:r>
      <w:r>
        <w:rPr>
          <w:rFonts w:eastAsia="Times New Roman" w:asciiTheme="majorBidi" w:hAnsiTheme="majorBidi" w:cstheme="majorBidi"/>
          <w:kern w:val="0"/>
          <w14:ligatures w14:val="none"/>
        </w:rPr>
        <w:t>(McGinnis, Fineberg and Dzau, 2021)</w:t>
      </w:r>
      <w:r>
        <w:rPr>
          <w:rFonts w:asciiTheme="majorBidi" w:hAnsiTheme="majorBidi" w:cstheme="majorBidi"/>
          <w:bCs/>
          <w:color w:val="000000" w:themeColor="text1"/>
          <w14:textFill>
            <w14:solidFill>
              <w14:schemeClr w14:val="tx1"/>
            </w14:solidFill>
          </w14:textFill>
        </w:rPr>
        <w:t>. Delivery must be a combination of microlearning, workshops, online course and applied projects. This would make employees keep on enhancing their skills instead of having intermittent training programmes.</w:t>
      </w:r>
    </w:p>
    <w:p>
      <w:pPr>
        <w:pStyle w:val="34"/>
        <w:numPr>
          <w:ilvl w:val="0"/>
          <w:numId w:val="7"/>
        </w:numPr>
        <w:spacing w:after="0" w:line="360" w:lineRule="auto"/>
        <w:jc w:val="both"/>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 xml:space="preserve">Individual Development Plans: </w:t>
      </w:r>
      <w:r>
        <w:rPr>
          <w:rFonts w:asciiTheme="majorBidi" w:hAnsiTheme="majorBidi" w:cstheme="majorBidi"/>
          <w:bCs/>
          <w:color w:val="000000" w:themeColor="text1"/>
          <w14:textFill>
            <w14:solidFill>
              <w14:schemeClr w14:val="tx1"/>
            </w14:solidFill>
          </w14:textFill>
        </w:rPr>
        <w:t>Each of the employees is to be provided with a yearly or twice a year development plan entailing their present competencies, future career objectives, and competencies deficiencies, developmental goals, development activities, and future roles. These plans should be revised by managers on a regular basis and development objectives must be tied to organisational priorities.</w:t>
      </w:r>
    </w:p>
    <w:p>
      <w:pPr>
        <w:pStyle w:val="34"/>
        <w:numPr>
          <w:ilvl w:val="0"/>
          <w:numId w:val="7"/>
        </w:numPr>
        <w:spacing w:after="0" w:line="360" w:lineRule="auto"/>
        <w:jc w:val="both"/>
        <w:rPr>
          <w:rFonts w:asciiTheme="majorBidi" w:hAnsiTheme="majorBidi" w:cstheme="majorBidi"/>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 xml:space="preserve">Career Pathways and Internal Mobility: </w:t>
      </w:r>
      <w:r>
        <w:rPr>
          <w:rFonts w:asciiTheme="majorBidi" w:hAnsiTheme="majorBidi" w:cstheme="majorBidi"/>
          <w:bCs/>
          <w:color w:val="000000" w:themeColor="text1"/>
          <w14:textFill>
            <w14:solidFill>
              <w14:schemeClr w14:val="tx1"/>
            </w14:solidFill>
          </w14:textFill>
        </w:rPr>
        <w:t>Career pathways to be considered by NHSX should be transparent. Employees should be made aware of internal vacancies, short-term assignments and project rotations. This goes straight to the existing retention issue facing the organisation showing that a career build can be achieved without needing to leave NHSX.</w:t>
      </w:r>
    </w:p>
    <w:p>
      <w:pPr>
        <w:pStyle w:val="34"/>
        <w:numPr>
          <w:ilvl w:val="0"/>
          <w:numId w:val="8"/>
        </w:numPr>
        <w:spacing w:after="0" w:line="360" w:lineRule="auto"/>
        <w:jc w:val="both"/>
        <w:rPr>
          <w:rFonts w:eastAsia="Times New Roman" w:asciiTheme="majorBidi" w:hAnsiTheme="majorBidi" w:cstheme="majorBidi"/>
          <w:kern w:val="0"/>
          <w14:ligatures w14:val="none"/>
        </w:rPr>
      </w:pPr>
      <w:r>
        <w:rPr>
          <w:rFonts w:asciiTheme="majorBidi" w:hAnsiTheme="majorBidi" w:cstheme="majorBidi"/>
          <w:b/>
          <w:bCs/>
          <w:color w:val="000000" w:themeColor="text1"/>
          <w14:textFill>
            <w14:solidFill>
              <w14:schemeClr w14:val="tx1"/>
            </w14:solidFill>
          </w14:textFill>
        </w:rPr>
        <w:t xml:space="preserve">Mentoring and Coaching: </w:t>
      </w:r>
      <w:r>
        <w:rPr>
          <w:rFonts w:asciiTheme="majorBidi" w:hAnsiTheme="majorBidi" w:cstheme="majorBidi"/>
          <w:bCs/>
          <w:color w:val="000000" w:themeColor="text1"/>
          <w14:textFill>
            <w14:solidFill>
              <w14:schemeClr w14:val="tx1"/>
            </w14:solidFill>
          </w14:textFill>
        </w:rPr>
        <w:t xml:space="preserve">Senior-junior mentoring, reverse mentoring, cross-country mentoring and leadership coaching are some of the mentoring processes that should be included in structured mentoring programme. Peer learning may reinforce the transfer of knowledge across geographical locations by enabling the top managers to gain insights into the views of younger workers towards technology, flexibility and career goals through reverse mentoring </w:t>
      </w:r>
      <w:r>
        <w:rPr>
          <w:rFonts w:eastAsia="Times New Roman" w:asciiTheme="majorBidi" w:hAnsiTheme="majorBidi" w:cstheme="majorBidi"/>
          <w:kern w:val="0"/>
          <w14:ligatures w14:val="none"/>
        </w:rPr>
        <w:t>(Chaudhuri, Park and Johnson, 2021)</w:t>
      </w:r>
      <w:r>
        <w:rPr>
          <w:rFonts w:asciiTheme="majorBidi" w:hAnsiTheme="majorBidi" w:cstheme="majorBidi"/>
          <w:bCs/>
          <w:color w:val="000000" w:themeColor="text1"/>
          <w14:textFill>
            <w14:solidFill>
              <w14:schemeClr w14:val="tx1"/>
            </w14:solidFill>
          </w14:textFill>
        </w:rPr>
        <w:t>.</w:t>
      </w:r>
    </w:p>
    <w:p>
      <w:pPr>
        <w:pStyle w:val="34"/>
        <w:numPr>
          <w:ilvl w:val="0"/>
          <w:numId w:val="9"/>
        </w:numPr>
        <w:spacing w:after="0" w:line="360" w:lineRule="auto"/>
        <w:jc w:val="both"/>
        <w:rPr>
          <w:rFonts w:asciiTheme="majorBidi" w:hAnsiTheme="majorBidi" w:cstheme="majorBidi"/>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 xml:space="preserve">Psychological Safety and Innovation Culture: </w:t>
      </w:r>
      <w:r>
        <w:rPr>
          <w:rFonts w:asciiTheme="majorBidi" w:hAnsiTheme="majorBidi" w:cstheme="majorBidi"/>
          <w:bCs/>
          <w:color w:val="000000" w:themeColor="text1"/>
          <w14:textFill>
            <w14:solidFill>
              <w14:schemeClr w14:val="tx1"/>
            </w14:solidFill>
          </w14:textFill>
        </w:rPr>
        <w:t>NHSX is advised to form innovation forums, employee-voice, periodic project retrospectives and safe feedback. Learning, trial and error and positive challenge should be rewarded among employees. Innovation can be fostered through a "fail, learn and improve" principle but it should be differentiated with avoidance of taking unacceptable risk. Experimentation of patient information or clinical decision-making in healthcare technology has to be under relevant governance and safety measures.</w:t>
      </w:r>
    </w:p>
    <w:p>
      <w:pPr>
        <w:pStyle w:val="3"/>
        <w:numPr>
          <w:ilvl w:val="1"/>
          <w:numId w:val="4"/>
        </w:numPr>
        <w:spacing w:before="0" w:after="0" w:line="360" w:lineRule="auto"/>
        <w:rPr>
          <w:rFonts w:asciiTheme="majorBidi" w:hAnsiTheme="majorBidi"/>
          <w:b/>
          <w:bCs/>
          <w:color w:val="000000" w:themeColor="text1"/>
          <w:sz w:val="24"/>
          <w:szCs w:val="24"/>
          <w14:textFill>
            <w14:solidFill>
              <w14:schemeClr w14:val="tx1"/>
            </w14:solidFill>
          </w14:textFill>
        </w:rPr>
      </w:pPr>
      <w:bookmarkStart w:id="5" w:name="_Toc242801644"/>
      <w:r>
        <w:rPr>
          <w:rFonts w:asciiTheme="majorBidi" w:hAnsiTheme="majorBidi"/>
          <w:b/>
          <w:bCs/>
          <w:color w:val="000000" w:themeColor="text1"/>
          <w:sz w:val="24"/>
          <w:szCs w:val="24"/>
          <w14:textFill>
            <w14:solidFill>
              <w14:schemeClr w14:val="tx1"/>
            </w14:solidFill>
          </w14:textFill>
        </w:rPr>
        <w:t>Measuring Talent Strategy Success</w:t>
      </w:r>
      <w:bookmarkEnd w:id="5"/>
    </w:p>
    <w:p>
      <w:pPr>
        <w:spacing w:after="0" w:line="360" w:lineRule="auto"/>
        <w:jc w:val="both"/>
        <w:rPr>
          <w:rFonts w:asciiTheme="majorBidi" w:hAnsiTheme="majorBidi" w:cstheme="majorBidi"/>
          <w:bCs/>
          <w:color w:val="000000" w:themeColor="text1"/>
          <w14:textFill>
            <w14:solidFill>
              <w14:schemeClr w14:val="tx1"/>
            </w14:solidFill>
          </w14:textFill>
        </w:rPr>
      </w:pPr>
      <w:r>
        <w:rPr>
          <w:rFonts w:asciiTheme="majorBidi" w:hAnsiTheme="majorBidi" w:cstheme="majorBidi"/>
          <w:bCs/>
          <w:color w:val="000000" w:themeColor="text1"/>
          <w14:textFill>
            <w14:solidFill>
              <w14:schemeClr w14:val="tx1"/>
            </w14:solidFill>
          </w14:textFill>
        </w:rPr>
        <w:t xml:space="preserve">The strategy can be measured by NHSX based on such indicators as employee retention, voluntary high performer turnover, internal promotion, training participation, skills development, engagement, psychological safety, innovation completion, internal mobility and wellbeing/absence indicators. These measures need to be looked at in combination not in separate messages such that better productivity is attained at the cost of employee wellbeing. </w:t>
      </w:r>
    </w:p>
    <w:p>
      <w:pPr>
        <w:spacing w:after="0" w:line="360" w:lineRule="auto"/>
        <w:jc w:val="both"/>
        <w:rPr>
          <w:rFonts w:asciiTheme="majorBidi" w:hAnsiTheme="majorBidi" w:cstheme="majorBidi"/>
          <w:bCs/>
          <w:color w:val="000000" w:themeColor="text1"/>
          <w14:textFill>
            <w14:solidFill>
              <w14:schemeClr w14:val="tx1"/>
            </w14:solidFill>
          </w14:textFill>
        </w:rPr>
      </w:pPr>
      <w:r>
        <w:rPr>
          <w:rFonts w:asciiTheme="majorBidi" w:hAnsiTheme="majorBidi" w:cstheme="majorBidi"/>
          <w:bCs/>
          <w:color w:val="000000" w:themeColor="text1"/>
          <w14:textFill>
            <w14:solidFill>
              <w14:schemeClr w14:val="tx1"/>
            </w14:solidFill>
          </w14:textFill>
        </w:rPr>
        <w:t>In general, the talent ecosystem at NHSX ought to align learning, autonomy, the psychological safety, career development, recognition and wellbeing. This kind of integrated focus can lead to a shift of talent management as a reactive retention system to more of a strategic organisational capability.</w:t>
      </w:r>
    </w:p>
    <w:p>
      <w:pPr>
        <w:pStyle w:val="2"/>
        <w:numPr>
          <w:ilvl w:val="0"/>
          <w:numId w:val="4"/>
        </w:numPr>
        <w:spacing w:before="0" w:after="0" w:line="360" w:lineRule="auto"/>
        <w:rPr>
          <w:rFonts w:asciiTheme="majorBidi" w:hAnsiTheme="majorBidi"/>
          <w:b/>
          <w:bCs/>
          <w:color w:val="000000" w:themeColor="text1"/>
          <w:sz w:val="24"/>
          <w:szCs w:val="24"/>
          <w14:textFill>
            <w14:solidFill>
              <w14:schemeClr w14:val="tx1"/>
            </w14:solidFill>
          </w14:textFill>
        </w:rPr>
      </w:pPr>
      <w:bookmarkStart w:id="6" w:name="_Toc242801645"/>
      <w:r>
        <w:rPr>
          <w:rFonts w:asciiTheme="majorBidi" w:hAnsiTheme="majorBidi"/>
          <w:b/>
          <w:bCs/>
          <w:color w:val="000000" w:themeColor="text1"/>
          <w:sz w:val="24"/>
          <w:szCs w:val="24"/>
          <w14:textFill>
            <w14:solidFill>
              <w14:schemeClr w14:val="tx1"/>
            </w14:solidFill>
          </w14:textFill>
        </w:rPr>
        <w:t>TASK C: Reflective Report</w:t>
      </w:r>
      <w:bookmarkEnd w:id="6"/>
    </w:p>
    <w:p>
      <w:pPr>
        <w:pStyle w:val="3"/>
        <w:numPr>
          <w:ilvl w:val="1"/>
          <w:numId w:val="4"/>
        </w:numPr>
        <w:spacing w:before="0" w:after="0" w:line="360" w:lineRule="auto"/>
        <w:rPr>
          <w:rFonts w:asciiTheme="majorBidi" w:hAnsiTheme="majorBidi"/>
          <w:b/>
          <w:bCs/>
          <w:color w:val="000000" w:themeColor="text1"/>
          <w:sz w:val="24"/>
          <w:szCs w:val="24"/>
          <w14:textFill>
            <w14:solidFill>
              <w14:schemeClr w14:val="tx1"/>
            </w14:solidFill>
          </w14:textFill>
        </w:rPr>
      </w:pPr>
      <w:bookmarkStart w:id="7" w:name="_Toc242801646"/>
      <w:r>
        <w:rPr>
          <w:rFonts w:asciiTheme="majorBidi" w:hAnsiTheme="majorBidi"/>
          <w:b/>
          <w:bCs/>
          <w:color w:val="000000" w:themeColor="text1"/>
          <w:sz w:val="24"/>
          <w:szCs w:val="24"/>
          <w14:textFill>
            <w14:solidFill>
              <w14:schemeClr w14:val="tx1"/>
            </w14:solidFill>
          </w14:textFill>
        </w:rPr>
        <w:t>Artificial Intelligence as a Strategic HRM means</w:t>
      </w:r>
      <w:bookmarkEnd w:id="7"/>
    </w:p>
    <w:p>
      <w:pPr>
        <w:spacing w:after="0" w:line="360" w:lineRule="auto"/>
        <w:jc w:val="both"/>
        <w:rPr>
          <w:rFonts w:eastAsia="Times New Roman" w:asciiTheme="majorBidi" w:hAnsiTheme="majorBidi" w:cstheme="majorBidi"/>
          <w:kern w:val="0"/>
          <w14:ligatures w14:val="none"/>
        </w:rPr>
      </w:pPr>
      <w:r>
        <w:rPr>
          <w:rFonts w:asciiTheme="majorBidi" w:hAnsiTheme="majorBidi" w:cstheme="majorBidi"/>
          <w:bCs/>
          <w:color w:val="000000" w:themeColor="text1"/>
          <w14:textFill>
            <w14:solidFill>
              <w14:schemeClr w14:val="tx1"/>
            </w14:solidFill>
          </w14:textFill>
        </w:rPr>
        <w:t xml:space="preserve">Artificial Intelligence (AI) is a strategic decision-support tool that is being extensively applied in Human Resource Management (HRM) </w:t>
      </w:r>
      <w:r>
        <w:rPr>
          <w:rFonts w:eastAsia="Times New Roman" w:asciiTheme="majorBidi" w:hAnsiTheme="majorBidi" w:cstheme="majorBidi"/>
          <w:kern w:val="0"/>
          <w14:ligatures w14:val="none"/>
        </w:rPr>
        <w:t>(Vrontis et al., 2023)</w:t>
      </w:r>
      <w:r>
        <w:rPr>
          <w:rFonts w:asciiTheme="majorBidi" w:hAnsiTheme="majorBidi" w:cstheme="majorBidi"/>
          <w:bCs/>
          <w:color w:val="000000" w:themeColor="text1"/>
          <w14:textFill>
            <w14:solidFill>
              <w14:schemeClr w14:val="tx1"/>
            </w14:solidFill>
          </w14:textFill>
        </w:rPr>
        <w:t xml:space="preserve">. It is able to facilitate the process of recruitment, talent identification, workforce forecasting, skills-gap analysis, personalised learning and employee engagement analysis. AI is also capable of supplying performance data and assists human resource professionals with the trends of the workforce. The OECD (2024) acknowledges the potential offered by AI in the workplace and the importance of responsible usage and human supervision. Nevertheless, AI is a source of danger too. Algorithms prone to discrimination can replicate discrimination during recruitment and promotion, whereas large amounts of data collection about the employees can lead to privacy and monitoring issues. </w:t>
      </w:r>
    </w:p>
    <w:p>
      <w:pPr>
        <w:pStyle w:val="3"/>
        <w:numPr>
          <w:ilvl w:val="1"/>
          <w:numId w:val="10"/>
        </w:numPr>
        <w:spacing w:before="0" w:after="0" w:line="360" w:lineRule="auto"/>
        <w:rPr>
          <w:rFonts w:asciiTheme="majorBidi" w:hAnsiTheme="majorBidi"/>
          <w:b/>
          <w:bCs/>
          <w:color w:val="000000" w:themeColor="text1"/>
          <w:sz w:val="24"/>
          <w:szCs w:val="24"/>
          <w14:textFill>
            <w14:solidFill>
              <w14:schemeClr w14:val="tx1"/>
            </w14:solidFill>
          </w14:textFill>
        </w:rPr>
      </w:pPr>
      <w:bookmarkStart w:id="8" w:name="_Toc242801647"/>
      <w:r>
        <w:rPr>
          <w:rFonts w:asciiTheme="majorBidi" w:hAnsiTheme="majorBidi"/>
          <w:b/>
          <w:bCs/>
          <w:color w:val="000000" w:themeColor="text1"/>
          <w:sz w:val="24"/>
          <w:szCs w:val="24"/>
          <w14:textFill>
            <w14:solidFill>
              <w14:schemeClr w14:val="tx1"/>
            </w14:solidFill>
          </w14:textFill>
        </w:rPr>
        <w:t>Reflective Analysis: Three Examples of Personal AI Use</w:t>
      </w:r>
      <w:bookmarkEnd w:id="8"/>
    </w:p>
    <w:p>
      <w:pPr>
        <w:spacing w:after="0" w:line="360" w:lineRule="auto"/>
        <w:rPr>
          <w:rFonts w:asciiTheme="majorBidi" w:hAnsiTheme="majorBidi" w:cstheme="majorBidi"/>
          <w:bCs/>
          <w:color w:val="000000" w:themeColor="text1"/>
          <w14:textFill>
            <w14:solidFill>
              <w14:schemeClr w14:val="tx1"/>
            </w14:solidFill>
          </w14:textFill>
        </w:rPr>
      </w:pPr>
      <w:r>
        <w:rPr>
          <w:rFonts w:asciiTheme="majorBidi" w:hAnsiTheme="majorBidi" w:cstheme="majorBidi"/>
          <w:bCs/>
          <w:color w:val="000000" w:themeColor="text1"/>
          <w14:textFill>
            <w14:solidFill>
              <w14:schemeClr w14:val="tx1"/>
            </w14:solidFill>
          </w14:textFill>
        </w:rPr>
        <w:t>With the help of the Reflective Cycle introduced by Gibbs (1988), I will be able to assess how AI has contributed to my professional development in terms of capability.</w:t>
      </w:r>
    </w:p>
    <w:p>
      <w:pPr>
        <w:pStyle w:val="34"/>
        <w:numPr>
          <w:ilvl w:val="0"/>
          <w:numId w:val="11"/>
        </w:numPr>
        <w:spacing w:after="0" w:line="360" w:lineRule="auto"/>
        <w:jc w:val="both"/>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 xml:space="preserve">Example 1 - </w:t>
      </w:r>
      <w:r>
        <w:rPr>
          <w:rFonts w:asciiTheme="majorBidi" w:hAnsiTheme="majorBidi" w:cstheme="majorBidi"/>
          <w:b/>
          <w:color w:val="000000" w:themeColor="text1"/>
          <w14:textFill>
            <w14:solidFill>
              <w14:schemeClr w14:val="tx1"/>
            </w14:solidFill>
          </w14:textFill>
        </w:rPr>
        <w:t>Academic Research:</w:t>
      </w:r>
      <w:r>
        <w:rPr>
          <w:rFonts w:asciiTheme="majorBidi" w:hAnsiTheme="majorBidi" w:cstheme="majorBidi"/>
          <w:bCs/>
          <w:color w:val="000000" w:themeColor="text1"/>
          <w14:textFill>
            <w14:solidFill>
              <w14:schemeClr w14:val="tx1"/>
            </w14:solidFill>
          </w14:textFill>
        </w:rPr>
        <w:t xml:space="preserve"> I have employed AI in the development of research concepts, finding themes and organization of scholarly texts. This helped me to be more efficient in my research and opened me to other views. Nonetheless, AI has the potential to generate misleading information and invalid sources. I thus got to know how to validate information that AI gives by means of genuine scholarly articles, enhancing my ability to think critically and conduct research.</w:t>
      </w:r>
    </w:p>
    <w:p>
      <w:pPr>
        <w:pStyle w:val="34"/>
        <w:numPr>
          <w:ilvl w:val="0"/>
          <w:numId w:val="11"/>
        </w:numPr>
        <w:spacing w:after="0" w:line="360" w:lineRule="auto"/>
        <w:jc w:val="both"/>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 xml:space="preserve">Example 2 - </w:t>
      </w:r>
      <w:r>
        <w:rPr>
          <w:rFonts w:asciiTheme="majorBidi" w:hAnsiTheme="majorBidi" w:cstheme="majorBidi"/>
          <w:b/>
          <w:color w:val="000000" w:themeColor="text1"/>
          <w14:textFill>
            <w14:solidFill>
              <w14:schemeClr w14:val="tx1"/>
            </w14:solidFill>
          </w14:textFill>
        </w:rPr>
        <w:t xml:space="preserve">Writing and Communication: </w:t>
      </w:r>
      <w:r>
        <w:rPr>
          <w:rFonts w:asciiTheme="majorBidi" w:hAnsiTheme="majorBidi" w:cstheme="majorBidi"/>
          <w:bCs/>
          <w:color w:val="000000" w:themeColor="text1"/>
          <w14:textFill>
            <w14:solidFill>
              <w14:schemeClr w14:val="tx1"/>
            </w14:solidFill>
          </w14:textFill>
        </w:rPr>
        <w:t>I have applied AI to boost grammar, structure and clarity. This assisted me to communicate better but over reliance might undermine independent writing and critical thinking. I thus involve AI as an editing and brainstorming tool retaining responsibility of the argument and end product.</w:t>
      </w:r>
    </w:p>
    <w:p>
      <w:pPr>
        <w:pStyle w:val="34"/>
        <w:numPr>
          <w:ilvl w:val="0"/>
          <w:numId w:val="11"/>
        </w:numPr>
        <w:spacing w:after="0" w:line="360" w:lineRule="auto"/>
        <w:jc w:val="both"/>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 xml:space="preserve">Example 3 - </w:t>
      </w:r>
      <w:r>
        <w:rPr>
          <w:rFonts w:asciiTheme="majorBidi" w:hAnsiTheme="majorBidi" w:cstheme="majorBidi"/>
          <w:b/>
          <w:color w:val="000000" w:themeColor="text1"/>
          <w14:textFill>
            <w14:solidFill>
              <w14:schemeClr w14:val="tx1"/>
            </w14:solidFill>
          </w14:textFill>
        </w:rPr>
        <w:t>Problem-Solving and Career Development</w:t>
      </w:r>
      <w:r>
        <w:rPr>
          <w:rFonts w:asciiTheme="majorBidi" w:hAnsiTheme="majorBidi" w:cstheme="majorBidi"/>
          <w:bCs/>
          <w:color w:val="000000" w:themeColor="text1"/>
          <w14:textFill>
            <w14:solidFill>
              <w14:schemeClr w14:val="tx1"/>
            </w14:solidFill>
          </w14:textFill>
        </w:rPr>
        <w:t>: I have applied AI to investigate career opportunities, evaluate professional situational challenges and locate employability skills. This was quick to get feedback but recommendations were generic. I got to know how to take AI recommendations and integrate them with my personal judgment and situation, which enhances my problem-solving and career-planning abilities.</w:t>
      </w:r>
    </w:p>
    <w:p>
      <w:pPr>
        <w:pStyle w:val="3"/>
        <w:numPr>
          <w:ilvl w:val="1"/>
          <w:numId w:val="10"/>
        </w:numPr>
        <w:spacing w:before="0" w:after="0" w:line="360" w:lineRule="auto"/>
        <w:rPr>
          <w:rFonts w:asciiTheme="majorBidi" w:hAnsiTheme="majorBidi"/>
          <w:b/>
          <w:bCs/>
          <w:color w:val="000000" w:themeColor="text1"/>
          <w:sz w:val="24"/>
          <w:szCs w:val="24"/>
          <w14:textFill>
            <w14:solidFill>
              <w14:schemeClr w14:val="tx1"/>
            </w14:solidFill>
          </w14:textFill>
        </w:rPr>
      </w:pPr>
      <w:bookmarkStart w:id="9" w:name="_Toc242801648"/>
      <w:r>
        <w:rPr>
          <w:rFonts w:asciiTheme="majorBidi" w:hAnsiTheme="majorBidi"/>
          <w:b/>
          <w:bCs/>
          <w:color w:val="000000" w:themeColor="text1"/>
          <w:sz w:val="24"/>
          <w:szCs w:val="24"/>
          <w14:textFill>
            <w14:solidFill>
              <w14:schemeClr w14:val="tx1"/>
            </w14:solidFill>
          </w14:textFill>
        </w:rPr>
        <w:t>Personal Capability Development Plan</w:t>
      </w:r>
      <w:bookmarkEnd w:id="9"/>
    </w:p>
    <w:tbl>
      <w:tblPr>
        <w:tblStyle w:val="44"/>
        <w:tblW w:w="9736" w:type="dxa"/>
        <w:jc w:val="center"/>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Layout w:type="autofit"/>
        <w:tblCellMar>
          <w:top w:w="0" w:type="dxa"/>
          <w:left w:w="108" w:type="dxa"/>
          <w:bottom w:w="0" w:type="dxa"/>
          <w:right w:w="108" w:type="dxa"/>
        </w:tblCellMar>
      </w:tblPr>
      <w:tblGrid>
        <w:gridCol w:w="1651"/>
        <w:gridCol w:w="2016"/>
        <w:gridCol w:w="1587"/>
        <w:gridCol w:w="1282"/>
        <w:gridCol w:w="1238"/>
        <w:gridCol w:w="1962"/>
      </w:tblGrid>
      <w:tr>
        <w:tblPrEx>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CellMar>
            <w:top w:w="0" w:type="dxa"/>
            <w:left w:w="108" w:type="dxa"/>
            <w:bottom w:w="0" w:type="dxa"/>
            <w:right w:w="108" w:type="dxa"/>
          </w:tblCellMar>
        </w:tblPrEx>
        <w:trPr>
          <w:trHeight w:val="383" w:hRule="atLeast"/>
          <w:jc w:val="center"/>
        </w:trPr>
        <w:tc>
          <w:tcPr>
            <w:tcW w:w="1770" w:type="dxa"/>
            <w:tcBorders>
              <w:top w:val="single" w:color="5B9BD5" w:themeColor="accent5" w:sz="4" w:space="0"/>
              <w:left w:val="single" w:color="5B9BD5" w:themeColor="accent5" w:sz="4" w:space="0"/>
              <w:bottom w:val="single" w:color="5B9BD5" w:themeColor="accent5" w:sz="4" w:space="0"/>
              <w:right w:val="nil"/>
              <w:insideH w:val="single" w:sz="4" w:space="0"/>
              <w:insideV w:val="nil"/>
            </w:tcBorders>
            <w:shd w:val="clear" w:color="auto" w:fill="5B9BD5" w:themeFill="accent5"/>
            <w:vAlign w:val="center"/>
          </w:tcPr>
          <w:p>
            <w:pPr>
              <w:spacing w:after="0" w:line="360" w:lineRule="auto"/>
              <w:jc w:val="center"/>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Development Area</w:t>
            </w:r>
          </w:p>
        </w:tc>
        <w:tc>
          <w:tcPr>
            <w:tcW w:w="1907" w:type="dxa"/>
            <w:tcBorders>
              <w:top w:val="single" w:color="5B9BD5" w:themeColor="accent5" w:sz="4" w:space="0"/>
              <w:bottom w:val="single" w:color="5B9BD5" w:themeColor="accent5" w:sz="4" w:space="0"/>
              <w:right w:val="nil"/>
              <w:insideH w:val="single" w:sz="4" w:space="0"/>
              <w:insideV w:val="nil"/>
            </w:tcBorders>
            <w:shd w:val="clear" w:color="auto" w:fill="5B9BD5" w:themeFill="accent5"/>
            <w:vAlign w:val="center"/>
          </w:tcPr>
          <w:p>
            <w:pPr>
              <w:spacing w:after="0" w:line="360" w:lineRule="auto"/>
              <w:jc w:val="center"/>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Current Capability</w:t>
            </w:r>
          </w:p>
        </w:tc>
        <w:tc>
          <w:tcPr>
            <w:tcW w:w="1619" w:type="dxa"/>
            <w:tcBorders>
              <w:top w:val="single" w:color="5B9BD5" w:themeColor="accent5" w:sz="4" w:space="0"/>
              <w:bottom w:val="single" w:color="5B9BD5" w:themeColor="accent5" w:sz="4" w:space="0"/>
              <w:right w:val="nil"/>
              <w:insideH w:val="single" w:sz="4" w:space="0"/>
              <w:insideV w:val="nil"/>
            </w:tcBorders>
            <w:shd w:val="clear" w:color="auto" w:fill="5B9BD5" w:themeFill="accent5"/>
            <w:vAlign w:val="center"/>
          </w:tcPr>
          <w:p>
            <w:pPr>
              <w:spacing w:after="0" w:line="360" w:lineRule="auto"/>
              <w:jc w:val="center"/>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Development Need</w:t>
            </w:r>
          </w:p>
        </w:tc>
        <w:tc>
          <w:tcPr>
            <w:tcW w:w="1407" w:type="dxa"/>
            <w:tcBorders>
              <w:top w:val="single" w:color="5B9BD5" w:themeColor="accent5" w:sz="4" w:space="0"/>
              <w:bottom w:val="single" w:color="5B9BD5" w:themeColor="accent5" w:sz="4" w:space="0"/>
              <w:right w:val="nil"/>
              <w:insideH w:val="single" w:sz="4" w:space="0"/>
              <w:insideV w:val="nil"/>
            </w:tcBorders>
            <w:shd w:val="clear" w:color="auto" w:fill="5B9BD5" w:themeFill="accent5"/>
            <w:vAlign w:val="center"/>
          </w:tcPr>
          <w:p>
            <w:pPr>
              <w:spacing w:after="0" w:line="360" w:lineRule="auto"/>
              <w:jc w:val="center"/>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Action</w:t>
            </w:r>
          </w:p>
        </w:tc>
        <w:tc>
          <w:tcPr>
            <w:tcW w:w="0" w:type="auto"/>
            <w:tcBorders>
              <w:top w:val="single" w:color="5B9BD5" w:themeColor="accent5" w:sz="4" w:space="0"/>
              <w:bottom w:val="single" w:color="5B9BD5" w:themeColor="accent5" w:sz="4" w:space="0"/>
              <w:right w:val="nil"/>
              <w:insideH w:val="single" w:sz="4" w:space="0"/>
              <w:insideV w:val="nil"/>
            </w:tcBorders>
            <w:shd w:val="clear" w:color="auto" w:fill="5B9BD5" w:themeFill="accent5"/>
            <w:vAlign w:val="center"/>
          </w:tcPr>
          <w:p>
            <w:pPr>
              <w:spacing w:after="0" w:line="360" w:lineRule="auto"/>
              <w:jc w:val="center"/>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Timescale</w:t>
            </w:r>
          </w:p>
        </w:tc>
        <w:tc>
          <w:tcPr>
            <w:tcW w:w="0" w:type="auto"/>
            <w:tcBorders>
              <w:top w:val="single" w:color="5B9BD5" w:themeColor="accent5" w:sz="4" w:space="0"/>
              <w:bottom w:val="single" w:color="5B9BD5" w:themeColor="accent5" w:sz="4" w:space="0"/>
              <w:right w:val="single" w:color="5B9BD5" w:themeColor="accent5" w:sz="4" w:space="0"/>
              <w:insideH w:val="single" w:sz="4" w:space="0"/>
              <w:insideV w:val="nil"/>
            </w:tcBorders>
            <w:shd w:val="clear" w:color="auto" w:fill="5B9BD5" w:themeFill="accent5"/>
            <w:vAlign w:val="center"/>
          </w:tcPr>
          <w:p>
            <w:pPr>
              <w:spacing w:after="0" w:line="360" w:lineRule="auto"/>
              <w:jc w:val="center"/>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Success Measure</w:t>
            </w:r>
          </w:p>
        </w:tc>
      </w:tr>
      <w:tr>
        <w:tblPrEx>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CellMar>
            <w:top w:w="0" w:type="dxa"/>
            <w:left w:w="108" w:type="dxa"/>
            <w:bottom w:w="0" w:type="dxa"/>
            <w:right w:w="108" w:type="dxa"/>
          </w:tblCellMar>
        </w:tblPrEx>
        <w:trPr>
          <w:trHeight w:val="1171" w:hRule="atLeast"/>
          <w:jc w:val="center"/>
        </w:trPr>
        <w:tc>
          <w:tcPr>
            <w:tcW w:w="1770" w:type="dxa"/>
            <w:shd w:val="clear" w:color="auto" w:fill="DEEAF6" w:themeFill="accent5" w:themeFillTint="33"/>
            <w:vAlign w:val="center"/>
          </w:tcPr>
          <w:p>
            <w:pPr>
              <w:spacing w:after="0" w:line="360" w:lineRule="auto"/>
              <w:jc w:val="both"/>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AI literacy</w:t>
            </w:r>
          </w:p>
        </w:tc>
        <w:tc>
          <w:tcPr>
            <w:tcW w:w="1907" w:type="dxa"/>
            <w:shd w:val="clear" w:color="auto" w:fill="DEEAF6" w:themeFill="accent5" w:themeFillTint="33"/>
            <w:vAlign w:val="center"/>
          </w:tcPr>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Basic/intermediate</w:t>
            </w:r>
          </w:p>
        </w:tc>
        <w:tc>
          <w:tcPr>
            <w:tcW w:w="1619" w:type="dxa"/>
            <w:shd w:val="clear" w:color="auto" w:fill="DEEAF6" w:themeFill="accent5" w:themeFillTint="33"/>
            <w:vAlign w:val="center"/>
          </w:tcPr>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Strategic HR application</w:t>
            </w:r>
          </w:p>
        </w:tc>
        <w:tc>
          <w:tcPr>
            <w:tcW w:w="1407" w:type="dxa"/>
            <w:shd w:val="clear" w:color="auto" w:fill="DEEAF6" w:themeFill="accent5" w:themeFillTint="33"/>
            <w:vAlign w:val="center"/>
          </w:tcPr>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Complete AI/HR analytics course and practical project</w:t>
            </w:r>
          </w:p>
        </w:tc>
        <w:tc>
          <w:tcPr>
            <w:tcW w:w="0" w:type="auto"/>
            <w:shd w:val="clear" w:color="auto" w:fill="DEEAF6" w:themeFill="accent5" w:themeFillTint="33"/>
            <w:vAlign w:val="center"/>
          </w:tcPr>
          <w:p>
            <w:pPr>
              <w:spacing w:after="0" w:line="360" w:lineRule="auto"/>
              <w:jc w:val="center"/>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3–6 months</w:t>
            </w:r>
          </w:p>
        </w:tc>
        <w:tc>
          <w:tcPr>
            <w:tcW w:w="0" w:type="auto"/>
            <w:shd w:val="clear" w:color="auto" w:fill="DEEAF6" w:themeFill="accent5" w:themeFillTint="33"/>
            <w:vAlign w:val="center"/>
          </w:tcPr>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Certificate/project</w:t>
            </w:r>
          </w:p>
        </w:tc>
      </w:tr>
      <w:tr>
        <w:tblPrEx>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CellMar>
            <w:top w:w="0" w:type="dxa"/>
            <w:left w:w="108" w:type="dxa"/>
            <w:bottom w:w="0" w:type="dxa"/>
            <w:right w:w="108" w:type="dxa"/>
          </w:tblCellMar>
        </w:tblPrEx>
        <w:trPr>
          <w:trHeight w:val="781" w:hRule="atLeast"/>
          <w:jc w:val="center"/>
        </w:trPr>
        <w:tc>
          <w:tcPr>
            <w:tcW w:w="1770" w:type="dxa"/>
            <w:vAlign w:val="center"/>
          </w:tcPr>
          <w:p>
            <w:pPr>
              <w:spacing w:after="0" w:line="360" w:lineRule="auto"/>
              <w:jc w:val="both"/>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Data analytics</w:t>
            </w:r>
          </w:p>
        </w:tc>
        <w:tc>
          <w:tcPr>
            <w:tcW w:w="1907" w:type="dxa"/>
            <w:vAlign w:val="center"/>
          </w:tcPr>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Developing</w:t>
            </w:r>
          </w:p>
        </w:tc>
        <w:tc>
          <w:tcPr>
            <w:tcW w:w="1619" w:type="dxa"/>
            <w:vAlign w:val="center"/>
          </w:tcPr>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HR data interpretation</w:t>
            </w:r>
          </w:p>
        </w:tc>
        <w:tc>
          <w:tcPr>
            <w:tcW w:w="1407" w:type="dxa"/>
            <w:vAlign w:val="center"/>
          </w:tcPr>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Develop Excel and Power BI skills</w:t>
            </w:r>
          </w:p>
        </w:tc>
        <w:tc>
          <w:tcPr>
            <w:tcW w:w="0" w:type="auto"/>
            <w:vAlign w:val="center"/>
          </w:tcPr>
          <w:p>
            <w:pPr>
              <w:spacing w:after="0" w:line="360" w:lineRule="auto"/>
              <w:jc w:val="center"/>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6-9 months</w:t>
            </w:r>
          </w:p>
        </w:tc>
        <w:tc>
          <w:tcPr>
            <w:tcW w:w="0" w:type="auto"/>
            <w:vAlign w:val="center"/>
          </w:tcPr>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HR analytics dashboard</w:t>
            </w:r>
          </w:p>
        </w:tc>
      </w:tr>
      <w:tr>
        <w:tblPrEx>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CellMar>
            <w:top w:w="0" w:type="dxa"/>
            <w:left w:w="108" w:type="dxa"/>
            <w:bottom w:w="0" w:type="dxa"/>
            <w:right w:w="108" w:type="dxa"/>
          </w:tblCellMar>
        </w:tblPrEx>
        <w:trPr>
          <w:trHeight w:val="769" w:hRule="atLeast"/>
          <w:jc w:val="center"/>
        </w:trPr>
        <w:tc>
          <w:tcPr>
            <w:tcW w:w="1770" w:type="dxa"/>
            <w:shd w:val="clear" w:color="auto" w:fill="DEEAF6" w:themeFill="accent5" w:themeFillTint="33"/>
            <w:vAlign w:val="center"/>
          </w:tcPr>
          <w:p>
            <w:pPr>
              <w:spacing w:after="0" w:line="360" w:lineRule="auto"/>
              <w:jc w:val="both"/>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Ethical AI</w:t>
            </w:r>
          </w:p>
        </w:tc>
        <w:tc>
          <w:tcPr>
            <w:tcW w:w="1907" w:type="dxa"/>
            <w:shd w:val="clear" w:color="auto" w:fill="DEEAF6" w:themeFill="accent5" w:themeFillTint="33"/>
            <w:vAlign w:val="center"/>
          </w:tcPr>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Developing</w:t>
            </w:r>
          </w:p>
        </w:tc>
        <w:tc>
          <w:tcPr>
            <w:tcW w:w="1619" w:type="dxa"/>
            <w:shd w:val="clear" w:color="auto" w:fill="DEEAF6" w:themeFill="accent5" w:themeFillTint="33"/>
            <w:vAlign w:val="center"/>
          </w:tcPr>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Governance and responsible use</w:t>
            </w:r>
          </w:p>
        </w:tc>
        <w:tc>
          <w:tcPr>
            <w:tcW w:w="1407" w:type="dxa"/>
            <w:shd w:val="clear" w:color="auto" w:fill="DEEAF6" w:themeFill="accent5" w:themeFillTint="33"/>
            <w:vAlign w:val="center"/>
          </w:tcPr>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Study AI ethics and data protection</w:t>
            </w:r>
          </w:p>
        </w:tc>
        <w:tc>
          <w:tcPr>
            <w:tcW w:w="0" w:type="auto"/>
            <w:shd w:val="clear" w:color="auto" w:fill="DEEAF6" w:themeFill="accent5" w:themeFillTint="33"/>
            <w:vAlign w:val="center"/>
          </w:tcPr>
          <w:p>
            <w:pPr>
              <w:spacing w:after="0" w:line="360" w:lineRule="auto"/>
              <w:jc w:val="center"/>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9-12 months</w:t>
            </w:r>
          </w:p>
        </w:tc>
        <w:tc>
          <w:tcPr>
            <w:tcW w:w="0" w:type="auto"/>
            <w:shd w:val="clear" w:color="auto" w:fill="DEEAF6" w:themeFill="accent5" w:themeFillTint="33"/>
            <w:vAlign w:val="center"/>
          </w:tcPr>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t>Successful application to HR scenarios</w:t>
            </w:r>
          </w:p>
        </w:tc>
      </w:tr>
    </w:tbl>
    <w:p>
      <w:pPr>
        <w:spacing w:after="0" w:line="360" w:lineRule="auto"/>
        <w:jc w:val="center"/>
        <w:rPr>
          <w:rFonts w:asciiTheme="majorBidi" w:hAnsiTheme="majorBidi" w:cstheme="majorBidi"/>
          <w:b/>
          <w:bCs/>
          <w:color w:val="000000" w:themeColor="text1"/>
          <w14:textFill>
            <w14:solidFill>
              <w14:schemeClr w14:val="tx1"/>
            </w14:solidFill>
          </w14:textFill>
        </w:rPr>
      </w:pPr>
      <w:r>
        <w:rPr>
          <w:rFonts w:asciiTheme="majorBidi" w:hAnsiTheme="majorBidi" w:cstheme="majorBidi"/>
          <w:b/>
          <w:bCs/>
          <w:color w:val="000000" w:themeColor="text1"/>
          <w14:textFill>
            <w14:solidFill>
              <w14:schemeClr w14:val="tx1"/>
            </w14:solidFill>
          </w14:textFill>
        </w:rPr>
        <w:t>Table 1: Personal Development Plan</w:t>
      </w:r>
    </w:p>
    <w:p>
      <w:pPr>
        <w:tabs>
          <w:tab w:val="left" w:pos="3600"/>
        </w:tabs>
        <w:spacing w:after="0" w:line="360" w:lineRule="auto"/>
        <w:jc w:val="both"/>
        <w:rPr>
          <w:rFonts w:asciiTheme="majorBidi" w:hAnsiTheme="majorBidi" w:cstheme="majorBidi"/>
          <w:bCs/>
          <w:color w:val="000000" w:themeColor="text1"/>
          <w14:textFill>
            <w14:solidFill>
              <w14:schemeClr w14:val="tx1"/>
            </w14:solidFill>
          </w14:textFill>
        </w:rPr>
      </w:pPr>
      <w:r>
        <w:rPr>
          <w:rFonts w:asciiTheme="majorBidi" w:hAnsiTheme="majorBidi" w:cstheme="majorBidi"/>
          <w:bCs/>
          <w:color w:val="000000" w:themeColor="text1"/>
          <w14:textFill>
            <w14:solidFill>
              <w14:schemeClr w14:val="tx1"/>
            </w14:solidFill>
          </w14:textFill>
        </w:rPr>
        <w:t>On the whole, this strategy evidences that the employability of the future will demand technical, analytical, interpersonal and ethical skills. I must learn to utilize AI properly and retain critical thinking, compassion, communicative and professional integrity.</w:t>
      </w:r>
    </w:p>
    <w:p>
      <w:pPr>
        <w:pStyle w:val="2"/>
        <w:numPr>
          <w:ilvl w:val="0"/>
          <w:numId w:val="4"/>
        </w:numPr>
        <w:spacing w:before="0" w:after="0" w:line="360" w:lineRule="auto"/>
        <w:rPr>
          <w:rFonts w:asciiTheme="majorBidi" w:hAnsiTheme="majorBidi"/>
          <w:b/>
          <w:bCs/>
          <w:color w:val="000000" w:themeColor="text1"/>
          <w:sz w:val="24"/>
          <w:szCs w:val="24"/>
          <w14:textFill>
            <w14:solidFill>
              <w14:schemeClr w14:val="tx1"/>
            </w14:solidFill>
          </w14:textFill>
        </w:rPr>
      </w:pPr>
      <w:bookmarkStart w:id="10" w:name="_Toc242801649"/>
      <w:r>
        <w:rPr>
          <w:rFonts w:asciiTheme="majorBidi" w:hAnsiTheme="majorBidi"/>
          <w:b/>
          <w:bCs/>
          <w:color w:val="000000" w:themeColor="text1"/>
          <w:sz w:val="24"/>
          <w:szCs w:val="24"/>
          <w14:textFill>
            <w14:solidFill>
              <w14:schemeClr w14:val="tx1"/>
            </w14:solidFill>
          </w14:textFill>
        </w:rPr>
        <w:t>Conclusion</w:t>
      </w:r>
      <w:bookmarkEnd w:id="10"/>
    </w:p>
    <w:p>
      <w:pPr>
        <w:tabs>
          <w:tab w:val="left" w:pos="3600"/>
        </w:tabs>
        <w:spacing w:after="0" w:line="360" w:lineRule="auto"/>
        <w:jc w:val="both"/>
        <w:rPr>
          <w:rFonts w:asciiTheme="majorBidi" w:hAnsiTheme="majorBidi" w:cstheme="majorBidi"/>
          <w:bCs/>
          <w:color w:val="000000" w:themeColor="text1"/>
          <w14:textFill>
            <w14:solidFill>
              <w14:schemeClr w14:val="tx1"/>
            </w14:solidFill>
          </w14:textFill>
        </w:rPr>
      </w:pPr>
      <w:r>
        <w:rPr>
          <w:rFonts w:asciiTheme="majorBidi" w:hAnsiTheme="majorBidi" w:cstheme="majorBidi"/>
          <w:bCs/>
          <w:color w:val="000000" w:themeColor="text1"/>
          <w14:textFill>
            <w14:solidFill>
              <w14:schemeClr w14:val="tx1"/>
            </w14:solidFill>
          </w14:textFill>
        </w:rPr>
        <w:t>The ability to retain and develop talented individuals will be as important to NHSX as its investment in AI and digital healthcare technologies in the future and its competitive advantage. The traditional hierarchical structure offers the required control and accountability, but more agile, cross-functional, hybrid, and empowered working should be used to enhance innovativeness and responsiveness to organisational changes. Comprehensively, the combined strategy suggested in this report has the potential to make NHSX develop an innovative, flexible, engaged and constantly evolving workforce.</w:t>
      </w:r>
      <w:r>
        <w:rPr>
          <w:rFonts w:asciiTheme="majorBidi" w:hAnsiTheme="majorBidi" w:cstheme="majorBidi"/>
          <w:bCs/>
          <w:color w:val="000000" w:themeColor="text1"/>
          <w14:textFill>
            <w14:solidFill>
              <w14:schemeClr w14:val="tx1"/>
            </w14:solidFill>
          </w14:textFill>
        </w:rPr>
        <w:tab/>
      </w:r>
    </w:p>
    <w:p>
      <w:pPr>
        <w:tabs>
          <w:tab w:val="left" w:pos="3600"/>
        </w:tabs>
        <w:spacing w:after="0" w:line="360" w:lineRule="auto"/>
        <w:rPr>
          <w:rFonts w:asciiTheme="majorBidi" w:hAnsiTheme="majorBidi" w:cstheme="majorBidi"/>
          <w:b/>
          <w:bCs/>
          <w:color w:val="000000" w:themeColor="text1"/>
          <w14:textFill>
            <w14:solidFill>
              <w14:schemeClr w14:val="tx1"/>
            </w14:solidFill>
          </w14:textFill>
        </w:rPr>
      </w:pPr>
      <w:r>
        <w:rPr>
          <w:rFonts w:asciiTheme="majorBidi" w:hAnsiTheme="majorBidi" w:cstheme="majorBidi"/>
          <w:color w:val="000000" w:themeColor="text1"/>
          <w14:textFill>
            <w14:solidFill>
              <w14:schemeClr w14:val="tx1"/>
            </w14:solidFill>
          </w14:textFill>
        </w:rPr>
        <w:br w:type="page"/>
      </w:r>
      <w:r>
        <w:rPr>
          <w:rFonts w:asciiTheme="majorBidi" w:hAnsiTheme="majorBidi" w:cstheme="majorBidi"/>
          <w:b/>
          <w:bCs/>
          <w:color w:val="000000" w:themeColor="text1"/>
          <w14:textFill>
            <w14:solidFill>
              <w14:schemeClr w14:val="tx1"/>
            </w14:solidFill>
          </w14:textFill>
        </w:rPr>
        <w:t>Reference List</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Ahmed, M.A. (2017). The importance of the organizational structuring and departmentalization in workplace. </w:t>
      </w:r>
      <w:r>
        <w:rPr>
          <w:rFonts w:asciiTheme="majorBidi" w:hAnsiTheme="majorBidi" w:cstheme="majorBidi"/>
          <w:i/>
          <w:iCs/>
        </w:rPr>
        <w:t>The Journal of Middle East and North Africa Sciences</w:t>
      </w:r>
      <w:r>
        <w:rPr>
          <w:rFonts w:asciiTheme="majorBidi" w:hAnsiTheme="majorBidi" w:cstheme="majorBidi"/>
        </w:rPr>
        <w:t>, 3(3), pp.30–38.</w:t>
      </w:r>
    </w:p>
    <w:p>
      <w:pPr>
        <w:spacing w:after="0" w:line="360" w:lineRule="auto"/>
        <w:rPr>
          <w:rFonts w:asciiTheme="majorBidi" w:hAnsiTheme="majorBidi" w:cstheme="majorBidi"/>
          <w:color w:val="222222"/>
          <w:shd w:val="clear" w:color="auto" w:fill="FFFFFF"/>
        </w:rPr>
      </w:pPr>
      <w:r>
        <w:rPr>
          <w:rFonts w:asciiTheme="majorBidi" w:hAnsiTheme="majorBidi" w:cstheme="majorBidi"/>
          <w:color w:val="222222"/>
          <w:shd w:val="clear" w:color="auto" w:fill="FFFFFF"/>
        </w:rPr>
        <w:t xml:space="preserve">Almyranti, M., Sutherland, E., Ash, N. and Eiszele, S., 2024. Artificial Intelligence and the health workforce: Perspectives from medical associations on AI in health. </w:t>
      </w:r>
      <w:r>
        <w:rPr>
          <w:rFonts w:asciiTheme="majorBidi" w:hAnsiTheme="majorBidi" w:cstheme="majorBidi"/>
          <w:i/>
          <w:iCs/>
          <w:color w:val="222222"/>
          <w:shd w:val="clear" w:color="auto" w:fill="FFFFFF"/>
        </w:rPr>
        <w:t>OECD artificial intelligence papers</w:t>
      </w:r>
      <w:r>
        <w:rPr>
          <w:rFonts w:asciiTheme="majorBidi" w:hAnsiTheme="majorBidi" w:cstheme="majorBidi"/>
          <w:color w:val="222222"/>
          <w:shd w:val="clear" w:color="auto" w:fill="FFFFFF"/>
        </w:rPr>
        <w:t>.</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Bento, F., Tagliabue, M. and Lorenzo, F. (2020). Organizational silos: A scoping review informed by a behavioral perspective on systems and networks. </w:t>
      </w:r>
      <w:r>
        <w:rPr>
          <w:rFonts w:asciiTheme="majorBidi" w:hAnsiTheme="majorBidi" w:cstheme="majorBidi"/>
          <w:i/>
          <w:iCs/>
        </w:rPr>
        <w:t>Societies</w:t>
      </w:r>
      <w:r>
        <w:rPr>
          <w:rFonts w:asciiTheme="majorBidi" w:hAnsiTheme="majorBidi" w:cstheme="majorBidi"/>
        </w:rPr>
        <w:t>, [online] 10(3), p.56. doi:10.3390/soc10030056.</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Chaudhuri, S., Park, S. and Johnson, K.R. (2021). Engagement, inclusion, knowledge sharing, and talent development: Is reverse mentoring a panacea to all? Findings from literature review. </w:t>
      </w:r>
      <w:r>
        <w:rPr>
          <w:rFonts w:asciiTheme="majorBidi" w:hAnsiTheme="majorBidi" w:cstheme="majorBidi"/>
          <w:i/>
          <w:iCs/>
        </w:rPr>
        <w:t>European Journal of Training and Development</w:t>
      </w:r>
      <w:r>
        <w:rPr>
          <w:rFonts w:asciiTheme="majorBidi" w:hAnsiTheme="majorBidi" w:cstheme="majorBidi"/>
        </w:rPr>
        <w:t>, 46(5/6), pp.468–483. doi:10.1108/ejtd-01-2021-0005.</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CIPD (2025). </w:t>
      </w:r>
      <w:r>
        <w:rPr>
          <w:rFonts w:asciiTheme="majorBidi" w:hAnsiTheme="majorBidi" w:cstheme="majorBidi"/>
          <w:i/>
          <w:iCs/>
        </w:rPr>
        <w:t>CIPD | flexible and hybrid working practices in 2023</w:t>
      </w:r>
      <w:r>
        <w:rPr>
          <w:rFonts w:asciiTheme="majorBidi" w:hAnsiTheme="majorBidi" w:cstheme="majorBidi"/>
        </w:rPr>
        <w:t>. [online] CIPD. Available at: https://www.cipd.org/en/knowledge/reports/flexible-hybrid-working/ [Accessed 10 Oct. 2026].</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Didit Darmawan (2021). Implementation of agile project management in a dynamic business environment. </w:t>
      </w:r>
      <w:r>
        <w:rPr>
          <w:rFonts w:asciiTheme="majorBidi" w:hAnsiTheme="majorBidi" w:cstheme="majorBidi"/>
          <w:i/>
          <w:iCs/>
        </w:rPr>
        <w:t>Journal of Social Science Studies</w:t>
      </w:r>
      <w:r>
        <w:rPr>
          <w:rFonts w:asciiTheme="majorBidi" w:hAnsiTheme="majorBidi" w:cstheme="majorBidi"/>
        </w:rPr>
        <w:t>, [online] 1(1), pp.275–280. Available at: https://jos3journals.id/index.php/jos3/article/view/113 [Accessed 10 Oct. 2026].</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Dweck, C.S. and Yeager, D.S. (2019). Mindsets: A view from two eras. </w:t>
      </w:r>
      <w:r>
        <w:rPr>
          <w:rFonts w:asciiTheme="majorBidi" w:hAnsiTheme="majorBidi" w:cstheme="majorBidi"/>
          <w:i/>
          <w:iCs/>
        </w:rPr>
        <w:t>Perspectives on Psychological Science</w:t>
      </w:r>
      <w:r>
        <w:rPr>
          <w:rFonts w:asciiTheme="majorBidi" w:hAnsiTheme="majorBidi" w:cstheme="majorBidi"/>
        </w:rPr>
        <w:t>, [online] 14(3), pp.481–496. doi:https://doi.org/10.1177/1745691618804166.</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Edmondson, A.C. and Lei, Z. (2014). Psychological safety: The history, renaissance, and future of an interpersonal construct. </w:t>
      </w:r>
      <w:r>
        <w:rPr>
          <w:rFonts w:asciiTheme="majorBidi" w:hAnsiTheme="majorBidi" w:cstheme="majorBidi"/>
          <w:i/>
          <w:iCs/>
        </w:rPr>
        <w:t>Annual Review of Organizational Psychology and Organizational Behavior</w:t>
      </w:r>
      <w:r>
        <w:rPr>
          <w:rFonts w:asciiTheme="majorBidi" w:hAnsiTheme="majorBidi" w:cstheme="majorBidi"/>
        </w:rPr>
        <w:t>, 1(1), pp.23–43. doi:10.1146/annurev-orgpsych-031413-091305.</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George, D.A.S. and George, A.S.H. (2024). Towards a super smart society 5.0: Opportunities and challenges of integrating emerging technologies for social innovation. </w:t>
      </w:r>
      <w:r>
        <w:rPr>
          <w:rFonts w:asciiTheme="majorBidi" w:hAnsiTheme="majorBidi" w:cstheme="majorBidi"/>
          <w:i/>
          <w:iCs/>
        </w:rPr>
        <w:t>Partners Universal International Research Journal</w:t>
      </w:r>
      <w:r>
        <w:rPr>
          <w:rFonts w:asciiTheme="majorBidi" w:hAnsiTheme="majorBidi" w:cstheme="majorBidi"/>
        </w:rPr>
        <w:t>, [online] 3(2), pp.01–29. doi:10.5281/zenodo.11522048.</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Gibbs, G. (1988). </w:t>
      </w:r>
      <w:r>
        <w:rPr>
          <w:rFonts w:asciiTheme="majorBidi" w:hAnsiTheme="majorBidi" w:cstheme="majorBidi"/>
          <w:i/>
          <w:iCs/>
        </w:rPr>
        <w:t>Learning by doing a guide to teaching and learning methods. Further educational unit, Oxford Polytechnic, Oxford. - References - scientific research publishing</w:t>
      </w:r>
      <w:r>
        <w:rPr>
          <w:rFonts w:asciiTheme="majorBidi" w:hAnsiTheme="majorBidi" w:cstheme="majorBidi"/>
        </w:rPr>
        <w:t>. [online] www.scirp.org. Available at: https://www.scirp.org/reference/referencespapers?referenceid=478921 [Accessed 10 Oct. 2026].</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GOV.UK (2019). </w:t>
      </w:r>
      <w:r>
        <w:rPr>
          <w:rFonts w:asciiTheme="majorBidi" w:hAnsiTheme="majorBidi" w:cstheme="majorBidi"/>
          <w:i/>
          <w:iCs/>
        </w:rPr>
        <w:t>NHSX: New Joint Organisation for Digital, data and technology</w:t>
      </w:r>
      <w:r>
        <w:rPr>
          <w:rFonts w:asciiTheme="majorBidi" w:hAnsiTheme="majorBidi" w:cstheme="majorBidi"/>
        </w:rPr>
        <w:t>. [online] GOV.UK. Available at: https://www.gov.uk/government/news/nhsx-new-joint-organisation-for-digital-data-and-technology [Accessed 10 Oct. 2026].</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Kaushik, D. and Mukherjee, U. (2021). High-performance work system: A systematic review of literature. </w:t>
      </w:r>
      <w:r>
        <w:rPr>
          <w:rFonts w:asciiTheme="majorBidi" w:hAnsiTheme="majorBidi" w:cstheme="majorBidi"/>
          <w:i/>
          <w:iCs/>
        </w:rPr>
        <w:t>International Journal of Organizational Analysis</w:t>
      </w:r>
      <w:r>
        <w:rPr>
          <w:rFonts w:asciiTheme="majorBidi" w:hAnsiTheme="majorBidi" w:cstheme="majorBidi"/>
        </w:rPr>
        <w:t>, [online] 30(6), pp.1624–1643. doi:10.1108/ijoa-07-2020-2282.</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McGinnis, J.M., Fineberg, H.V. and Dzau, V.J. (2021). Advancing the learning health system. </w:t>
      </w:r>
      <w:r>
        <w:rPr>
          <w:rFonts w:asciiTheme="majorBidi" w:hAnsiTheme="majorBidi" w:cstheme="majorBidi"/>
          <w:i/>
          <w:iCs/>
        </w:rPr>
        <w:t>The New England Journal of Medicine</w:t>
      </w:r>
      <w:r>
        <w:rPr>
          <w:rFonts w:asciiTheme="majorBidi" w:hAnsiTheme="majorBidi" w:cstheme="majorBidi"/>
        </w:rPr>
        <w:t>, [online] 385(1), pp.1–5. Available at: https://anzhernia.org.au/wp-content/uploads/2023/04/advancing-the-learning-healthcare-system-nejm-july-21.pdf [Accessed 10 Oct. 2026].</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McGuier, E.A., Kolko, D.J., Aarons, G.A., Schachter, A., Klem, M.L., Diabes, M.A., Weingart, L.R., Salas, E. and Wolk, C.B. (2024). Teamwork and implementation of innovations in healthcare and human service settings: A systematic review. </w:t>
      </w:r>
      <w:r>
        <w:rPr>
          <w:rFonts w:asciiTheme="majorBidi" w:hAnsiTheme="majorBidi" w:cstheme="majorBidi"/>
          <w:i/>
          <w:iCs/>
        </w:rPr>
        <w:t>Implementation Science : IS</w:t>
      </w:r>
      <w:r>
        <w:rPr>
          <w:rFonts w:asciiTheme="majorBidi" w:hAnsiTheme="majorBidi" w:cstheme="majorBidi"/>
        </w:rPr>
        <w:t>, [online] 19(19), p.49. doi:10.1186/s13012-024-01381-9.</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Meckenstock, J.-N. (2024). Shedding light on the dark side – a systematic literature review of the issues in agile software development methodology use. </w:t>
      </w:r>
      <w:r>
        <w:rPr>
          <w:rFonts w:asciiTheme="majorBidi" w:hAnsiTheme="majorBidi" w:cstheme="majorBidi"/>
          <w:i/>
          <w:iCs/>
        </w:rPr>
        <w:t>Journal of Systems and Software</w:t>
      </w:r>
      <w:r>
        <w:rPr>
          <w:rFonts w:asciiTheme="majorBidi" w:hAnsiTheme="majorBidi" w:cstheme="majorBidi"/>
        </w:rPr>
        <w:t>, 211, pp.111966–111966. doi:10.1016/j.jss.2024.111966.</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Muduli, A. and Choudhury, A. (2024). Exploring the role of workforce agility on digital transformation: A systematic literature review. </w:t>
      </w:r>
      <w:r>
        <w:rPr>
          <w:rFonts w:asciiTheme="majorBidi" w:hAnsiTheme="majorBidi" w:cstheme="majorBidi"/>
          <w:i/>
          <w:iCs/>
        </w:rPr>
        <w:t>Benchmarking: An International Journal</w:t>
      </w:r>
      <w:r>
        <w:rPr>
          <w:rFonts w:asciiTheme="majorBidi" w:hAnsiTheme="majorBidi" w:cstheme="majorBidi"/>
        </w:rPr>
        <w:t>. doi:10.1108/bij-02-2023-0108.</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OECD (2024). </w:t>
      </w:r>
      <w:r>
        <w:rPr>
          <w:rFonts w:asciiTheme="majorBidi" w:hAnsiTheme="majorBidi" w:cstheme="majorBidi"/>
          <w:i/>
          <w:iCs/>
        </w:rPr>
        <w:t>Using AI in the workplace (EN)</w:t>
      </w:r>
      <w:r>
        <w:rPr>
          <w:rFonts w:asciiTheme="majorBidi" w:hAnsiTheme="majorBidi" w:cstheme="majorBidi"/>
        </w:rPr>
        <w:t>. [online] OECD Publishing. Available at: https://www.oecd.org/content/dam/oecd/en/publications/reports/2024/03/using-ai-in-the-workplace_02d6890a/73d417f9-en.pdf [Accessed 10 Oct. 2026].</w:t>
      </w:r>
    </w:p>
    <w:p>
      <w:pPr>
        <w:spacing w:after="0" w:line="360" w:lineRule="auto"/>
        <w:jc w:val="both"/>
        <w:rPr>
          <w:rFonts w:asciiTheme="majorBidi" w:hAnsiTheme="majorBidi" w:cstheme="majorBidi"/>
          <w:color w:val="000000" w:themeColor="text1"/>
          <w14:textFill>
            <w14:solidFill>
              <w14:schemeClr w14:val="tx1"/>
            </w14:solidFill>
          </w14:textFill>
        </w:rPr>
      </w:pPr>
      <w:r>
        <w:rPr>
          <w:rFonts w:asciiTheme="majorBidi" w:hAnsiTheme="majorBidi" w:cstheme="majorBidi"/>
          <w:color w:val="222222"/>
          <w:shd w:val="clear" w:color="auto" w:fill="FFFFFF"/>
        </w:rPr>
        <w:t>Senge, P.M., 1990. The art and practice of the learning organization.</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Steegh, R., Van De Voorde, K. and Paauwe, J. (2024). Understanding how agile teams reach effectiveness: A systematic literature review to take stock and look forward. </w:t>
      </w:r>
      <w:r>
        <w:rPr>
          <w:rFonts w:asciiTheme="majorBidi" w:hAnsiTheme="majorBidi" w:cstheme="majorBidi"/>
          <w:i/>
          <w:iCs/>
        </w:rPr>
        <w:t>Human Resource Management Review</w:t>
      </w:r>
      <w:r>
        <w:rPr>
          <w:rFonts w:asciiTheme="majorBidi" w:hAnsiTheme="majorBidi" w:cstheme="majorBidi"/>
        </w:rPr>
        <w:t>, 35(1), p.101056. doi:10.1016/j.hrmr.2024.101056.</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Vettriselvan, R., Ramya, R., Selvalakshmi, V., Jyothi, P. and Velmurugan, P.R. (2025). Empowering patients through knowledge. </w:t>
      </w:r>
      <w:r>
        <w:rPr>
          <w:rFonts w:asciiTheme="majorBidi" w:hAnsiTheme="majorBidi" w:cstheme="majorBidi"/>
          <w:i/>
          <w:iCs/>
        </w:rPr>
        <w:t>Holistic Approaches to Health Recovery</w:t>
      </w:r>
      <w:r>
        <w:rPr>
          <w:rFonts w:asciiTheme="majorBidi" w:hAnsiTheme="majorBidi" w:cstheme="majorBidi"/>
        </w:rPr>
        <w:t>, [online] pp.263–290. doi:10.4018/979-8-3693-6432-1.ch009.</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Vrontis, D., Christofi, M., Pereira, V., Tarba, S.Y., Makrides, A. and Trichina, E. (2023). Artificial intelligence, Robotics, Advanced Technologies and Human Resource Management: A systematic review. </w:t>
      </w:r>
      <w:r>
        <w:rPr>
          <w:rFonts w:asciiTheme="majorBidi" w:hAnsiTheme="majorBidi" w:cstheme="majorBidi"/>
          <w:i/>
          <w:iCs/>
        </w:rPr>
        <w:t>Artificial intelligence and international HRM</w:t>
      </w:r>
      <w:r>
        <w:rPr>
          <w:rFonts w:asciiTheme="majorBidi" w:hAnsiTheme="majorBidi" w:cstheme="majorBidi"/>
        </w:rPr>
        <w:t>, pp.172–201. doi:10.4324/9781003377085-7.</w:t>
      </w:r>
    </w:p>
    <w:p>
      <w:pPr>
        <w:pStyle w:val="16"/>
        <w:spacing w:before="0" w:beforeAutospacing="0" w:after="0" w:afterAutospacing="0" w:line="360" w:lineRule="auto"/>
        <w:rPr>
          <w:rFonts w:asciiTheme="majorBidi" w:hAnsiTheme="majorBidi" w:cstheme="majorBidi"/>
        </w:rPr>
      </w:pPr>
      <w:r>
        <w:rPr>
          <w:rFonts w:asciiTheme="majorBidi" w:hAnsiTheme="majorBidi" w:cstheme="majorBidi"/>
        </w:rPr>
        <w:t xml:space="preserve">World Economic Forum (2025). </w:t>
      </w:r>
      <w:r>
        <w:rPr>
          <w:rFonts w:asciiTheme="majorBidi" w:hAnsiTheme="majorBidi" w:cstheme="majorBidi"/>
          <w:i/>
          <w:iCs/>
        </w:rPr>
        <w:t>The future of jobs report 2025</w:t>
      </w:r>
      <w:r>
        <w:rPr>
          <w:rFonts w:asciiTheme="majorBidi" w:hAnsiTheme="majorBidi" w:cstheme="majorBidi"/>
        </w:rPr>
        <w:t>. [online] World Economic Forum. Available at: https://www.weforum.org/publications/the-future-of-jobs-report-2025/in-full/conclusions-721d3cd435/ [Accessed 10 Oct. 2026].</w:t>
      </w:r>
    </w:p>
    <w:p>
      <w:pPr>
        <w:spacing w:after="0" w:line="360" w:lineRule="auto"/>
        <w:jc w:val="both"/>
        <w:rPr>
          <w:rFonts w:asciiTheme="majorBidi" w:hAnsiTheme="majorBidi" w:cstheme="majorBidi"/>
          <w:color w:val="222222"/>
          <w:shd w:val="clear" w:color="auto" w:fill="FFFFFF"/>
        </w:rPr>
      </w:pPr>
      <w:r>
        <w:rPr>
          <w:rFonts w:asciiTheme="majorBidi" w:hAnsiTheme="majorBidi" w:cstheme="majorBidi"/>
          <w:color w:val="222222"/>
          <w:shd w:val="clear" w:color="auto" w:fill="FFFFFF"/>
        </w:rPr>
        <w:t xml:space="preserve">Wrzesniewski, A. and Dutton, J.E., 2001. Crafting a job: Revisioning employees as active crafters of their work. </w:t>
      </w:r>
      <w:r>
        <w:rPr>
          <w:rFonts w:asciiTheme="majorBidi" w:hAnsiTheme="majorBidi" w:cstheme="majorBidi"/>
          <w:i/>
          <w:iCs/>
          <w:color w:val="222222"/>
          <w:shd w:val="clear" w:color="auto" w:fill="FFFFFF"/>
        </w:rPr>
        <w:t>Academy of management review</w:t>
      </w:r>
      <w:r>
        <w:rPr>
          <w:rFonts w:asciiTheme="majorBidi" w:hAnsiTheme="majorBidi" w:cstheme="majorBidi"/>
          <w:color w:val="222222"/>
          <w:shd w:val="clear" w:color="auto" w:fill="FFFFFF"/>
        </w:rPr>
        <w:t xml:space="preserve">, </w:t>
      </w:r>
      <w:r>
        <w:rPr>
          <w:rFonts w:asciiTheme="majorBidi" w:hAnsiTheme="majorBidi" w:cstheme="majorBidi"/>
          <w:i/>
          <w:iCs/>
          <w:color w:val="222222"/>
          <w:shd w:val="clear" w:color="auto" w:fill="FFFFFF"/>
        </w:rPr>
        <w:t>26</w:t>
      </w:r>
      <w:r>
        <w:rPr>
          <w:rFonts w:asciiTheme="majorBidi" w:hAnsiTheme="majorBidi" w:cstheme="majorBidi"/>
          <w:color w:val="222222"/>
          <w:shd w:val="clear" w:color="auto" w:fill="FFFFFF"/>
        </w:rPr>
        <w:t>(2), pp.179-201.</w:t>
      </w:r>
    </w:p>
    <w:p>
      <w:pPr>
        <w:spacing w:after="0" w:line="360" w:lineRule="auto"/>
        <w:jc w:val="both"/>
        <w:rPr>
          <w:rFonts w:asciiTheme="majorBidi" w:hAnsiTheme="majorBidi" w:cstheme="majorBidi"/>
          <w:color w:val="000000" w:themeColor="text1"/>
          <w14:textFill>
            <w14:solidFill>
              <w14:schemeClr w14:val="tx1"/>
            </w14:solidFill>
          </w14:textFill>
        </w:rPr>
      </w:pPr>
    </w:p>
    <w:sectPr>
      <w:footerReference r:id="rId5" w:type="default"/>
      <w:pgSz w:w="11906" w:h="16838"/>
      <w:pgMar w:top="1440" w:right="1080" w:bottom="1440" w:left="108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rial Black">
    <w:panose1 w:val="020B0A04020102020204"/>
    <w:charset w:val="00"/>
    <w:family w:val="swiss"/>
    <w:pitch w:val="default"/>
    <w:sig w:usb0="A00002AF" w:usb1="400078FB" w:usb2="00000000" w:usb3="00000000" w:csb0="6000009F" w:csb1="DFD7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906638456"/>
      <w:docPartObj>
        <w:docPartGallery w:val="AutoText"/>
      </w:docPartObj>
    </w:sdtPr>
    <w:sdtEndPr>
      <w:rPr>
        <w:color w:val="7F7F7F" w:themeColor="background1" w:themeShade="80"/>
        <w:spacing w:val="60"/>
      </w:rPr>
    </w:sdtEndPr>
    <w:sdtContent>
      <w:p>
        <w:pPr>
          <w:pStyle w:val="13"/>
          <w:pBdr>
            <w:top w:val="single" w:color="D8D8D8" w:themeColor="background1" w:themeShade="D9" w:sz="4" w:space="1"/>
          </w:pBdr>
          <w:rPr>
            <w:b/>
            <w:bCs/>
          </w:rPr>
        </w:pPr>
        <w:r>
          <w:fldChar w:fldCharType="begin"/>
        </w:r>
        <w:r>
          <w:instrText xml:space="preserve"> PAGE   \* MERGEFORMAT </w:instrText>
        </w:r>
        <w:r>
          <w:fldChar w:fldCharType="separate"/>
        </w:r>
        <w:r>
          <w:rPr>
            <w:b/>
            <w:bCs/>
          </w:rPr>
          <w:t>14</w:t>
        </w:r>
        <w:r>
          <w:rPr>
            <w:b/>
            <w:bCs/>
          </w:rPr>
          <w:fldChar w:fldCharType="end"/>
        </w:r>
        <w:r>
          <w:rPr>
            <w:b/>
            <w:bCs/>
          </w:rPr>
          <w:t xml:space="preserve"> | </w:t>
        </w:r>
        <w:r>
          <w:rPr>
            <w:color w:val="7F7F7F" w:themeColor="background1" w:themeShade="80"/>
            <w:spacing w:val="60"/>
          </w:rPr>
          <w:t>Page</w:t>
        </w:r>
      </w:p>
    </w:sdtContent>
  </w:sdt>
  <w:p>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1170A88"/>
    <w:multiLevelType w:val="multilevel"/>
    <w:tmpl w:val="01170A88"/>
    <w:lvl w:ilvl="0" w:tentative="0">
      <w:start w:val="3"/>
      <w:numFmt w:val="decimal"/>
      <w:lvlText w:val="%1"/>
      <w:lvlJc w:val="left"/>
      <w:pPr>
        <w:ind w:left="360" w:hanging="360"/>
      </w:pPr>
      <w:rPr>
        <w:rFonts w:hint="default"/>
      </w:rPr>
    </w:lvl>
    <w:lvl w:ilvl="1" w:tentative="0">
      <w:start w:val="1"/>
      <w:numFmt w:val="decimal"/>
      <w:isLgl/>
      <w:lvlText w:val="%1.%2"/>
      <w:lvlJc w:val="left"/>
      <w:pPr>
        <w:ind w:left="720" w:hanging="72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1080" w:hanging="1080"/>
      </w:pPr>
      <w:rPr>
        <w:rFonts w:hint="default"/>
      </w:rPr>
    </w:lvl>
    <w:lvl w:ilvl="4" w:tentative="0">
      <w:start w:val="1"/>
      <w:numFmt w:val="decimal"/>
      <w:isLgl/>
      <w:lvlText w:val="%1.%2.%3.%4.%5"/>
      <w:lvlJc w:val="left"/>
      <w:pPr>
        <w:ind w:left="1440" w:hanging="1440"/>
      </w:pPr>
      <w:rPr>
        <w:rFonts w:hint="default"/>
      </w:rPr>
    </w:lvl>
    <w:lvl w:ilvl="5" w:tentative="0">
      <w:start w:val="1"/>
      <w:numFmt w:val="decimal"/>
      <w:isLgl/>
      <w:lvlText w:val="%1.%2.%3.%4.%5.%6"/>
      <w:lvlJc w:val="left"/>
      <w:pPr>
        <w:ind w:left="1440" w:hanging="1440"/>
      </w:pPr>
      <w:rPr>
        <w:rFonts w:hint="default"/>
      </w:rPr>
    </w:lvl>
    <w:lvl w:ilvl="6" w:tentative="0">
      <w:start w:val="1"/>
      <w:numFmt w:val="decimal"/>
      <w:isLgl/>
      <w:lvlText w:val="%1.%2.%3.%4.%5.%6.%7"/>
      <w:lvlJc w:val="left"/>
      <w:pPr>
        <w:ind w:left="1800" w:hanging="1800"/>
      </w:pPr>
      <w:rPr>
        <w:rFonts w:hint="default"/>
      </w:rPr>
    </w:lvl>
    <w:lvl w:ilvl="7" w:tentative="0">
      <w:start w:val="1"/>
      <w:numFmt w:val="decimal"/>
      <w:isLgl/>
      <w:lvlText w:val="%1.%2.%3.%4.%5.%6.%7.%8"/>
      <w:lvlJc w:val="left"/>
      <w:pPr>
        <w:ind w:left="2160" w:hanging="2160"/>
      </w:pPr>
      <w:rPr>
        <w:rFonts w:hint="default"/>
      </w:rPr>
    </w:lvl>
    <w:lvl w:ilvl="8" w:tentative="0">
      <w:start w:val="1"/>
      <w:numFmt w:val="decimal"/>
      <w:isLgl/>
      <w:lvlText w:val="%1.%2.%3.%4.%5.%6.%7.%8.%9"/>
      <w:lvlJc w:val="left"/>
      <w:pPr>
        <w:ind w:left="2160" w:hanging="2160"/>
      </w:pPr>
      <w:rPr>
        <w:rFonts w:hint="default"/>
      </w:rPr>
    </w:lvl>
  </w:abstractNum>
  <w:abstractNum w:abstractNumId="1">
    <w:nsid w:val="1EF83955"/>
    <w:multiLevelType w:val="multilevel"/>
    <w:tmpl w:val="1EF83955"/>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4F86643"/>
    <w:multiLevelType w:val="multilevel"/>
    <w:tmpl w:val="24F86643"/>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27657611"/>
    <w:multiLevelType w:val="multilevel"/>
    <w:tmpl w:val="27657611"/>
    <w:lvl w:ilvl="0" w:tentative="0">
      <w:start w:val="2"/>
      <w:numFmt w:val="decimal"/>
      <w:lvlText w:val="%1"/>
      <w:lvlJc w:val="left"/>
      <w:pPr>
        <w:ind w:left="405" w:hanging="405"/>
      </w:pPr>
      <w:rPr>
        <w:rFonts w:hint="default"/>
      </w:rPr>
    </w:lvl>
    <w:lvl w:ilvl="1" w:tentative="0">
      <w:start w:val="1"/>
      <w:numFmt w:val="decimal"/>
      <w:lvlText w:val="%1.%2"/>
      <w:lvlJc w:val="left"/>
      <w:pPr>
        <w:ind w:left="720" w:hanging="72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1080" w:hanging="1080"/>
      </w:pPr>
      <w:rPr>
        <w:rFonts w:hint="default"/>
      </w:rPr>
    </w:lvl>
    <w:lvl w:ilvl="4" w:tentative="0">
      <w:start w:val="1"/>
      <w:numFmt w:val="decimal"/>
      <w:lvlText w:val="%1.%2.%3.%4.%5"/>
      <w:lvlJc w:val="left"/>
      <w:pPr>
        <w:ind w:left="1440" w:hanging="1440"/>
      </w:pPr>
      <w:rPr>
        <w:rFonts w:hint="default"/>
      </w:rPr>
    </w:lvl>
    <w:lvl w:ilvl="5" w:tentative="0">
      <w:start w:val="1"/>
      <w:numFmt w:val="decimal"/>
      <w:lvlText w:val="%1.%2.%3.%4.%5.%6"/>
      <w:lvlJc w:val="left"/>
      <w:pPr>
        <w:ind w:left="1440" w:hanging="1440"/>
      </w:pPr>
      <w:rPr>
        <w:rFonts w:hint="default"/>
      </w:rPr>
    </w:lvl>
    <w:lvl w:ilvl="6" w:tentative="0">
      <w:start w:val="1"/>
      <w:numFmt w:val="decimal"/>
      <w:lvlText w:val="%1.%2.%3.%4.%5.%6.%7"/>
      <w:lvlJc w:val="left"/>
      <w:pPr>
        <w:ind w:left="1800" w:hanging="1800"/>
      </w:pPr>
      <w:rPr>
        <w:rFonts w:hint="default"/>
      </w:rPr>
    </w:lvl>
    <w:lvl w:ilvl="7" w:tentative="0">
      <w:start w:val="1"/>
      <w:numFmt w:val="decimal"/>
      <w:lvlText w:val="%1.%2.%3.%4.%5.%6.%7.%8"/>
      <w:lvlJc w:val="left"/>
      <w:pPr>
        <w:ind w:left="2160" w:hanging="2160"/>
      </w:pPr>
      <w:rPr>
        <w:rFonts w:hint="default"/>
      </w:rPr>
    </w:lvl>
    <w:lvl w:ilvl="8" w:tentative="0">
      <w:start w:val="1"/>
      <w:numFmt w:val="decimal"/>
      <w:lvlText w:val="%1.%2.%3.%4.%5.%6.%7.%8.%9"/>
      <w:lvlJc w:val="left"/>
      <w:pPr>
        <w:ind w:left="2160" w:hanging="2160"/>
      </w:pPr>
      <w:rPr>
        <w:rFonts w:hint="default"/>
      </w:rPr>
    </w:lvl>
  </w:abstractNum>
  <w:abstractNum w:abstractNumId="4">
    <w:nsid w:val="2CDB1343"/>
    <w:multiLevelType w:val="multilevel"/>
    <w:tmpl w:val="2CDB1343"/>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2D1A73D5"/>
    <w:multiLevelType w:val="multilevel"/>
    <w:tmpl w:val="2D1A73D5"/>
    <w:lvl w:ilvl="0" w:tentative="0">
      <w:start w:val="3"/>
      <w:numFmt w:val="decimal"/>
      <w:lvlText w:val="%1"/>
      <w:lvlJc w:val="left"/>
      <w:pPr>
        <w:ind w:left="360" w:hanging="360"/>
      </w:pPr>
      <w:rPr>
        <w:rFonts w:hint="default"/>
      </w:rPr>
    </w:lvl>
    <w:lvl w:ilvl="1" w:tentative="0">
      <w:start w:val="1"/>
      <w:numFmt w:val="decimal"/>
      <w:isLgl/>
      <w:lvlText w:val="%1.%2"/>
      <w:lvlJc w:val="left"/>
      <w:pPr>
        <w:ind w:left="720" w:hanging="720"/>
      </w:pPr>
      <w:rPr>
        <w:rFonts w:hint="default"/>
      </w:rPr>
    </w:lvl>
    <w:lvl w:ilvl="2" w:tentative="0">
      <w:start w:val="1"/>
      <w:numFmt w:val="decimal"/>
      <w:isLgl/>
      <w:lvlText w:val="%1.%2.%3"/>
      <w:lvlJc w:val="left"/>
      <w:pPr>
        <w:ind w:left="720" w:hanging="720"/>
      </w:pPr>
      <w:rPr>
        <w:rFonts w:hint="default"/>
      </w:rPr>
    </w:lvl>
    <w:lvl w:ilvl="3" w:tentative="0">
      <w:start w:val="1"/>
      <w:numFmt w:val="decimal"/>
      <w:isLgl/>
      <w:lvlText w:val="%1.%2.%3.%4"/>
      <w:lvlJc w:val="left"/>
      <w:pPr>
        <w:ind w:left="1080" w:hanging="1080"/>
      </w:pPr>
      <w:rPr>
        <w:rFonts w:hint="default"/>
      </w:rPr>
    </w:lvl>
    <w:lvl w:ilvl="4" w:tentative="0">
      <w:start w:val="1"/>
      <w:numFmt w:val="decimal"/>
      <w:isLgl/>
      <w:lvlText w:val="%1.%2.%3.%4.%5"/>
      <w:lvlJc w:val="left"/>
      <w:pPr>
        <w:ind w:left="1440" w:hanging="1440"/>
      </w:pPr>
      <w:rPr>
        <w:rFonts w:hint="default"/>
      </w:rPr>
    </w:lvl>
    <w:lvl w:ilvl="5" w:tentative="0">
      <w:start w:val="1"/>
      <w:numFmt w:val="decimal"/>
      <w:isLgl/>
      <w:lvlText w:val="%1.%2.%3.%4.%5.%6"/>
      <w:lvlJc w:val="left"/>
      <w:pPr>
        <w:ind w:left="1440" w:hanging="1440"/>
      </w:pPr>
      <w:rPr>
        <w:rFonts w:hint="default"/>
      </w:rPr>
    </w:lvl>
    <w:lvl w:ilvl="6" w:tentative="0">
      <w:start w:val="1"/>
      <w:numFmt w:val="decimal"/>
      <w:isLgl/>
      <w:lvlText w:val="%1.%2.%3.%4.%5.%6.%7"/>
      <w:lvlJc w:val="left"/>
      <w:pPr>
        <w:ind w:left="1800" w:hanging="1800"/>
      </w:pPr>
      <w:rPr>
        <w:rFonts w:hint="default"/>
      </w:rPr>
    </w:lvl>
    <w:lvl w:ilvl="7" w:tentative="0">
      <w:start w:val="1"/>
      <w:numFmt w:val="decimal"/>
      <w:isLgl/>
      <w:lvlText w:val="%1.%2.%3.%4.%5.%6.%7.%8"/>
      <w:lvlJc w:val="left"/>
      <w:pPr>
        <w:ind w:left="2160" w:hanging="2160"/>
      </w:pPr>
      <w:rPr>
        <w:rFonts w:hint="default"/>
      </w:rPr>
    </w:lvl>
    <w:lvl w:ilvl="8" w:tentative="0">
      <w:start w:val="1"/>
      <w:numFmt w:val="decimal"/>
      <w:isLgl/>
      <w:lvlText w:val="%1.%2.%3.%4.%5.%6.%7.%8.%9"/>
      <w:lvlJc w:val="left"/>
      <w:pPr>
        <w:ind w:left="2160" w:hanging="2160"/>
      </w:pPr>
      <w:rPr>
        <w:rFonts w:hint="default"/>
      </w:rPr>
    </w:lvl>
  </w:abstractNum>
  <w:abstractNum w:abstractNumId="6">
    <w:nsid w:val="36C85965"/>
    <w:multiLevelType w:val="multilevel"/>
    <w:tmpl w:val="36C85965"/>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38A4252A"/>
    <w:multiLevelType w:val="multilevel"/>
    <w:tmpl w:val="38A4252A"/>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68696499"/>
    <w:multiLevelType w:val="multilevel"/>
    <w:tmpl w:val="68696499"/>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9">
    <w:nsid w:val="6B8477DD"/>
    <w:multiLevelType w:val="multilevel"/>
    <w:tmpl w:val="6B8477DD"/>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0">
    <w:nsid w:val="793A7BFB"/>
    <w:multiLevelType w:val="multilevel"/>
    <w:tmpl w:val="793A7BFB"/>
    <w:lvl w:ilvl="0" w:tentative="0">
      <w:start w:val="1"/>
      <w:numFmt w:val="decimal"/>
      <w:lvlText w:val="%1 "/>
      <w:lvlJc w:val="left"/>
      <w:pPr>
        <w:ind w:left="360" w:hanging="360"/>
      </w:pPr>
      <w:rPr>
        <w:rFonts w:hint="default"/>
      </w:rPr>
    </w:lvl>
    <w:lvl w:ilvl="1" w:tentative="0">
      <w:start w:val="1"/>
      <w:numFmt w:val="lowerLetter"/>
      <w:lvlText w:val="%2."/>
      <w:lvlJc w:val="left"/>
      <w:pPr>
        <w:ind w:left="36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num w:numId="1">
    <w:abstractNumId w:val="10"/>
  </w:num>
  <w:num w:numId="2">
    <w:abstractNumId w:val="3"/>
  </w:num>
  <w:num w:numId="3">
    <w:abstractNumId w:val="2"/>
  </w:num>
  <w:num w:numId="4">
    <w:abstractNumId w:val="0"/>
  </w:num>
  <w:num w:numId="5">
    <w:abstractNumId w:val="7"/>
  </w:num>
  <w:num w:numId="6">
    <w:abstractNumId w:val="4"/>
  </w:num>
  <w:num w:numId="7">
    <w:abstractNumId w:val="9"/>
  </w:num>
  <w:num w:numId="8">
    <w:abstractNumId w:val="6"/>
  </w:num>
  <w:num w:numId="9">
    <w:abstractNumId w:val="1"/>
  </w:num>
  <w:num w:numId="10">
    <w:abstractNumId w:val="5"/>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NjMwMTI0MzM3NDWxMLBU0lEKTi0uzszPAykwrAUA3w4aNSwAAAA="/>
  </w:docVars>
  <w:rsids>
    <w:rsidRoot w:val="00090CE6"/>
    <w:rsid w:val="00001909"/>
    <w:rsid w:val="000247C7"/>
    <w:rsid w:val="0003493C"/>
    <w:rsid w:val="00054CC6"/>
    <w:rsid w:val="00064596"/>
    <w:rsid w:val="000714D3"/>
    <w:rsid w:val="000756B4"/>
    <w:rsid w:val="00090CE6"/>
    <w:rsid w:val="000E6478"/>
    <w:rsid w:val="00116190"/>
    <w:rsid w:val="00127097"/>
    <w:rsid w:val="0020315E"/>
    <w:rsid w:val="00275613"/>
    <w:rsid w:val="0030376D"/>
    <w:rsid w:val="00307ECF"/>
    <w:rsid w:val="00383235"/>
    <w:rsid w:val="0039210F"/>
    <w:rsid w:val="003D0F6C"/>
    <w:rsid w:val="003D1E6D"/>
    <w:rsid w:val="00443B27"/>
    <w:rsid w:val="00483CD7"/>
    <w:rsid w:val="00491748"/>
    <w:rsid w:val="004978B8"/>
    <w:rsid w:val="004A1B8B"/>
    <w:rsid w:val="004C36E2"/>
    <w:rsid w:val="004D0BD6"/>
    <w:rsid w:val="004D3A07"/>
    <w:rsid w:val="004D47ED"/>
    <w:rsid w:val="00550B10"/>
    <w:rsid w:val="005559E8"/>
    <w:rsid w:val="00561F46"/>
    <w:rsid w:val="00583533"/>
    <w:rsid w:val="005D0255"/>
    <w:rsid w:val="00655DD9"/>
    <w:rsid w:val="00660E60"/>
    <w:rsid w:val="006E09EA"/>
    <w:rsid w:val="006E247D"/>
    <w:rsid w:val="007020DC"/>
    <w:rsid w:val="007539C2"/>
    <w:rsid w:val="0076478F"/>
    <w:rsid w:val="00783983"/>
    <w:rsid w:val="007A1991"/>
    <w:rsid w:val="007C3C01"/>
    <w:rsid w:val="007E29ED"/>
    <w:rsid w:val="007E3A82"/>
    <w:rsid w:val="007F2694"/>
    <w:rsid w:val="00836195"/>
    <w:rsid w:val="00853F20"/>
    <w:rsid w:val="00923ED3"/>
    <w:rsid w:val="00997653"/>
    <w:rsid w:val="009C3C6D"/>
    <w:rsid w:val="009F2717"/>
    <w:rsid w:val="00A54B8F"/>
    <w:rsid w:val="00A5591D"/>
    <w:rsid w:val="00B233CA"/>
    <w:rsid w:val="00BE7FC6"/>
    <w:rsid w:val="00C1424F"/>
    <w:rsid w:val="00C47065"/>
    <w:rsid w:val="00C607D5"/>
    <w:rsid w:val="00C62737"/>
    <w:rsid w:val="00C666EB"/>
    <w:rsid w:val="00C7721B"/>
    <w:rsid w:val="00C93425"/>
    <w:rsid w:val="00CB2D4A"/>
    <w:rsid w:val="00CC499A"/>
    <w:rsid w:val="00CD5911"/>
    <w:rsid w:val="00CD7AF0"/>
    <w:rsid w:val="00CF17E9"/>
    <w:rsid w:val="00D32A75"/>
    <w:rsid w:val="00D3394A"/>
    <w:rsid w:val="00D351D0"/>
    <w:rsid w:val="00DC2C82"/>
    <w:rsid w:val="00DC4CD7"/>
    <w:rsid w:val="00DF2012"/>
    <w:rsid w:val="00E31882"/>
    <w:rsid w:val="00F94939"/>
    <w:rsid w:val="00FB6B33"/>
    <w:rsid w:val="00FE0FD3"/>
    <w:rsid w:val="00FF163C"/>
    <w:rsid w:val="2D675E4A"/>
    <w:rsid w:val="40FE690C"/>
    <w:rsid w:val="478E39F4"/>
    <w:rsid w:val="48BA3162"/>
    <w:rsid w:val="5C457071"/>
    <w:rsid w:val="6000231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HAnsi" w:cstheme="minorBidi"/>
      <w:kern w:val="2"/>
      <w:sz w:val="24"/>
      <w:szCs w:val="24"/>
      <w:lang w:val="en-US" w:eastAsia="en-US" w:bidi="ar-SA"/>
      <w14:ligatures w14:val="standardContextual"/>
    </w:rPr>
  </w:style>
  <w:style w:type="paragraph" w:styleId="2">
    <w:name w:val="heading 1"/>
    <w:basedOn w:val="1"/>
    <w:next w:val="1"/>
    <w:link w:val="21"/>
    <w:qFormat/>
    <w:uiPriority w:val="9"/>
    <w:pPr>
      <w:keepNext/>
      <w:keepLines/>
      <w:spacing w:before="360" w:after="80"/>
      <w:outlineLvl w:val="0"/>
    </w:pPr>
    <w:rPr>
      <w:rFonts w:asciiTheme="majorHAnsi" w:hAnsiTheme="majorHAnsi" w:eastAsiaTheme="majorEastAsia" w:cstheme="majorBidi"/>
      <w:color w:val="2F5597" w:themeColor="accent1" w:themeShade="BF"/>
      <w:sz w:val="40"/>
      <w:szCs w:val="40"/>
    </w:rPr>
  </w:style>
  <w:style w:type="paragraph" w:styleId="3">
    <w:name w:val="heading 2"/>
    <w:basedOn w:val="1"/>
    <w:next w:val="1"/>
    <w:link w:val="22"/>
    <w:unhideWhenUsed/>
    <w:qFormat/>
    <w:uiPriority w:val="9"/>
    <w:pPr>
      <w:keepNext/>
      <w:keepLines/>
      <w:spacing w:before="160" w:after="80"/>
      <w:outlineLvl w:val="1"/>
    </w:pPr>
    <w:rPr>
      <w:rFonts w:asciiTheme="majorHAnsi" w:hAnsiTheme="majorHAnsi" w:eastAsiaTheme="majorEastAsia" w:cstheme="majorBidi"/>
      <w:color w:val="2F5597" w:themeColor="accent1" w:themeShade="BF"/>
      <w:sz w:val="32"/>
      <w:szCs w:val="32"/>
    </w:rPr>
  </w:style>
  <w:style w:type="paragraph" w:styleId="4">
    <w:name w:val="heading 3"/>
    <w:basedOn w:val="1"/>
    <w:next w:val="1"/>
    <w:link w:val="23"/>
    <w:semiHidden/>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24"/>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5"/>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6"/>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7"/>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8"/>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9"/>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13">
    <w:name w:val="footer"/>
    <w:basedOn w:val="1"/>
    <w:link w:val="43"/>
    <w:unhideWhenUsed/>
    <w:uiPriority w:val="99"/>
    <w:pPr>
      <w:tabs>
        <w:tab w:val="center" w:pos="4680"/>
        <w:tab w:val="right" w:pos="9360"/>
      </w:tabs>
      <w:spacing w:after="0" w:line="240" w:lineRule="auto"/>
    </w:pPr>
  </w:style>
  <w:style w:type="paragraph" w:styleId="14">
    <w:name w:val="header"/>
    <w:basedOn w:val="1"/>
    <w:link w:val="42"/>
    <w:unhideWhenUsed/>
    <w:qFormat/>
    <w:uiPriority w:val="99"/>
    <w:pPr>
      <w:tabs>
        <w:tab w:val="center" w:pos="4680"/>
        <w:tab w:val="right" w:pos="9360"/>
      </w:tabs>
      <w:spacing w:after="0" w:line="240" w:lineRule="auto"/>
    </w:pPr>
  </w:style>
  <w:style w:type="character" w:styleId="15">
    <w:name w:val="Hyperlink"/>
    <w:basedOn w:val="11"/>
    <w:unhideWhenUsed/>
    <w:uiPriority w:val="99"/>
    <w:rPr>
      <w:color w:val="0563C1" w:themeColor="hyperlink"/>
      <w:u w:val="single"/>
      <w14:textFill>
        <w14:solidFill>
          <w14:schemeClr w14:val="hlink"/>
        </w14:solidFill>
      </w14:textFill>
    </w:rPr>
  </w:style>
  <w:style w:type="paragraph" w:styleId="16">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kern w:val="0"/>
      <w14:ligatures w14:val="none"/>
    </w:rPr>
  </w:style>
  <w:style w:type="paragraph" w:styleId="17">
    <w:name w:val="Subtitle"/>
    <w:basedOn w:val="1"/>
    <w:next w:val="1"/>
    <w:link w:val="3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8">
    <w:name w:val="Title"/>
    <w:basedOn w:val="1"/>
    <w:next w:val="1"/>
    <w:link w:val="30"/>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19">
    <w:name w:val="toc 1"/>
    <w:basedOn w:val="1"/>
    <w:next w:val="1"/>
    <w:unhideWhenUsed/>
    <w:uiPriority w:val="39"/>
    <w:pPr>
      <w:spacing w:after="100"/>
    </w:pPr>
  </w:style>
  <w:style w:type="paragraph" w:styleId="20">
    <w:name w:val="toc 2"/>
    <w:basedOn w:val="1"/>
    <w:next w:val="1"/>
    <w:unhideWhenUsed/>
    <w:uiPriority w:val="39"/>
    <w:pPr>
      <w:spacing w:after="100"/>
      <w:ind w:left="240"/>
    </w:pPr>
  </w:style>
  <w:style w:type="character" w:customStyle="1" w:styleId="21">
    <w:name w:val="Heading 1 Char"/>
    <w:basedOn w:val="11"/>
    <w:link w:val="2"/>
    <w:uiPriority w:val="9"/>
    <w:rPr>
      <w:rFonts w:asciiTheme="majorHAnsi" w:hAnsiTheme="majorHAnsi" w:eastAsiaTheme="majorEastAsia" w:cstheme="majorBidi"/>
      <w:color w:val="2F5597" w:themeColor="accent1" w:themeShade="BF"/>
      <w:sz w:val="40"/>
      <w:szCs w:val="40"/>
    </w:rPr>
  </w:style>
  <w:style w:type="character" w:customStyle="1" w:styleId="22">
    <w:name w:val="Heading 2 Char"/>
    <w:basedOn w:val="11"/>
    <w:link w:val="3"/>
    <w:uiPriority w:val="9"/>
    <w:rPr>
      <w:rFonts w:asciiTheme="majorHAnsi" w:hAnsiTheme="majorHAnsi" w:eastAsiaTheme="majorEastAsia" w:cstheme="majorBidi"/>
      <w:color w:val="2F5597" w:themeColor="accent1" w:themeShade="BF"/>
      <w:sz w:val="32"/>
      <w:szCs w:val="32"/>
    </w:rPr>
  </w:style>
  <w:style w:type="character" w:customStyle="1" w:styleId="23">
    <w:name w:val="Heading 3 Char"/>
    <w:basedOn w:val="11"/>
    <w:link w:val="4"/>
    <w:semiHidden/>
    <w:uiPriority w:val="9"/>
    <w:rPr>
      <w:rFonts w:eastAsiaTheme="majorEastAsia" w:cstheme="majorBidi"/>
      <w:color w:val="2F5597" w:themeColor="accent1" w:themeShade="BF"/>
      <w:sz w:val="28"/>
      <w:szCs w:val="28"/>
    </w:rPr>
  </w:style>
  <w:style w:type="character" w:customStyle="1" w:styleId="24">
    <w:name w:val="Heading 4 Char"/>
    <w:basedOn w:val="11"/>
    <w:link w:val="5"/>
    <w:semiHidden/>
    <w:uiPriority w:val="9"/>
    <w:rPr>
      <w:rFonts w:eastAsiaTheme="majorEastAsia" w:cstheme="majorBidi"/>
      <w:i/>
      <w:iCs/>
      <w:color w:val="2F5597" w:themeColor="accent1" w:themeShade="BF"/>
    </w:rPr>
  </w:style>
  <w:style w:type="character" w:customStyle="1" w:styleId="25">
    <w:name w:val="Heading 5 Char"/>
    <w:basedOn w:val="11"/>
    <w:link w:val="6"/>
    <w:semiHidden/>
    <w:uiPriority w:val="9"/>
    <w:rPr>
      <w:rFonts w:eastAsiaTheme="majorEastAsia" w:cstheme="majorBidi"/>
      <w:color w:val="2F5597" w:themeColor="accent1" w:themeShade="BF"/>
    </w:rPr>
  </w:style>
  <w:style w:type="character" w:customStyle="1" w:styleId="26">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7">
    <w:name w:val="Heading 7 Char"/>
    <w:basedOn w:val="11"/>
    <w:link w:val="8"/>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8">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9">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0">
    <w:name w:val="Title Char"/>
    <w:basedOn w:val="11"/>
    <w:link w:val="18"/>
    <w:uiPriority w:val="10"/>
    <w:rPr>
      <w:rFonts w:asciiTheme="majorHAnsi" w:hAnsiTheme="majorHAnsi" w:eastAsiaTheme="majorEastAsia" w:cstheme="majorBidi"/>
      <w:spacing w:val="-10"/>
      <w:kern w:val="28"/>
      <w:sz w:val="56"/>
      <w:szCs w:val="56"/>
    </w:rPr>
  </w:style>
  <w:style w:type="character" w:customStyle="1" w:styleId="31">
    <w:name w:val="Subtitle Char"/>
    <w:basedOn w:val="11"/>
    <w:link w:val="17"/>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2">
    <w:name w:val="Quote"/>
    <w:basedOn w:val="1"/>
    <w:next w:val="1"/>
    <w:link w:val="33"/>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3">
    <w:name w:val="Quote Char"/>
    <w:basedOn w:val="11"/>
    <w:link w:val="32"/>
    <w:uiPriority w:val="29"/>
    <w:rPr>
      <w:i/>
      <w:iCs/>
      <w:color w:val="404040" w:themeColor="text1" w:themeTint="BF"/>
      <w14:textFill>
        <w14:solidFill>
          <w14:schemeClr w14:val="tx1">
            <w14:lumMod w14:val="75000"/>
            <w14:lumOff w14:val="25000"/>
          </w14:schemeClr>
        </w14:solidFill>
      </w14:textFill>
    </w:rPr>
  </w:style>
  <w:style w:type="paragraph" w:styleId="34">
    <w:name w:val="List Paragraph"/>
    <w:basedOn w:val="1"/>
    <w:qFormat/>
    <w:uiPriority w:val="34"/>
    <w:pPr>
      <w:ind w:left="720"/>
      <w:contextualSpacing/>
    </w:pPr>
  </w:style>
  <w:style w:type="character" w:customStyle="1" w:styleId="35">
    <w:name w:val="Intense Emphasis"/>
    <w:basedOn w:val="11"/>
    <w:qFormat/>
    <w:uiPriority w:val="21"/>
    <w:rPr>
      <w:i/>
      <w:iCs/>
      <w:color w:val="2F5597" w:themeColor="accent1" w:themeShade="BF"/>
    </w:rPr>
  </w:style>
  <w:style w:type="paragraph" w:styleId="36">
    <w:name w:val="Intense Quote"/>
    <w:basedOn w:val="1"/>
    <w:next w:val="1"/>
    <w:link w:val="37"/>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7">
    <w:name w:val="Intense Quote Char"/>
    <w:basedOn w:val="11"/>
    <w:link w:val="36"/>
    <w:uiPriority w:val="30"/>
    <w:rPr>
      <w:i/>
      <w:iCs/>
      <w:color w:val="2F5597" w:themeColor="accent1" w:themeShade="BF"/>
    </w:rPr>
  </w:style>
  <w:style w:type="character" w:customStyle="1" w:styleId="38">
    <w:name w:val="Intense Reference"/>
    <w:basedOn w:val="11"/>
    <w:qFormat/>
    <w:uiPriority w:val="32"/>
    <w:rPr>
      <w:b/>
      <w:bCs/>
      <w:smallCaps/>
      <w:color w:val="2F5597" w:themeColor="accent1" w:themeShade="BF"/>
      <w:spacing w:val="5"/>
    </w:rPr>
  </w:style>
  <w:style w:type="character" w:customStyle="1" w:styleId="39">
    <w:name w:val="Unresolved Mention1"/>
    <w:basedOn w:val="11"/>
    <w:semiHidden/>
    <w:unhideWhenUsed/>
    <w:uiPriority w:val="99"/>
    <w:rPr>
      <w:color w:val="605E5C"/>
      <w:shd w:val="clear" w:color="auto" w:fill="E1DFDD"/>
    </w:rPr>
  </w:style>
  <w:style w:type="table" w:customStyle="1" w:styleId="40">
    <w:name w:val="Plain Table 1"/>
    <w:basedOn w:val="12"/>
    <w:uiPriority w:val="41"/>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paragraph" w:customStyle="1" w:styleId="41">
    <w:name w:val="TOC Heading"/>
    <w:basedOn w:val="2"/>
    <w:next w:val="1"/>
    <w:unhideWhenUsed/>
    <w:qFormat/>
    <w:uiPriority w:val="39"/>
    <w:pPr>
      <w:spacing w:before="240" w:after="0" w:line="259" w:lineRule="auto"/>
      <w:outlineLvl w:val="9"/>
    </w:pPr>
    <w:rPr>
      <w:kern w:val="0"/>
      <w:sz w:val="32"/>
      <w:szCs w:val="32"/>
      <w14:ligatures w14:val="none"/>
    </w:rPr>
  </w:style>
  <w:style w:type="character" w:customStyle="1" w:styleId="42">
    <w:name w:val="Header Char"/>
    <w:basedOn w:val="11"/>
    <w:link w:val="14"/>
    <w:uiPriority w:val="99"/>
  </w:style>
  <w:style w:type="character" w:customStyle="1" w:styleId="43">
    <w:name w:val="Footer Char"/>
    <w:basedOn w:val="11"/>
    <w:link w:val="13"/>
    <w:uiPriority w:val="99"/>
  </w:style>
  <w:style w:type="table" w:customStyle="1" w:styleId="44">
    <w:name w:val="Grid Table 4 Accent 5"/>
    <w:basedOn w:val="12"/>
    <w:uiPriority w:val="49"/>
    <w:pPr>
      <w:spacing w:after="0" w:line="240" w:lineRule="auto"/>
    </w:pPr>
    <w:tblPr>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14:textFill>
          <w14:solidFill>
            <w14:schemeClr w14:val="bg1"/>
          </w14:solidFill>
        </w14:textFill>
      </w:r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cPr>
        <w:tcBorders>
          <w:top w:val="double" w:color="5B9BD5" w:themeColor="accent5" w:sz="4" w:space="0"/>
        </w:tcBorders>
      </w:tcPr>
    </w:tblStylePr>
    <w:tblStylePr w:type="firstCol">
      <w:rPr>
        <w:b/>
        <w:bCs/>
      </w:rPr>
    </w:tblStylePr>
    <w:tblStylePr w:type="lastCol">
      <w:rPr>
        <w:b/>
        <w:bCs/>
      </w:rPr>
    </w:tblStylePr>
    <w:tblStylePr w:type="band1Vert">
      <w:tcPr>
        <w:shd w:val="clear" w:color="auto" w:fill="DEEAF6" w:themeFill="accent5" w:themeFillTint="33"/>
      </w:tcPr>
    </w:tblStylePr>
    <w:tblStylePr w:type="band1Horz">
      <w:tcPr>
        <w:shd w:val="clear" w:color="auto" w:fill="DEEAF6" w:themeFill="accent5" w:themeFillTint="33"/>
      </w:tcPr>
    </w:tblStyle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438BC5-C332-4225-BB20-8376A49D6E21}">
  <ds:schemaRefs/>
</ds:datastoreItem>
</file>

<file path=docProps/app.xml><?xml version="1.0" encoding="utf-8"?>
<Properties xmlns="http://schemas.openxmlformats.org/officeDocument/2006/extended-properties" xmlns:vt="http://schemas.openxmlformats.org/officeDocument/2006/docPropsVTypes">
  <Template>Normal</Template>
  <Pages>14</Pages>
  <Words>3860</Words>
  <Characters>22007</Characters>
  <Lines>183</Lines>
  <Paragraphs>51</Paragraphs>
  <TotalTime>187</TotalTime>
  <ScaleCrop>false</ScaleCrop>
  <LinksUpToDate>false</LinksUpToDate>
  <CharactersWithSpaces>25816</CharactersWithSpaces>
  <Application>WPS Office_11.2.0.11042_F1E327BC-269C-435d-A152-05C5408002CA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2026-10-09T18:22:00Z</dcterms:created>
  <dc:creator>Administrator</dc:creator>
  <cp:lastModifiedBy>Gurdev Singh</cp:lastModifiedBy>
  <dcterms:modified xsi:type="dcterms:W3CDTF">2026-10-14T06:22:55Z</dcterms:modified>
  <cp:revision>70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1033-11.2.0.11042</vt:lpwstr>
  </property>
  <property fmtid="{D5CDD505-2E9C-101B-9397-08002B2CF9AE}" pid="3" name="ICV">
    <vt:lpwstr>7BAD694E775947EAB324C2C7986EA46B</vt:lpwstr>
  </property>
</Properties>
</file>