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lang w:val="en-GB" w:eastAsia="en-GB"/>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1B3B798"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Master of Business Administration</w:t>
      </w:r>
    </w:p>
    <w:p w14:paraId="0696FD44" w14:textId="4E2BE516" w:rsidR="00A31DCA" w:rsidRPr="00DE7AA6" w:rsidRDefault="00A31DCA" w:rsidP="00DE7AA6">
      <w:pPr>
        <w:spacing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000621B1" w:rsidRPr="000621B1">
        <w:t xml:space="preserve"> </w:t>
      </w:r>
      <w:proofErr w:type="spellStart"/>
      <w:r w:rsidR="000621B1" w:rsidRPr="000621B1">
        <w:rPr>
          <w:rFonts w:ascii="Arial" w:hAnsi="Arial" w:cs="Arial"/>
          <w:b/>
          <w:bCs/>
          <w:sz w:val="28"/>
          <w:szCs w:val="24"/>
          <w:lang w:val="en-GB"/>
        </w:rPr>
        <w:t>Md</w:t>
      </w:r>
      <w:proofErr w:type="spellEnd"/>
      <w:r w:rsidR="000621B1" w:rsidRPr="000621B1">
        <w:rPr>
          <w:rFonts w:ascii="Arial" w:hAnsi="Arial" w:cs="Arial"/>
          <w:b/>
          <w:bCs/>
          <w:sz w:val="28"/>
          <w:szCs w:val="24"/>
          <w:lang w:val="en-GB"/>
        </w:rPr>
        <w:t xml:space="preserve"> </w:t>
      </w:r>
      <w:proofErr w:type="spellStart"/>
      <w:r w:rsidR="000621B1" w:rsidRPr="000621B1">
        <w:rPr>
          <w:rFonts w:ascii="Arial" w:hAnsi="Arial" w:cs="Arial"/>
          <w:b/>
          <w:bCs/>
          <w:sz w:val="28"/>
          <w:szCs w:val="24"/>
          <w:lang w:val="en-GB"/>
        </w:rPr>
        <w:t>Sonet</w:t>
      </w:r>
      <w:proofErr w:type="spellEnd"/>
      <w:r w:rsidR="000621B1" w:rsidRPr="000621B1">
        <w:rPr>
          <w:rFonts w:ascii="Arial" w:hAnsi="Arial" w:cs="Arial"/>
          <w:b/>
          <w:bCs/>
          <w:sz w:val="28"/>
          <w:szCs w:val="24"/>
          <w:lang w:val="en-GB"/>
        </w:rPr>
        <w:t xml:space="preserve"> Islam</w:t>
      </w:r>
      <w:r w:rsidRPr="002E5287">
        <w:rPr>
          <w:rFonts w:ascii="Arial" w:hAnsi="Arial" w:cs="Arial"/>
          <w:sz w:val="28"/>
          <w:szCs w:val="24"/>
          <w:lang w:val="en-GB"/>
        </w:rPr>
        <w:t xml:space="preserve"> </w:t>
      </w:r>
    </w:p>
    <w:p w14:paraId="697ED246" w14:textId="3A1A4FE1" w:rsidR="00A31DCA" w:rsidRPr="002E5287" w:rsidRDefault="00A31DCA" w:rsidP="00A31DCA">
      <w:pPr>
        <w:spacing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0621B1" w:rsidRPr="000621B1">
        <w:t xml:space="preserve"> </w:t>
      </w:r>
      <w:r w:rsidR="002D1910">
        <w:rPr>
          <w:rFonts w:ascii="Arial" w:hAnsi="Arial" w:cs="Arial"/>
          <w:b/>
          <w:bCs/>
          <w:sz w:val="28"/>
          <w:szCs w:val="24"/>
          <w:lang w:val="en-GB"/>
        </w:rPr>
        <w:t>2504936</w:t>
      </w:r>
    </w:p>
    <w:p w14:paraId="4155A697" w14:textId="7E31837D"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code: </w:t>
      </w:r>
      <w:r w:rsidR="008A0DD0" w:rsidRPr="008A0DD0">
        <w:rPr>
          <w:rFonts w:ascii="Arial" w:hAnsi="Arial" w:cs="Arial"/>
          <w:b/>
          <w:bCs/>
          <w:sz w:val="28"/>
          <w:szCs w:val="24"/>
          <w:lang w:val="en-GB"/>
        </w:rPr>
        <w:t>LCMB703</w:t>
      </w:r>
      <w:r w:rsidR="00B60E67">
        <w:rPr>
          <w:rFonts w:ascii="Arial" w:hAnsi="Arial" w:cs="Arial"/>
          <w:b/>
          <w:bCs/>
          <w:sz w:val="28"/>
          <w:szCs w:val="24"/>
          <w:lang w:val="en-GB"/>
        </w:rPr>
        <w:t>7</w:t>
      </w:r>
    </w:p>
    <w:p w14:paraId="0DE4BC8F" w14:textId="7BBEEC78" w:rsidR="00A31DCA" w:rsidRPr="008A0DD0" w:rsidRDefault="00A31DCA" w:rsidP="008A0DD0">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8A0DD0" w:rsidRPr="008A0DD0">
        <w:rPr>
          <w:rFonts w:ascii="Arial" w:hAnsi="Arial" w:cs="Arial"/>
          <w:b/>
          <w:bCs/>
          <w:sz w:val="28"/>
          <w:szCs w:val="24"/>
          <w:lang w:val="en-GB"/>
        </w:rPr>
        <w:t>Business Development Proposal</w:t>
      </w:r>
    </w:p>
    <w:p w14:paraId="1B227B4A" w14:textId="1FA5CCAA" w:rsidR="0065437D" w:rsidRPr="002E5287" w:rsidRDefault="00A31DCA" w:rsidP="004439A2">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4439A2" w:rsidRPr="004439A2">
        <w:rPr>
          <w:rFonts w:ascii="Arial" w:hAnsi="Arial" w:cs="Arial"/>
          <w:b/>
          <w:bCs/>
          <w:sz w:val="28"/>
          <w:szCs w:val="24"/>
          <w:lang w:val="en-GB"/>
        </w:rPr>
        <w:t>"</w:t>
      </w:r>
      <w:r w:rsidR="008A0DD0" w:rsidRPr="008A0DD0">
        <w:t xml:space="preserve"> </w:t>
      </w:r>
      <w:r w:rsidR="007B7149" w:rsidRPr="007B7149">
        <w:rPr>
          <w:rFonts w:ascii="Arial" w:hAnsi="Arial" w:cs="Arial"/>
          <w:b/>
          <w:bCs/>
          <w:sz w:val="28"/>
          <w:szCs w:val="24"/>
          <w:lang w:val="en-GB"/>
        </w:rPr>
        <w:t>Developing a Premium Specialty Coffee Shop through Ethical Sourcing and Sustainable Supply Chain Management to Enhance Competitive Advantage in the UK</w:t>
      </w:r>
      <w:r w:rsidR="004439A2" w:rsidRPr="004439A2">
        <w:rPr>
          <w:rFonts w:ascii="Arial" w:hAnsi="Arial" w:cs="Arial"/>
          <w:b/>
          <w:bCs/>
          <w:sz w:val="28"/>
          <w:szCs w:val="24"/>
          <w:lang w:val="en-GB"/>
        </w:rPr>
        <w:t>"</w:t>
      </w:r>
    </w:p>
    <w:p w14:paraId="09021493" w14:textId="0117E2F0" w:rsidR="006E29E7" w:rsidRPr="000621B1" w:rsidRDefault="006E29E7" w:rsidP="000621B1">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proofErr w:type="spellStart"/>
      <w:r w:rsidR="000621B1" w:rsidRPr="000621B1">
        <w:rPr>
          <w:rFonts w:ascii="Arial" w:hAnsi="Arial" w:cs="Arial"/>
          <w:b/>
          <w:bCs/>
          <w:sz w:val="28"/>
          <w:szCs w:val="24"/>
          <w:lang w:val="en-GB"/>
        </w:rPr>
        <w:t>Balendran</w:t>
      </w:r>
      <w:proofErr w:type="spellEnd"/>
      <w:r w:rsidR="000621B1" w:rsidRPr="000621B1">
        <w:rPr>
          <w:rFonts w:ascii="Arial" w:hAnsi="Arial" w:cs="Arial"/>
          <w:b/>
          <w:bCs/>
          <w:sz w:val="28"/>
          <w:szCs w:val="24"/>
          <w:lang w:val="en-GB"/>
        </w:rPr>
        <w:t xml:space="preserve"> </w:t>
      </w:r>
      <w:proofErr w:type="spellStart"/>
      <w:r w:rsidR="000621B1" w:rsidRPr="000621B1">
        <w:rPr>
          <w:rFonts w:ascii="Arial" w:hAnsi="Arial" w:cs="Arial"/>
          <w:b/>
          <w:bCs/>
          <w:sz w:val="28"/>
          <w:szCs w:val="24"/>
          <w:lang w:val="en-GB"/>
        </w:rPr>
        <w:t>Kandasamy</w:t>
      </w:r>
      <w:proofErr w:type="spellEnd"/>
    </w:p>
    <w:p w14:paraId="1D38A85A" w14:textId="7D124AFA"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r w:rsidR="00740BB6">
        <w:rPr>
          <w:rFonts w:ascii="Arial" w:hAnsi="Arial" w:cs="Arial"/>
          <w:b/>
          <w:bCs/>
          <w:sz w:val="28"/>
          <w:szCs w:val="24"/>
          <w:lang w:val="en-GB"/>
        </w:rPr>
        <w:t>16404</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DD5F80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lang w:val="en-GB" w:eastAsia="en-GB"/>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497F908"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15398A71"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5B80BF0E"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752E6A27"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0AB53DB" w14:textId="6D16A244"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proofErr w:type="spellStart"/>
      <w:r w:rsidR="000621B1" w:rsidRPr="000621B1">
        <w:rPr>
          <w:rFonts w:ascii="Arial" w:hAnsi="Arial" w:cs="Arial"/>
          <w:bCs/>
          <w:sz w:val="24"/>
          <w:szCs w:val="24"/>
          <w:lang w:val="en-GB"/>
        </w:rPr>
        <w:t>Md</w:t>
      </w:r>
      <w:proofErr w:type="spellEnd"/>
      <w:r w:rsidR="000621B1" w:rsidRPr="000621B1">
        <w:rPr>
          <w:rFonts w:ascii="Arial" w:hAnsi="Arial" w:cs="Arial"/>
          <w:bCs/>
          <w:sz w:val="24"/>
          <w:szCs w:val="24"/>
          <w:lang w:val="en-GB"/>
        </w:rPr>
        <w:t xml:space="preserve"> </w:t>
      </w:r>
      <w:proofErr w:type="spellStart"/>
      <w:r w:rsidR="000621B1" w:rsidRPr="000621B1">
        <w:rPr>
          <w:rFonts w:ascii="Arial" w:hAnsi="Arial" w:cs="Arial"/>
          <w:bCs/>
          <w:sz w:val="24"/>
          <w:szCs w:val="24"/>
          <w:lang w:val="en-GB"/>
        </w:rPr>
        <w:t>Sonet</w:t>
      </w:r>
      <w:proofErr w:type="spellEnd"/>
      <w:r w:rsidR="000621B1" w:rsidRPr="000621B1">
        <w:rPr>
          <w:rFonts w:ascii="Arial" w:hAnsi="Arial" w:cs="Arial"/>
          <w:bCs/>
          <w:sz w:val="24"/>
          <w:szCs w:val="24"/>
          <w:lang w:val="en-GB"/>
        </w:rPr>
        <w:t xml:space="preserve"> Islam</w:t>
      </w:r>
      <w:r w:rsidR="000621B1" w:rsidRPr="002E5287">
        <w:rPr>
          <w:rFonts w:ascii="Arial" w:hAnsi="Arial" w:cs="Arial"/>
          <w:sz w:val="28"/>
          <w:szCs w:val="24"/>
          <w:lang w:val="en-GB"/>
        </w:rPr>
        <w:t xml:space="preserve"> </w:t>
      </w:r>
      <w:r w:rsidRPr="002E5287">
        <w:rPr>
          <w:rFonts w:ascii="Arial" w:hAnsi="Arial" w:cs="Arial"/>
          <w:sz w:val="24"/>
          <w:szCs w:val="24"/>
          <w:lang w:val="en-GB"/>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597DF5D0" w14:textId="30B62EE2"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proofErr w:type="spellStart"/>
      <w:r w:rsidR="00E358F4" w:rsidRPr="00E358F4">
        <w:rPr>
          <w:rFonts w:ascii="Arial" w:hAnsi="Arial" w:cs="Arial"/>
          <w:bCs/>
          <w:sz w:val="24"/>
          <w:szCs w:val="24"/>
          <w:lang w:val="en-GB"/>
        </w:rPr>
        <w:t>Md</w:t>
      </w:r>
      <w:proofErr w:type="spellEnd"/>
      <w:r w:rsidR="00E358F4" w:rsidRPr="00E358F4">
        <w:rPr>
          <w:rFonts w:ascii="Arial" w:hAnsi="Arial" w:cs="Arial"/>
          <w:bCs/>
          <w:sz w:val="24"/>
          <w:szCs w:val="24"/>
          <w:lang w:val="en-GB"/>
        </w:rPr>
        <w:t xml:space="preserve"> </w:t>
      </w:r>
      <w:proofErr w:type="spellStart"/>
      <w:r w:rsidR="00E358F4" w:rsidRPr="00E358F4">
        <w:rPr>
          <w:rFonts w:ascii="Arial" w:hAnsi="Arial" w:cs="Arial"/>
          <w:bCs/>
          <w:sz w:val="24"/>
          <w:szCs w:val="24"/>
          <w:lang w:val="en-GB"/>
        </w:rPr>
        <w:t>Sonet</w:t>
      </w:r>
      <w:proofErr w:type="spellEnd"/>
      <w:r w:rsidR="00E358F4" w:rsidRPr="00E358F4">
        <w:rPr>
          <w:rFonts w:ascii="Arial" w:hAnsi="Arial" w:cs="Arial"/>
          <w:bCs/>
          <w:sz w:val="24"/>
          <w:szCs w:val="24"/>
          <w:lang w:val="en-GB"/>
        </w:rPr>
        <w:t xml:space="preserve"> Islam</w:t>
      </w:r>
    </w:p>
    <w:p w14:paraId="504C1E27" w14:textId="101691E8"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r w:rsidR="00D94CC0">
        <w:rPr>
          <w:rFonts w:ascii="Arial" w:hAnsi="Arial" w:cs="Arial"/>
          <w:sz w:val="24"/>
          <w:szCs w:val="24"/>
          <w:lang w:val="en-GB"/>
        </w:rPr>
        <w:t>24/09/2026</w:t>
      </w:r>
    </w:p>
    <w:p w14:paraId="132DA619"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546F70D7" w14:textId="77777777" w:rsidR="00A31DCA" w:rsidRPr="002E5287" w:rsidRDefault="00A31DCA" w:rsidP="00A31DCA">
      <w:pPr>
        <w:spacing w:line="360" w:lineRule="auto"/>
        <w:jc w:val="center"/>
        <w:rPr>
          <w:rFonts w:ascii="Arial" w:hAnsi="Arial" w:cs="Arial"/>
          <w:b/>
          <w:bCs/>
          <w:sz w:val="28"/>
          <w:szCs w:val="24"/>
          <w:lang w:val="en-GB"/>
        </w:rPr>
      </w:pPr>
    </w:p>
    <w:p w14:paraId="77091BF3" w14:textId="77777777" w:rsidR="00C65345" w:rsidRDefault="00C65345" w:rsidP="00A31DCA">
      <w:pPr>
        <w:spacing w:line="360" w:lineRule="auto"/>
        <w:rPr>
          <w:rFonts w:ascii="Arial" w:hAnsi="Arial" w:cs="Arial"/>
          <w:b/>
          <w:lang w:val="en-GB"/>
        </w:rPr>
      </w:pPr>
    </w:p>
    <w:p w14:paraId="0D2CBAC3" w14:textId="77777777" w:rsidR="00C65345" w:rsidRDefault="00C65345" w:rsidP="00A31DCA">
      <w:pPr>
        <w:spacing w:line="360" w:lineRule="auto"/>
        <w:rPr>
          <w:rFonts w:ascii="Arial" w:hAnsi="Arial" w:cs="Arial"/>
          <w:b/>
          <w:lang w:val="en-GB"/>
        </w:rPr>
      </w:pPr>
    </w:p>
    <w:p w14:paraId="0FE213E2" w14:textId="77777777" w:rsidR="00C65345" w:rsidRDefault="00C65345" w:rsidP="00A31DCA">
      <w:pPr>
        <w:spacing w:line="360" w:lineRule="auto"/>
        <w:rPr>
          <w:rFonts w:ascii="Arial" w:hAnsi="Arial" w:cs="Arial"/>
          <w:b/>
          <w:lang w:val="en-GB"/>
        </w:rPr>
      </w:pPr>
    </w:p>
    <w:p w14:paraId="3C0D2CD3" w14:textId="77777777" w:rsidR="00C65345" w:rsidRDefault="00C65345" w:rsidP="00A31DCA">
      <w:pPr>
        <w:spacing w:line="360" w:lineRule="auto"/>
        <w:rPr>
          <w:rFonts w:ascii="Arial" w:hAnsi="Arial" w:cs="Arial"/>
          <w:b/>
          <w:lang w:val="en-GB"/>
        </w:rPr>
      </w:pPr>
    </w:p>
    <w:p w14:paraId="27606DFD" w14:textId="77777777" w:rsidR="00C65345" w:rsidRDefault="00C65345" w:rsidP="00A31DCA">
      <w:pPr>
        <w:spacing w:line="360" w:lineRule="auto"/>
        <w:rPr>
          <w:rFonts w:ascii="Arial" w:hAnsi="Arial" w:cs="Arial"/>
          <w:b/>
          <w:lang w:val="en-GB"/>
        </w:rPr>
      </w:pPr>
    </w:p>
    <w:p w14:paraId="7E35EA1B" w14:textId="77777777" w:rsidR="00C65345" w:rsidRDefault="00C65345" w:rsidP="00A31DCA">
      <w:pPr>
        <w:spacing w:line="360" w:lineRule="auto"/>
        <w:rPr>
          <w:rFonts w:ascii="Arial" w:hAnsi="Arial" w:cs="Arial"/>
          <w:b/>
          <w:lang w:val="en-GB"/>
        </w:rPr>
      </w:pPr>
    </w:p>
    <w:p w14:paraId="44FDFB72" w14:textId="77777777" w:rsidR="00C65345" w:rsidRDefault="00C65345" w:rsidP="00A31DCA">
      <w:pPr>
        <w:spacing w:line="360" w:lineRule="auto"/>
        <w:rPr>
          <w:rFonts w:ascii="Arial" w:hAnsi="Arial" w:cs="Arial"/>
          <w:b/>
          <w:lang w:val="en-GB"/>
        </w:rPr>
      </w:pPr>
    </w:p>
    <w:p w14:paraId="148B0E99" w14:textId="77777777" w:rsidR="00C65345" w:rsidRPr="00C65345" w:rsidRDefault="00C65345" w:rsidP="00C65345">
      <w:pPr>
        <w:pStyle w:val="Heading1"/>
        <w:jc w:val="center"/>
        <w:rPr>
          <w:lang w:val="en-GB"/>
        </w:rPr>
      </w:pPr>
      <w:bookmarkStart w:id="0" w:name="_Toc241167405"/>
      <w:r w:rsidRPr="00C65345">
        <w:rPr>
          <w:lang w:val="en-GB"/>
        </w:rPr>
        <w:lastRenderedPageBreak/>
        <w:t>Executive Summary</w:t>
      </w:r>
      <w:bookmarkEnd w:id="0"/>
    </w:p>
    <w:p w14:paraId="35BBBC14"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Ethical Bean Coffee House (TEBC) is a planned high quality, specialist coffee house in Monmouth Street, Covent Garden, London. The business taps into a well-established UK coffee-shop chain with a combination of specialty coffee quality and a reassuringly ethical supply chain, transparency, sustainability and bespoke customer service. TEBC will not be selling coffee primarily on price, but it will focus on differentiation – with customers who appreciate high quality coffee and want to see where it comes from and where it goes.</w:t>
      </w:r>
    </w:p>
    <w:p w14:paraId="7E2B2374"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This market opportunity is backed by the ongoing growth of the UK coffee-shop market, such as the demand for specialty products, and hospitality and experience-led consumption. A mix of local workers and residents, and significant visitor activity, provide a broad range of potential customers in the area of Covent Garden. The proposal acknowledges however, that too much foot traffic may not necessarily mean too many sales. There are specialty and chain competitors in the local market, and customers are able to switch to other food-and-beverage options or make their own at home rather than buying at the café. Therefore, TEBC concentrates on a real customer need and not on the assumption that market growth will ensure demand.</w:t>
      </w:r>
    </w:p>
    <w:p w14:paraId="57FC1153"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main target audience are consumers who value the ethical aspect of their coffee, professional city residents and selected visitors in and around Covent Garden. These consumers are likely to appreciate specialty quality coffee, ease of service, a unique ambiance and verifiable proof of responsible sourcing. TEBC's value proposition is to offer premium specialty coffee in a customer experience café with ethical sourcing, traceability and sustainability more prominent in the customer journey. It will be backed up with personalised service, well-chosen suppliers, trained baristas and clear customer communication.</w:t>
      </w:r>
    </w:p>
    <w:p w14:paraId="7C31847A"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 xml:space="preserve">The proposed competitive advantage would be based on specialty quality and customer experience with ethical differentiation. The term ethical coffee sourcing is not exclusive as the competition also can speak of sustainability and provenance. TEBC will therefore try to reinforce the differentiation by building credible supplier relations, traceability, applying sustainability practices in a consistent way and being visible in customer communications. A staged approach will first target a smaller </w:t>
      </w:r>
      <w:r w:rsidRPr="00C65345">
        <w:rPr>
          <w:rFonts w:ascii="Arial" w:hAnsi="Arial" w:cs="Arial"/>
          <w:sz w:val="24"/>
          <w:lang w:val="en-GB"/>
        </w:rPr>
        <w:lastRenderedPageBreak/>
        <w:t>portion of the Covent Garden and a targeted group of customers, before the business will expand into the rest of the space.</w:t>
      </w:r>
    </w:p>
    <w:p w14:paraId="12B428AB"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From an operational viewpoint, the project will rely on a physical café, a digital payment system, a customer-engagement system and a stock-management system. The first operating model will focus on reliable suppliers, the correct espresso and preparation equipment, trained staff, efficient customer flow, inventory controls and standard operating procedures. In Year 1, their planning assumption is that they will have 135 transactions per trading day, over 310 trading days, which means that they will have about 41,850 transactions and are expecting to generate £292,950 in revenue, with the average transaction value being £7. The contribution margin for a business is 70% with a 30% variable-cost assumption. The total fixed operating costs are of the order of £205,000 which means it should break even at about £292,857 in revenue, approximately 41,837 transactions or about 135 transactions per day. This means there is just a small margin of safety and it is important to validate the demand, control costs and protect working capital.</w:t>
      </w:r>
    </w:p>
    <w:p w14:paraId="2488F4C6" w14:textId="77777777" w:rsidR="00C65345" w:rsidRPr="00C65345"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proposed start-up investment is around £200k for premises and fit-out, equipment, initial stock, professional/pre-opening costs, recruitment/training, launch marketing and working capital. It will be a phased implementation that will take 4 months to implement, including funding and compliance, premises and equipment, supplier confirmation, recruitment and training, marketing, soft launch and full launch, and KPI monitoring post launch.</w:t>
      </w:r>
    </w:p>
    <w:p w14:paraId="61F7479B" w14:textId="468FC383" w:rsidR="00527C4D" w:rsidRDefault="00C65345" w:rsidP="00C65345">
      <w:pPr>
        <w:spacing w:before="240" w:line="360" w:lineRule="auto"/>
        <w:jc w:val="both"/>
        <w:rPr>
          <w:rFonts w:ascii="Arial" w:hAnsi="Arial" w:cs="Arial"/>
          <w:sz w:val="24"/>
          <w:lang w:val="en-GB"/>
        </w:rPr>
      </w:pPr>
      <w:r w:rsidRPr="00C65345">
        <w:rPr>
          <w:rFonts w:ascii="Arial" w:hAnsi="Arial" w:cs="Arial"/>
          <w:sz w:val="24"/>
          <w:lang w:val="en-GB"/>
        </w:rPr>
        <w:t>The outcomes expected are a financially managed specialty café, the building of repeat customers, a realistic approach to ethical sourcing and a logical way of thinking about future growth opportunities, along with a consistent service quality. The key success factors will be proven customer demand, ethical and reliable suppliers, quality consistency of specialty coffees, trained staff, measurable aspects of service, disciplined cost control and credible aspects of the sustainability communication. Overall, the proposal is seen as a good one to support a staged and conditional launch, provided it is finalized with funding, regulation, premises, supplier, staffing and demand validation.</w:t>
      </w:r>
    </w:p>
    <w:p w14:paraId="144C4791" w14:textId="6690E37B" w:rsidR="00A0466A" w:rsidRDefault="00A0466A" w:rsidP="00C65345">
      <w:pPr>
        <w:spacing w:before="240" w:line="360" w:lineRule="auto"/>
        <w:jc w:val="both"/>
        <w:rPr>
          <w:rFonts w:ascii="Arial" w:hAnsi="Arial" w:cs="Arial"/>
          <w:sz w:val="24"/>
          <w:lang w:val="en-GB"/>
        </w:rPr>
      </w:pPr>
    </w:p>
    <w:p w14:paraId="46FD872E" w14:textId="77777777" w:rsidR="00A0466A" w:rsidRPr="00A0466A" w:rsidRDefault="00A0466A" w:rsidP="00A0466A">
      <w:pPr>
        <w:pStyle w:val="Heading1"/>
        <w:jc w:val="center"/>
        <w:rPr>
          <w:lang w:val="en-GB"/>
        </w:rPr>
      </w:pPr>
      <w:bookmarkStart w:id="1" w:name="_Toc241167406"/>
      <w:r w:rsidRPr="00A0466A">
        <w:rPr>
          <w:lang w:val="en-GB"/>
        </w:rPr>
        <w:lastRenderedPageBreak/>
        <w:t>AI-Use Acknowledgement</w:t>
      </w:r>
      <w:bookmarkEnd w:id="1"/>
    </w:p>
    <w:p w14:paraId="0737BFF7" w14:textId="77777777" w:rsidR="00A0466A" w:rsidRPr="00A0466A" w:rsidRDefault="00A0466A" w:rsidP="00A0466A">
      <w:pPr>
        <w:spacing w:before="240" w:line="360" w:lineRule="auto"/>
        <w:jc w:val="both"/>
        <w:rPr>
          <w:rFonts w:ascii="Arial" w:hAnsi="Arial" w:cs="Arial"/>
          <w:sz w:val="24"/>
          <w:lang w:val="en-GB"/>
        </w:rPr>
      </w:pPr>
    </w:p>
    <w:p w14:paraId="5F73DA58" w14:textId="00CC0874" w:rsidR="00A0466A" w:rsidRDefault="00A0466A" w:rsidP="00A0466A">
      <w:pPr>
        <w:spacing w:before="240" w:line="360" w:lineRule="auto"/>
        <w:jc w:val="both"/>
        <w:rPr>
          <w:rFonts w:ascii="Arial" w:hAnsi="Arial" w:cs="Arial"/>
          <w:sz w:val="24"/>
          <w:lang w:val="en-GB"/>
        </w:rPr>
      </w:pPr>
      <w:r w:rsidRPr="00A0466A">
        <w:rPr>
          <w:rFonts w:ascii="Arial" w:hAnsi="Arial" w:cs="Arial"/>
          <w:sz w:val="24"/>
          <w:lang w:val="en-GB"/>
        </w:rPr>
        <w:t>I confirm that generative artificial intelligence (AI) tools were used in the preparation of this Business Development Proposal for limited support with research, language refinement, editing and proofreading. I remain responsible for the originality, accuracy, analysis, interpretation and final content of the submitted work, and all relevant sources have been independently checked.</w:t>
      </w:r>
    </w:p>
    <w:p w14:paraId="72537C3D" w14:textId="5DB10DDF" w:rsidR="00A31DCA" w:rsidRPr="002E5287" w:rsidRDefault="00A31DCA" w:rsidP="00C65345">
      <w:pPr>
        <w:spacing w:before="240" w:line="360" w:lineRule="auto"/>
        <w:jc w:val="both"/>
        <w:rPr>
          <w:rFonts w:ascii="Arial" w:hAnsi="Arial" w:cs="Arial"/>
          <w:b/>
          <w:lang w:val="en-GB"/>
        </w:rPr>
      </w:pPr>
      <w:r w:rsidRPr="002E5287">
        <w:rPr>
          <w:rFonts w:ascii="Arial" w:hAnsi="Arial" w:cs="Arial"/>
          <w:b/>
          <w:lang w:val="en-GB"/>
        </w:rPr>
        <w:br w:type="page"/>
      </w: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A359D9" w:rsidRDefault="00A31DCA" w:rsidP="00A359D9">
          <w:pPr>
            <w:pStyle w:val="TOCHeading"/>
            <w:spacing w:after="240"/>
            <w:jc w:val="both"/>
            <w:rPr>
              <w:rFonts w:cs="Arial"/>
              <w:b/>
              <w:bCs/>
              <w:szCs w:val="24"/>
              <w:u w:val="single"/>
              <w:lang w:val="en-GB"/>
            </w:rPr>
          </w:pPr>
          <w:r w:rsidRPr="00A359D9">
            <w:rPr>
              <w:rFonts w:cs="Arial"/>
              <w:b/>
              <w:bCs/>
              <w:szCs w:val="24"/>
              <w:u w:val="single"/>
              <w:lang w:val="en-GB"/>
            </w:rPr>
            <w:t>Table of Contents</w:t>
          </w:r>
        </w:p>
        <w:p w14:paraId="5A196880" w14:textId="53C9B42E" w:rsidR="00652D38" w:rsidRPr="00652D38" w:rsidRDefault="00A31DCA" w:rsidP="00652D38">
          <w:pPr>
            <w:pStyle w:val="TOC1"/>
            <w:tabs>
              <w:tab w:val="right" w:leader="dot" w:pos="9016"/>
            </w:tabs>
            <w:spacing w:line="360" w:lineRule="auto"/>
            <w:jc w:val="both"/>
            <w:rPr>
              <w:rFonts w:ascii="Arial" w:eastAsiaTheme="minorEastAsia" w:hAnsi="Arial" w:cs="Arial"/>
              <w:noProof/>
              <w:sz w:val="24"/>
              <w:szCs w:val="24"/>
              <w:lang w:val="en-GB" w:eastAsia="en-GB"/>
            </w:rPr>
          </w:pPr>
          <w:r w:rsidRPr="002D09B1">
            <w:rPr>
              <w:rFonts w:ascii="Arial" w:hAnsi="Arial" w:cs="Arial"/>
              <w:bCs/>
              <w:noProof/>
              <w:sz w:val="24"/>
              <w:szCs w:val="24"/>
              <w:lang w:val="en-GB"/>
            </w:rPr>
            <w:fldChar w:fldCharType="begin"/>
          </w:r>
          <w:r w:rsidRPr="002D09B1">
            <w:rPr>
              <w:rFonts w:ascii="Arial" w:hAnsi="Arial" w:cs="Arial"/>
              <w:bCs/>
              <w:noProof/>
              <w:sz w:val="24"/>
              <w:szCs w:val="24"/>
              <w:lang w:val="en-GB"/>
            </w:rPr>
            <w:instrText xml:space="preserve"> TOC \o "1-3" \h \z \u </w:instrText>
          </w:r>
          <w:r w:rsidRPr="002D09B1">
            <w:rPr>
              <w:rFonts w:ascii="Arial" w:hAnsi="Arial" w:cs="Arial"/>
              <w:bCs/>
              <w:noProof/>
              <w:sz w:val="24"/>
              <w:szCs w:val="24"/>
              <w:lang w:val="en-GB"/>
            </w:rPr>
            <w:fldChar w:fldCharType="separate"/>
          </w:r>
          <w:hyperlink w:anchor="_Toc241167405" w:history="1">
            <w:r w:rsidR="00652D38" w:rsidRPr="00652D38">
              <w:rPr>
                <w:rStyle w:val="Hyperlink"/>
                <w:rFonts w:ascii="Arial" w:hAnsi="Arial" w:cs="Arial"/>
                <w:noProof/>
                <w:sz w:val="24"/>
                <w:szCs w:val="24"/>
                <w:lang w:val="en-GB"/>
              </w:rPr>
              <w:t>Executive Summary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_Toc241167405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ii</w:t>
            </w:r>
            <w:r w:rsidR="00652D38" w:rsidRPr="00652D38">
              <w:rPr>
                <w:rFonts w:ascii="Arial" w:hAnsi="Arial" w:cs="Arial"/>
                <w:noProof/>
                <w:webHidden/>
                <w:sz w:val="24"/>
                <w:szCs w:val="24"/>
              </w:rPr>
              <w:fldChar w:fldCharType="end"/>
            </w:r>
          </w:hyperlink>
        </w:p>
        <w:p w14:paraId="1BCACCBF" w14:textId="6CF872F9"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06" w:history="1">
            <w:r w:rsidR="00652D38" w:rsidRPr="00652D38">
              <w:rPr>
                <w:rStyle w:val="Hyperlink"/>
                <w:rFonts w:ascii="Arial" w:hAnsi="Arial" w:cs="Arial"/>
                <w:noProof/>
                <w:sz w:val="24"/>
                <w:szCs w:val="24"/>
                <w:lang w:val="en-GB"/>
              </w:rPr>
              <w:t>AI-Use Acknowledgement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_Toc241167406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iv</w:t>
            </w:r>
            <w:r w:rsidR="00652D38" w:rsidRPr="00652D38">
              <w:rPr>
                <w:rFonts w:ascii="Arial" w:hAnsi="Arial" w:cs="Arial"/>
                <w:noProof/>
                <w:webHidden/>
                <w:sz w:val="24"/>
                <w:szCs w:val="24"/>
              </w:rPr>
              <w:fldChar w:fldCharType="end"/>
            </w:r>
          </w:hyperlink>
        </w:p>
        <w:p w14:paraId="4E1D717C" w14:textId="2E3C982B"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07" w:history="1">
            <w:r w:rsidR="00652D38" w:rsidRPr="00652D38">
              <w:rPr>
                <w:rStyle w:val="Hyperlink"/>
                <w:rFonts w:ascii="Arial" w:eastAsia="Times New Roman" w:hAnsi="Arial" w:cs="Arial"/>
                <w:noProof/>
                <w:sz w:val="24"/>
                <w:szCs w:val="24"/>
                <w:lang w:val="en-GB" w:eastAsia="en-GB"/>
              </w:rPr>
              <w:t>Chapter 1: Introduction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_Toc241167407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w:t>
            </w:r>
            <w:r w:rsidR="00652D38" w:rsidRPr="00652D38">
              <w:rPr>
                <w:rFonts w:ascii="Arial" w:hAnsi="Arial" w:cs="Arial"/>
                <w:noProof/>
                <w:webHidden/>
                <w:sz w:val="24"/>
                <w:szCs w:val="24"/>
              </w:rPr>
              <w:fldChar w:fldCharType="end"/>
            </w:r>
          </w:hyperlink>
        </w:p>
        <w:p w14:paraId="5A97816E" w14:textId="0FF1F093"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08" w:history="1">
            <w:r w:rsidR="00652D38" w:rsidRPr="00652D38">
              <w:rPr>
                <w:rStyle w:val="Hyperlink"/>
                <w:rFonts w:ascii="Arial" w:eastAsia="Times New Roman" w:hAnsi="Arial" w:cs="Arial"/>
                <w:noProof/>
                <w:sz w:val="24"/>
                <w:szCs w:val="24"/>
                <w:lang w:val="en-GB" w:eastAsia="en-GB"/>
              </w:rPr>
              <w:t>1.1 Background and Context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_Toc241167408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w:t>
            </w:r>
            <w:r w:rsidR="00652D38" w:rsidRPr="00652D38">
              <w:rPr>
                <w:rFonts w:ascii="Arial" w:hAnsi="Arial" w:cs="Arial"/>
                <w:noProof/>
                <w:webHidden/>
                <w:sz w:val="24"/>
                <w:szCs w:val="24"/>
              </w:rPr>
              <w:fldChar w:fldCharType="end"/>
            </w:r>
          </w:hyperlink>
        </w:p>
        <w:p w14:paraId="014D3B92" w14:textId="263F5DCF"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09" w:history="1">
            <w:r w:rsidR="00652D38" w:rsidRPr="00652D38">
              <w:rPr>
                <w:rStyle w:val="Hyperlink"/>
                <w:rFonts w:ascii="Arial" w:eastAsia="Times New Roman" w:hAnsi="Arial" w:cs="Arial"/>
                <w:noProof/>
                <w:sz w:val="24"/>
                <w:szCs w:val="24"/>
                <w:lang w:val="en-GB" w:eastAsia="en-GB"/>
              </w:rPr>
              <w:t>1.2 Problem or Opportunity Statement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_Toc241167409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w:t>
            </w:r>
            <w:r w:rsidR="00652D38" w:rsidRPr="00652D38">
              <w:rPr>
                <w:rFonts w:ascii="Arial" w:hAnsi="Arial" w:cs="Arial"/>
                <w:noProof/>
                <w:webHidden/>
                <w:sz w:val="24"/>
                <w:szCs w:val="24"/>
              </w:rPr>
              <w:fldChar w:fldCharType="end"/>
            </w:r>
          </w:hyperlink>
        </w:p>
        <w:p w14:paraId="0AF30504" w14:textId="3A6C9FFE"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10" w:history="1">
            <w:r w:rsidR="00652D38" w:rsidRPr="00652D38">
              <w:rPr>
                <w:rStyle w:val="Hyperlink"/>
                <w:rFonts w:ascii="Arial" w:eastAsia="Times New Roman" w:hAnsi="Arial" w:cs="Arial"/>
                <w:noProof/>
                <w:sz w:val="24"/>
                <w:szCs w:val="24"/>
                <w:lang w:val="en-GB" w:eastAsia="en-GB"/>
              </w:rPr>
              <w:t>1.3 Initial Observation of Demand</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w:t>
            </w:r>
            <w:r w:rsidR="00652D38" w:rsidRPr="00652D38">
              <w:rPr>
                <w:rFonts w:ascii="Arial" w:hAnsi="Arial" w:cs="Arial"/>
                <w:noProof/>
                <w:webHidden/>
                <w:sz w:val="24"/>
                <w:szCs w:val="24"/>
              </w:rPr>
              <w:fldChar w:fldCharType="end"/>
            </w:r>
          </w:hyperlink>
        </w:p>
        <w:p w14:paraId="28142E0B" w14:textId="52F0AB12"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11" w:history="1">
            <w:r w:rsidR="00652D38" w:rsidRPr="00652D38">
              <w:rPr>
                <w:rStyle w:val="Hyperlink"/>
                <w:rFonts w:ascii="Arial" w:eastAsia="Times New Roman" w:hAnsi="Arial" w:cs="Arial"/>
                <w:noProof/>
                <w:sz w:val="24"/>
                <w:szCs w:val="24"/>
                <w:lang w:val="en-GB" w:eastAsia="en-GB"/>
              </w:rPr>
              <w:t>1.4 Aim, Objectives and Research Questions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w:t>
            </w:r>
            <w:r w:rsidR="00652D38" w:rsidRPr="00652D38">
              <w:rPr>
                <w:rFonts w:ascii="Arial" w:hAnsi="Arial" w:cs="Arial"/>
                <w:noProof/>
                <w:webHidden/>
                <w:sz w:val="24"/>
                <w:szCs w:val="24"/>
              </w:rPr>
              <w:fldChar w:fldCharType="end"/>
            </w:r>
          </w:hyperlink>
        </w:p>
        <w:p w14:paraId="293714D5" w14:textId="718592B0"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12" w:history="1">
            <w:r w:rsidR="00652D38" w:rsidRPr="00652D38">
              <w:rPr>
                <w:rStyle w:val="Hyperlink"/>
                <w:rFonts w:ascii="Arial" w:eastAsia="Times New Roman" w:hAnsi="Arial" w:cs="Arial"/>
                <w:noProof/>
                <w:sz w:val="24"/>
                <w:szCs w:val="24"/>
                <w:lang w:val="en-GB" w:eastAsia="en-GB"/>
              </w:rPr>
              <w:t>Aim</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w:t>
            </w:r>
            <w:r w:rsidR="00652D38" w:rsidRPr="00652D38">
              <w:rPr>
                <w:rFonts w:ascii="Arial" w:hAnsi="Arial" w:cs="Arial"/>
                <w:noProof/>
                <w:webHidden/>
                <w:sz w:val="24"/>
                <w:szCs w:val="24"/>
              </w:rPr>
              <w:fldChar w:fldCharType="end"/>
            </w:r>
          </w:hyperlink>
        </w:p>
        <w:p w14:paraId="4126ED62" w14:textId="264B098C"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13" w:history="1">
            <w:r w:rsidR="00652D38" w:rsidRPr="00652D38">
              <w:rPr>
                <w:rStyle w:val="Hyperlink"/>
                <w:rFonts w:ascii="Arial" w:eastAsia="Times New Roman" w:hAnsi="Arial" w:cs="Arial"/>
                <w:noProof/>
                <w:sz w:val="24"/>
                <w:szCs w:val="24"/>
                <w:lang w:val="en-GB" w:eastAsia="en-GB"/>
              </w:rPr>
              <w:t>Objectives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w:t>
            </w:r>
            <w:r w:rsidR="00652D38" w:rsidRPr="00652D38">
              <w:rPr>
                <w:rFonts w:ascii="Arial" w:hAnsi="Arial" w:cs="Arial"/>
                <w:noProof/>
                <w:webHidden/>
                <w:sz w:val="24"/>
                <w:szCs w:val="24"/>
              </w:rPr>
              <w:fldChar w:fldCharType="end"/>
            </w:r>
          </w:hyperlink>
        </w:p>
        <w:p w14:paraId="0D6D9B10" w14:textId="54DCC589"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14" w:history="1">
            <w:r w:rsidR="00652D38" w:rsidRPr="00652D38">
              <w:rPr>
                <w:rStyle w:val="Hyperlink"/>
                <w:rFonts w:ascii="Arial" w:eastAsia="Times New Roman" w:hAnsi="Arial" w:cs="Arial"/>
                <w:noProof/>
                <w:sz w:val="24"/>
                <w:szCs w:val="24"/>
                <w:lang w:val="en-GB" w:eastAsia="en-GB"/>
              </w:rPr>
              <w:t>Research Questions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w:t>
            </w:r>
            <w:r w:rsidR="00652D38" w:rsidRPr="00652D38">
              <w:rPr>
                <w:rFonts w:ascii="Arial" w:hAnsi="Arial" w:cs="Arial"/>
                <w:noProof/>
                <w:webHidden/>
                <w:sz w:val="24"/>
                <w:szCs w:val="24"/>
              </w:rPr>
              <w:fldChar w:fldCharType="end"/>
            </w:r>
          </w:hyperlink>
        </w:p>
        <w:p w14:paraId="40E27780" w14:textId="30AF1CF0"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15" w:history="1">
            <w:r w:rsidR="00652D38" w:rsidRPr="00652D38">
              <w:rPr>
                <w:rStyle w:val="Hyperlink"/>
                <w:rFonts w:ascii="Arial" w:eastAsia="Times New Roman" w:hAnsi="Arial" w:cs="Arial"/>
                <w:noProof/>
                <w:sz w:val="24"/>
                <w:szCs w:val="24"/>
                <w:lang w:val="en-GB" w:eastAsia="en-GB"/>
              </w:rPr>
              <w:t>1.5 Scope and Boundaries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w:t>
            </w:r>
            <w:r w:rsidR="00652D38" w:rsidRPr="00652D38">
              <w:rPr>
                <w:rFonts w:ascii="Arial" w:hAnsi="Arial" w:cs="Arial"/>
                <w:noProof/>
                <w:webHidden/>
                <w:sz w:val="24"/>
                <w:szCs w:val="24"/>
              </w:rPr>
              <w:fldChar w:fldCharType="end"/>
            </w:r>
          </w:hyperlink>
        </w:p>
        <w:p w14:paraId="4B0F364D" w14:textId="0939CB34"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16" w:history="1">
            <w:r w:rsidR="00652D38" w:rsidRPr="00652D38">
              <w:rPr>
                <w:rStyle w:val="Hyperlink"/>
                <w:rFonts w:ascii="Arial" w:eastAsia="Times New Roman" w:hAnsi="Arial" w:cs="Arial"/>
                <w:noProof/>
                <w:sz w:val="24"/>
                <w:szCs w:val="24"/>
                <w:lang w:val="en-GB" w:eastAsia="en-GB"/>
              </w:rPr>
              <w:t>1.6 Structure of the Report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w:t>
            </w:r>
            <w:r w:rsidR="00652D38" w:rsidRPr="00652D38">
              <w:rPr>
                <w:rFonts w:ascii="Arial" w:hAnsi="Arial" w:cs="Arial"/>
                <w:noProof/>
                <w:webHidden/>
                <w:sz w:val="24"/>
                <w:szCs w:val="24"/>
              </w:rPr>
              <w:fldChar w:fldCharType="end"/>
            </w:r>
          </w:hyperlink>
        </w:p>
        <w:p w14:paraId="21A308C8" w14:textId="5CE330D8"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17" w:history="1">
            <w:r w:rsidR="00652D38" w:rsidRPr="00652D38">
              <w:rPr>
                <w:rStyle w:val="Hyperlink"/>
                <w:rFonts w:ascii="Arial" w:eastAsia="Times New Roman" w:hAnsi="Arial" w:cs="Arial"/>
                <w:noProof/>
                <w:sz w:val="24"/>
                <w:szCs w:val="24"/>
                <w:lang w:val="en-GB" w:eastAsia="en-GB"/>
              </w:rPr>
              <w:t>Chapter 2: Company Description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w:t>
            </w:r>
            <w:r w:rsidR="00652D38" w:rsidRPr="00652D38">
              <w:rPr>
                <w:rFonts w:ascii="Arial" w:hAnsi="Arial" w:cs="Arial"/>
                <w:noProof/>
                <w:webHidden/>
                <w:sz w:val="24"/>
                <w:szCs w:val="24"/>
              </w:rPr>
              <w:fldChar w:fldCharType="end"/>
            </w:r>
          </w:hyperlink>
        </w:p>
        <w:p w14:paraId="0694AE36" w14:textId="29E3C4B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18" w:history="1">
            <w:r w:rsidR="00652D38" w:rsidRPr="00652D38">
              <w:rPr>
                <w:rStyle w:val="Hyperlink"/>
                <w:rFonts w:ascii="Arial" w:eastAsia="Times New Roman" w:hAnsi="Arial" w:cs="Arial"/>
                <w:noProof/>
                <w:sz w:val="24"/>
                <w:szCs w:val="24"/>
                <w:lang w:val="en-GB" w:eastAsia="en-GB"/>
              </w:rPr>
              <w:t>2.1 Business Identity and Legal Structure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w:t>
            </w:r>
            <w:r w:rsidR="00652D38" w:rsidRPr="00652D38">
              <w:rPr>
                <w:rFonts w:ascii="Arial" w:hAnsi="Arial" w:cs="Arial"/>
                <w:noProof/>
                <w:webHidden/>
                <w:sz w:val="24"/>
                <w:szCs w:val="24"/>
              </w:rPr>
              <w:fldChar w:fldCharType="end"/>
            </w:r>
          </w:hyperlink>
        </w:p>
        <w:p w14:paraId="10EC0105" w14:textId="6B02BE4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19" w:history="1">
            <w:r w:rsidR="00652D38" w:rsidRPr="00652D38">
              <w:rPr>
                <w:rStyle w:val="Hyperlink"/>
                <w:rFonts w:ascii="Arial" w:eastAsia="Times New Roman" w:hAnsi="Arial" w:cs="Arial"/>
                <w:noProof/>
                <w:sz w:val="24"/>
                <w:szCs w:val="24"/>
                <w:lang w:val="en-GB" w:eastAsia="en-GB"/>
              </w:rPr>
              <w:t>2.2 Product or Service and the Problem Solved</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_Toc241167419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w:t>
            </w:r>
            <w:r w:rsidR="00652D38" w:rsidRPr="00652D38">
              <w:rPr>
                <w:rFonts w:ascii="Arial" w:hAnsi="Arial" w:cs="Arial"/>
                <w:noProof/>
                <w:webHidden/>
                <w:sz w:val="24"/>
                <w:szCs w:val="24"/>
              </w:rPr>
              <w:fldChar w:fldCharType="end"/>
            </w:r>
          </w:hyperlink>
        </w:p>
        <w:p w14:paraId="48EFE785" w14:textId="1F618D00"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20" w:history="1">
            <w:r w:rsidR="00652D38" w:rsidRPr="00652D38">
              <w:rPr>
                <w:rStyle w:val="Hyperlink"/>
                <w:rFonts w:ascii="Arial" w:eastAsia="Times New Roman" w:hAnsi="Arial" w:cs="Arial"/>
                <w:noProof/>
                <w:sz w:val="24"/>
                <w:szCs w:val="24"/>
                <w:lang w:val="en-GB" w:eastAsia="en-GB"/>
              </w:rPr>
              <w:t>2.3 Founding Idea and Brief History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w:t>
            </w:r>
            <w:r w:rsidR="00652D38" w:rsidRPr="00652D38">
              <w:rPr>
                <w:rFonts w:ascii="Arial" w:hAnsi="Arial" w:cs="Arial"/>
                <w:noProof/>
                <w:webHidden/>
                <w:sz w:val="24"/>
                <w:szCs w:val="24"/>
              </w:rPr>
              <w:fldChar w:fldCharType="end"/>
            </w:r>
          </w:hyperlink>
        </w:p>
        <w:p w14:paraId="3691B6D4" w14:textId="399799F0"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21" w:history="1">
            <w:r w:rsidR="00652D38" w:rsidRPr="00652D38">
              <w:rPr>
                <w:rStyle w:val="Hyperlink"/>
                <w:rFonts w:ascii="Arial" w:eastAsia="Times New Roman" w:hAnsi="Arial" w:cs="Arial"/>
                <w:noProof/>
                <w:sz w:val="24"/>
                <w:szCs w:val="24"/>
                <w:lang w:val="en-GB" w:eastAsia="en-GB"/>
              </w:rPr>
              <w:t>2.4 Mission, Vision and Values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w:t>
            </w:r>
            <w:r w:rsidR="00652D38" w:rsidRPr="00652D38">
              <w:rPr>
                <w:rFonts w:ascii="Arial" w:hAnsi="Arial" w:cs="Arial"/>
                <w:noProof/>
                <w:webHidden/>
                <w:sz w:val="24"/>
                <w:szCs w:val="24"/>
              </w:rPr>
              <w:fldChar w:fldCharType="end"/>
            </w:r>
          </w:hyperlink>
        </w:p>
        <w:p w14:paraId="0F1FB0DF" w14:textId="10B9319C"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22" w:history="1">
            <w:r w:rsidR="00652D38" w:rsidRPr="00652D38">
              <w:rPr>
                <w:rStyle w:val="Hyperlink"/>
                <w:rFonts w:ascii="Arial" w:eastAsia="Times New Roman" w:hAnsi="Arial" w:cs="Arial"/>
                <w:noProof/>
                <w:sz w:val="24"/>
                <w:szCs w:val="24"/>
                <w:lang w:val="en-GB" w:eastAsia="en-GB"/>
              </w:rPr>
              <w:t>Mission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w:t>
            </w:r>
            <w:r w:rsidR="00652D38" w:rsidRPr="00652D38">
              <w:rPr>
                <w:rFonts w:ascii="Arial" w:hAnsi="Arial" w:cs="Arial"/>
                <w:noProof/>
                <w:webHidden/>
                <w:sz w:val="24"/>
                <w:szCs w:val="24"/>
              </w:rPr>
              <w:fldChar w:fldCharType="end"/>
            </w:r>
          </w:hyperlink>
        </w:p>
        <w:p w14:paraId="4DD103EC" w14:textId="1A4B1BD8"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23" w:history="1">
            <w:r w:rsidR="00652D38" w:rsidRPr="00652D38">
              <w:rPr>
                <w:rStyle w:val="Hyperlink"/>
                <w:rFonts w:ascii="Arial" w:eastAsia="Times New Roman" w:hAnsi="Arial" w:cs="Arial"/>
                <w:noProof/>
                <w:sz w:val="24"/>
                <w:szCs w:val="24"/>
                <w:lang w:val="en-GB" w:eastAsia="en-GB"/>
              </w:rPr>
              <w:t>Vision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w:t>
            </w:r>
            <w:r w:rsidR="00652D38" w:rsidRPr="00652D38">
              <w:rPr>
                <w:rFonts w:ascii="Arial" w:hAnsi="Arial" w:cs="Arial"/>
                <w:noProof/>
                <w:webHidden/>
                <w:sz w:val="24"/>
                <w:szCs w:val="24"/>
              </w:rPr>
              <w:fldChar w:fldCharType="end"/>
            </w:r>
          </w:hyperlink>
        </w:p>
        <w:p w14:paraId="66905551" w14:textId="732C9278" w:rsidR="00652D38" w:rsidRPr="00652D38" w:rsidRDefault="00804066" w:rsidP="00652D38">
          <w:pPr>
            <w:pStyle w:val="TOC2"/>
            <w:tabs>
              <w:tab w:val="left" w:pos="880"/>
              <w:tab w:val="right" w:leader="dot" w:pos="9016"/>
            </w:tabs>
            <w:spacing w:line="360" w:lineRule="auto"/>
            <w:jc w:val="both"/>
            <w:rPr>
              <w:rFonts w:ascii="Arial" w:eastAsiaTheme="minorEastAsia" w:hAnsi="Arial" w:cs="Arial"/>
              <w:noProof/>
              <w:sz w:val="24"/>
              <w:szCs w:val="24"/>
              <w:lang w:val="en-GB" w:eastAsia="en-GB"/>
            </w:rPr>
          </w:pPr>
          <w:hyperlink w:anchor="_Toc241167424" w:history="1">
            <w:r w:rsidR="00652D38" w:rsidRPr="00652D38">
              <w:rPr>
                <w:rStyle w:val="Hyperlink"/>
                <w:rFonts w:ascii="Arial" w:eastAsia="Times New Roman" w:hAnsi="Arial" w:cs="Arial"/>
                <w:noProof/>
                <w:sz w:val="24"/>
                <w:szCs w:val="24"/>
                <w:lang w:val="en-GB" w:eastAsia="en-GB"/>
              </w:rPr>
              <w:t>2.5</w:t>
            </w:r>
            <w:r w:rsidR="00652D38" w:rsidRPr="00652D38">
              <w:rPr>
                <w:rFonts w:ascii="Arial" w:eastAsiaTheme="minorEastAsia" w:hAnsi="Arial" w:cs="Arial"/>
                <w:noProof/>
                <w:sz w:val="24"/>
                <w:szCs w:val="24"/>
                <w:lang w:val="en-GB" w:eastAsia="en-GB"/>
              </w:rPr>
              <w:tab/>
            </w:r>
            <w:r w:rsidR="00652D38" w:rsidRPr="00652D38">
              <w:rPr>
                <w:rStyle w:val="Hyperlink"/>
                <w:rFonts w:ascii="Arial" w:eastAsia="Times New Roman" w:hAnsi="Arial" w:cs="Arial"/>
                <w:noProof/>
                <w:sz w:val="24"/>
                <w:szCs w:val="24"/>
                <w:lang w:val="en-GB" w:eastAsia="en-GB"/>
              </w:rPr>
              <w:t>Business Objectives and Goals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w:t>
            </w:r>
            <w:r w:rsidR="00652D38" w:rsidRPr="00652D38">
              <w:rPr>
                <w:rFonts w:ascii="Arial" w:hAnsi="Arial" w:cs="Arial"/>
                <w:noProof/>
                <w:webHidden/>
                <w:sz w:val="24"/>
                <w:szCs w:val="24"/>
              </w:rPr>
              <w:fldChar w:fldCharType="end"/>
            </w:r>
          </w:hyperlink>
        </w:p>
        <w:p w14:paraId="4A25E36F" w14:textId="6B99A88A"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25" w:history="1">
            <w:r w:rsidR="00652D38" w:rsidRPr="00652D38">
              <w:rPr>
                <w:rStyle w:val="Hyperlink"/>
                <w:rFonts w:ascii="Arial" w:eastAsia="Times New Roman" w:hAnsi="Arial" w:cs="Arial"/>
                <w:noProof/>
                <w:sz w:val="24"/>
                <w:szCs w:val="24"/>
                <w:lang w:val="en-GB" w:eastAsia="en-GB"/>
              </w:rPr>
              <w:t>2.6 Alignment with Trends and Opportunity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w:t>
            </w:r>
            <w:r w:rsidR="00652D38" w:rsidRPr="00652D38">
              <w:rPr>
                <w:rFonts w:ascii="Arial" w:hAnsi="Arial" w:cs="Arial"/>
                <w:noProof/>
                <w:webHidden/>
                <w:sz w:val="24"/>
                <w:szCs w:val="24"/>
              </w:rPr>
              <w:fldChar w:fldCharType="end"/>
            </w:r>
          </w:hyperlink>
        </w:p>
        <w:p w14:paraId="2A92FF74" w14:textId="37A4945A"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26" w:history="1">
            <w:r w:rsidR="00652D38" w:rsidRPr="00652D38">
              <w:rPr>
                <w:rStyle w:val="Hyperlink"/>
                <w:rFonts w:ascii="Arial" w:eastAsia="Times New Roman" w:hAnsi="Arial" w:cs="Arial"/>
                <w:noProof/>
                <w:sz w:val="24"/>
                <w:szCs w:val="24"/>
                <w:lang w:val="en-GB" w:eastAsia="en-GB"/>
              </w:rPr>
              <w:t>Chapter 3: Literature Review</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7</w:t>
            </w:r>
            <w:r w:rsidR="00652D38" w:rsidRPr="00652D38">
              <w:rPr>
                <w:rFonts w:ascii="Arial" w:hAnsi="Arial" w:cs="Arial"/>
                <w:noProof/>
                <w:webHidden/>
                <w:sz w:val="24"/>
                <w:szCs w:val="24"/>
              </w:rPr>
              <w:fldChar w:fldCharType="end"/>
            </w:r>
          </w:hyperlink>
        </w:p>
        <w:p w14:paraId="645ECEB8" w14:textId="496ACC23"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27" w:history="1">
            <w:r w:rsidR="00652D38" w:rsidRPr="00652D38">
              <w:rPr>
                <w:rStyle w:val="Hyperlink"/>
                <w:rFonts w:ascii="Arial" w:eastAsia="Times New Roman" w:hAnsi="Arial" w:cs="Arial"/>
                <w:noProof/>
                <w:sz w:val="24"/>
                <w:szCs w:val="24"/>
                <w:lang w:val="en-GB" w:eastAsia="en-GB"/>
              </w:rPr>
              <w:t>3.1 Introduction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7</w:t>
            </w:r>
            <w:r w:rsidR="00652D38" w:rsidRPr="00652D38">
              <w:rPr>
                <w:rFonts w:ascii="Arial" w:hAnsi="Arial" w:cs="Arial"/>
                <w:noProof/>
                <w:webHidden/>
                <w:sz w:val="24"/>
                <w:szCs w:val="24"/>
              </w:rPr>
              <w:fldChar w:fldCharType="end"/>
            </w:r>
          </w:hyperlink>
        </w:p>
        <w:p w14:paraId="242D50EC" w14:textId="71F9449D"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28" w:history="1">
            <w:r w:rsidR="00652D38" w:rsidRPr="00652D38">
              <w:rPr>
                <w:rStyle w:val="Hyperlink"/>
                <w:rFonts w:ascii="Arial" w:eastAsia="Times New Roman" w:hAnsi="Arial" w:cs="Arial"/>
                <w:noProof/>
                <w:sz w:val="24"/>
                <w:szCs w:val="24"/>
                <w:lang w:val="en-GB" w:eastAsia="en-GB"/>
              </w:rPr>
              <w:t>3.2 Specialty Coffee, Consumer Value and Ethical Consumption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7</w:t>
            </w:r>
            <w:r w:rsidR="00652D38" w:rsidRPr="00652D38">
              <w:rPr>
                <w:rFonts w:ascii="Arial" w:hAnsi="Arial" w:cs="Arial"/>
                <w:noProof/>
                <w:webHidden/>
                <w:sz w:val="24"/>
                <w:szCs w:val="24"/>
              </w:rPr>
              <w:fldChar w:fldCharType="end"/>
            </w:r>
          </w:hyperlink>
        </w:p>
        <w:p w14:paraId="79862CAC" w14:textId="693B12F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29" w:history="1">
            <w:r w:rsidR="00652D38" w:rsidRPr="00652D38">
              <w:rPr>
                <w:rStyle w:val="Hyperlink"/>
                <w:rFonts w:ascii="Arial" w:eastAsia="Times New Roman" w:hAnsi="Arial" w:cs="Arial"/>
                <w:noProof/>
                <w:sz w:val="24"/>
                <w:szCs w:val="24"/>
                <w:lang w:val="en-GB" w:eastAsia="en-GB"/>
              </w:rPr>
              <w:t>3.3 Ethical Sourcing and Sustainable Supply-Chain Management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_Toc241167429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7</w:t>
            </w:r>
            <w:r w:rsidR="00652D38" w:rsidRPr="00652D38">
              <w:rPr>
                <w:rFonts w:ascii="Arial" w:hAnsi="Arial" w:cs="Arial"/>
                <w:noProof/>
                <w:webHidden/>
                <w:sz w:val="24"/>
                <w:szCs w:val="24"/>
              </w:rPr>
              <w:fldChar w:fldCharType="end"/>
            </w:r>
          </w:hyperlink>
        </w:p>
        <w:p w14:paraId="2B6CB281" w14:textId="3F06FAEE"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0" w:history="1">
            <w:r w:rsidR="00652D38" w:rsidRPr="00652D38">
              <w:rPr>
                <w:rStyle w:val="Hyperlink"/>
                <w:rFonts w:ascii="Arial" w:eastAsia="Times New Roman" w:hAnsi="Arial" w:cs="Arial"/>
                <w:noProof/>
                <w:sz w:val="24"/>
                <w:szCs w:val="24"/>
                <w:lang w:val="en-GB" w:eastAsia="en-GB"/>
              </w:rPr>
              <w:t>3.4 Competitive Advantage: Porter and RBV/VRIO</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8</w:t>
            </w:r>
            <w:r w:rsidR="00652D38" w:rsidRPr="00652D38">
              <w:rPr>
                <w:rFonts w:ascii="Arial" w:hAnsi="Arial" w:cs="Arial"/>
                <w:noProof/>
                <w:webHidden/>
                <w:sz w:val="24"/>
                <w:szCs w:val="24"/>
              </w:rPr>
              <w:fldChar w:fldCharType="end"/>
            </w:r>
          </w:hyperlink>
        </w:p>
        <w:p w14:paraId="0408C79F" w14:textId="7BD56739"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1" w:history="1">
            <w:r w:rsidR="00652D38" w:rsidRPr="00652D38">
              <w:rPr>
                <w:rStyle w:val="Hyperlink"/>
                <w:rFonts w:ascii="Arial" w:eastAsia="Times New Roman" w:hAnsi="Arial" w:cs="Arial"/>
                <w:noProof/>
                <w:sz w:val="24"/>
                <w:szCs w:val="24"/>
                <w:lang w:val="en-GB" w:eastAsia="en-GB"/>
              </w:rPr>
              <w:t>3.5 External and Industry Environment: PESTLE and Five Forces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8</w:t>
            </w:r>
            <w:r w:rsidR="00652D38" w:rsidRPr="00652D38">
              <w:rPr>
                <w:rFonts w:ascii="Arial" w:hAnsi="Arial" w:cs="Arial"/>
                <w:noProof/>
                <w:webHidden/>
                <w:sz w:val="24"/>
                <w:szCs w:val="24"/>
              </w:rPr>
              <w:fldChar w:fldCharType="end"/>
            </w:r>
          </w:hyperlink>
        </w:p>
        <w:p w14:paraId="5FDEE08C" w14:textId="4654DB0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2" w:history="1">
            <w:r w:rsidR="00652D38" w:rsidRPr="00652D38">
              <w:rPr>
                <w:rStyle w:val="Hyperlink"/>
                <w:rFonts w:ascii="Arial" w:eastAsia="Times New Roman" w:hAnsi="Arial" w:cs="Arial"/>
                <w:noProof/>
                <w:sz w:val="24"/>
                <w:szCs w:val="24"/>
                <w:lang w:val="en-GB" w:eastAsia="en-GB"/>
              </w:rPr>
              <w:t>3.6 Value Creation and Sustainability: Value Chain and TBL</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9</w:t>
            </w:r>
            <w:r w:rsidR="00652D38" w:rsidRPr="00652D38">
              <w:rPr>
                <w:rFonts w:ascii="Arial" w:hAnsi="Arial" w:cs="Arial"/>
                <w:noProof/>
                <w:webHidden/>
                <w:sz w:val="24"/>
                <w:szCs w:val="24"/>
              </w:rPr>
              <w:fldChar w:fldCharType="end"/>
            </w:r>
          </w:hyperlink>
        </w:p>
        <w:p w14:paraId="04594722" w14:textId="15C8DF53"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3" w:history="1">
            <w:r w:rsidR="00652D38" w:rsidRPr="00652D38">
              <w:rPr>
                <w:rStyle w:val="Hyperlink"/>
                <w:rFonts w:ascii="Arial" w:eastAsia="Times New Roman" w:hAnsi="Arial" w:cs="Arial"/>
                <w:noProof/>
                <w:sz w:val="24"/>
                <w:szCs w:val="24"/>
                <w:lang w:val="en-GB" w:eastAsia="en-GB"/>
              </w:rPr>
              <w:t>3.7 Customer and Business Model Tools: VPC and BMC</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9</w:t>
            </w:r>
            <w:r w:rsidR="00652D38" w:rsidRPr="00652D38">
              <w:rPr>
                <w:rFonts w:ascii="Arial" w:hAnsi="Arial" w:cs="Arial"/>
                <w:noProof/>
                <w:webHidden/>
                <w:sz w:val="24"/>
                <w:szCs w:val="24"/>
              </w:rPr>
              <w:fldChar w:fldCharType="end"/>
            </w:r>
          </w:hyperlink>
        </w:p>
        <w:p w14:paraId="700AA8E2" w14:textId="7412E946"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4" w:history="1">
            <w:r w:rsidR="00652D38" w:rsidRPr="00652D38">
              <w:rPr>
                <w:rStyle w:val="Hyperlink"/>
                <w:rFonts w:ascii="Arial" w:eastAsia="Times New Roman" w:hAnsi="Arial" w:cs="Arial"/>
                <w:noProof/>
                <w:sz w:val="24"/>
                <w:szCs w:val="24"/>
                <w:lang w:val="en-GB" w:eastAsia="en-GB"/>
              </w:rPr>
              <w:t>3.8 Integrated Framework and Research Gap</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9</w:t>
            </w:r>
            <w:r w:rsidR="00652D38" w:rsidRPr="00652D38">
              <w:rPr>
                <w:rFonts w:ascii="Arial" w:hAnsi="Arial" w:cs="Arial"/>
                <w:noProof/>
                <w:webHidden/>
                <w:sz w:val="24"/>
                <w:szCs w:val="24"/>
              </w:rPr>
              <w:fldChar w:fldCharType="end"/>
            </w:r>
          </w:hyperlink>
        </w:p>
        <w:p w14:paraId="63FDD585" w14:textId="0DB561D2"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35" w:history="1">
            <w:r w:rsidR="00652D38" w:rsidRPr="00652D38">
              <w:rPr>
                <w:rStyle w:val="Hyperlink"/>
                <w:rFonts w:ascii="Arial" w:eastAsia="Times New Roman" w:hAnsi="Arial" w:cs="Arial"/>
                <w:noProof/>
                <w:sz w:val="24"/>
                <w:szCs w:val="24"/>
                <w:lang w:val="en-GB" w:eastAsia="en-GB"/>
              </w:rPr>
              <w:t>Chapter 4: RESEARCH METHODOLOGY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11</w:t>
            </w:r>
            <w:r w:rsidR="00652D38" w:rsidRPr="00652D38">
              <w:rPr>
                <w:rFonts w:ascii="Arial" w:hAnsi="Arial" w:cs="Arial"/>
                <w:noProof/>
                <w:webHidden/>
                <w:sz w:val="24"/>
                <w:szCs w:val="24"/>
              </w:rPr>
              <w:fldChar w:fldCharType="end"/>
            </w:r>
          </w:hyperlink>
        </w:p>
        <w:p w14:paraId="1BF52D0E" w14:textId="55A2771D"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6" w:history="1">
            <w:r w:rsidR="00652D38" w:rsidRPr="00652D38">
              <w:rPr>
                <w:rStyle w:val="Hyperlink"/>
                <w:rFonts w:ascii="Arial" w:eastAsia="Times New Roman" w:hAnsi="Arial" w:cs="Arial"/>
                <w:noProof/>
                <w:sz w:val="24"/>
                <w:szCs w:val="24"/>
                <w:lang w:val="en-GB" w:eastAsia="en-GB"/>
              </w:rPr>
              <w:t>4.1 Introduction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11</w:t>
            </w:r>
            <w:r w:rsidR="00652D38" w:rsidRPr="00652D38">
              <w:rPr>
                <w:rFonts w:ascii="Arial" w:hAnsi="Arial" w:cs="Arial"/>
                <w:noProof/>
                <w:webHidden/>
                <w:sz w:val="24"/>
                <w:szCs w:val="24"/>
              </w:rPr>
              <w:fldChar w:fldCharType="end"/>
            </w:r>
          </w:hyperlink>
        </w:p>
        <w:p w14:paraId="27CE2E7B" w14:textId="1D8A2A5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7" w:history="1">
            <w:r w:rsidR="00652D38" w:rsidRPr="00652D38">
              <w:rPr>
                <w:rStyle w:val="Hyperlink"/>
                <w:rFonts w:ascii="Arial" w:eastAsia="Times New Roman" w:hAnsi="Arial" w:cs="Arial"/>
                <w:noProof/>
                <w:sz w:val="24"/>
                <w:szCs w:val="24"/>
                <w:lang w:val="en-GB" w:eastAsia="en-GB"/>
              </w:rPr>
              <w:t>4.2 Research Approach and Design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11</w:t>
            </w:r>
            <w:r w:rsidR="00652D38" w:rsidRPr="00652D38">
              <w:rPr>
                <w:rFonts w:ascii="Arial" w:hAnsi="Arial" w:cs="Arial"/>
                <w:noProof/>
                <w:webHidden/>
                <w:sz w:val="24"/>
                <w:szCs w:val="24"/>
              </w:rPr>
              <w:fldChar w:fldCharType="end"/>
            </w:r>
          </w:hyperlink>
        </w:p>
        <w:p w14:paraId="2BD9E799" w14:textId="755B83B4"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8" w:history="1">
            <w:r w:rsidR="00652D38" w:rsidRPr="00652D38">
              <w:rPr>
                <w:rStyle w:val="Hyperlink"/>
                <w:rFonts w:ascii="Arial" w:eastAsia="Times New Roman" w:hAnsi="Arial" w:cs="Arial"/>
                <w:noProof/>
                <w:sz w:val="24"/>
                <w:szCs w:val="24"/>
                <w:lang w:val="en-GB" w:eastAsia="en-GB"/>
              </w:rPr>
              <w:t>4.3 Data Sources and Literature Search Strategy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11</w:t>
            </w:r>
            <w:r w:rsidR="00652D38" w:rsidRPr="00652D38">
              <w:rPr>
                <w:rFonts w:ascii="Arial" w:hAnsi="Arial" w:cs="Arial"/>
                <w:noProof/>
                <w:webHidden/>
                <w:sz w:val="24"/>
                <w:szCs w:val="24"/>
              </w:rPr>
              <w:fldChar w:fldCharType="end"/>
            </w:r>
          </w:hyperlink>
        </w:p>
        <w:p w14:paraId="619693EC" w14:textId="127DD6BB"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39" w:history="1">
            <w:r w:rsidR="00652D38" w:rsidRPr="00652D38">
              <w:rPr>
                <w:rStyle w:val="Hyperlink"/>
                <w:rFonts w:ascii="Arial" w:eastAsia="Times New Roman" w:hAnsi="Arial" w:cs="Arial"/>
                <w:noProof/>
                <w:sz w:val="24"/>
                <w:szCs w:val="24"/>
                <w:lang w:val="en-GB" w:eastAsia="en-GB"/>
              </w:rPr>
              <w:t>4.4 Inclusion and Exclusion Criteria</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_Toc241167439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12</w:t>
            </w:r>
            <w:r w:rsidR="00652D38" w:rsidRPr="00652D38">
              <w:rPr>
                <w:rFonts w:ascii="Arial" w:hAnsi="Arial" w:cs="Arial"/>
                <w:noProof/>
                <w:webHidden/>
                <w:sz w:val="24"/>
                <w:szCs w:val="24"/>
              </w:rPr>
              <w:fldChar w:fldCharType="end"/>
            </w:r>
          </w:hyperlink>
        </w:p>
        <w:p w14:paraId="68B5BF8A" w14:textId="4507FADA"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0" w:history="1">
            <w:r w:rsidR="00652D38" w:rsidRPr="00652D38">
              <w:rPr>
                <w:rStyle w:val="Hyperlink"/>
                <w:rFonts w:ascii="Arial" w:eastAsia="Times New Roman" w:hAnsi="Arial" w:cs="Arial"/>
                <w:noProof/>
                <w:sz w:val="24"/>
                <w:szCs w:val="24"/>
                <w:lang w:val="en-GB" w:eastAsia="en-GB"/>
              </w:rPr>
              <w:t>4.5 Data Analysis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13</w:t>
            </w:r>
            <w:r w:rsidR="00652D38" w:rsidRPr="00652D38">
              <w:rPr>
                <w:rFonts w:ascii="Arial" w:hAnsi="Arial" w:cs="Arial"/>
                <w:noProof/>
                <w:webHidden/>
                <w:sz w:val="24"/>
                <w:szCs w:val="24"/>
              </w:rPr>
              <w:fldChar w:fldCharType="end"/>
            </w:r>
          </w:hyperlink>
        </w:p>
        <w:p w14:paraId="1F82062C" w14:textId="2F8176D4"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1" w:history="1">
            <w:r w:rsidR="00652D38" w:rsidRPr="00652D38">
              <w:rPr>
                <w:rStyle w:val="Hyperlink"/>
                <w:rFonts w:ascii="Arial" w:eastAsia="Times New Roman" w:hAnsi="Arial" w:cs="Arial"/>
                <w:noProof/>
                <w:sz w:val="24"/>
                <w:szCs w:val="24"/>
                <w:lang w:val="en-GB" w:eastAsia="en-GB"/>
              </w:rPr>
              <w:t>4.6 Application of Strategic Frameworks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13</w:t>
            </w:r>
            <w:r w:rsidR="00652D38" w:rsidRPr="00652D38">
              <w:rPr>
                <w:rFonts w:ascii="Arial" w:hAnsi="Arial" w:cs="Arial"/>
                <w:noProof/>
                <w:webHidden/>
                <w:sz w:val="24"/>
                <w:szCs w:val="24"/>
              </w:rPr>
              <w:fldChar w:fldCharType="end"/>
            </w:r>
          </w:hyperlink>
        </w:p>
        <w:p w14:paraId="5A33952F" w14:textId="3B797CDE"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2" w:history="1">
            <w:r w:rsidR="00652D38" w:rsidRPr="00652D38">
              <w:rPr>
                <w:rStyle w:val="Hyperlink"/>
                <w:rFonts w:ascii="Arial" w:eastAsia="Times New Roman" w:hAnsi="Arial" w:cs="Arial"/>
                <w:noProof/>
                <w:sz w:val="24"/>
                <w:szCs w:val="24"/>
                <w:lang w:val="en-GB" w:eastAsia="en-GB"/>
              </w:rPr>
              <w:t>4.7 Reliability, validity and limitations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13</w:t>
            </w:r>
            <w:r w:rsidR="00652D38" w:rsidRPr="00652D38">
              <w:rPr>
                <w:rFonts w:ascii="Arial" w:hAnsi="Arial" w:cs="Arial"/>
                <w:noProof/>
                <w:webHidden/>
                <w:sz w:val="24"/>
                <w:szCs w:val="24"/>
              </w:rPr>
              <w:fldChar w:fldCharType="end"/>
            </w:r>
          </w:hyperlink>
        </w:p>
        <w:p w14:paraId="07EF05B1" w14:textId="6F59FA33"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3" w:history="1">
            <w:r w:rsidR="00652D38" w:rsidRPr="00652D38">
              <w:rPr>
                <w:rStyle w:val="Hyperlink"/>
                <w:rFonts w:ascii="Arial" w:eastAsia="Times New Roman" w:hAnsi="Arial" w:cs="Arial"/>
                <w:noProof/>
                <w:sz w:val="24"/>
                <w:szCs w:val="24"/>
                <w:lang w:val="en-GB" w:eastAsia="en-GB"/>
              </w:rPr>
              <w:t>4.8 Ethical Considerations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14</w:t>
            </w:r>
            <w:r w:rsidR="00652D38" w:rsidRPr="00652D38">
              <w:rPr>
                <w:rFonts w:ascii="Arial" w:hAnsi="Arial" w:cs="Arial"/>
                <w:noProof/>
                <w:webHidden/>
                <w:sz w:val="24"/>
                <w:szCs w:val="24"/>
              </w:rPr>
              <w:fldChar w:fldCharType="end"/>
            </w:r>
          </w:hyperlink>
        </w:p>
        <w:p w14:paraId="77BA1411" w14:textId="6FE66892"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44" w:history="1">
            <w:r w:rsidR="00652D38" w:rsidRPr="00652D38">
              <w:rPr>
                <w:rStyle w:val="Hyperlink"/>
                <w:rFonts w:ascii="Arial" w:eastAsia="Times New Roman" w:hAnsi="Arial" w:cs="Arial"/>
                <w:noProof/>
                <w:sz w:val="24"/>
                <w:szCs w:val="24"/>
                <w:lang w:val="en-GB" w:eastAsia="en-GB"/>
              </w:rPr>
              <w:t>Chapter 5: Market Opportunity Analysis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15</w:t>
            </w:r>
            <w:r w:rsidR="00652D38" w:rsidRPr="00652D38">
              <w:rPr>
                <w:rFonts w:ascii="Arial" w:hAnsi="Arial" w:cs="Arial"/>
                <w:noProof/>
                <w:webHidden/>
                <w:sz w:val="24"/>
                <w:szCs w:val="24"/>
              </w:rPr>
              <w:fldChar w:fldCharType="end"/>
            </w:r>
          </w:hyperlink>
        </w:p>
        <w:p w14:paraId="38A0B5EE" w14:textId="1679FAE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5" w:history="1">
            <w:r w:rsidR="00652D38" w:rsidRPr="00652D38">
              <w:rPr>
                <w:rStyle w:val="Hyperlink"/>
                <w:rFonts w:ascii="Arial" w:hAnsi="Arial" w:cs="Arial"/>
                <w:noProof/>
                <w:sz w:val="24"/>
                <w:szCs w:val="24"/>
                <w:lang w:val="en-GB" w:eastAsia="en-GB"/>
              </w:rPr>
              <w:t>5.1 Introduction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15</w:t>
            </w:r>
            <w:r w:rsidR="00652D38" w:rsidRPr="00652D38">
              <w:rPr>
                <w:rFonts w:ascii="Arial" w:hAnsi="Arial" w:cs="Arial"/>
                <w:noProof/>
                <w:webHidden/>
                <w:sz w:val="24"/>
                <w:szCs w:val="24"/>
              </w:rPr>
              <w:fldChar w:fldCharType="end"/>
            </w:r>
          </w:hyperlink>
        </w:p>
        <w:p w14:paraId="087038B7" w14:textId="6B57930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6" w:history="1">
            <w:r w:rsidR="00652D38" w:rsidRPr="00652D38">
              <w:rPr>
                <w:rStyle w:val="Hyperlink"/>
                <w:rFonts w:ascii="Arial" w:hAnsi="Arial" w:cs="Arial"/>
                <w:noProof/>
                <w:sz w:val="24"/>
                <w:szCs w:val="24"/>
                <w:lang w:val="en-GB" w:eastAsia="en-GB"/>
              </w:rPr>
              <w:t>5.2 UK Coffee Market Context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15</w:t>
            </w:r>
            <w:r w:rsidR="00652D38" w:rsidRPr="00652D38">
              <w:rPr>
                <w:rFonts w:ascii="Arial" w:hAnsi="Arial" w:cs="Arial"/>
                <w:noProof/>
                <w:webHidden/>
                <w:sz w:val="24"/>
                <w:szCs w:val="24"/>
              </w:rPr>
              <w:fldChar w:fldCharType="end"/>
            </w:r>
          </w:hyperlink>
        </w:p>
        <w:p w14:paraId="543C825F" w14:textId="550111D0"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7" w:history="1">
            <w:r w:rsidR="00652D38" w:rsidRPr="00652D38">
              <w:rPr>
                <w:rStyle w:val="Hyperlink"/>
                <w:rFonts w:ascii="Arial" w:hAnsi="Arial" w:cs="Arial"/>
                <w:noProof/>
                <w:sz w:val="24"/>
                <w:szCs w:val="24"/>
                <w:lang w:val="en-GB" w:eastAsia="en-GB"/>
              </w:rPr>
              <w:t>5.3 Local Market Opportunity: Covent Garden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15</w:t>
            </w:r>
            <w:r w:rsidR="00652D38" w:rsidRPr="00652D38">
              <w:rPr>
                <w:rFonts w:ascii="Arial" w:hAnsi="Arial" w:cs="Arial"/>
                <w:noProof/>
                <w:webHidden/>
                <w:sz w:val="24"/>
                <w:szCs w:val="24"/>
              </w:rPr>
              <w:fldChar w:fldCharType="end"/>
            </w:r>
          </w:hyperlink>
        </w:p>
        <w:p w14:paraId="306251B3" w14:textId="7E6E832E"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8" w:history="1">
            <w:r w:rsidR="00652D38" w:rsidRPr="00652D38">
              <w:rPr>
                <w:rStyle w:val="Hyperlink"/>
                <w:rFonts w:ascii="Arial" w:hAnsi="Arial" w:cs="Arial"/>
                <w:noProof/>
                <w:sz w:val="24"/>
                <w:szCs w:val="24"/>
                <w:lang w:val="en-GB" w:eastAsia="en-GB"/>
              </w:rPr>
              <w:t>5.4 Market Segmentation and Targeting</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18</w:t>
            </w:r>
            <w:r w:rsidR="00652D38" w:rsidRPr="00652D38">
              <w:rPr>
                <w:rFonts w:ascii="Arial" w:hAnsi="Arial" w:cs="Arial"/>
                <w:noProof/>
                <w:webHidden/>
                <w:sz w:val="24"/>
                <w:szCs w:val="24"/>
              </w:rPr>
              <w:fldChar w:fldCharType="end"/>
            </w:r>
          </w:hyperlink>
        </w:p>
        <w:p w14:paraId="46E51C0A" w14:textId="0A6836D0"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49" w:history="1">
            <w:r w:rsidR="00652D38" w:rsidRPr="00652D38">
              <w:rPr>
                <w:rStyle w:val="Hyperlink"/>
                <w:rFonts w:ascii="Arial" w:hAnsi="Arial" w:cs="Arial"/>
                <w:noProof/>
                <w:sz w:val="24"/>
                <w:szCs w:val="24"/>
                <w:lang w:val="en-GB" w:eastAsia="en-GB"/>
              </w:rPr>
              <w:t>5.5 Indicative TAM, SAM and SOM</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_Toc241167449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19</w:t>
            </w:r>
            <w:r w:rsidR="00652D38" w:rsidRPr="00652D38">
              <w:rPr>
                <w:rFonts w:ascii="Arial" w:hAnsi="Arial" w:cs="Arial"/>
                <w:noProof/>
                <w:webHidden/>
                <w:sz w:val="24"/>
                <w:szCs w:val="24"/>
              </w:rPr>
              <w:fldChar w:fldCharType="end"/>
            </w:r>
          </w:hyperlink>
        </w:p>
        <w:p w14:paraId="5E718791" w14:textId="31D4821B"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0" w:history="1">
            <w:r w:rsidR="00652D38" w:rsidRPr="00652D38">
              <w:rPr>
                <w:rStyle w:val="Hyperlink"/>
                <w:rFonts w:ascii="Arial" w:hAnsi="Arial" w:cs="Arial"/>
                <w:noProof/>
                <w:sz w:val="24"/>
                <w:szCs w:val="24"/>
                <w:lang w:val="en-GB" w:eastAsia="en-GB"/>
              </w:rPr>
              <w:t>5.6 Customer Needs and Commercial Opportunity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20</w:t>
            </w:r>
            <w:r w:rsidR="00652D38" w:rsidRPr="00652D38">
              <w:rPr>
                <w:rFonts w:ascii="Arial" w:hAnsi="Arial" w:cs="Arial"/>
                <w:noProof/>
                <w:webHidden/>
                <w:sz w:val="24"/>
                <w:szCs w:val="24"/>
              </w:rPr>
              <w:fldChar w:fldCharType="end"/>
            </w:r>
          </w:hyperlink>
        </w:p>
        <w:p w14:paraId="446AC102" w14:textId="00C50F09"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1" w:history="1">
            <w:r w:rsidR="00652D38" w:rsidRPr="00652D38">
              <w:rPr>
                <w:rStyle w:val="Hyperlink"/>
                <w:rFonts w:ascii="Arial" w:hAnsi="Arial" w:cs="Arial"/>
                <w:noProof/>
                <w:sz w:val="24"/>
                <w:szCs w:val="24"/>
                <w:lang w:val="en-GB" w:eastAsia="en-GB"/>
              </w:rPr>
              <w:t>5.7 Market Opportunity Assessment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21</w:t>
            </w:r>
            <w:r w:rsidR="00652D38" w:rsidRPr="00652D38">
              <w:rPr>
                <w:rFonts w:ascii="Arial" w:hAnsi="Arial" w:cs="Arial"/>
                <w:noProof/>
                <w:webHidden/>
                <w:sz w:val="24"/>
                <w:szCs w:val="24"/>
              </w:rPr>
              <w:fldChar w:fldCharType="end"/>
            </w:r>
          </w:hyperlink>
        </w:p>
        <w:p w14:paraId="4E7B42D1" w14:textId="4CBAB534"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52" w:history="1">
            <w:r w:rsidR="00652D38" w:rsidRPr="00652D38">
              <w:rPr>
                <w:rStyle w:val="Hyperlink"/>
                <w:rFonts w:ascii="Arial" w:hAnsi="Arial" w:cs="Arial"/>
                <w:noProof/>
                <w:sz w:val="24"/>
                <w:szCs w:val="24"/>
                <w:lang w:val="en-GB" w:eastAsia="en-GB"/>
              </w:rPr>
              <w:t>Chapter 6: Competitive Environment Analysis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22</w:t>
            </w:r>
            <w:r w:rsidR="00652D38" w:rsidRPr="00652D38">
              <w:rPr>
                <w:rFonts w:ascii="Arial" w:hAnsi="Arial" w:cs="Arial"/>
                <w:noProof/>
                <w:webHidden/>
                <w:sz w:val="24"/>
                <w:szCs w:val="24"/>
              </w:rPr>
              <w:fldChar w:fldCharType="end"/>
            </w:r>
          </w:hyperlink>
        </w:p>
        <w:p w14:paraId="69BF24A3" w14:textId="25EAC99A"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3" w:history="1">
            <w:r w:rsidR="00652D38" w:rsidRPr="00652D38">
              <w:rPr>
                <w:rStyle w:val="Hyperlink"/>
                <w:rFonts w:ascii="Arial" w:hAnsi="Arial" w:cs="Arial"/>
                <w:noProof/>
                <w:sz w:val="24"/>
                <w:szCs w:val="24"/>
                <w:lang w:val="en-GB" w:eastAsia="en-GB"/>
              </w:rPr>
              <w:t>6.1 Introduction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22</w:t>
            </w:r>
            <w:r w:rsidR="00652D38" w:rsidRPr="00652D38">
              <w:rPr>
                <w:rFonts w:ascii="Arial" w:hAnsi="Arial" w:cs="Arial"/>
                <w:noProof/>
                <w:webHidden/>
                <w:sz w:val="24"/>
                <w:szCs w:val="24"/>
              </w:rPr>
              <w:fldChar w:fldCharType="end"/>
            </w:r>
          </w:hyperlink>
        </w:p>
        <w:p w14:paraId="64ED83D0" w14:textId="7380A214"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4" w:history="1">
            <w:r w:rsidR="00652D38" w:rsidRPr="00652D38">
              <w:rPr>
                <w:rStyle w:val="Hyperlink"/>
                <w:rFonts w:ascii="Arial" w:hAnsi="Arial" w:cs="Arial"/>
                <w:noProof/>
                <w:sz w:val="24"/>
                <w:szCs w:val="24"/>
                <w:lang w:val="en-GB" w:eastAsia="en-GB"/>
              </w:rPr>
              <w:t>6.2 Competitor Analysis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22</w:t>
            </w:r>
            <w:r w:rsidR="00652D38" w:rsidRPr="00652D38">
              <w:rPr>
                <w:rFonts w:ascii="Arial" w:hAnsi="Arial" w:cs="Arial"/>
                <w:noProof/>
                <w:webHidden/>
                <w:sz w:val="24"/>
                <w:szCs w:val="24"/>
              </w:rPr>
              <w:fldChar w:fldCharType="end"/>
            </w:r>
          </w:hyperlink>
        </w:p>
        <w:p w14:paraId="06E6B369" w14:textId="19F1F8D1"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5" w:history="1">
            <w:r w:rsidR="00652D38" w:rsidRPr="00652D38">
              <w:rPr>
                <w:rStyle w:val="Hyperlink"/>
                <w:rFonts w:ascii="Arial" w:hAnsi="Arial" w:cs="Arial"/>
                <w:noProof/>
                <w:sz w:val="24"/>
                <w:szCs w:val="24"/>
                <w:lang w:val="en-GB" w:eastAsia="en-GB"/>
              </w:rPr>
              <w:t>6.3 Porter’s Five Force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24</w:t>
            </w:r>
            <w:r w:rsidR="00652D38" w:rsidRPr="00652D38">
              <w:rPr>
                <w:rFonts w:ascii="Arial" w:hAnsi="Arial" w:cs="Arial"/>
                <w:noProof/>
                <w:webHidden/>
                <w:sz w:val="24"/>
                <w:szCs w:val="24"/>
              </w:rPr>
              <w:fldChar w:fldCharType="end"/>
            </w:r>
          </w:hyperlink>
        </w:p>
        <w:p w14:paraId="5B7D6563" w14:textId="0A0F49A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6" w:history="1">
            <w:r w:rsidR="00652D38" w:rsidRPr="00652D38">
              <w:rPr>
                <w:rStyle w:val="Hyperlink"/>
                <w:rFonts w:ascii="Arial" w:hAnsi="Arial" w:cs="Arial"/>
                <w:noProof/>
                <w:sz w:val="24"/>
                <w:szCs w:val="24"/>
                <w:lang w:val="en-GB" w:eastAsia="en-GB"/>
              </w:rPr>
              <w:t>6.4 PESTLE Analysis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26</w:t>
            </w:r>
            <w:r w:rsidR="00652D38" w:rsidRPr="00652D38">
              <w:rPr>
                <w:rFonts w:ascii="Arial" w:hAnsi="Arial" w:cs="Arial"/>
                <w:noProof/>
                <w:webHidden/>
                <w:sz w:val="24"/>
                <w:szCs w:val="24"/>
              </w:rPr>
              <w:fldChar w:fldCharType="end"/>
            </w:r>
          </w:hyperlink>
        </w:p>
        <w:p w14:paraId="74A7612D" w14:textId="13C72871"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7" w:history="1">
            <w:r w:rsidR="00652D38" w:rsidRPr="00652D38">
              <w:rPr>
                <w:rStyle w:val="Hyperlink"/>
                <w:rFonts w:ascii="Arial" w:hAnsi="Arial" w:cs="Arial"/>
                <w:noProof/>
                <w:sz w:val="24"/>
                <w:szCs w:val="24"/>
                <w:lang w:val="en-GB" w:eastAsia="en-GB"/>
              </w:rPr>
              <w:t>6.5 Evidence-Based Positioning Gap</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29</w:t>
            </w:r>
            <w:r w:rsidR="00652D38" w:rsidRPr="00652D38">
              <w:rPr>
                <w:rFonts w:ascii="Arial" w:hAnsi="Arial" w:cs="Arial"/>
                <w:noProof/>
                <w:webHidden/>
                <w:sz w:val="24"/>
                <w:szCs w:val="24"/>
              </w:rPr>
              <w:fldChar w:fldCharType="end"/>
            </w:r>
          </w:hyperlink>
        </w:p>
        <w:p w14:paraId="5447EFDC" w14:textId="0C58973F"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58" w:history="1">
            <w:r w:rsidR="00652D38" w:rsidRPr="00652D38">
              <w:rPr>
                <w:rStyle w:val="Hyperlink"/>
                <w:rFonts w:ascii="Arial" w:hAnsi="Arial" w:cs="Arial"/>
                <w:noProof/>
                <w:sz w:val="24"/>
                <w:szCs w:val="24"/>
                <w:lang w:val="en-GB" w:eastAsia="en-GB"/>
              </w:rPr>
              <w:t>6.6 Chapter Synthesis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29</w:t>
            </w:r>
            <w:r w:rsidR="00652D38" w:rsidRPr="00652D38">
              <w:rPr>
                <w:rFonts w:ascii="Arial" w:hAnsi="Arial" w:cs="Arial"/>
                <w:noProof/>
                <w:webHidden/>
                <w:sz w:val="24"/>
                <w:szCs w:val="24"/>
              </w:rPr>
              <w:fldChar w:fldCharType="end"/>
            </w:r>
          </w:hyperlink>
        </w:p>
        <w:p w14:paraId="66C9B624" w14:textId="175049B8"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59" w:history="1">
            <w:r w:rsidR="00652D38" w:rsidRPr="00652D38">
              <w:rPr>
                <w:rStyle w:val="Hyperlink"/>
                <w:rFonts w:ascii="Arial" w:eastAsia="Times New Roman" w:hAnsi="Arial" w:cs="Arial"/>
                <w:noProof/>
                <w:sz w:val="24"/>
                <w:szCs w:val="24"/>
                <w:lang w:val="en-GB" w:eastAsia="en-GB"/>
              </w:rPr>
              <w:t>Chapter 7: Business Strategy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_Toc241167459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30</w:t>
            </w:r>
            <w:r w:rsidR="00652D38" w:rsidRPr="00652D38">
              <w:rPr>
                <w:rFonts w:ascii="Arial" w:hAnsi="Arial" w:cs="Arial"/>
                <w:noProof/>
                <w:webHidden/>
                <w:sz w:val="24"/>
                <w:szCs w:val="24"/>
              </w:rPr>
              <w:fldChar w:fldCharType="end"/>
            </w:r>
          </w:hyperlink>
        </w:p>
        <w:p w14:paraId="635D8082" w14:textId="6D8CE44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60" w:history="1">
            <w:r w:rsidR="00652D38" w:rsidRPr="00652D38">
              <w:rPr>
                <w:rStyle w:val="Hyperlink"/>
                <w:rFonts w:ascii="Arial" w:eastAsia="Times New Roman" w:hAnsi="Arial" w:cs="Arial"/>
                <w:noProof/>
                <w:sz w:val="24"/>
                <w:szCs w:val="24"/>
                <w:lang w:val="en-GB" w:eastAsia="en-GB"/>
              </w:rPr>
              <w:t>7.1 Strategic Situation and Frameworks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30</w:t>
            </w:r>
            <w:r w:rsidR="00652D38" w:rsidRPr="00652D38">
              <w:rPr>
                <w:rFonts w:ascii="Arial" w:hAnsi="Arial" w:cs="Arial"/>
                <w:noProof/>
                <w:webHidden/>
                <w:sz w:val="24"/>
                <w:szCs w:val="24"/>
              </w:rPr>
              <w:fldChar w:fldCharType="end"/>
            </w:r>
          </w:hyperlink>
        </w:p>
        <w:p w14:paraId="1517D79E" w14:textId="6D6CF4D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61" w:history="1">
            <w:r w:rsidR="00652D38" w:rsidRPr="00652D38">
              <w:rPr>
                <w:rStyle w:val="Hyperlink"/>
                <w:rFonts w:ascii="Arial" w:eastAsia="Times New Roman" w:hAnsi="Arial" w:cs="Arial"/>
                <w:noProof/>
                <w:sz w:val="24"/>
                <w:szCs w:val="24"/>
                <w:lang w:val="en-GB" w:eastAsia="en-GB"/>
              </w:rPr>
              <w:t>7.2 Internal Analysis Using VRIO</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30</w:t>
            </w:r>
            <w:r w:rsidR="00652D38" w:rsidRPr="00652D38">
              <w:rPr>
                <w:rFonts w:ascii="Arial" w:hAnsi="Arial" w:cs="Arial"/>
                <w:noProof/>
                <w:webHidden/>
                <w:sz w:val="24"/>
                <w:szCs w:val="24"/>
              </w:rPr>
              <w:fldChar w:fldCharType="end"/>
            </w:r>
          </w:hyperlink>
        </w:p>
        <w:p w14:paraId="4EB77A73" w14:textId="68479220"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62" w:history="1">
            <w:r w:rsidR="00652D38" w:rsidRPr="00652D38">
              <w:rPr>
                <w:rStyle w:val="Hyperlink"/>
                <w:rFonts w:ascii="Arial" w:eastAsia="Times New Roman" w:hAnsi="Arial" w:cs="Arial"/>
                <w:noProof/>
                <w:sz w:val="24"/>
                <w:szCs w:val="24"/>
                <w:lang w:val="en-GB" w:eastAsia="en-GB"/>
              </w:rPr>
              <w:t>7.3 SWOT and Strategic Issues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32</w:t>
            </w:r>
            <w:r w:rsidR="00652D38" w:rsidRPr="00652D38">
              <w:rPr>
                <w:rFonts w:ascii="Arial" w:hAnsi="Arial" w:cs="Arial"/>
                <w:noProof/>
                <w:webHidden/>
                <w:sz w:val="24"/>
                <w:szCs w:val="24"/>
              </w:rPr>
              <w:fldChar w:fldCharType="end"/>
            </w:r>
          </w:hyperlink>
        </w:p>
        <w:p w14:paraId="6FE17480" w14:textId="4302F903"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63" w:history="1">
            <w:r w:rsidR="00652D38" w:rsidRPr="00652D38">
              <w:rPr>
                <w:rStyle w:val="Hyperlink"/>
                <w:rFonts w:ascii="Arial" w:eastAsia="Times New Roman" w:hAnsi="Arial" w:cs="Arial"/>
                <w:noProof/>
                <w:sz w:val="24"/>
                <w:szCs w:val="24"/>
                <w:lang w:val="en-GB" w:eastAsia="en-GB"/>
              </w:rPr>
              <w:t>7.4 Strategic Alternatives and Choice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33</w:t>
            </w:r>
            <w:r w:rsidR="00652D38" w:rsidRPr="00652D38">
              <w:rPr>
                <w:rFonts w:ascii="Arial" w:hAnsi="Arial" w:cs="Arial"/>
                <w:noProof/>
                <w:webHidden/>
                <w:sz w:val="24"/>
                <w:szCs w:val="24"/>
              </w:rPr>
              <w:fldChar w:fldCharType="end"/>
            </w:r>
          </w:hyperlink>
        </w:p>
        <w:p w14:paraId="373F53D4" w14:textId="3DE44920"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64" w:history="1">
            <w:r w:rsidR="00652D38" w:rsidRPr="00652D38">
              <w:rPr>
                <w:rStyle w:val="Hyperlink"/>
                <w:rFonts w:ascii="Arial" w:eastAsia="Times New Roman" w:hAnsi="Arial" w:cs="Arial"/>
                <w:noProof/>
                <w:sz w:val="24"/>
                <w:szCs w:val="24"/>
                <w:lang w:val="en-GB" w:eastAsia="en-GB"/>
              </w:rPr>
              <w:t>Alternative 1: Premium Specialty Differentiation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33</w:t>
            </w:r>
            <w:r w:rsidR="00652D38" w:rsidRPr="00652D38">
              <w:rPr>
                <w:rFonts w:ascii="Arial" w:hAnsi="Arial" w:cs="Arial"/>
                <w:noProof/>
                <w:webHidden/>
                <w:sz w:val="24"/>
                <w:szCs w:val="24"/>
              </w:rPr>
              <w:fldChar w:fldCharType="end"/>
            </w:r>
          </w:hyperlink>
        </w:p>
        <w:p w14:paraId="137FB347" w14:textId="0301D224"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65" w:history="1">
            <w:r w:rsidR="00652D38" w:rsidRPr="00652D38">
              <w:rPr>
                <w:rStyle w:val="Hyperlink"/>
                <w:rFonts w:ascii="Arial" w:eastAsia="Times New Roman" w:hAnsi="Arial" w:cs="Arial"/>
                <w:noProof/>
                <w:sz w:val="24"/>
                <w:szCs w:val="24"/>
                <w:lang w:val="en-GB" w:eastAsia="en-GB"/>
              </w:rPr>
              <w:t>Alternative 2: Ethical Differentiation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34</w:t>
            </w:r>
            <w:r w:rsidR="00652D38" w:rsidRPr="00652D38">
              <w:rPr>
                <w:rFonts w:ascii="Arial" w:hAnsi="Arial" w:cs="Arial"/>
                <w:noProof/>
                <w:webHidden/>
                <w:sz w:val="24"/>
                <w:szCs w:val="24"/>
              </w:rPr>
              <w:fldChar w:fldCharType="end"/>
            </w:r>
          </w:hyperlink>
        </w:p>
        <w:p w14:paraId="250D544E" w14:textId="08D39B6A"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66" w:history="1">
            <w:r w:rsidR="00652D38" w:rsidRPr="00652D38">
              <w:rPr>
                <w:rStyle w:val="Hyperlink"/>
                <w:rFonts w:ascii="Arial" w:eastAsia="Times New Roman" w:hAnsi="Arial" w:cs="Arial"/>
                <w:noProof/>
                <w:sz w:val="24"/>
                <w:szCs w:val="24"/>
                <w:lang w:val="en-GB" w:eastAsia="en-GB"/>
              </w:rPr>
              <w:t>Alternative 3: Focused Entry Followed by Evidence-Led Expansion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34</w:t>
            </w:r>
            <w:r w:rsidR="00652D38" w:rsidRPr="00652D38">
              <w:rPr>
                <w:rFonts w:ascii="Arial" w:hAnsi="Arial" w:cs="Arial"/>
                <w:noProof/>
                <w:webHidden/>
                <w:sz w:val="24"/>
                <w:szCs w:val="24"/>
              </w:rPr>
              <w:fldChar w:fldCharType="end"/>
            </w:r>
          </w:hyperlink>
        </w:p>
        <w:p w14:paraId="0B67FFF1" w14:textId="21CAC557"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67" w:history="1">
            <w:r w:rsidR="00652D38" w:rsidRPr="00652D38">
              <w:rPr>
                <w:rStyle w:val="Hyperlink"/>
                <w:rFonts w:ascii="Arial" w:eastAsia="Times New Roman" w:hAnsi="Arial" w:cs="Arial"/>
                <w:noProof/>
                <w:sz w:val="24"/>
                <w:szCs w:val="24"/>
                <w:lang w:val="en-GB" w:eastAsia="en-GB"/>
              </w:rPr>
              <w:t>7.5 USP, Value Proposition and Positioning</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35</w:t>
            </w:r>
            <w:r w:rsidR="00652D38" w:rsidRPr="00652D38">
              <w:rPr>
                <w:rFonts w:ascii="Arial" w:hAnsi="Arial" w:cs="Arial"/>
                <w:noProof/>
                <w:webHidden/>
                <w:sz w:val="24"/>
                <w:szCs w:val="24"/>
              </w:rPr>
              <w:fldChar w:fldCharType="end"/>
            </w:r>
          </w:hyperlink>
        </w:p>
        <w:p w14:paraId="2FD27E98" w14:textId="282F2DE6"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68" w:history="1">
            <w:r w:rsidR="00652D38" w:rsidRPr="00652D38">
              <w:rPr>
                <w:rStyle w:val="Hyperlink"/>
                <w:rFonts w:ascii="Arial" w:eastAsia="Times New Roman" w:hAnsi="Arial" w:cs="Arial"/>
                <w:noProof/>
                <w:sz w:val="24"/>
                <w:szCs w:val="24"/>
                <w:lang w:val="en-GB" w:eastAsia="en-GB"/>
              </w:rPr>
              <w:t>7.6 Competitive Advantage and Key Success Factors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36</w:t>
            </w:r>
            <w:r w:rsidR="00652D38" w:rsidRPr="00652D38">
              <w:rPr>
                <w:rFonts w:ascii="Arial" w:hAnsi="Arial" w:cs="Arial"/>
                <w:noProof/>
                <w:webHidden/>
                <w:sz w:val="24"/>
                <w:szCs w:val="24"/>
              </w:rPr>
              <w:fldChar w:fldCharType="end"/>
            </w:r>
          </w:hyperlink>
        </w:p>
        <w:p w14:paraId="394F4FFB" w14:textId="3EE6E28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69" w:history="1">
            <w:r w:rsidR="00652D38" w:rsidRPr="00652D38">
              <w:rPr>
                <w:rStyle w:val="Hyperlink"/>
                <w:rFonts w:ascii="Arial" w:eastAsia="Times New Roman" w:hAnsi="Arial" w:cs="Arial"/>
                <w:noProof/>
                <w:sz w:val="24"/>
                <w:szCs w:val="24"/>
                <w:lang w:val="en-GB" w:eastAsia="en-GB"/>
              </w:rPr>
              <w:t>7.7 Strategic Synthesis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_Toc241167469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38</w:t>
            </w:r>
            <w:r w:rsidR="00652D38" w:rsidRPr="00652D38">
              <w:rPr>
                <w:rFonts w:ascii="Arial" w:hAnsi="Arial" w:cs="Arial"/>
                <w:noProof/>
                <w:webHidden/>
                <w:sz w:val="24"/>
                <w:szCs w:val="24"/>
              </w:rPr>
              <w:fldChar w:fldCharType="end"/>
            </w:r>
          </w:hyperlink>
        </w:p>
        <w:p w14:paraId="32BC23F4" w14:textId="667D1C21"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70" w:history="1">
            <w:r w:rsidR="00652D38" w:rsidRPr="00652D38">
              <w:rPr>
                <w:rStyle w:val="Hyperlink"/>
                <w:rFonts w:ascii="Arial" w:eastAsia="Times New Roman" w:hAnsi="Arial" w:cs="Arial"/>
                <w:noProof/>
                <w:sz w:val="24"/>
                <w:szCs w:val="24"/>
                <w:lang w:val="en-GB" w:eastAsia="en-GB"/>
              </w:rPr>
              <w:t>Chapter 8: Business Model Canvas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39</w:t>
            </w:r>
            <w:r w:rsidR="00652D38" w:rsidRPr="00652D38">
              <w:rPr>
                <w:rFonts w:ascii="Arial" w:hAnsi="Arial" w:cs="Arial"/>
                <w:noProof/>
                <w:webHidden/>
                <w:sz w:val="24"/>
                <w:szCs w:val="24"/>
              </w:rPr>
              <w:fldChar w:fldCharType="end"/>
            </w:r>
          </w:hyperlink>
        </w:p>
        <w:p w14:paraId="76BC2453" w14:textId="1C4777C5"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1" w:history="1">
            <w:r w:rsidR="00652D38" w:rsidRPr="00652D38">
              <w:rPr>
                <w:rStyle w:val="Hyperlink"/>
                <w:rFonts w:ascii="Arial" w:eastAsia="Times New Roman" w:hAnsi="Arial" w:cs="Arial"/>
                <w:noProof/>
                <w:sz w:val="24"/>
                <w:szCs w:val="24"/>
                <w:lang w:val="en-GB" w:eastAsia="en-GB"/>
              </w:rPr>
              <w:t>8.1 Model Overview and Alignment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39</w:t>
            </w:r>
            <w:r w:rsidR="00652D38" w:rsidRPr="00652D38">
              <w:rPr>
                <w:rFonts w:ascii="Arial" w:hAnsi="Arial" w:cs="Arial"/>
                <w:noProof/>
                <w:webHidden/>
                <w:sz w:val="24"/>
                <w:szCs w:val="24"/>
              </w:rPr>
              <w:fldChar w:fldCharType="end"/>
            </w:r>
          </w:hyperlink>
        </w:p>
        <w:p w14:paraId="2ACA7871" w14:textId="098CC2B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2" w:history="1">
            <w:r w:rsidR="00652D38" w:rsidRPr="00652D38">
              <w:rPr>
                <w:rStyle w:val="Hyperlink"/>
                <w:rFonts w:ascii="Arial" w:eastAsia="Times New Roman" w:hAnsi="Arial" w:cs="Arial"/>
                <w:noProof/>
                <w:sz w:val="24"/>
                <w:szCs w:val="24"/>
                <w:lang w:val="en-GB" w:eastAsia="en-GB"/>
              </w:rPr>
              <w:t>8.2 Customer Segments and Value Proposition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39</w:t>
            </w:r>
            <w:r w:rsidR="00652D38" w:rsidRPr="00652D38">
              <w:rPr>
                <w:rFonts w:ascii="Arial" w:hAnsi="Arial" w:cs="Arial"/>
                <w:noProof/>
                <w:webHidden/>
                <w:sz w:val="24"/>
                <w:szCs w:val="24"/>
              </w:rPr>
              <w:fldChar w:fldCharType="end"/>
            </w:r>
          </w:hyperlink>
        </w:p>
        <w:p w14:paraId="347B5D4B" w14:textId="2FFA16DE"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3" w:history="1">
            <w:r w:rsidR="00652D38" w:rsidRPr="00652D38">
              <w:rPr>
                <w:rStyle w:val="Hyperlink"/>
                <w:rFonts w:ascii="Arial" w:eastAsia="Times New Roman" w:hAnsi="Arial" w:cs="Arial"/>
                <w:noProof/>
                <w:sz w:val="24"/>
                <w:szCs w:val="24"/>
                <w:lang w:val="en-GB" w:eastAsia="en-GB"/>
              </w:rPr>
              <w:t>8.3 Channels and Customer Relationships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40</w:t>
            </w:r>
            <w:r w:rsidR="00652D38" w:rsidRPr="00652D38">
              <w:rPr>
                <w:rFonts w:ascii="Arial" w:hAnsi="Arial" w:cs="Arial"/>
                <w:noProof/>
                <w:webHidden/>
                <w:sz w:val="24"/>
                <w:szCs w:val="24"/>
              </w:rPr>
              <w:fldChar w:fldCharType="end"/>
            </w:r>
          </w:hyperlink>
        </w:p>
        <w:p w14:paraId="7BB6E2B4" w14:textId="7ECBD37E"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4" w:history="1">
            <w:r w:rsidR="00652D38" w:rsidRPr="00652D38">
              <w:rPr>
                <w:rStyle w:val="Hyperlink"/>
                <w:rFonts w:ascii="Arial" w:eastAsia="Times New Roman" w:hAnsi="Arial" w:cs="Arial"/>
                <w:noProof/>
                <w:sz w:val="24"/>
                <w:szCs w:val="24"/>
                <w:lang w:val="en-GB" w:eastAsia="en-GB"/>
              </w:rPr>
              <w:t>8.4 Revenue Streams and Cost Structure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40</w:t>
            </w:r>
            <w:r w:rsidR="00652D38" w:rsidRPr="00652D38">
              <w:rPr>
                <w:rFonts w:ascii="Arial" w:hAnsi="Arial" w:cs="Arial"/>
                <w:noProof/>
                <w:webHidden/>
                <w:sz w:val="24"/>
                <w:szCs w:val="24"/>
              </w:rPr>
              <w:fldChar w:fldCharType="end"/>
            </w:r>
          </w:hyperlink>
        </w:p>
        <w:p w14:paraId="32241924" w14:textId="45A41B79"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5" w:history="1">
            <w:r w:rsidR="00652D38" w:rsidRPr="00652D38">
              <w:rPr>
                <w:rStyle w:val="Hyperlink"/>
                <w:rFonts w:ascii="Arial" w:eastAsia="Times New Roman" w:hAnsi="Arial" w:cs="Arial"/>
                <w:noProof/>
                <w:sz w:val="24"/>
                <w:szCs w:val="24"/>
                <w:lang w:val="en-GB" w:eastAsia="en-GB"/>
              </w:rPr>
              <w:t>8.5 Key Resources, Activities and Partnerships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41</w:t>
            </w:r>
            <w:r w:rsidR="00652D38" w:rsidRPr="00652D38">
              <w:rPr>
                <w:rFonts w:ascii="Arial" w:hAnsi="Arial" w:cs="Arial"/>
                <w:noProof/>
                <w:webHidden/>
                <w:sz w:val="24"/>
                <w:szCs w:val="24"/>
              </w:rPr>
              <w:fldChar w:fldCharType="end"/>
            </w:r>
          </w:hyperlink>
        </w:p>
        <w:p w14:paraId="2DE53666" w14:textId="65C727B7"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6" w:history="1">
            <w:r w:rsidR="00652D38" w:rsidRPr="00652D38">
              <w:rPr>
                <w:rStyle w:val="Hyperlink"/>
                <w:rFonts w:ascii="Arial" w:eastAsia="Times New Roman" w:hAnsi="Arial" w:cs="Arial"/>
                <w:noProof/>
                <w:sz w:val="24"/>
                <w:szCs w:val="24"/>
                <w:lang w:val="en-GB" w:eastAsia="en-GB"/>
              </w:rPr>
              <w:t>8.6 Integration, Assumptions and Conclusion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41</w:t>
            </w:r>
            <w:r w:rsidR="00652D38" w:rsidRPr="00652D38">
              <w:rPr>
                <w:rFonts w:ascii="Arial" w:hAnsi="Arial" w:cs="Arial"/>
                <w:noProof/>
                <w:webHidden/>
                <w:sz w:val="24"/>
                <w:szCs w:val="24"/>
              </w:rPr>
              <w:fldChar w:fldCharType="end"/>
            </w:r>
          </w:hyperlink>
        </w:p>
        <w:p w14:paraId="4D64A2FF" w14:textId="14359293"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77" w:history="1">
            <w:r w:rsidR="00652D38" w:rsidRPr="00652D38">
              <w:rPr>
                <w:rStyle w:val="Hyperlink"/>
                <w:rFonts w:ascii="Arial" w:eastAsia="Times New Roman" w:hAnsi="Arial" w:cs="Arial"/>
                <w:noProof/>
                <w:sz w:val="24"/>
                <w:szCs w:val="24"/>
                <w:lang w:val="en-GB" w:eastAsia="en-GB"/>
              </w:rPr>
              <w:t>Chapter 9: Financial, Marketing and Sales, and Human Capital Management Plan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43</w:t>
            </w:r>
            <w:r w:rsidR="00652D38" w:rsidRPr="00652D38">
              <w:rPr>
                <w:rFonts w:ascii="Arial" w:hAnsi="Arial" w:cs="Arial"/>
                <w:noProof/>
                <w:webHidden/>
                <w:sz w:val="24"/>
                <w:szCs w:val="24"/>
              </w:rPr>
              <w:fldChar w:fldCharType="end"/>
            </w:r>
          </w:hyperlink>
        </w:p>
        <w:p w14:paraId="28CDF677" w14:textId="593416F1"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8" w:history="1">
            <w:r w:rsidR="00652D38" w:rsidRPr="00652D38">
              <w:rPr>
                <w:rStyle w:val="Hyperlink"/>
                <w:rFonts w:ascii="Arial" w:eastAsia="Times New Roman" w:hAnsi="Arial" w:cs="Arial"/>
                <w:noProof/>
                <w:sz w:val="24"/>
                <w:szCs w:val="24"/>
                <w:lang w:val="en-GB" w:eastAsia="en-GB"/>
              </w:rPr>
              <w:t>9.1 Integrated Plan Overview</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43</w:t>
            </w:r>
            <w:r w:rsidR="00652D38" w:rsidRPr="00652D38">
              <w:rPr>
                <w:rFonts w:ascii="Arial" w:hAnsi="Arial" w:cs="Arial"/>
                <w:noProof/>
                <w:webHidden/>
                <w:sz w:val="24"/>
                <w:szCs w:val="24"/>
              </w:rPr>
              <w:fldChar w:fldCharType="end"/>
            </w:r>
          </w:hyperlink>
        </w:p>
        <w:p w14:paraId="0075074E" w14:textId="66279347"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79" w:history="1">
            <w:r w:rsidR="00652D38" w:rsidRPr="00652D38">
              <w:rPr>
                <w:rStyle w:val="Hyperlink"/>
                <w:rFonts w:ascii="Arial" w:eastAsia="Times New Roman" w:hAnsi="Arial" w:cs="Arial"/>
                <w:noProof/>
                <w:sz w:val="24"/>
                <w:szCs w:val="24"/>
                <w:lang w:val="en-GB" w:eastAsia="en-GB"/>
              </w:rPr>
              <w:t>9.2 Financial Plan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_Toc241167479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43</w:t>
            </w:r>
            <w:r w:rsidR="00652D38" w:rsidRPr="00652D38">
              <w:rPr>
                <w:rFonts w:ascii="Arial" w:hAnsi="Arial" w:cs="Arial"/>
                <w:noProof/>
                <w:webHidden/>
                <w:sz w:val="24"/>
                <w:szCs w:val="24"/>
              </w:rPr>
              <w:fldChar w:fldCharType="end"/>
            </w:r>
          </w:hyperlink>
        </w:p>
        <w:p w14:paraId="24A5E72C" w14:textId="557ED767"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80" w:history="1">
            <w:r w:rsidR="00652D38" w:rsidRPr="00652D38">
              <w:rPr>
                <w:rStyle w:val="Hyperlink"/>
                <w:rFonts w:ascii="Arial" w:eastAsia="Times New Roman" w:hAnsi="Arial" w:cs="Arial"/>
                <w:noProof/>
                <w:sz w:val="24"/>
                <w:szCs w:val="24"/>
                <w:lang w:val="en-GB" w:eastAsia="en-GB"/>
              </w:rPr>
              <w:t>9.2.1 Economic assumptions and business model</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43</w:t>
            </w:r>
            <w:r w:rsidR="00652D38" w:rsidRPr="00652D38">
              <w:rPr>
                <w:rFonts w:ascii="Arial" w:hAnsi="Arial" w:cs="Arial"/>
                <w:noProof/>
                <w:webHidden/>
                <w:sz w:val="24"/>
                <w:szCs w:val="24"/>
              </w:rPr>
              <w:fldChar w:fldCharType="end"/>
            </w:r>
          </w:hyperlink>
        </w:p>
        <w:p w14:paraId="0BA2406E" w14:textId="2C46FC4D"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81" w:history="1">
            <w:r w:rsidR="00652D38" w:rsidRPr="00652D38">
              <w:rPr>
                <w:rStyle w:val="Hyperlink"/>
                <w:rFonts w:ascii="Arial" w:eastAsia="Times New Roman" w:hAnsi="Arial" w:cs="Arial"/>
                <w:noProof/>
                <w:sz w:val="24"/>
                <w:szCs w:val="24"/>
                <w:lang w:val="en-GB" w:eastAsia="en-GB"/>
              </w:rPr>
              <w:t>9.2.2 Start-up investment and funding</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44</w:t>
            </w:r>
            <w:r w:rsidR="00652D38" w:rsidRPr="00652D38">
              <w:rPr>
                <w:rFonts w:ascii="Arial" w:hAnsi="Arial" w:cs="Arial"/>
                <w:noProof/>
                <w:webHidden/>
                <w:sz w:val="24"/>
                <w:szCs w:val="24"/>
              </w:rPr>
              <w:fldChar w:fldCharType="end"/>
            </w:r>
          </w:hyperlink>
        </w:p>
        <w:p w14:paraId="6A8E78D7" w14:textId="0353E61A"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82" w:history="1">
            <w:r w:rsidR="00652D38" w:rsidRPr="00652D38">
              <w:rPr>
                <w:rStyle w:val="Hyperlink"/>
                <w:rFonts w:ascii="Arial" w:eastAsia="Times New Roman" w:hAnsi="Arial" w:cs="Arial"/>
                <w:noProof/>
                <w:sz w:val="24"/>
                <w:szCs w:val="24"/>
                <w:lang w:val="en-GB" w:eastAsia="en-GB"/>
              </w:rPr>
              <w:t>9.2.3 Operating cost structure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45</w:t>
            </w:r>
            <w:r w:rsidR="00652D38" w:rsidRPr="00652D38">
              <w:rPr>
                <w:rFonts w:ascii="Arial" w:hAnsi="Arial" w:cs="Arial"/>
                <w:noProof/>
                <w:webHidden/>
                <w:sz w:val="24"/>
                <w:szCs w:val="24"/>
              </w:rPr>
              <w:fldChar w:fldCharType="end"/>
            </w:r>
          </w:hyperlink>
        </w:p>
        <w:p w14:paraId="76BEAD20" w14:textId="4F0F24BB"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83" w:history="1">
            <w:r w:rsidR="00652D38" w:rsidRPr="00652D38">
              <w:rPr>
                <w:rStyle w:val="Hyperlink"/>
                <w:rFonts w:ascii="Arial" w:eastAsia="Times New Roman" w:hAnsi="Arial" w:cs="Arial"/>
                <w:noProof/>
                <w:sz w:val="24"/>
                <w:szCs w:val="24"/>
                <w:lang w:val="en-GB" w:eastAsia="en-GB"/>
              </w:rPr>
              <w:t>9.2.4 Revenue and profitability projection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45</w:t>
            </w:r>
            <w:r w:rsidR="00652D38" w:rsidRPr="00652D38">
              <w:rPr>
                <w:rFonts w:ascii="Arial" w:hAnsi="Arial" w:cs="Arial"/>
                <w:noProof/>
                <w:webHidden/>
                <w:sz w:val="24"/>
                <w:szCs w:val="24"/>
              </w:rPr>
              <w:fldChar w:fldCharType="end"/>
            </w:r>
          </w:hyperlink>
        </w:p>
        <w:p w14:paraId="0C04A50E" w14:textId="577C1357"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84" w:history="1">
            <w:r w:rsidR="00652D38" w:rsidRPr="00652D38">
              <w:rPr>
                <w:rStyle w:val="Hyperlink"/>
                <w:rFonts w:ascii="Arial" w:eastAsia="Times New Roman" w:hAnsi="Arial" w:cs="Arial"/>
                <w:noProof/>
                <w:sz w:val="24"/>
                <w:szCs w:val="24"/>
                <w:lang w:val="en-GB" w:eastAsia="en-GB"/>
              </w:rPr>
              <w:t>9.2.5 Break-even and sensitivity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46</w:t>
            </w:r>
            <w:r w:rsidR="00652D38" w:rsidRPr="00652D38">
              <w:rPr>
                <w:rFonts w:ascii="Arial" w:hAnsi="Arial" w:cs="Arial"/>
                <w:noProof/>
                <w:webHidden/>
                <w:sz w:val="24"/>
                <w:szCs w:val="24"/>
              </w:rPr>
              <w:fldChar w:fldCharType="end"/>
            </w:r>
          </w:hyperlink>
        </w:p>
        <w:p w14:paraId="293CCA73" w14:textId="51F87F55"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85" w:history="1">
            <w:r w:rsidR="00652D38" w:rsidRPr="00652D38">
              <w:rPr>
                <w:rStyle w:val="Hyperlink"/>
                <w:rFonts w:ascii="Arial" w:eastAsia="Times New Roman" w:hAnsi="Arial" w:cs="Arial"/>
                <w:noProof/>
                <w:sz w:val="24"/>
                <w:szCs w:val="24"/>
                <w:lang w:val="en-GB" w:eastAsia="en-GB"/>
              </w:rPr>
              <w:t>9.3 Marketing and Sales Plan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47</w:t>
            </w:r>
            <w:r w:rsidR="00652D38" w:rsidRPr="00652D38">
              <w:rPr>
                <w:rFonts w:ascii="Arial" w:hAnsi="Arial" w:cs="Arial"/>
                <w:noProof/>
                <w:webHidden/>
                <w:sz w:val="24"/>
                <w:szCs w:val="24"/>
              </w:rPr>
              <w:fldChar w:fldCharType="end"/>
            </w:r>
          </w:hyperlink>
        </w:p>
        <w:p w14:paraId="1C2F78BE" w14:textId="179C0A13"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86" w:history="1">
            <w:r w:rsidR="00652D38" w:rsidRPr="00652D38">
              <w:rPr>
                <w:rStyle w:val="Hyperlink"/>
                <w:rFonts w:ascii="Arial" w:eastAsia="Times New Roman" w:hAnsi="Arial" w:cs="Arial"/>
                <w:noProof/>
                <w:sz w:val="24"/>
                <w:szCs w:val="24"/>
                <w:lang w:val="en-GB" w:eastAsia="en-GB"/>
              </w:rPr>
              <w:t>9.3.1 Segmentation, targeting and positioning</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47</w:t>
            </w:r>
            <w:r w:rsidR="00652D38" w:rsidRPr="00652D38">
              <w:rPr>
                <w:rFonts w:ascii="Arial" w:hAnsi="Arial" w:cs="Arial"/>
                <w:noProof/>
                <w:webHidden/>
                <w:sz w:val="24"/>
                <w:szCs w:val="24"/>
              </w:rPr>
              <w:fldChar w:fldCharType="end"/>
            </w:r>
          </w:hyperlink>
        </w:p>
        <w:p w14:paraId="6437D821" w14:textId="13EE0995"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87" w:history="1">
            <w:r w:rsidR="00652D38" w:rsidRPr="00652D38">
              <w:rPr>
                <w:rStyle w:val="Hyperlink"/>
                <w:rFonts w:ascii="Arial" w:eastAsia="Times New Roman" w:hAnsi="Arial" w:cs="Arial"/>
                <w:noProof/>
                <w:sz w:val="24"/>
                <w:szCs w:val="24"/>
                <w:lang w:val="en-GB" w:eastAsia="en-GB"/>
              </w:rPr>
              <w:t>9.3.2 Marketing mix: 7Ps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48</w:t>
            </w:r>
            <w:r w:rsidR="00652D38" w:rsidRPr="00652D38">
              <w:rPr>
                <w:rFonts w:ascii="Arial" w:hAnsi="Arial" w:cs="Arial"/>
                <w:noProof/>
                <w:webHidden/>
                <w:sz w:val="24"/>
                <w:szCs w:val="24"/>
              </w:rPr>
              <w:fldChar w:fldCharType="end"/>
            </w:r>
          </w:hyperlink>
        </w:p>
        <w:p w14:paraId="4D6B524A" w14:textId="25931843"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88" w:history="1">
            <w:r w:rsidR="00652D38" w:rsidRPr="00652D38">
              <w:rPr>
                <w:rStyle w:val="Hyperlink"/>
                <w:rFonts w:ascii="Arial" w:eastAsia="Times New Roman" w:hAnsi="Arial" w:cs="Arial"/>
                <w:noProof/>
                <w:sz w:val="24"/>
                <w:szCs w:val="24"/>
                <w:lang w:val="en-GB" w:eastAsia="en-GB"/>
              </w:rPr>
              <w:t>9.3.3 Customer acquisition and sales process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49</w:t>
            </w:r>
            <w:r w:rsidR="00652D38" w:rsidRPr="00652D38">
              <w:rPr>
                <w:rFonts w:ascii="Arial" w:hAnsi="Arial" w:cs="Arial"/>
                <w:noProof/>
                <w:webHidden/>
                <w:sz w:val="24"/>
                <w:szCs w:val="24"/>
              </w:rPr>
              <w:fldChar w:fldCharType="end"/>
            </w:r>
          </w:hyperlink>
        </w:p>
        <w:p w14:paraId="2940B4BB" w14:textId="2813D761"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89" w:history="1">
            <w:r w:rsidR="00652D38" w:rsidRPr="00652D38">
              <w:rPr>
                <w:rStyle w:val="Hyperlink"/>
                <w:rFonts w:ascii="Arial" w:eastAsia="Times New Roman" w:hAnsi="Arial" w:cs="Arial"/>
                <w:noProof/>
                <w:sz w:val="24"/>
                <w:szCs w:val="24"/>
                <w:lang w:val="en-GB" w:eastAsia="en-GB"/>
              </w:rPr>
              <w:t>9.4 Human Capital Management Plan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_Toc241167489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49</w:t>
            </w:r>
            <w:r w:rsidR="00652D38" w:rsidRPr="00652D38">
              <w:rPr>
                <w:rFonts w:ascii="Arial" w:hAnsi="Arial" w:cs="Arial"/>
                <w:noProof/>
                <w:webHidden/>
                <w:sz w:val="24"/>
                <w:szCs w:val="24"/>
              </w:rPr>
              <w:fldChar w:fldCharType="end"/>
            </w:r>
          </w:hyperlink>
        </w:p>
        <w:p w14:paraId="3262273A" w14:textId="4F4D7F7A"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90" w:history="1">
            <w:r w:rsidR="00652D38" w:rsidRPr="00652D38">
              <w:rPr>
                <w:rStyle w:val="Hyperlink"/>
                <w:rFonts w:ascii="Arial" w:eastAsia="Times New Roman" w:hAnsi="Arial" w:cs="Arial"/>
                <w:noProof/>
                <w:sz w:val="24"/>
                <w:szCs w:val="24"/>
                <w:lang w:val="en-GB" w:eastAsia="en-GB"/>
              </w:rPr>
              <w:t>9.4.1 Organisational structure and staffing</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49</w:t>
            </w:r>
            <w:r w:rsidR="00652D38" w:rsidRPr="00652D38">
              <w:rPr>
                <w:rFonts w:ascii="Arial" w:hAnsi="Arial" w:cs="Arial"/>
                <w:noProof/>
                <w:webHidden/>
                <w:sz w:val="24"/>
                <w:szCs w:val="24"/>
              </w:rPr>
              <w:fldChar w:fldCharType="end"/>
            </w:r>
          </w:hyperlink>
        </w:p>
        <w:p w14:paraId="7A87A5DF" w14:textId="5A8E86A2"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91" w:history="1">
            <w:r w:rsidR="00652D38" w:rsidRPr="00652D38">
              <w:rPr>
                <w:rStyle w:val="Hyperlink"/>
                <w:rFonts w:ascii="Arial" w:eastAsia="Times New Roman" w:hAnsi="Arial" w:cs="Arial"/>
                <w:noProof/>
                <w:sz w:val="24"/>
                <w:szCs w:val="24"/>
                <w:lang w:val="en-GB" w:eastAsia="en-GB"/>
              </w:rPr>
              <w:t>9.4.2 Recruitment, development and retention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50</w:t>
            </w:r>
            <w:r w:rsidR="00652D38" w:rsidRPr="00652D38">
              <w:rPr>
                <w:rFonts w:ascii="Arial" w:hAnsi="Arial" w:cs="Arial"/>
                <w:noProof/>
                <w:webHidden/>
                <w:sz w:val="24"/>
                <w:szCs w:val="24"/>
              </w:rPr>
              <w:fldChar w:fldCharType="end"/>
            </w:r>
          </w:hyperlink>
        </w:p>
        <w:p w14:paraId="40F358FE" w14:textId="12A35311" w:rsidR="00652D38" w:rsidRPr="00652D38" w:rsidRDefault="00804066" w:rsidP="00652D38">
          <w:pPr>
            <w:pStyle w:val="TOC3"/>
            <w:tabs>
              <w:tab w:val="right" w:leader="dot" w:pos="9016"/>
            </w:tabs>
            <w:spacing w:line="360" w:lineRule="auto"/>
            <w:jc w:val="both"/>
            <w:rPr>
              <w:rFonts w:ascii="Arial" w:eastAsiaTheme="minorEastAsia" w:hAnsi="Arial" w:cs="Arial"/>
              <w:noProof/>
              <w:sz w:val="24"/>
              <w:szCs w:val="24"/>
              <w:lang w:val="en-GB" w:eastAsia="en-GB"/>
            </w:rPr>
          </w:pPr>
          <w:hyperlink w:anchor="_Toc241167492" w:history="1">
            <w:r w:rsidR="00652D38" w:rsidRPr="00652D38">
              <w:rPr>
                <w:rStyle w:val="Hyperlink"/>
                <w:rFonts w:ascii="Arial" w:eastAsia="Times New Roman" w:hAnsi="Arial" w:cs="Arial"/>
                <w:noProof/>
                <w:sz w:val="24"/>
                <w:szCs w:val="24"/>
                <w:lang w:val="en-GB" w:eastAsia="en-GB"/>
              </w:rPr>
              <w:t>9.4.3 Employment and operational compliance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50</w:t>
            </w:r>
            <w:r w:rsidR="00652D38" w:rsidRPr="00652D38">
              <w:rPr>
                <w:rFonts w:ascii="Arial" w:hAnsi="Arial" w:cs="Arial"/>
                <w:noProof/>
                <w:webHidden/>
                <w:sz w:val="24"/>
                <w:szCs w:val="24"/>
              </w:rPr>
              <w:fldChar w:fldCharType="end"/>
            </w:r>
          </w:hyperlink>
        </w:p>
        <w:p w14:paraId="52A9E136" w14:textId="12450CF6"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93" w:history="1">
            <w:r w:rsidR="00652D38" w:rsidRPr="00652D38">
              <w:rPr>
                <w:rStyle w:val="Hyperlink"/>
                <w:rFonts w:ascii="Arial" w:eastAsia="Times New Roman" w:hAnsi="Arial" w:cs="Arial"/>
                <w:noProof/>
                <w:sz w:val="24"/>
                <w:szCs w:val="24"/>
                <w:lang w:val="en-GB" w:eastAsia="en-GB"/>
              </w:rPr>
              <w:t>9.5 Integration, Scalability and Conclusion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50</w:t>
            </w:r>
            <w:r w:rsidR="00652D38" w:rsidRPr="00652D38">
              <w:rPr>
                <w:rFonts w:ascii="Arial" w:hAnsi="Arial" w:cs="Arial"/>
                <w:noProof/>
                <w:webHidden/>
                <w:sz w:val="24"/>
                <w:szCs w:val="24"/>
              </w:rPr>
              <w:fldChar w:fldCharType="end"/>
            </w:r>
          </w:hyperlink>
        </w:p>
        <w:p w14:paraId="5A31C5C2" w14:textId="21CB7959"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494" w:history="1">
            <w:r w:rsidR="00652D38" w:rsidRPr="00652D38">
              <w:rPr>
                <w:rStyle w:val="Hyperlink"/>
                <w:rFonts w:ascii="Arial" w:eastAsia="Times New Roman" w:hAnsi="Arial" w:cs="Arial"/>
                <w:noProof/>
                <w:sz w:val="24"/>
                <w:szCs w:val="24"/>
                <w:lang w:val="en-GB" w:eastAsia="en-GB"/>
              </w:rPr>
              <w:t>Chapter 10: Operations Plan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52</w:t>
            </w:r>
            <w:r w:rsidR="00652D38" w:rsidRPr="00652D38">
              <w:rPr>
                <w:rFonts w:ascii="Arial" w:hAnsi="Arial" w:cs="Arial"/>
                <w:noProof/>
                <w:webHidden/>
                <w:sz w:val="24"/>
                <w:szCs w:val="24"/>
              </w:rPr>
              <w:fldChar w:fldCharType="end"/>
            </w:r>
          </w:hyperlink>
        </w:p>
        <w:p w14:paraId="427C87F5" w14:textId="2CBE7D2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95" w:history="1">
            <w:r w:rsidR="00652D38" w:rsidRPr="00652D38">
              <w:rPr>
                <w:rStyle w:val="Hyperlink"/>
                <w:rFonts w:ascii="Arial" w:eastAsia="Times New Roman" w:hAnsi="Arial" w:cs="Arial"/>
                <w:noProof/>
                <w:sz w:val="24"/>
                <w:szCs w:val="24"/>
                <w:lang w:val="en-GB" w:eastAsia="en-GB"/>
              </w:rPr>
              <w:t>10.1 Operating Model</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52</w:t>
            </w:r>
            <w:r w:rsidR="00652D38" w:rsidRPr="00652D38">
              <w:rPr>
                <w:rFonts w:ascii="Arial" w:hAnsi="Arial" w:cs="Arial"/>
                <w:noProof/>
                <w:webHidden/>
                <w:sz w:val="24"/>
                <w:szCs w:val="24"/>
              </w:rPr>
              <w:fldChar w:fldCharType="end"/>
            </w:r>
          </w:hyperlink>
        </w:p>
        <w:p w14:paraId="3E788BBC" w14:textId="01E17E53"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96" w:history="1">
            <w:r w:rsidR="00652D38" w:rsidRPr="00652D38">
              <w:rPr>
                <w:rStyle w:val="Hyperlink"/>
                <w:rFonts w:ascii="Arial" w:eastAsia="Times New Roman" w:hAnsi="Arial" w:cs="Arial"/>
                <w:noProof/>
                <w:sz w:val="24"/>
                <w:szCs w:val="24"/>
                <w:lang w:val="en-GB" w:eastAsia="en-GB"/>
              </w:rPr>
              <w:t>10.2 Operational Workflow and Capacity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52</w:t>
            </w:r>
            <w:r w:rsidR="00652D38" w:rsidRPr="00652D38">
              <w:rPr>
                <w:rFonts w:ascii="Arial" w:hAnsi="Arial" w:cs="Arial"/>
                <w:noProof/>
                <w:webHidden/>
                <w:sz w:val="24"/>
                <w:szCs w:val="24"/>
              </w:rPr>
              <w:fldChar w:fldCharType="end"/>
            </w:r>
          </w:hyperlink>
        </w:p>
        <w:p w14:paraId="31957AF2" w14:textId="32C36126"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97" w:history="1">
            <w:r w:rsidR="00652D38" w:rsidRPr="00652D38">
              <w:rPr>
                <w:rStyle w:val="Hyperlink"/>
                <w:rFonts w:ascii="Arial" w:eastAsia="Times New Roman" w:hAnsi="Arial" w:cs="Arial"/>
                <w:noProof/>
                <w:sz w:val="24"/>
                <w:szCs w:val="24"/>
                <w:lang w:val="en-GB" w:eastAsia="en-GB"/>
              </w:rPr>
              <w:t>10.3 Location, Facilities, Equipment and Technology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53</w:t>
            </w:r>
            <w:r w:rsidR="00652D38" w:rsidRPr="00652D38">
              <w:rPr>
                <w:rFonts w:ascii="Arial" w:hAnsi="Arial" w:cs="Arial"/>
                <w:noProof/>
                <w:webHidden/>
                <w:sz w:val="24"/>
                <w:szCs w:val="24"/>
              </w:rPr>
              <w:fldChar w:fldCharType="end"/>
            </w:r>
          </w:hyperlink>
        </w:p>
        <w:p w14:paraId="4E9A72F9" w14:textId="1CE9F1E9"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98" w:history="1">
            <w:r w:rsidR="00652D38" w:rsidRPr="00652D38">
              <w:rPr>
                <w:rStyle w:val="Hyperlink"/>
                <w:rFonts w:ascii="Arial" w:eastAsia="Times New Roman" w:hAnsi="Arial" w:cs="Arial"/>
                <w:noProof/>
                <w:sz w:val="24"/>
                <w:szCs w:val="24"/>
                <w:lang w:val="en-GB" w:eastAsia="en-GB"/>
              </w:rPr>
              <w:t>10.4 Supply Chain, Procurement, Inventory and Logistic</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53</w:t>
            </w:r>
            <w:r w:rsidR="00652D38" w:rsidRPr="00652D38">
              <w:rPr>
                <w:rFonts w:ascii="Arial" w:hAnsi="Arial" w:cs="Arial"/>
                <w:noProof/>
                <w:webHidden/>
                <w:sz w:val="24"/>
                <w:szCs w:val="24"/>
              </w:rPr>
              <w:fldChar w:fldCharType="end"/>
            </w:r>
          </w:hyperlink>
        </w:p>
        <w:p w14:paraId="1639AB3A" w14:textId="5BBE2A9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499" w:history="1">
            <w:r w:rsidR="00652D38" w:rsidRPr="00652D38">
              <w:rPr>
                <w:rStyle w:val="Hyperlink"/>
                <w:rFonts w:ascii="Arial" w:eastAsia="Times New Roman" w:hAnsi="Arial" w:cs="Arial"/>
                <w:noProof/>
                <w:sz w:val="24"/>
                <w:szCs w:val="24"/>
                <w:lang w:val="en-GB" w:eastAsia="en-GB"/>
              </w:rPr>
              <w:t>10.5 Quality, Compliance and Operational Controls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_Toc241167499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54</w:t>
            </w:r>
            <w:r w:rsidR="00652D38" w:rsidRPr="00652D38">
              <w:rPr>
                <w:rFonts w:ascii="Arial" w:hAnsi="Arial" w:cs="Arial"/>
                <w:noProof/>
                <w:webHidden/>
                <w:sz w:val="24"/>
                <w:szCs w:val="24"/>
              </w:rPr>
              <w:fldChar w:fldCharType="end"/>
            </w:r>
          </w:hyperlink>
        </w:p>
        <w:p w14:paraId="3D6A91B5" w14:textId="71025E7B"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0" w:history="1">
            <w:r w:rsidR="00652D38" w:rsidRPr="00652D38">
              <w:rPr>
                <w:rStyle w:val="Hyperlink"/>
                <w:rFonts w:ascii="Arial" w:eastAsia="Times New Roman" w:hAnsi="Arial" w:cs="Arial"/>
                <w:noProof/>
                <w:sz w:val="24"/>
                <w:szCs w:val="24"/>
                <w:lang w:val="en-GB" w:eastAsia="en-GB"/>
              </w:rPr>
              <w:t>10.6 Operational Synthesis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54</w:t>
            </w:r>
            <w:r w:rsidR="00652D38" w:rsidRPr="00652D38">
              <w:rPr>
                <w:rFonts w:ascii="Arial" w:hAnsi="Arial" w:cs="Arial"/>
                <w:noProof/>
                <w:webHidden/>
                <w:sz w:val="24"/>
                <w:szCs w:val="24"/>
              </w:rPr>
              <w:fldChar w:fldCharType="end"/>
            </w:r>
          </w:hyperlink>
        </w:p>
        <w:p w14:paraId="3C64AB17" w14:textId="05AC5C11"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501" w:history="1">
            <w:r w:rsidR="00652D38" w:rsidRPr="00652D38">
              <w:rPr>
                <w:rStyle w:val="Hyperlink"/>
                <w:rFonts w:ascii="Arial" w:eastAsia="Times New Roman" w:hAnsi="Arial" w:cs="Arial"/>
                <w:noProof/>
                <w:sz w:val="24"/>
                <w:szCs w:val="24"/>
                <w:lang w:val="en-GB" w:eastAsia="en-GB"/>
              </w:rPr>
              <w:t>Chapter 11: Feasibility Analysis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56</w:t>
            </w:r>
            <w:r w:rsidR="00652D38" w:rsidRPr="00652D38">
              <w:rPr>
                <w:rFonts w:ascii="Arial" w:hAnsi="Arial" w:cs="Arial"/>
                <w:noProof/>
                <w:webHidden/>
                <w:sz w:val="24"/>
                <w:szCs w:val="24"/>
              </w:rPr>
              <w:fldChar w:fldCharType="end"/>
            </w:r>
          </w:hyperlink>
        </w:p>
        <w:p w14:paraId="7D045F21" w14:textId="002A87DD"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2" w:history="1">
            <w:r w:rsidR="00652D38" w:rsidRPr="00652D38">
              <w:rPr>
                <w:rStyle w:val="Hyperlink"/>
                <w:rFonts w:ascii="Arial" w:eastAsia="Times New Roman" w:hAnsi="Arial" w:cs="Arial"/>
                <w:noProof/>
                <w:sz w:val="24"/>
                <w:szCs w:val="24"/>
                <w:lang w:val="en-GB" w:eastAsia="en-GB"/>
              </w:rPr>
              <w:t>11.1 Feasibility Basis and Decision Criteria</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56</w:t>
            </w:r>
            <w:r w:rsidR="00652D38" w:rsidRPr="00652D38">
              <w:rPr>
                <w:rFonts w:ascii="Arial" w:hAnsi="Arial" w:cs="Arial"/>
                <w:noProof/>
                <w:webHidden/>
                <w:sz w:val="24"/>
                <w:szCs w:val="24"/>
              </w:rPr>
              <w:fldChar w:fldCharType="end"/>
            </w:r>
          </w:hyperlink>
        </w:p>
        <w:p w14:paraId="2BC263A9" w14:textId="10A6939D"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3" w:history="1">
            <w:r w:rsidR="00652D38" w:rsidRPr="00652D38">
              <w:rPr>
                <w:rStyle w:val="Hyperlink"/>
                <w:rFonts w:ascii="Arial" w:eastAsia="Times New Roman" w:hAnsi="Arial" w:cs="Arial"/>
                <w:noProof/>
                <w:sz w:val="24"/>
                <w:szCs w:val="24"/>
                <w:lang w:val="en-GB" w:eastAsia="en-GB"/>
              </w:rPr>
              <w:t>11.2 Ethical and Market Feasibility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56</w:t>
            </w:r>
            <w:r w:rsidR="00652D38" w:rsidRPr="00652D38">
              <w:rPr>
                <w:rFonts w:ascii="Arial" w:hAnsi="Arial" w:cs="Arial"/>
                <w:noProof/>
                <w:webHidden/>
                <w:sz w:val="24"/>
                <w:szCs w:val="24"/>
              </w:rPr>
              <w:fldChar w:fldCharType="end"/>
            </w:r>
          </w:hyperlink>
        </w:p>
        <w:p w14:paraId="5B7608CF" w14:textId="43B26AF1"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4" w:history="1">
            <w:r w:rsidR="00652D38" w:rsidRPr="00652D38">
              <w:rPr>
                <w:rStyle w:val="Hyperlink"/>
                <w:rFonts w:ascii="Arial" w:eastAsia="Times New Roman" w:hAnsi="Arial" w:cs="Arial"/>
                <w:noProof/>
                <w:sz w:val="24"/>
                <w:szCs w:val="24"/>
                <w:lang w:val="en-GB" w:eastAsia="en-GB"/>
              </w:rPr>
              <w:t>11.3 Technical and Operational Feasibility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57</w:t>
            </w:r>
            <w:r w:rsidR="00652D38" w:rsidRPr="00652D38">
              <w:rPr>
                <w:rFonts w:ascii="Arial" w:hAnsi="Arial" w:cs="Arial"/>
                <w:noProof/>
                <w:webHidden/>
                <w:sz w:val="24"/>
                <w:szCs w:val="24"/>
              </w:rPr>
              <w:fldChar w:fldCharType="end"/>
            </w:r>
          </w:hyperlink>
        </w:p>
        <w:p w14:paraId="5A3CD2CD" w14:textId="417AB75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5" w:history="1">
            <w:r w:rsidR="00652D38" w:rsidRPr="00652D38">
              <w:rPr>
                <w:rStyle w:val="Hyperlink"/>
                <w:rFonts w:ascii="Arial" w:hAnsi="Arial" w:cs="Arial"/>
                <w:noProof/>
                <w:sz w:val="24"/>
                <w:szCs w:val="24"/>
                <w:lang w:val="en-GB" w:eastAsia="en-GB"/>
              </w:rPr>
              <w:t>11.4 Financial Feasibility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57</w:t>
            </w:r>
            <w:r w:rsidR="00652D38" w:rsidRPr="00652D38">
              <w:rPr>
                <w:rFonts w:ascii="Arial" w:hAnsi="Arial" w:cs="Arial"/>
                <w:noProof/>
                <w:webHidden/>
                <w:sz w:val="24"/>
                <w:szCs w:val="24"/>
              </w:rPr>
              <w:fldChar w:fldCharType="end"/>
            </w:r>
          </w:hyperlink>
        </w:p>
        <w:p w14:paraId="6A6FE800" w14:textId="3042CC4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6" w:history="1">
            <w:r w:rsidR="00652D38" w:rsidRPr="00652D38">
              <w:rPr>
                <w:rStyle w:val="Hyperlink"/>
                <w:rFonts w:ascii="Arial" w:eastAsia="Times New Roman" w:hAnsi="Arial" w:cs="Arial"/>
                <w:noProof/>
                <w:sz w:val="24"/>
                <w:szCs w:val="24"/>
                <w:lang w:val="en-GB" w:eastAsia="en-GB"/>
              </w:rPr>
              <w:t>11.5 Strategic Fit, Risks and Mitigation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58</w:t>
            </w:r>
            <w:r w:rsidR="00652D38" w:rsidRPr="00652D38">
              <w:rPr>
                <w:rFonts w:ascii="Arial" w:hAnsi="Arial" w:cs="Arial"/>
                <w:noProof/>
                <w:webHidden/>
                <w:sz w:val="24"/>
                <w:szCs w:val="24"/>
              </w:rPr>
              <w:fldChar w:fldCharType="end"/>
            </w:r>
          </w:hyperlink>
        </w:p>
        <w:p w14:paraId="6224268F" w14:textId="6215C703"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7" w:history="1">
            <w:r w:rsidR="00652D38" w:rsidRPr="00652D38">
              <w:rPr>
                <w:rStyle w:val="Hyperlink"/>
                <w:rFonts w:ascii="Arial" w:eastAsia="Times New Roman" w:hAnsi="Arial" w:cs="Arial"/>
                <w:noProof/>
                <w:sz w:val="24"/>
                <w:szCs w:val="24"/>
                <w:lang w:val="en-GB" w:eastAsia="en-GB"/>
              </w:rPr>
              <w:t>11.6 Integrated Viability Judgement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58</w:t>
            </w:r>
            <w:r w:rsidR="00652D38" w:rsidRPr="00652D38">
              <w:rPr>
                <w:rFonts w:ascii="Arial" w:hAnsi="Arial" w:cs="Arial"/>
                <w:noProof/>
                <w:webHidden/>
                <w:sz w:val="24"/>
                <w:szCs w:val="24"/>
              </w:rPr>
              <w:fldChar w:fldCharType="end"/>
            </w:r>
          </w:hyperlink>
        </w:p>
        <w:p w14:paraId="1FE81EA2" w14:textId="68A1A779"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508" w:history="1">
            <w:r w:rsidR="00652D38" w:rsidRPr="00652D38">
              <w:rPr>
                <w:rStyle w:val="Hyperlink"/>
                <w:rFonts w:ascii="Arial" w:eastAsia="Times New Roman" w:hAnsi="Arial" w:cs="Arial"/>
                <w:noProof/>
                <w:sz w:val="24"/>
                <w:szCs w:val="24"/>
                <w:lang w:val="en-GB" w:eastAsia="en-GB"/>
              </w:rPr>
              <w:t>Chapter 12: Implementation Plan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59</w:t>
            </w:r>
            <w:r w:rsidR="00652D38" w:rsidRPr="00652D38">
              <w:rPr>
                <w:rFonts w:ascii="Arial" w:hAnsi="Arial" w:cs="Arial"/>
                <w:noProof/>
                <w:webHidden/>
                <w:sz w:val="24"/>
                <w:szCs w:val="24"/>
              </w:rPr>
              <w:fldChar w:fldCharType="end"/>
            </w:r>
          </w:hyperlink>
        </w:p>
        <w:p w14:paraId="26EBE8CC" w14:textId="744948E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09" w:history="1">
            <w:r w:rsidR="00652D38" w:rsidRPr="00652D38">
              <w:rPr>
                <w:rStyle w:val="Hyperlink"/>
                <w:rFonts w:ascii="Arial" w:eastAsia="Times New Roman" w:hAnsi="Arial" w:cs="Arial"/>
                <w:noProof/>
                <w:sz w:val="24"/>
                <w:szCs w:val="24"/>
                <w:lang w:val="en-GB" w:eastAsia="en-GB"/>
              </w:rPr>
              <w:t>12.1 Implementation Approach and Launch Phases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_Toc241167509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59</w:t>
            </w:r>
            <w:r w:rsidR="00652D38" w:rsidRPr="00652D38">
              <w:rPr>
                <w:rFonts w:ascii="Arial" w:hAnsi="Arial" w:cs="Arial"/>
                <w:noProof/>
                <w:webHidden/>
                <w:sz w:val="24"/>
                <w:szCs w:val="24"/>
              </w:rPr>
              <w:fldChar w:fldCharType="end"/>
            </w:r>
          </w:hyperlink>
        </w:p>
        <w:p w14:paraId="434E9993" w14:textId="5374D2A0"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0" w:history="1">
            <w:r w:rsidR="00652D38" w:rsidRPr="00652D38">
              <w:rPr>
                <w:rStyle w:val="Hyperlink"/>
                <w:rFonts w:ascii="Arial" w:eastAsia="Times New Roman" w:hAnsi="Arial" w:cs="Arial"/>
                <w:noProof/>
                <w:sz w:val="24"/>
                <w:szCs w:val="24"/>
                <w:lang w:val="en-GB" w:eastAsia="en-GB"/>
              </w:rPr>
              <w:t>12.2 Milestones and Timeline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59</w:t>
            </w:r>
            <w:r w:rsidR="00652D38" w:rsidRPr="00652D38">
              <w:rPr>
                <w:rFonts w:ascii="Arial" w:hAnsi="Arial" w:cs="Arial"/>
                <w:noProof/>
                <w:webHidden/>
                <w:sz w:val="24"/>
                <w:szCs w:val="24"/>
              </w:rPr>
              <w:fldChar w:fldCharType="end"/>
            </w:r>
          </w:hyperlink>
        </w:p>
        <w:p w14:paraId="39667079" w14:textId="32500F67"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1" w:history="1">
            <w:r w:rsidR="00652D38" w:rsidRPr="00652D38">
              <w:rPr>
                <w:rStyle w:val="Hyperlink"/>
                <w:rFonts w:ascii="Arial" w:eastAsia="Times New Roman" w:hAnsi="Arial" w:cs="Arial"/>
                <w:noProof/>
                <w:sz w:val="24"/>
                <w:szCs w:val="24"/>
                <w:lang w:val="en-GB" w:eastAsia="en-GB"/>
              </w:rPr>
              <w:t>12.3 Resource Allocation and Priorities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60</w:t>
            </w:r>
            <w:r w:rsidR="00652D38" w:rsidRPr="00652D38">
              <w:rPr>
                <w:rFonts w:ascii="Arial" w:hAnsi="Arial" w:cs="Arial"/>
                <w:noProof/>
                <w:webHidden/>
                <w:sz w:val="24"/>
                <w:szCs w:val="24"/>
              </w:rPr>
              <w:fldChar w:fldCharType="end"/>
            </w:r>
          </w:hyperlink>
        </w:p>
        <w:p w14:paraId="29F5A428" w14:textId="1D411C9B"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2" w:history="1">
            <w:r w:rsidR="00652D38" w:rsidRPr="00652D38">
              <w:rPr>
                <w:rStyle w:val="Hyperlink"/>
                <w:rFonts w:ascii="Arial" w:eastAsia="Times New Roman" w:hAnsi="Arial" w:cs="Arial"/>
                <w:noProof/>
                <w:sz w:val="24"/>
                <w:szCs w:val="24"/>
                <w:lang w:val="en-GB" w:eastAsia="en-GB"/>
              </w:rPr>
              <w:t>12.4 KPIs, Monitoring and Control</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60</w:t>
            </w:r>
            <w:r w:rsidR="00652D38" w:rsidRPr="00652D38">
              <w:rPr>
                <w:rFonts w:ascii="Arial" w:hAnsi="Arial" w:cs="Arial"/>
                <w:noProof/>
                <w:webHidden/>
                <w:sz w:val="24"/>
                <w:szCs w:val="24"/>
              </w:rPr>
              <w:fldChar w:fldCharType="end"/>
            </w:r>
          </w:hyperlink>
        </w:p>
        <w:p w14:paraId="4FA74FF9" w14:textId="50685141"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3" w:history="1">
            <w:r w:rsidR="00652D38" w:rsidRPr="00652D38">
              <w:rPr>
                <w:rStyle w:val="Hyperlink"/>
                <w:rFonts w:ascii="Arial" w:eastAsia="Times New Roman" w:hAnsi="Arial" w:cs="Arial"/>
                <w:noProof/>
                <w:sz w:val="24"/>
                <w:szCs w:val="24"/>
                <w:lang w:val="en-GB" w:eastAsia="en-GB"/>
              </w:rPr>
              <w:t>12.5 Change Management and Implementation Risks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61</w:t>
            </w:r>
            <w:r w:rsidR="00652D38" w:rsidRPr="00652D38">
              <w:rPr>
                <w:rFonts w:ascii="Arial" w:hAnsi="Arial" w:cs="Arial"/>
                <w:noProof/>
                <w:webHidden/>
                <w:sz w:val="24"/>
                <w:szCs w:val="24"/>
              </w:rPr>
              <w:fldChar w:fldCharType="end"/>
            </w:r>
          </w:hyperlink>
        </w:p>
        <w:p w14:paraId="60B3DB32" w14:textId="112235BA"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4" w:history="1">
            <w:r w:rsidR="00652D38" w:rsidRPr="00652D38">
              <w:rPr>
                <w:rStyle w:val="Hyperlink"/>
                <w:rFonts w:ascii="Arial" w:hAnsi="Arial" w:cs="Arial"/>
                <w:noProof/>
                <w:sz w:val="24"/>
                <w:szCs w:val="24"/>
                <w:lang w:val="en-GB" w:eastAsia="en-GB"/>
              </w:rPr>
              <w:t>12.6 Implementation Readiness Summary</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61</w:t>
            </w:r>
            <w:r w:rsidR="00652D38" w:rsidRPr="00652D38">
              <w:rPr>
                <w:rFonts w:ascii="Arial" w:hAnsi="Arial" w:cs="Arial"/>
                <w:noProof/>
                <w:webHidden/>
                <w:sz w:val="24"/>
                <w:szCs w:val="24"/>
              </w:rPr>
              <w:fldChar w:fldCharType="end"/>
            </w:r>
          </w:hyperlink>
        </w:p>
        <w:p w14:paraId="6EED01E6" w14:textId="703D9E16"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515" w:history="1">
            <w:r w:rsidR="00652D38" w:rsidRPr="00652D38">
              <w:rPr>
                <w:rStyle w:val="Hyperlink"/>
                <w:rFonts w:ascii="Arial" w:eastAsia="Times New Roman" w:hAnsi="Arial" w:cs="Arial"/>
                <w:noProof/>
                <w:sz w:val="24"/>
                <w:szCs w:val="24"/>
                <w:lang w:val="en-GB" w:eastAsia="en-GB"/>
              </w:rPr>
              <w:t>Chapter 13: Conclusion and Recommendations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62</w:t>
            </w:r>
            <w:r w:rsidR="00652D38" w:rsidRPr="00652D38">
              <w:rPr>
                <w:rFonts w:ascii="Arial" w:hAnsi="Arial" w:cs="Arial"/>
                <w:noProof/>
                <w:webHidden/>
                <w:sz w:val="24"/>
                <w:szCs w:val="24"/>
              </w:rPr>
              <w:fldChar w:fldCharType="end"/>
            </w:r>
          </w:hyperlink>
        </w:p>
        <w:p w14:paraId="156ED49C" w14:textId="438D41B8"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6" w:history="1">
            <w:r w:rsidR="00652D38" w:rsidRPr="00652D38">
              <w:rPr>
                <w:rStyle w:val="Hyperlink"/>
                <w:rFonts w:ascii="Arial" w:eastAsia="Times New Roman" w:hAnsi="Arial" w:cs="Arial"/>
                <w:noProof/>
                <w:sz w:val="24"/>
                <w:szCs w:val="24"/>
                <w:lang w:val="en-GB" w:eastAsia="en-GB"/>
              </w:rPr>
              <w:t>13.1 Conclusion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_Toc241167516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62</w:t>
            </w:r>
            <w:r w:rsidR="00652D38" w:rsidRPr="00652D38">
              <w:rPr>
                <w:rFonts w:ascii="Arial" w:hAnsi="Arial" w:cs="Arial"/>
                <w:noProof/>
                <w:webHidden/>
                <w:sz w:val="24"/>
                <w:szCs w:val="24"/>
              </w:rPr>
              <w:fldChar w:fldCharType="end"/>
            </w:r>
          </w:hyperlink>
        </w:p>
        <w:p w14:paraId="57DF287B" w14:textId="20DA868D"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7" w:history="1">
            <w:r w:rsidR="00652D38" w:rsidRPr="00652D38">
              <w:rPr>
                <w:rStyle w:val="Hyperlink"/>
                <w:rFonts w:ascii="Arial" w:eastAsia="Times New Roman" w:hAnsi="Arial" w:cs="Arial"/>
                <w:noProof/>
                <w:sz w:val="24"/>
                <w:szCs w:val="24"/>
                <w:lang w:val="en-GB" w:eastAsia="en-GB"/>
              </w:rPr>
              <w:t>13.2 Integrated Findings and Feasibility Judgement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_Toc241167517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62</w:t>
            </w:r>
            <w:r w:rsidR="00652D38" w:rsidRPr="00652D38">
              <w:rPr>
                <w:rFonts w:ascii="Arial" w:hAnsi="Arial" w:cs="Arial"/>
                <w:noProof/>
                <w:webHidden/>
                <w:sz w:val="24"/>
                <w:szCs w:val="24"/>
              </w:rPr>
              <w:fldChar w:fldCharType="end"/>
            </w:r>
          </w:hyperlink>
        </w:p>
        <w:p w14:paraId="2720DF49" w14:textId="59786AD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8" w:history="1">
            <w:r w:rsidR="00652D38" w:rsidRPr="00652D38">
              <w:rPr>
                <w:rStyle w:val="Hyperlink"/>
                <w:rFonts w:ascii="Arial" w:eastAsia="Times New Roman" w:hAnsi="Arial" w:cs="Arial"/>
                <w:noProof/>
                <w:sz w:val="24"/>
                <w:szCs w:val="24"/>
                <w:lang w:val="en-GB" w:eastAsia="en-GB"/>
              </w:rPr>
              <w:t>13.3 Recommendations</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_Toc241167518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63</w:t>
            </w:r>
            <w:r w:rsidR="00652D38" w:rsidRPr="00652D38">
              <w:rPr>
                <w:rFonts w:ascii="Arial" w:hAnsi="Arial" w:cs="Arial"/>
                <w:noProof/>
                <w:webHidden/>
                <w:sz w:val="24"/>
                <w:szCs w:val="24"/>
              </w:rPr>
              <w:fldChar w:fldCharType="end"/>
            </w:r>
          </w:hyperlink>
        </w:p>
        <w:p w14:paraId="3322BCE0" w14:textId="604F8CA4"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19" w:history="1">
            <w:r w:rsidR="00652D38" w:rsidRPr="00652D38">
              <w:rPr>
                <w:rStyle w:val="Hyperlink"/>
                <w:rFonts w:ascii="Arial" w:eastAsia="Times New Roman" w:hAnsi="Arial" w:cs="Arial"/>
                <w:noProof/>
                <w:sz w:val="24"/>
                <w:szCs w:val="24"/>
                <w:lang w:val="en-GB" w:eastAsia="en-GB"/>
              </w:rPr>
              <w:t>13.4 Final Decision and Future Development</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_Toc241167519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64</w:t>
            </w:r>
            <w:r w:rsidR="00652D38" w:rsidRPr="00652D38">
              <w:rPr>
                <w:rFonts w:ascii="Arial" w:hAnsi="Arial" w:cs="Arial"/>
                <w:noProof/>
                <w:webHidden/>
                <w:sz w:val="24"/>
                <w:szCs w:val="24"/>
              </w:rPr>
              <w:fldChar w:fldCharType="end"/>
            </w:r>
          </w:hyperlink>
        </w:p>
        <w:p w14:paraId="56B4B08B" w14:textId="7DFF5290"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520" w:history="1">
            <w:r w:rsidR="00652D38" w:rsidRPr="00652D38">
              <w:rPr>
                <w:rStyle w:val="Hyperlink"/>
                <w:rFonts w:ascii="Arial" w:eastAsia="Times New Roman" w:hAnsi="Arial" w:cs="Arial"/>
                <w:noProof/>
                <w:sz w:val="24"/>
                <w:szCs w:val="24"/>
                <w:lang w:val="en-GB" w:eastAsia="en-GB"/>
              </w:rPr>
              <w:t>Chapter 14: Reflection</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_Toc241167520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65</w:t>
            </w:r>
            <w:r w:rsidR="00652D38" w:rsidRPr="00652D38">
              <w:rPr>
                <w:rFonts w:ascii="Arial" w:hAnsi="Arial" w:cs="Arial"/>
                <w:noProof/>
                <w:webHidden/>
                <w:sz w:val="24"/>
                <w:szCs w:val="24"/>
              </w:rPr>
              <w:fldChar w:fldCharType="end"/>
            </w:r>
          </w:hyperlink>
        </w:p>
        <w:p w14:paraId="6CE5B629" w14:textId="0A1411B5"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21" w:history="1">
            <w:r w:rsidR="00652D38" w:rsidRPr="00652D38">
              <w:rPr>
                <w:rStyle w:val="Hyperlink"/>
                <w:rFonts w:ascii="Arial" w:eastAsia="Times New Roman" w:hAnsi="Arial" w:cs="Arial"/>
                <w:noProof/>
                <w:sz w:val="24"/>
                <w:szCs w:val="24"/>
                <w:lang w:val="en-GB" w:eastAsia="en-GB"/>
              </w:rPr>
              <w:t>14.1 Reflection on the Business Development Experience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_Toc241167521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65</w:t>
            </w:r>
            <w:r w:rsidR="00652D38" w:rsidRPr="00652D38">
              <w:rPr>
                <w:rFonts w:ascii="Arial" w:hAnsi="Arial" w:cs="Arial"/>
                <w:noProof/>
                <w:webHidden/>
                <w:sz w:val="24"/>
                <w:szCs w:val="24"/>
              </w:rPr>
              <w:fldChar w:fldCharType="end"/>
            </w:r>
          </w:hyperlink>
        </w:p>
        <w:p w14:paraId="438A31CA" w14:textId="06AE8DBA"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22" w:history="1">
            <w:r w:rsidR="00652D38" w:rsidRPr="00652D38">
              <w:rPr>
                <w:rStyle w:val="Hyperlink"/>
                <w:rFonts w:ascii="Arial" w:eastAsia="Times New Roman" w:hAnsi="Arial" w:cs="Arial"/>
                <w:noProof/>
                <w:sz w:val="24"/>
                <w:szCs w:val="24"/>
                <w:lang w:val="en-GB" w:eastAsia="en-GB"/>
              </w:rPr>
              <w:t>14.2 What I Learned from the Experience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_Toc241167522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65</w:t>
            </w:r>
            <w:r w:rsidR="00652D38" w:rsidRPr="00652D38">
              <w:rPr>
                <w:rFonts w:ascii="Arial" w:hAnsi="Arial" w:cs="Arial"/>
                <w:noProof/>
                <w:webHidden/>
                <w:sz w:val="24"/>
                <w:szCs w:val="24"/>
              </w:rPr>
              <w:fldChar w:fldCharType="end"/>
            </w:r>
          </w:hyperlink>
        </w:p>
        <w:p w14:paraId="27A4E5A1" w14:textId="438062FC" w:rsidR="00652D38" w:rsidRPr="00652D38" w:rsidRDefault="00804066" w:rsidP="00652D38">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41167523" w:history="1">
            <w:r w:rsidR="00652D38" w:rsidRPr="00652D38">
              <w:rPr>
                <w:rStyle w:val="Hyperlink"/>
                <w:rFonts w:ascii="Arial" w:eastAsia="Times New Roman" w:hAnsi="Arial" w:cs="Arial"/>
                <w:noProof/>
                <w:sz w:val="24"/>
                <w:szCs w:val="24"/>
                <w:lang w:val="en-GB" w:eastAsia="en-GB"/>
              </w:rPr>
              <w:t>14.3 What I Would Do Differently Next Time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_Toc241167523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66</w:t>
            </w:r>
            <w:r w:rsidR="00652D38" w:rsidRPr="00652D38">
              <w:rPr>
                <w:rFonts w:ascii="Arial" w:hAnsi="Arial" w:cs="Arial"/>
                <w:noProof/>
                <w:webHidden/>
                <w:sz w:val="24"/>
                <w:szCs w:val="24"/>
              </w:rPr>
              <w:fldChar w:fldCharType="end"/>
            </w:r>
          </w:hyperlink>
        </w:p>
        <w:p w14:paraId="7C0A23C2" w14:textId="017C8A72" w:rsidR="00652D38" w:rsidRPr="00652D38" w:rsidRDefault="00804066" w:rsidP="00652D38">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41167524" w:history="1">
            <w:r w:rsidR="00652D38" w:rsidRPr="00652D38">
              <w:rPr>
                <w:rStyle w:val="Hyperlink"/>
                <w:rFonts w:ascii="Arial" w:eastAsia="Times New Roman" w:hAnsi="Arial" w:cs="Arial"/>
                <w:noProof/>
                <w:sz w:val="24"/>
                <w:szCs w:val="24"/>
                <w:lang w:val="en-GB" w:eastAsia="en-GB"/>
              </w:rPr>
              <w:t>Reference</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_Toc241167524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68</w:t>
            </w:r>
            <w:r w:rsidR="00652D38" w:rsidRPr="00652D38">
              <w:rPr>
                <w:rFonts w:ascii="Arial" w:hAnsi="Arial" w:cs="Arial"/>
                <w:noProof/>
                <w:webHidden/>
                <w:sz w:val="24"/>
                <w:szCs w:val="24"/>
              </w:rPr>
              <w:fldChar w:fldCharType="end"/>
            </w:r>
          </w:hyperlink>
        </w:p>
        <w:p w14:paraId="2C0AB440" w14:textId="2487BD7C" w:rsidR="00652D38" w:rsidRDefault="00804066" w:rsidP="00652D38">
          <w:pPr>
            <w:pStyle w:val="TOC1"/>
            <w:tabs>
              <w:tab w:val="right" w:leader="dot" w:pos="9016"/>
            </w:tabs>
            <w:spacing w:line="360" w:lineRule="auto"/>
            <w:jc w:val="both"/>
            <w:rPr>
              <w:rFonts w:eastAsiaTheme="minorEastAsia"/>
              <w:noProof/>
              <w:lang w:val="en-GB" w:eastAsia="en-GB"/>
            </w:rPr>
          </w:pPr>
          <w:hyperlink w:anchor="_Toc241167525" w:history="1">
            <w:r w:rsidR="00652D38" w:rsidRPr="00652D38">
              <w:rPr>
                <w:rStyle w:val="Hyperlink"/>
                <w:rFonts w:ascii="Arial" w:eastAsia="Times New Roman" w:hAnsi="Arial" w:cs="Arial"/>
                <w:noProof/>
                <w:sz w:val="24"/>
                <w:szCs w:val="24"/>
                <w:lang w:val="en-GB" w:eastAsia="en-GB"/>
              </w:rPr>
              <w:t>Appendix 8</w:t>
            </w:r>
            <w:r w:rsidR="00652D38" w:rsidRPr="00652D38">
              <w:rPr>
                <w:rFonts w:ascii="Arial" w:hAnsi="Arial" w:cs="Arial"/>
                <w:noProof/>
                <w:webHidden/>
                <w:sz w:val="24"/>
                <w:szCs w:val="24"/>
              </w:rPr>
              <w:tab/>
            </w:r>
            <w:r w:rsidR="00652D38" w:rsidRPr="00652D38">
              <w:rPr>
                <w:rFonts w:ascii="Arial" w:hAnsi="Arial" w:cs="Arial"/>
                <w:noProof/>
                <w:webHidden/>
                <w:sz w:val="24"/>
                <w:szCs w:val="24"/>
              </w:rPr>
              <w:fldChar w:fldCharType="begin"/>
            </w:r>
            <w:r w:rsidR="00652D38" w:rsidRPr="00652D38">
              <w:rPr>
                <w:rFonts w:ascii="Arial" w:hAnsi="Arial" w:cs="Arial"/>
                <w:noProof/>
                <w:webHidden/>
                <w:sz w:val="24"/>
                <w:szCs w:val="24"/>
              </w:rPr>
              <w:instrText xml:space="preserve"> PAGEREF _Toc241167525 \h </w:instrText>
            </w:r>
            <w:r w:rsidR="00652D38" w:rsidRPr="00652D38">
              <w:rPr>
                <w:rFonts w:ascii="Arial" w:hAnsi="Arial" w:cs="Arial"/>
                <w:noProof/>
                <w:webHidden/>
                <w:sz w:val="24"/>
                <w:szCs w:val="24"/>
              </w:rPr>
            </w:r>
            <w:r w:rsidR="00652D38" w:rsidRPr="00652D38">
              <w:rPr>
                <w:rFonts w:ascii="Arial" w:hAnsi="Arial" w:cs="Arial"/>
                <w:noProof/>
                <w:webHidden/>
                <w:sz w:val="24"/>
                <w:szCs w:val="24"/>
              </w:rPr>
              <w:fldChar w:fldCharType="separate"/>
            </w:r>
            <w:r w:rsidR="00836DB6">
              <w:rPr>
                <w:rFonts w:ascii="Arial" w:hAnsi="Arial" w:cs="Arial"/>
                <w:noProof/>
                <w:webHidden/>
                <w:sz w:val="24"/>
                <w:szCs w:val="24"/>
              </w:rPr>
              <w:t>78</w:t>
            </w:r>
            <w:r w:rsidR="00652D38" w:rsidRPr="00652D38">
              <w:rPr>
                <w:rFonts w:ascii="Arial" w:hAnsi="Arial" w:cs="Arial"/>
                <w:noProof/>
                <w:webHidden/>
                <w:sz w:val="24"/>
                <w:szCs w:val="24"/>
              </w:rPr>
              <w:fldChar w:fldCharType="end"/>
            </w:r>
          </w:hyperlink>
        </w:p>
        <w:p w14:paraId="68C6C127" w14:textId="765FF3D0" w:rsidR="00E10813" w:rsidRDefault="00A31DCA" w:rsidP="002D09B1">
          <w:pPr>
            <w:jc w:val="both"/>
            <w:rPr>
              <w:rFonts w:ascii="Arial" w:hAnsi="Arial" w:cs="Arial"/>
              <w:sz w:val="24"/>
              <w:szCs w:val="24"/>
              <w:lang w:val="en-GB"/>
            </w:rPr>
          </w:pPr>
          <w:r w:rsidRPr="002D09B1">
            <w:rPr>
              <w:rFonts w:ascii="Arial" w:hAnsi="Arial" w:cs="Arial"/>
              <w:bCs/>
              <w:noProof/>
              <w:sz w:val="24"/>
              <w:szCs w:val="24"/>
              <w:lang w:val="en-GB"/>
            </w:rPr>
            <w:fldChar w:fldCharType="end"/>
          </w:r>
        </w:p>
      </w:sdtContent>
    </w:sdt>
    <w:p w14:paraId="3EAB928E" w14:textId="3B17B68B" w:rsidR="00E10813" w:rsidRDefault="00E10813" w:rsidP="00EE305D">
      <w:pPr>
        <w:jc w:val="center"/>
        <w:rPr>
          <w:rFonts w:ascii="Arial" w:hAnsi="Arial" w:cs="Arial"/>
          <w:sz w:val="24"/>
          <w:szCs w:val="24"/>
          <w:lang w:val="en-GB"/>
        </w:rPr>
      </w:pPr>
    </w:p>
    <w:p w14:paraId="17C2C79E" w14:textId="621DEC4E" w:rsidR="000A7E8F" w:rsidRDefault="000A7E8F" w:rsidP="00EE305D">
      <w:pPr>
        <w:jc w:val="center"/>
        <w:rPr>
          <w:rFonts w:ascii="Arial" w:hAnsi="Arial" w:cs="Arial"/>
          <w:sz w:val="24"/>
          <w:szCs w:val="24"/>
          <w:lang w:val="en-GB"/>
        </w:rPr>
      </w:pPr>
    </w:p>
    <w:p w14:paraId="30FF4940" w14:textId="768E63D0" w:rsidR="000A7E8F" w:rsidRDefault="000A7E8F" w:rsidP="00EE305D">
      <w:pPr>
        <w:jc w:val="center"/>
        <w:rPr>
          <w:rFonts w:ascii="Arial" w:hAnsi="Arial" w:cs="Arial"/>
          <w:sz w:val="24"/>
          <w:szCs w:val="24"/>
          <w:lang w:val="en-GB"/>
        </w:rPr>
      </w:pPr>
    </w:p>
    <w:p w14:paraId="4F981653" w14:textId="69102267" w:rsidR="000A7E8F" w:rsidRDefault="000A7E8F" w:rsidP="00EE305D">
      <w:pPr>
        <w:jc w:val="center"/>
        <w:rPr>
          <w:rFonts w:ascii="Arial" w:hAnsi="Arial" w:cs="Arial"/>
          <w:sz w:val="24"/>
          <w:szCs w:val="24"/>
          <w:lang w:val="en-GB"/>
        </w:rPr>
      </w:pPr>
    </w:p>
    <w:p w14:paraId="2B04AC2D" w14:textId="438C0565" w:rsidR="000A7E8F" w:rsidRDefault="000A7E8F" w:rsidP="00EE305D">
      <w:pPr>
        <w:jc w:val="center"/>
        <w:rPr>
          <w:rFonts w:ascii="Arial" w:hAnsi="Arial" w:cs="Arial"/>
          <w:sz w:val="24"/>
          <w:szCs w:val="24"/>
          <w:lang w:val="en-GB"/>
        </w:rPr>
      </w:pPr>
    </w:p>
    <w:p w14:paraId="6DB7DD0A" w14:textId="1884178E" w:rsidR="000A7E8F" w:rsidRDefault="000A7E8F" w:rsidP="00EE305D">
      <w:pPr>
        <w:jc w:val="center"/>
        <w:rPr>
          <w:rFonts w:ascii="Arial" w:hAnsi="Arial" w:cs="Arial"/>
          <w:sz w:val="24"/>
          <w:szCs w:val="24"/>
          <w:lang w:val="en-GB"/>
        </w:rPr>
      </w:pPr>
    </w:p>
    <w:p w14:paraId="1E885743" w14:textId="3D49D2DC" w:rsidR="000A7E8F" w:rsidRDefault="000A7E8F" w:rsidP="00EE305D">
      <w:pPr>
        <w:jc w:val="center"/>
        <w:rPr>
          <w:rFonts w:ascii="Arial" w:hAnsi="Arial" w:cs="Arial"/>
          <w:sz w:val="24"/>
          <w:szCs w:val="24"/>
          <w:lang w:val="en-GB"/>
        </w:rPr>
      </w:pPr>
    </w:p>
    <w:p w14:paraId="542B0428" w14:textId="4F40DAA0" w:rsidR="000A7E8F" w:rsidRDefault="000A7E8F" w:rsidP="00EE305D">
      <w:pPr>
        <w:jc w:val="center"/>
        <w:rPr>
          <w:rFonts w:ascii="Arial" w:hAnsi="Arial" w:cs="Arial"/>
          <w:sz w:val="24"/>
          <w:szCs w:val="24"/>
          <w:lang w:val="en-GB"/>
        </w:rPr>
      </w:pPr>
    </w:p>
    <w:p w14:paraId="060FFFC0" w14:textId="097BDDBC" w:rsidR="000A7E8F" w:rsidRDefault="000A7E8F" w:rsidP="00EE305D">
      <w:pPr>
        <w:jc w:val="center"/>
        <w:rPr>
          <w:rFonts w:ascii="Arial" w:hAnsi="Arial" w:cs="Arial"/>
          <w:sz w:val="24"/>
          <w:szCs w:val="24"/>
          <w:lang w:val="en-GB"/>
        </w:rPr>
      </w:pPr>
    </w:p>
    <w:p w14:paraId="6FF62DCA" w14:textId="06372468" w:rsidR="000A7E8F" w:rsidRDefault="000A7E8F" w:rsidP="00EE305D">
      <w:pPr>
        <w:jc w:val="center"/>
        <w:rPr>
          <w:rFonts w:ascii="Arial" w:hAnsi="Arial" w:cs="Arial"/>
          <w:sz w:val="24"/>
          <w:szCs w:val="24"/>
          <w:lang w:val="en-GB"/>
        </w:rPr>
      </w:pPr>
    </w:p>
    <w:p w14:paraId="0C7C5D8F" w14:textId="5994E035" w:rsidR="000A7E8F" w:rsidRDefault="000A7E8F" w:rsidP="00EE305D">
      <w:pPr>
        <w:jc w:val="center"/>
        <w:rPr>
          <w:rFonts w:ascii="Arial" w:hAnsi="Arial" w:cs="Arial"/>
          <w:sz w:val="24"/>
          <w:szCs w:val="24"/>
          <w:lang w:val="en-GB"/>
        </w:rPr>
      </w:pPr>
    </w:p>
    <w:p w14:paraId="3F6A43AB" w14:textId="24319B55" w:rsidR="000A7E8F" w:rsidRDefault="000A7E8F" w:rsidP="00EE305D">
      <w:pPr>
        <w:jc w:val="center"/>
        <w:rPr>
          <w:rFonts w:ascii="Arial" w:hAnsi="Arial" w:cs="Arial"/>
          <w:sz w:val="24"/>
          <w:szCs w:val="24"/>
          <w:lang w:val="en-GB"/>
        </w:rPr>
      </w:pPr>
    </w:p>
    <w:p w14:paraId="1E20C9D9" w14:textId="015F7067" w:rsidR="000A7E8F" w:rsidRDefault="000A7E8F" w:rsidP="00EE305D">
      <w:pPr>
        <w:jc w:val="center"/>
        <w:rPr>
          <w:rFonts w:ascii="Arial" w:hAnsi="Arial" w:cs="Arial"/>
          <w:sz w:val="24"/>
          <w:szCs w:val="24"/>
          <w:lang w:val="en-GB"/>
        </w:rPr>
      </w:pPr>
    </w:p>
    <w:p w14:paraId="7C1EF5CA" w14:textId="76DD9793" w:rsidR="000A7E8F" w:rsidRDefault="000A7E8F" w:rsidP="00067740">
      <w:pPr>
        <w:rPr>
          <w:rFonts w:ascii="Arial" w:hAnsi="Arial" w:cs="Arial"/>
          <w:sz w:val="24"/>
          <w:szCs w:val="24"/>
          <w:lang w:val="en-GB"/>
        </w:rPr>
      </w:pPr>
    </w:p>
    <w:p w14:paraId="4E84AE50" w14:textId="77777777" w:rsidR="00E10813" w:rsidRDefault="00E10813" w:rsidP="00EE305D">
      <w:pPr>
        <w:jc w:val="center"/>
        <w:rPr>
          <w:rFonts w:ascii="Arial" w:hAnsi="Arial" w:cs="Arial"/>
          <w:sz w:val="24"/>
          <w:szCs w:val="24"/>
          <w:lang w:val="en-GB"/>
        </w:rPr>
      </w:pPr>
    </w:p>
    <w:p w14:paraId="68603D91" w14:textId="297A2907" w:rsidR="00EE305D" w:rsidRDefault="0092558D" w:rsidP="00EE305D">
      <w:pPr>
        <w:jc w:val="center"/>
        <w:rPr>
          <w:rFonts w:ascii="Arial" w:hAnsi="Arial" w:cs="Arial"/>
          <w:b/>
          <w:bCs/>
          <w:sz w:val="28"/>
        </w:rPr>
      </w:pPr>
      <w:r>
        <w:rPr>
          <w:rFonts w:ascii="Arial" w:hAnsi="Arial" w:cs="Arial"/>
          <w:sz w:val="24"/>
          <w:szCs w:val="24"/>
          <w:lang w:val="en-GB"/>
        </w:rPr>
        <w:t xml:space="preserve"> </w:t>
      </w:r>
      <w:r w:rsidR="00EE305D" w:rsidRPr="003A3104">
        <w:rPr>
          <w:rFonts w:ascii="Arial" w:hAnsi="Arial" w:cs="Arial"/>
          <w:b/>
          <w:bCs/>
          <w:sz w:val="28"/>
        </w:rPr>
        <w:t>List of Table</w:t>
      </w:r>
    </w:p>
    <w:p w14:paraId="7C203CE3" w14:textId="10FC63AF"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"Table" </w:instrText>
      </w:r>
      <w:r>
        <w:rPr>
          <w:rFonts w:ascii="Arial" w:hAnsi="Arial" w:cs="Arial"/>
          <w:sz w:val="24"/>
          <w:szCs w:val="24"/>
          <w:lang w:val="en-GB"/>
        </w:rPr>
        <w:fldChar w:fldCharType="separate"/>
      </w:r>
      <w:hyperlink w:anchor="_Toc241170837" w:history="1">
        <w:r w:rsidRPr="00836DB6">
          <w:rPr>
            <w:rStyle w:val="Hyperlink"/>
            <w:rFonts w:ascii="Arial" w:hAnsi="Arial" w:cs="Arial"/>
            <w:noProof/>
            <w:sz w:val="24"/>
            <w:szCs w:val="24"/>
          </w:rPr>
          <w:t>Table 1: Local Customer Pools and Demand Characteristics</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_Toc241170837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16</w:t>
        </w:r>
        <w:r w:rsidRPr="00836DB6">
          <w:rPr>
            <w:rFonts w:ascii="Arial" w:hAnsi="Arial" w:cs="Arial"/>
            <w:noProof/>
            <w:webHidden/>
            <w:sz w:val="24"/>
            <w:szCs w:val="24"/>
          </w:rPr>
          <w:fldChar w:fldCharType="end"/>
        </w:r>
      </w:hyperlink>
    </w:p>
    <w:p w14:paraId="7BCCD562" w14:textId="2426D4FA"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38" w:history="1">
        <w:r w:rsidRPr="00836DB6">
          <w:rPr>
            <w:rStyle w:val="Hyperlink"/>
            <w:rFonts w:ascii="Arial" w:hAnsi="Arial" w:cs="Arial"/>
            <w:noProof/>
            <w:sz w:val="24"/>
            <w:szCs w:val="24"/>
          </w:rPr>
          <w:t>Table 2: Illustrative Local Demand Scenario</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_Toc241170838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17</w:t>
        </w:r>
        <w:r w:rsidRPr="00836DB6">
          <w:rPr>
            <w:rFonts w:ascii="Arial" w:hAnsi="Arial" w:cs="Arial"/>
            <w:noProof/>
            <w:webHidden/>
            <w:sz w:val="24"/>
            <w:szCs w:val="24"/>
          </w:rPr>
          <w:fldChar w:fldCharType="end"/>
        </w:r>
      </w:hyperlink>
    </w:p>
    <w:p w14:paraId="7C2319CB" w14:textId="167A5DCC"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39" w:history="1">
        <w:r w:rsidRPr="00836DB6">
          <w:rPr>
            <w:rStyle w:val="Hyperlink"/>
            <w:rFonts w:ascii="Arial" w:hAnsi="Arial" w:cs="Arial"/>
            <w:noProof/>
            <w:sz w:val="24"/>
            <w:szCs w:val="24"/>
          </w:rPr>
          <w:t>Table 3: Indicative Market Opportunity</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_Toc241170839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19</w:t>
        </w:r>
        <w:r w:rsidRPr="00836DB6">
          <w:rPr>
            <w:rFonts w:ascii="Arial" w:hAnsi="Arial" w:cs="Arial"/>
            <w:noProof/>
            <w:webHidden/>
            <w:sz w:val="24"/>
            <w:szCs w:val="24"/>
          </w:rPr>
          <w:fldChar w:fldCharType="end"/>
        </w:r>
      </w:hyperlink>
    </w:p>
    <w:p w14:paraId="69A17110" w14:textId="2F788225"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0" w:history="1">
        <w:r w:rsidRPr="00836DB6">
          <w:rPr>
            <w:rStyle w:val="Hyperlink"/>
            <w:rFonts w:ascii="Arial" w:hAnsi="Arial" w:cs="Arial"/>
            <w:noProof/>
            <w:sz w:val="24"/>
            <w:szCs w:val="24"/>
          </w:rPr>
          <w:t>Table 4: Competitor Comparison</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_Toc241170840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22</w:t>
        </w:r>
        <w:r w:rsidRPr="00836DB6">
          <w:rPr>
            <w:rFonts w:ascii="Arial" w:hAnsi="Arial" w:cs="Arial"/>
            <w:noProof/>
            <w:webHidden/>
            <w:sz w:val="24"/>
            <w:szCs w:val="24"/>
          </w:rPr>
          <w:fldChar w:fldCharType="end"/>
        </w:r>
      </w:hyperlink>
    </w:p>
    <w:p w14:paraId="717B5770" w14:textId="50F9DE12"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1" w:history="1">
        <w:r w:rsidRPr="00836DB6">
          <w:rPr>
            <w:rStyle w:val="Hyperlink"/>
            <w:rFonts w:ascii="Arial" w:hAnsi="Arial" w:cs="Arial"/>
            <w:noProof/>
            <w:sz w:val="24"/>
            <w:szCs w:val="24"/>
          </w:rPr>
          <w:t>Table 5: Five Forces Assessment</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_Toc241170841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24</w:t>
        </w:r>
        <w:r w:rsidRPr="00836DB6">
          <w:rPr>
            <w:rFonts w:ascii="Arial" w:hAnsi="Arial" w:cs="Arial"/>
            <w:noProof/>
            <w:webHidden/>
            <w:sz w:val="24"/>
            <w:szCs w:val="24"/>
          </w:rPr>
          <w:fldChar w:fldCharType="end"/>
        </w:r>
      </w:hyperlink>
    </w:p>
    <w:p w14:paraId="23D661B8" w14:textId="1D76305C"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2" w:history="1">
        <w:r w:rsidRPr="00836DB6">
          <w:rPr>
            <w:rStyle w:val="Hyperlink"/>
            <w:rFonts w:ascii="Arial" w:hAnsi="Arial" w:cs="Arial"/>
            <w:noProof/>
            <w:sz w:val="24"/>
            <w:szCs w:val="24"/>
          </w:rPr>
          <w:t>Table 6: PESTLE Analysis</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_Toc241170842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26</w:t>
        </w:r>
        <w:r w:rsidRPr="00836DB6">
          <w:rPr>
            <w:rFonts w:ascii="Arial" w:hAnsi="Arial" w:cs="Arial"/>
            <w:noProof/>
            <w:webHidden/>
            <w:sz w:val="24"/>
            <w:szCs w:val="24"/>
          </w:rPr>
          <w:fldChar w:fldCharType="end"/>
        </w:r>
      </w:hyperlink>
    </w:p>
    <w:p w14:paraId="726F9766" w14:textId="53F430C3"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3" w:history="1">
        <w:r w:rsidRPr="00836DB6">
          <w:rPr>
            <w:rStyle w:val="Hyperlink"/>
            <w:rFonts w:ascii="Arial" w:hAnsi="Arial" w:cs="Arial"/>
            <w:noProof/>
            <w:sz w:val="24"/>
            <w:szCs w:val="24"/>
          </w:rPr>
          <w:t>Table 7.: VRIO Analysis of The Ethical Bean Coffee House</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_Toc241170843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31</w:t>
        </w:r>
        <w:r w:rsidRPr="00836DB6">
          <w:rPr>
            <w:rFonts w:ascii="Arial" w:hAnsi="Arial" w:cs="Arial"/>
            <w:noProof/>
            <w:webHidden/>
            <w:sz w:val="24"/>
            <w:szCs w:val="24"/>
          </w:rPr>
          <w:fldChar w:fldCharType="end"/>
        </w:r>
      </w:hyperlink>
    </w:p>
    <w:p w14:paraId="3E100FCD" w14:textId="21F99711"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4" w:history="1">
        <w:r w:rsidRPr="00836DB6">
          <w:rPr>
            <w:rStyle w:val="Hyperlink"/>
            <w:rFonts w:ascii="Arial" w:hAnsi="Arial" w:cs="Arial"/>
            <w:noProof/>
            <w:sz w:val="24"/>
            <w:szCs w:val="24"/>
          </w:rPr>
          <w:t>Table 8: SWOT Analysis of The Ethical Bean Coffee House</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_Toc241170844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32</w:t>
        </w:r>
        <w:r w:rsidRPr="00836DB6">
          <w:rPr>
            <w:rFonts w:ascii="Arial" w:hAnsi="Arial" w:cs="Arial"/>
            <w:noProof/>
            <w:webHidden/>
            <w:sz w:val="24"/>
            <w:szCs w:val="24"/>
          </w:rPr>
          <w:fldChar w:fldCharType="end"/>
        </w:r>
      </w:hyperlink>
    </w:p>
    <w:p w14:paraId="093B0D1C" w14:textId="537D4E40"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5" w:history="1">
        <w:r w:rsidRPr="00836DB6">
          <w:rPr>
            <w:rStyle w:val="Hyperlink"/>
            <w:rFonts w:ascii="Arial" w:hAnsi="Arial" w:cs="Arial"/>
            <w:noProof/>
            <w:sz w:val="24"/>
            <w:szCs w:val="24"/>
          </w:rPr>
          <w:t>Table 9: Evaluation of Strategic Alternatives</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_Toc241170845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35</w:t>
        </w:r>
        <w:r w:rsidRPr="00836DB6">
          <w:rPr>
            <w:rFonts w:ascii="Arial" w:hAnsi="Arial" w:cs="Arial"/>
            <w:noProof/>
            <w:webHidden/>
            <w:sz w:val="24"/>
            <w:szCs w:val="24"/>
          </w:rPr>
          <w:fldChar w:fldCharType="end"/>
        </w:r>
      </w:hyperlink>
    </w:p>
    <w:p w14:paraId="39729249" w14:textId="73A34B12"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6" w:history="1">
        <w:r w:rsidRPr="00836DB6">
          <w:rPr>
            <w:rStyle w:val="Hyperlink"/>
            <w:rFonts w:ascii="Arial" w:hAnsi="Arial" w:cs="Arial"/>
            <w:noProof/>
            <w:sz w:val="24"/>
            <w:szCs w:val="24"/>
          </w:rPr>
          <w:t>Table 10.Economic assumptions and business model</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_Toc241170846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43</w:t>
        </w:r>
        <w:r w:rsidRPr="00836DB6">
          <w:rPr>
            <w:rFonts w:ascii="Arial" w:hAnsi="Arial" w:cs="Arial"/>
            <w:noProof/>
            <w:webHidden/>
            <w:sz w:val="24"/>
            <w:szCs w:val="24"/>
          </w:rPr>
          <w:fldChar w:fldCharType="end"/>
        </w:r>
      </w:hyperlink>
    </w:p>
    <w:p w14:paraId="7B62CD50" w14:textId="6012A45F"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7" w:history="1">
        <w:r w:rsidRPr="00836DB6">
          <w:rPr>
            <w:rStyle w:val="Hyperlink"/>
            <w:rFonts w:ascii="Arial" w:hAnsi="Arial" w:cs="Arial"/>
            <w:noProof/>
            <w:sz w:val="24"/>
            <w:szCs w:val="24"/>
          </w:rPr>
          <w:t>Table 11.Start-up investment and funding</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_Toc241170847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44</w:t>
        </w:r>
        <w:r w:rsidRPr="00836DB6">
          <w:rPr>
            <w:rFonts w:ascii="Arial" w:hAnsi="Arial" w:cs="Arial"/>
            <w:noProof/>
            <w:webHidden/>
            <w:sz w:val="24"/>
            <w:szCs w:val="24"/>
          </w:rPr>
          <w:fldChar w:fldCharType="end"/>
        </w:r>
      </w:hyperlink>
    </w:p>
    <w:p w14:paraId="186B6B41" w14:textId="6789F9E2"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8" w:history="1">
        <w:r w:rsidRPr="00836DB6">
          <w:rPr>
            <w:rStyle w:val="Hyperlink"/>
            <w:rFonts w:ascii="Arial" w:hAnsi="Arial" w:cs="Arial"/>
            <w:noProof/>
            <w:sz w:val="24"/>
            <w:szCs w:val="24"/>
          </w:rPr>
          <w:t>Table 12.Revenue and profitability projection</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_Toc241170848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45</w:t>
        </w:r>
        <w:r w:rsidRPr="00836DB6">
          <w:rPr>
            <w:rFonts w:ascii="Arial" w:hAnsi="Arial" w:cs="Arial"/>
            <w:noProof/>
            <w:webHidden/>
            <w:sz w:val="24"/>
            <w:szCs w:val="24"/>
          </w:rPr>
          <w:fldChar w:fldCharType="end"/>
        </w:r>
      </w:hyperlink>
    </w:p>
    <w:p w14:paraId="6BFE5362" w14:textId="75834970"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49" w:history="1">
        <w:r w:rsidRPr="00836DB6">
          <w:rPr>
            <w:rStyle w:val="Hyperlink"/>
            <w:rFonts w:ascii="Arial" w:hAnsi="Arial" w:cs="Arial"/>
            <w:noProof/>
            <w:sz w:val="24"/>
            <w:szCs w:val="24"/>
          </w:rPr>
          <w:t>Table 13.Marketing mix</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_Toc241170849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48</w:t>
        </w:r>
        <w:r w:rsidRPr="00836DB6">
          <w:rPr>
            <w:rFonts w:ascii="Arial" w:hAnsi="Arial" w:cs="Arial"/>
            <w:noProof/>
            <w:webHidden/>
            <w:sz w:val="24"/>
            <w:szCs w:val="24"/>
          </w:rPr>
          <w:fldChar w:fldCharType="end"/>
        </w:r>
      </w:hyperlink>
    </w:p>
    <w:p w14:paraId="16D1CE57" w14:textId="7E6A5342"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50" w:history="1">
        <w:r w:rsidRPr="00836DB6">
          <w:rPr>
            <w:rStyle w:val="Hyperlink"/>
            <w:rFonts w:ascii="Arial" w:hAnsi="Arial" w:cs="Arial"/>
            <w:noProof/>
            <w:sz w:val="24"/>
            <w:szCs w:val="24"/>
          </w:rPr>
          <w:t>Table 14.Milestones and Timeline</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_Toc241170850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59</w:t>
        </w:r>
        <w:r w:rsidRPr="00836DB6">
          <w:rPr>
            <w:rFonts w:ascii="Arial" w:hAnsi="Arial" w:cs="Arial"/>
            <w:noProof/>
            <w:webHidden/>
            <w:sz w:val="24"/>
            <w:szCs w:val="24"/>
          </w:rPr>
          <w:fldChar w:fldCharType="end"/>
        </w:r>
      </w:hyperlink>
    </w:p>
    <w:p w14:paraId="09E59D46" w14:textId="0391BCEE" w:rsidR="00836DB6" w:rsidRPr="00836DB6" w:rsidRDefault="00836DB6" w:rsidP="00836DB6">
      <w:pPr>
        <w:pStyle w:val="TableofFigures"/>
        <w:tabs>
          <w:tab w:val="right" w:leader="dot" w:pos="9016"/>
        </w:tabs>
        <w:spacing w:line="360" w:lineRule="auto"/>
        <w:jc w:val="both"/>
        <w:rPr>
          <w:rFonts w:ascii="Arial" w:eastAsiaTheme="minorEastAsia" w:hAnsi="Arial" w:cs="Arial"/>
          <w:noProof/>
          <w:sz w:val="24"/>
          <w:szCs w:val="24"/>
          <w:lang w:val="en-GB" w:eastAsia="en-GB"/>
        </w:rPr>
      </w:pPr>
      <w:hyperlink w:anchor="_Toc241170851" w:history="1">
        <w:r w:rsidRPr="00836DB6">
          <w:rPr>
            <w:rStyle w:val="Hyperlink"/>
            <w:rFonts w:ascii="Arial" w:hAnsi="Arial" w:cs="Arial"/>
            <w:noProof/>
            <w:sz w:val="24"/>
            <w:szCs w:val="24"/>
          </w:rPr>
          <w:t>Table 15.KPIs, Monitoring and Control</w:t>
        </w:r>
        <w:r w:rsidRPr="00836DB6">
          <w:rPr>
            <w:rFonts w:ascii="Arial" w:hAnsi="Arial" w:cs="Arial"/>
            <w:noProof/>
            <w:webHidden/>
            <w:sz w:val="24"/>
            <w:szCs w:val="24"/>
          </w:rPr>
          <w:tab/>
        </w:r>
        <w:r w:rsidRPr="00836DB6">
          <w:rPr>
            <w:rFonts w:ascii="Arial" w:hAnsi="Arial" w:cs="Arial"/>
            <w:noProof/>
            <w:webHidden/>
            <w:sz w:val="24"/>
            <w:szCs w:val="24"/>
          </w:rPr>
          <w:fldChar w:fldCharType="begin"/>
        </w:r>
        <w:r w:rsidRPr="00836DB6">
          <w:rPr>
            <w:rFonts w:ascii="Arial" w:hAnsi="Arial" w:cs="Arial"/>
            <w:noProof/>
            <w:webHidden/>
            <w:sz w:val="24"/>
            <w:szCs w:val="24"/>
          </w:rPr>
          <w:instrText xml:space="preserve"> PAGEREF _Toc241170851 \h </w:instrText>
        </w:r>
        <w:r w:rsidRPr="00836DB6">
          <w:rPr>
            <w:rFonts w:ascii="Arial" w:hAnsi="Arial" w:cs="Arial"/>
            <w:noProof/>
            <w:webHidden/>
            <w:sz w:val="24"/>
            <w:szCs w:val="24"/>
          </w:rPr>
        </w:r>
        <w:r w:rsidRPr="00836DB6">
          <w:rPr>
            <w:rFonts w:ascii="Arial" w:hAnsi="Arial" w:cs="Arial"/>
            <w:noProof/>
            <w:webHidden/>
            <w:sz w:val="24"/>
            <w:szCs w:val="24"/>
          </w:rPr>
          <w:fldChar w:fldCharType="separate"/>
        </w:r>
        <w:r w:rsidRPr="00836DB6">
          <w:rPr>
            <w:rFonts w:ascii="Arial" w:hAnsi="Arial" w:cs="Arial"/>
            <w:noProof/>
            <w:webHidden/>
            <w:sz w:val="24"/>
            <w:szCs w:val="24"/>
          </w:rPr>
          <w:t>60</w:t>
        </w:r>
        <w:r w:rsidRPr="00836DB6">
          <w:rPr>
            <w:rFonts w:ascii="Arial" w:hAnsi="Arial" w:cs="Arial"/>
            <w:noProof/>
            <w:webHidden/>
            <w:sz w:val="24"/>
            <w:szCs w:val="24"/>
          </w:rPr>
          <w:fldChar w:fldCharType="end"/>
        </w:r>
      </w:hyperlink>
    </w:p>
    <w:p w14:paraId="170A47EA" w14:textId="71694854" w:rsidR="006D021F" w:rsidRDefault="00836DB6" w:rsidP="003D0BE2">
      <w:pPr>
        <w:spacing w:line="360" w:lineRule="auto"/>
        <w:jc w:val="both"/>
        <w:rPr>
          <w:rFonts w:ascii="Arial" w:hAnsi="Arial" w:cs="Arial"/>
          <w:sz w:val="24"/>
          <w:szCs w:val="24"/>
          <w:lang w:val="en-GB"/>
        </w:rPr>
      </w:pPr>
      <w:r>
        <w:rPr>
          <w:rFonts w:ascii="Arial" w:hAnsi="Arial" w:cs="Arial"/>
          <w:sz w:val="24"/>
          <w:szCs w:val="24"/>
          <w:lang w:val="en-GB"/>
        </w:rPr>
        <w:fldChar w:fldCharType="end"/>
      </w:r>
    </w:p>
    <w:p w14:paraId="0A059DD3" w14:textId="2FE0F4A6" w:rsidR="00AA0F05" w:rsidRDefault="00AA0F05" w:rsidP="006E6B3E">
      <w:pPr>
        <w:spacing w:line="360" w:lineRule="auto"/>
        <w:rPr>
          <w:rFonts w:ascii="Arial" w:hAnsi="Arial" w:cs="Arial"/>
          <w:sz w:val="24"/>
          <w:szCs w:val="24"/>
          <w:lang w:val="en-GB"/>
        </w:rPr>
      </w:pPr>
    </w:p>
    <w:p w14:paraId="6416596C" w14:textId="48E13D8C" w:rsidR="00AA0F05" w:rsidRDefault="00AA0F05" w:rsidP="006E6B3E">
      <w:pPr>
        <w:spacing w:line="360" w:lineRule="auto"/>
        <w:rPr>
          <w:rFonts w:ascii="Arial" w:hAnsi="Arial" w:cs="Arial"/>
          <w:sz w:val="24"/>
          <w:szCs w:val="24"/>
          <w:lang w:val="en-GB"/>
        </w:rPr>
      </w:pPr>
    </w:p>
    <w:p w14:paraId="04030DA9" w14:textId="7D77C348" w:rsidR="00AA0F05" w:rsidRDefault="00AA0F05" w:rsidP="006E6B3E">
      <w:pPr>
        <w:spacing w:line="360" w:lineRule="auto"/>
        <w:rPr>
          <w:rFonts w:ascii="Arial" w:hAnsi="Arial" w:cs="Arial"/>
          <w:sz w:val="24"/>
          <w:szCs w:val="24"/>
          <w:lang w:val="en-GB"/>
        </w:rPr>
      </w:pPr>
    </w:p>
    <w:p w14:paraId="768BA46D" w14:textId="1306FA96" w:rsidR="00AA0F05" w:rsidRDefault="00AA0F05" w:rsidP="006E6B3E">
      <w:pPr>
        <w:spacing w:line="360" w:lineRule="auto"/>
        <w:rPr>
          <w:rFonts w:ascii="Arial" w:hAnsi="Arial" w:cs="Arial"/>
          <w:sz w:val="24"/>
          <w:szCs w:val="24"/>
          <w:lang w:val="en-GB"/>
        </w:rPr>
      </w:pPr>
    </w:p>
    <w:p w14:paraId="0DC7F6D4" w14:textId="4BF4F389" w:rsidR="00AA0F05" w:rsidRDefault="00AA0F05" w:rsidP="006E6B3E">
      <w:pPr>
        <w:spacing w:line="360" w:lineRule="auto"/>
        <w:rPr>
          <w:rFonts w:ascii="Arial" w:hAnsi="Arial" w:cs="Arial"/>
          <w:sz w:val="24"/>
          <w:szCs w:val="24"/>
          <w:lang w:val="en-GB"/>
        </w:rPr>
      </w:pPr>
    </w:p>
    <w:p w14:paraId="0F2FB7E6" w14:textId="4CD1F31A" w:rsidR="00AA0F05" w:rsidRDefault="00AA0F05" w:rsidP="006E6B3E">
      <w:pPr>
        <w:spacing w:line="360" w:lineRule="auto"/>
        <w:rPr>
          <w:rFonts w:ascii="Arial" w:hAnsi="Arial" w:cs="Arial"/>
          <w:sz w:val="24"/>
          <w:szCs w:val="24"/>
          <w:lang w:val="en-GB"/>
        </w:rPr>
      </w:pPr>
    </w:p>
    <w:p w14:paraId="2D681280" w14:textId="31E07414" w:rsidR="00AA0F05" w:rsidRDefault="00AA0F05" w:rsidP="006E6B3E">
      <w:pPr>
        <w:spacing w:line="360" w:lineRule="auto"/>
        <w:rPr>
          <w:rFonts w:ascii="Arial" w:hAnsi="Arial" w:cs="Arial"/>
          <w:sz w:val="24"/>
          <w:szCs w:val="24"/>
          <w:lang w:val="en-GB"/>
        </w:rPr>
      </w:pPr>
    </w:p>
    <w:p w14:paraId="0AD1F072" w14:textId="4DE452DC" w:rsidR="00AA0F05" w:rsidRDefault="00AA0F05" w:rsidP="006E6B3E">
      <w:pPr>
        <w:spacing w:line="360" w:lineRule="auto"/>
        <w:rPr>
          <w:rFonts w:ascii="Arial" w:hAnsi="Arial" w:cs="Arial"/>
          <w:sz w:val="24"/>
          <w:szCs w:val="24"/>
          <w:lang w:val="en-GB"/>
        </w:rPr>
      </w:pPr>
    </w:p>
    <w:p w14:paraId="4B4BA175" w14:textId="60B86DD1" w:rsidR="00AA0F05" w:rsidRDefault="00AA0F05" w:rsidP="006E6B3E">
      <w:pPr>
        <w:spacing w:line="360" w:lineRule="auto"/>
        <w:rPr>
          <w:rFonts w:ascii="Arial" w:hAnsi="Arial" w:cs="Arial"/>
          <w:sz w:val="24"/>
          <w:szCs w:val="24"/>
          <w:lang w:val="en-GB"/>
        </w:rPr>
      </w:pPr>
    </w:p>
    <w:p w14:paraId="1E59DDF1" w14:textId="415C77A2" w:rsidR="00AA0F05" w:rsidRDefault="00AA0F05" w:rsidP="006E6B3E">
      <w:pPr>
        <w:spacing w:line="360" w:lineRule="auto"/>
        <w:rPr>
          <w:rFonts w:ascii="Arial" w:hAnsi="Arial" w:cs="Arial"/>
          <w:sz w:val="24"/>
          <w:szCs w:val="24"/>
          <w:lang w:val="en-GB"/>
        </w:rPr>
      </w:pPr>
    </w:p>
    <w:p w14:paraId="08EB58D3" w14:textId="02CE2176" w:rsidR="00AA0F05" w:rsidRDefault="00AA0F05" w:rsidP="006E6B3E">
      <w:pPr>
        <w:spacing w:line="360" w:lineRule="auto"/>
        <w:rPr>
          <w:rFonts w:ascii="Arial" w:hAnsi="Arial" w:cs="Arial"/>
          <w:sz w:val="24"/>
          <w:szCs w:val="24"/>
          <w:lang w:val="en-GB"/>
        </w:rPr>
      </w:pPr>
    </w:p>
    <w:p w14:paraId="595DDFA5" w14:textId="77777777" w:rsidR="00EE305D" w:rsidRDefault="00EE305D" w:rsidP="00EE305D">
      <w:pPr>
        <w:jc w:val="center"/>
        <w:rPr>
          <w:rFonts w:ascii="Arial" w:hAnsi="Arial" w:cs="Arial"/>
          <w:b/>
          <w:bCs/>
          <w:sz w:val="28"/>
        </w:rPr>
      </w:pPr>
      <w:r w:rsidRPr="003A3104">
        <w:rPr>
          <w:rFonts w:ascii="Arial" w:hAnsi="Arial" w:cs="Arial"/>
          <w:b/>
          <w:bCs/>
          <w:sz w:val="28"/>
        </w:rPr>
        <w:lastRenderedPageBreak/>
        <w:t>List of Figure</w:t>
      </w:r>
    </w:p>
    <w:p w14:paraId="24680B84" w14:textId="491AAB6C" w:rsidR="00DF4A3C" w:rsidRPr="00DF4A3C" w:rsidRDefault="00DF4A3C" w:rsidP="00DF4A3C">
      <w:pPr>
        <w:pStyle w:val="TableofFigures"/>
        <w:tabs>
          <w:tab w:val="right" w:leader="dot" w:pos="9016"/>
        </w:tabs>
        <w:spacing w:line="360" w:lineRule="auto"/>
        <w:jc w:val="both"/>
        <w:rPr>
          <w:rFonts w:ascii="Arial" w:eastAsiaTheme="minorEastAsia" w:hAnsi="Arial" w:cs="Arial"/>
          <w:noProof/>
          <w:sz w:val="24"/>
          <w:szCs w:val="24"/>
          <w:lang w:val="en-GB" w:eastAsia="en-GB"/>
        </w:rPr>
      </w:pPr>
      <w:r w:rsidRPr="00DF4A3C">
        <w:rPr>
          <w:rFonts w:ascii="Arial" w:hAnsi="Arial" w:cs="Arial"/>
          <w:sz w:val="24"/>
          <w:szCs w:val="24"/>
          <w:lang w:val="en-GB"/>
        </w:rPr>
        <w:fldChar w:fldCharType="begin"/>
      </w:r>
      <w:r w:rsidRPr="00DF4A3C">
        <w:rPr>
          <w:rFonts w:ascii="Arial" w:hAnsi="Arial" w:cs="Arial"/>
          <w:sz w:val="24"/>
          <w:szCs w:val="24"/>
          <w:lang w:val="en-GB"/>
        </w:rPr>
        <w:instrText xml:space="preserve"> TOC \h \z \c "Figure" </w:instrText>
      </w:r>
      <w:r w:rsidRPr="00DF4A3C">
        <w:rPr>
          <w:rFonts w:ascii="Arial" w:hAnsi="Arial" w:cs="Arial"/>
          <w:sz w:val="24"/>
          <w:szCs w:val="24"/>
          <w:lang w:val="en-GB"/>
        </w:rPr>
        <w:fldChar w:fldCharType="separate"/>
      </w:r>
      <w:hyperlink w:anchor="_Toc241170867" w:history="1">
        <w:r w:rsidRPr="00DF4A3C">
          <w:rPr>
            <w:rStyle w:val="Hyperlink"/>
            <w:rFonts w:ascii="Arial" w:hAnsi="Arial" w:cs="Arial"/>
            <w:noProof/>
            <w:sz w:val="24"/>
            <w:szCs w:val="24"/>
          </w:rPr>
          <w:t>Figure 1.: Strategic Logic for The Ethical Bean Coffee House</w:t>
        </w:r>
        <w:r w:rsidRPr="00DF4A3C">
          <w:rPr>
            <w:rFonts w:ascii="Arial" w:hAnsi="Arial" w:cs="Arial"/>
            <w:noProof/>
            <w:webHidden/>
            <w:sz w:val="24"/>
            <w:szCs w:val="24"/>
          </w:rPr>
          <w:tab/>
        </w:r>
        <w:r w:rsidRPr="00DF4A3C">
          <w:rPr>
            <w:rFonts w:ascii="Arial" w:hAnsi="Arial" w:cs="Arial"/>
            <w:noProof/>
            <w:webHidden/>
            <w:sz w:val="24"/>
            <w:szCs w:val="24"/>
          </w:rPr>
          <w:fldChar w:fldCharType="begin"/>
        </w:r>
        <w:r w:rsidRPr="00DF4A3C">
          <w:rPr>
            <w:rFonts w:ascii="Arial" w:hAnsi="Arial" w:cs="Arial"/>
            <w:noProof/>
            <w:webHidden/>
            <w:sz w:val="24"/>
            <w:szCs w:val="24"/>
          </w:rPr>
          <w:instrText xml:space="preserve"> PAGEREF _Toc241170867 \h </w:instrText>
        </w:r>
        <w:r w:rsidRPr="00DF4A3C">
          <w:rPr>
            <w:rFonts w:ascii="Arial" w:hAnsi="Arial" w:cs="Arial"/>
            <w:noProof/>
            <w:webHidden/>
            <w:sz w:val="24"/>
            <w:szCs w:val="24"/>
          </w:rPr>
        </w:r>
        <w:r w:rsidRPr="00DF4A3C">
          <w:rPr>
            <w:rFonts w:ascii="Arial" w:hAnsi="Arial" w:cs="Arial"/>
            <w:noProof/>
            <w:webHidden/>
            <w:sz w:val="24"/>
            <w:szCs w:val="24"/>
          </w:rPr>
          <w:fldChar w:fldCharType="separate"/>
        </w:r>
        <w:r w:rsidRPr="00DF4A3C">
          <w:rPr>
            <w:rFonts w:ascii="Arial" w:hAnsi="Arial" w:cs="Arial"/>
            <w:noProof/>
            <w:webHidden/>
            <w:sz w:val="24"/>
            <w:szCs w:val="24"/>
          </w:rPr>
          <w:t>38</w:t>
        </w:r>
        <w:r w:rsidRPr="00DF4A3C">
          <w:rPr>
            <w:rFonts w:ascii="Arial" w:hAnsi="Arial" w:cs="Arial"/>
            <w:noProof/>
            <w:webHidden/>
            <w:sz w:val="24"/>
            <w:szCs w:val="24"/>
          </w:rPr>
          <w:fldChar w:fldCharType="end"/>
        </w:r>
      </w:hyperlink>
    </w:p>
    <w:p w14:paraId="36D8B265" w14:textId="2757A1A7" w:rsidR="00EE305D" w:rsidRPr="002E5287" w:rsidRDefault="00DF4A3C" w:rsidP="00DF4A3C">
      <w:pPr>
        <w:spacing w:line="360" w:lineRule="auto"/>
        <w:jc w:val="both"/>
        <w:rPr>
          <w:rFonts w:ascii="Arial" w:hAnsi="Arial" w:cs="Arial"/>
          <w:sz w:val="24"/>
          <w:szCs w:val="24"/>
          <w:lang w:val="en-GB"/>
        </w:rPr>
      </w:pPr>
      <w:r w:rsidRPr="00DF4A3C">
        <w:rPr>
          <w:rFonts w:ascii="Arial" w:hAnsi="Arial" w:cs="Arial"/>
          <w:sz w:val="24"/>
          <w:szCs w:val="24"/>
          <w:lang w:val="en-GB"/>
        </w:rPr>
        <w:fldChar w:fldCharType="end"/>
      </w:r>
    </w:p>
    <w:p w14:paraId="68F9D89B" w14:textId="0F1AFB69" w:rsidR="00A31DCA" w:rsidRPr="002E5287" w:rsidRDefault="00A31DCA" w:rsidP="00A31DCA">
      <w:pPr>
        <w:pStyle w:val="Heading1"/>
        <w:spacing w:line="360" w:lineRule="auto"/>
        <w:rPr>
          <w:lang w:val="en-GB"/>
        </w:rPr>
        <w:sectPr w:rsidR="00A31DCA" w:rsidRPr="002E5287" w:rsidSect="00E23192">
          <w:footerReference w:type="default" r:id="rId11"/>
          <w:pgSz w:w="11906" w:h="16838"/>
          <w:pgMar w:top="1440" w:right="1440" w:bottom="1440" w:left="1440" w:header="708" w:footer="708" w:gutter="0"/>
          <w:pgNumType w:fmt="lowerRoman" w:start="1"/>
          <w:cols w:space="708"/>
          <w:docGrid w:linePitch="360"/>
        </w:sectPr>
      </w:pPr>
    </w:p>
    <w:p w14:paraId="7E7C9F73" w14:textId="77777777" w:rsidR="001B41A5" w:rsidRPr="00974088" w:rsidRDefault="001B41A5" w:rsidP="003246D3">
      <w:pPr>
        <w:pStyle w:val="Heading1"/>
        <w:jc w:val="center"/>
        <w:rPr>
          <w:rFonts w:eastAsia="Times New Roman"/>
          <w:lang w:val="en-GB" w:eastAsia="en-GB"/>
        </w:rPr>
      </w:pPr>
      <w:bookmarkStart w:id="2" w:name="_Toc241167407"/>
      <w:r w:rsidRPr="00974088">
        <w:rPr>
          <w:rFonts w:eastAsia="Times New Roman"/>
          <w:lang w:val="en-GB" w:eastAsia="en-GB"/>
        </w:rPr>
        <w:lastRenderedPageBreak/>
        <w:t>Chapter 1: Introdu</w:t>
      </w:r>
      <w:bookmarkStart w:id="3" w:name="_GoBack"/>
      <w:bookmarkEnd w:id="3"/>
      <w:r w:rsidRPr="00974088">
        <w:rPr>
          <w:rFonts w:eastAsia="Times New Roman"/>
          <w:lang w:val="en-GB" w:eastAsia="en-GB"/>
        </w:rPr>
        <w:t>ction</w:t>
      </w:r>
      <w:bookmarkEnd w:id="2"/>
    </w:p>
    <w:p w14:paraId="0DFDF218" w14:textId="77777777" w:rsidR="001B41A5" w:rsidRPr="00974088" w:rsidRDefault="001B41A5" w:rsidP="00201851">
      <w:pPr>
        <w:pStyle w:val="Heading2"/>
        <w:rPr>
          <w:rFonts w:eastAsia="Times New Roman"/>
          <w:lang w:val="en-GB" w:eastAsia="en-GB"/>
        </w:rPr>
      </w:pPr>
      <w:bookmarkStart w:id="4" w:name="_Toc241167408"/>
      <w:r w:rsidRPr="00974088">
        <w:rPr>
          <w:rFonts w:eastAsia="Times New Roman"/>
          <w:lang w:val="en-GB" w:eastAsia="en-GB"/>
        </w:rPr>
        <w:t>1.1 Background and Context</w:t>
      </w:r>
      <w:bookmarkEnd w:id="4"/>
    </w:p>
    <w:p w14:paraId="1F0A6CFE" w14:textId="2CB5BEDC"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The UK coffee shop industry represents a significant and increasingly competitive component of the foodservice sector. Coffee is deeply embedded in UK consumer culture, with the British Coffee Association reporting approximately 98 million cups consumed daily and more than 210,000 jobs supported by the wider coffee industry (British Coffee Association, 2022). Recent industry evidence indicates continued market expansion, with the UK branded coffee shop market valued at approximately £6.1 billion in 2025 and comprising 11,456 outlets, representing 5.2% growth over the previous year (World Coffee Portal, 2025). </w:t>
      </w:r>
    </w:p>
    <w:p w14:paraId="2F38D585" w14:textId="42808C3F" w:rsidR="001B41A5" w:rsidRPr="00974088" w:rsidRDefault="003D61F8" w:rsidP="00974088">
      <w:pPr>
        <w:spacing w:line="360" w:lineRule="auto"/>
        <w:jc w:val="both"/>
        <w:rPr>
          <w:rFonts w:ascii="Arial" w:hAnsi="Arial" w:cs="Arial"/>
          <w:sz w:val="24"/>
          <w:szCs w:val="24"/>
          <w:lang w:val="en-GB" w:eastAsia="en-GB"/>
        </w:rPr>
      </w:pPr>
      <w:r w:rsidRPr="003D61F8">
        <w:rPr>
          <w:rFonts w:ascii="Arial" w:hAnsi="Arial" w:cs="Arial"/>
          <w:sz w:val="24"/>
          <w:szCs w:val="24"/>
          <w:lang w:val="en-GB" w:eastAsia="en-GB"/>
        </w:rPr>
        <w:t>The Ethical Bean Coffee House (TEBC) is proposed for Monmouth Street, Covent Garden, London, UK, an established food,</w:t>
      </w:r>
      <w:r>
        <w:rPr>
          <w:rFonts w:ascii="Arial" w:hAnsi="Arial" w:cs="Arial"/>
          <w:sz w:val="24"/>
          <w:szCs w:val="24"/>
          <w:lang w:val="en-GB" w:eastAsia="en-GB"/>
        </w:rPr>
        <w:t xml:space="preserve"> retail and tourism destination</w:t>
      </w:r>
      <w:r w:rsidR="001B41A5" w:rsidRPr="00974088">
        <w:rPr>
          <w:rFonts w:ascii="Arial" w:hAnsi="Arial" w:cs="Arial"/>
          <w:sz w:val="24"/>
          <w:szCs w:val="24"/>
          <w:lang w:val="en-GB" w:eastAsia="en-GB"/>
        </w:rPr>
        <w:t xml:space="preserve">. </w:t>
      </w:r>
      <w:r w:rsidR="008B596B" w:rsidRPr="008B596B">
        <w:rPr>
          <w:rFonts w:ascii="Arial" w:hAnsi="Arial" w:cs="Arial"/>
          <w:sz w:val="24"/>
          <w:szCs w:val="24"/>
          <w:lang w:val="en-GB" w:eastAsia="en-GB"/>
        </w:rPr>
        <w:t xml:space="preserve">There is already a specialty coffee presence in the area, with Monmouth Coffee Company and </w:t>
      </w:r>
      <w:proofErr w:type="spellStart"/>
      <w:r w:rsidR="008B596B" w:rsidRPr="008B596B">
        <w:rPr>
          <w:rFonts w:ascii="Arial" w:hAnsi="Arial" w:cs="Arial"/>
          <w:sz w:val="24"/>
          <w:szCs w:val="24"/>
          <w:lang w:val="en-GB" w:eastAsia="en-GB"/>
        </w:rPr>
        <w:t>WatchHouse</w:t>
      </w:r>
      <w:proofErr w:type="spellEnd"/>
      <w:r w:rsidR="008B596B" w:rsidRPr="008B596B">
        <w:rPr>
          <w:rFonts w:ascii="Arial" w:hAnsi="Arial" w:cs="Arial"/>
          <w:sz w:val="24"/>
          <w:szCs w:val="24"/>
          <w:lang w:val="en-GB" w:eastAsia="en-GB"/>
        </w:rPr>
        <w:t xml:space="preserve">; this means that it is an attractive environment for customers and a very competitive coffee market (Covent Garden London, 2026). There is need to differentiate as Monmouth Coffee Company is found at 27 Monmouth Street </w:t>
      </w:r>
      <w:r w:rsidR="008B596B">
        <w:rPr>
          <w:rFonts w:ascii="Arial" w:hAnsi="Arial" w:cs="Arial"/>
          <w:sz w:val="24"/>
          <w:szCs w:val="24"/>
          <w:lang w:val="en-GB" w:eastAsia="en-GB"/>
        </w:rPr>
        <w:t>(Monmouth Coffee Company, 2026)</w:t>
      </w:r>
      <w:r w:rsidR="001B41A5" w:rsidRPr="00974088">
        <w:rPr>
          <w:rFonts w:ascii="Arial" w:hAnsi="Arial" w:cs="Arial"/>
          <w:sz w:val="24"/>
          <w:szCs w:val="24"/>
          <w:lang w:val="en-GB" w:eastAsia="en-GB"/>
        </w:rPr>
        <w:t xml:space="preserve">. </w:t>
      </w:r>
    </w:p>
    <w:p w14:paraId="3264135A" w14:textId="77777777" w:rsidR="001B41A5" w:rsidRPr="00974088" w:rsidRDefault="001B41A5" w:rsidP="00201851">
      <w:pPr>
        <w:pStyle w:val="Heading2"/>
        <w:jc w:val="both"/>
        <w:rPr>
          <w:rFonts w:eastAsia="Times New Roman"/>
          <w:lang w:val="en-GB" w:eastAsia="en-GB"/>
        </w:rPr>
      </w:pPr>
      <w:bookmarkStart w:id="5" w:name="_Toc241167409"/>
      <w:r w:rsidRPr="00974088">
        <w:rPr>
          <w:rFonts w:eastAsia="Times New Roman"/>
          <w:lang w:val="en-GB" w:eastAsia="en-GB"/>
        </w:rPr>
        <w:t>1.2 Problem or Opportunity Statement</w:t>
      </w:r>
      <w:bookmarkEnd w:id="5"/>
    </w:p>
    <w:p w14:paraId="7BA90718" w14:textId="7A3C0E57" w:rsidR="001B41A5" w:rsidRPr="00974088" w:rsidRDefault="001D0D7C" w:rsidP="00974088">
      <w:pPr>
        <w:spacing w:line="360" w:lineRule="auto"/>
        <w:jc w:val="both"/>
        <w:rPr>
          <w:rFonts w:ascii="Arial" w:hAnsi="Arial" w:cs="Arial"/>
          <w:sz w:val="24"/>
          <w:szCs w:val="24"/>
          <w:lang w:val="en-GB" w:eastAsia="en-GB"/>
        </w:rPr>
      </w:pPr>
      <w:r w:rsidRPr="001D0D7C">
        <w:rPr>
          <w:rFonts w:ascii="Arial" w:hAnsi="Arial" w:cs="Arial"/>
          <w:sz w:val="24"/>
          <w:szCs w:val="24"/>
          <w:lang w:val="en-GB" w:eastAsia="en-GB"/>
        </w:rPr>
        <w:t>The main business opportunity is the continued need for specialty coffee, and the rise in consumer demand for ethical and sustainable consumption. There are already some specialty coffee businesses established in Monmouth Street and the rest of the Covent Garden area, however, product quality cannot be the only factor that sets a business apart (Covent Garden London 2026), and this is a competitive space.</w:t>
      </w:r>
    </w:p>
    <w:p w14:paraId="1E821E61" w14:textId="77777777" w:rsidR="001B41A5" w:rsidRPr="00974088" w:rsidRDefault="001B41A5" w:rsidP="00201851">
      <w:pPr>
        <w:pStyle w:val="Heading2"/>
        <w:rPr>
          <w:rFonts w:eastAsia="Times New Roman"/>
          <w:lang w:val="en-GB" w:eastAsia="en-GB"/>
        </w:rPr>
      </w:pPr>
      <w:bookmarkStart w:id="6" w:name="_Toc241167410"/>
      <w:r w:rsidRPr="00974088">
        <w:rPr>
          <w:rFonts w:eastAsia="Times New Roman"/>
          <w:lang w:val="en-GB" w:eastAsia="en-GB"/>
        </w:rPr>
        <w:t>1.3 Initial Observation of Demand</w:t>
      </w:r>
      <w:bookmarkEnd w:id="6"/>
    </w:p>
    <w:p w14:paraId="67444121" w14:textId="6426DDE1" w:rsidR="001B41A5" w:rsidRPr="00974088" w:rsidRDefault="00974088"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Preliminary market evidence indicates sustained consumer engagement with UK coffee shops. World Coffee Portal (2025) reports that 60% of surveyed UK coffee-shop consumers visit coffee shops multiple times per week, while average consumer spending reached approximately £6.23 per visit. </w:t>
      </w:r>
      <w:r w:rsidR="00B20042" w:rsidRPr="00B20042">
        <w:rPr>
          <w:rFonts w:ascii="Arial" w:hAnsi="Arial" w:cs="Arial"/>
          <w:sz w:val="24"/>
          <w:szCs w:val="24"/>
          <w:lang w:val="en-GB" w:eastAsia="en-GB"/>
        </w:rPr>
        <w:t>This indicates continued engagement with café-based consumption despite wider cost-of-living pressures</w:t>
      </w:r>
      <w:r w:rsidRPr="00974088">
        <w:rPr>
          <w:rFonts w:ascii="Arial" w:hAnsi="Arial" w:cs="Arial"/>
          <w:sz w:val="24"/>
          <w:szCs w:val="24"/>
          <w:lang w:val="en-GB" w:eastAsia="en-GB"/>
        </w:rPr>
        <w:t xml:space="preserve">. Consumer interest in ethical consumption also provides a relevant demand signal, with Fairtrade </w:t>
      </w:r>
      <w:r w:rsidRPr="00974088">
        <w:rPr>
          <w:rFonts w:ascii="Arial" w:hAnsi="Arial" w:cs="Arial"/>
          <w:sz w:val="24"/>
          <w:szCs w:val="24"/>
          <w:lang w:val="en-GB" w:eastAsia="en-GB"/>
        </w:rPr>
        <w:lastRenderedPageBreak/>
        <w:t xml:space="preserve">reporting strong recognition and regular purchasing of Fairtrade products in the UK (Fairtrade, 2025). </w:t>
      </w:r>
    </w:p>
    <w:p w14:paraId="40838A19" w14:textId="77777777" w:rsidR="001B41A5" w:rsidRPr="00974088" w:rsidRDefault="001B41A5" w:rsidP="00201851">
      <w:pPr>
        <w:pStyle w:val="Heading2"/>
        <w:rPr>
          <w:rFonts w:eastAsia="Times New Roman"/>
          <w:lang w:val="en-GB" w:eastAsia="en-GB"/>
        </w:rPr>
      </w:pPr>
      <w:bookmarkStart w:id="7" w:name="_Toc241167411"/>
      <w:r w:rsidRPr="00974088">
        <w:rPr>
          <w:rFonts w:eastAsia="Times New Roman"/>
          <w:lang w:val="en-GB" w:eastAsia="en-GB"/>
        </w:rPr>
        <w:t>1.4 Aim, Objectives and Research Questions</w:t>
      </w:r>
      <w:bookmarkEnd w:id="7"/>
    </w:p>
    <w:p w14:paraId="1155B0BC" w14:textId="77777777" w:rsidR="001B41A5" w:rsidRPr="00974088" w:rsidRDefault="001B41A5" w:rsidP="00201851">
      <w:pPr>
        <w:pStyle w:val="Heading3"/>
        <w:rPr>
          <w:rFonts w:eastAsia="Times New Roman"/>
          <w:lang w:val="en-GB" w:eastAsia="en-GB"/>
        </w:rPr>
      </w:pPr>
      <w:bookmarkStart w:id="8" w:name="_Toc241167412"/>
      <w:r w:rsidRPr="00974088">
        <w:rPr>
          <w:rFonts w:eastAsia="Times New Roman"/>
          <w:lang w:val="en-GB" w:eastAsia="en-GB"/>
        </w:rPr>
        <w:t>Aim</w:t>
      </w:r>
      <w:bookmarkEnd w:id="8"/>
    </w:p>
    <w:p w14:paraId="1F69D2FF"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To evaluate the market opportunity, strategic requirements and commercial feasibility of establishing The Ethical Bean Coffee House as an ethically sourced and sustainability-focused specialty coffee business on Monmouth Street, Covent Garden, London.</w:t>
      </w:r>
    </w:p>
    <w:p w14:paraId="39D04B0B" w14:textId="77777777" w:rsidR="001B41A5" w:rsidRPr="00974088" w:rsidRDefault="001B41A5" w:rsidP="00201851">
      <w:pPr>
        <w:pStyle w:val="Heading3"/>
        <w:rPr>
          <w:rFonts w:eastAsia="Times New Roman"/>
          <w:lang w:val="en-GB" w:eastAsia="en-GB"/>
        </w:rPr>
      </w:pPr>
      <w:bookmarkStart w:id="9" w:name="_Toc241167413"/>
      <w:r w:rsidRPr="00974088">
        <w:rPr>
          <w:rFonts w:eastAsia="Times New Roman"/>
          <w:lang w:val="en-GB" w:eastAsia="en-GB"/>
        </w:rPr>
        <w:t>Objectives</w:t>
      </w:r>
      <w:bookmarkEnd w:id="9"/>
    </w:p>
    <w:p w14:paraId="06DBA6A3" w14:textId="3E6454E0" w:rsidR="001B41A5" w:rsidRPr="00201851" w:rsidRDefault="004A3578" w:rsidP="004A3578">
      <w:pPr>
        <w:pStyle w:val="ListParagraph"/>
        <w:numPr>
          <w:ilvl w:val="0"/>
          <w:numId w:val="1"/>
        </w:numPr>
        <w:spacing w:line="360" w:lineRule="auto"/>
        <w:jc w:val="both"/>
        <w:rPr>
          <w:rFonts w:ascii="Arial" w:hAnsi="Arial" w:cs="Arial"/>
          <w:sz w:val="24"/>
          <w:szCs w:val="24"/>
          <w:lang w:val="en-GB" w:eastAsia="en-GB"/>
        </w:rPr>
      </w:pPr>
      <w:r w:rsidRPr="004A3578">
        <w:rPr>
          <w:rFonts w:ascii="Arial" w:hAnsi="Arial" w:cs="Arial"/>
          <w:sz w:val="24"/>
          <w:szCs w:val="24"/>
          <w:lang w:val="en-GB" w:eastAsia="en-GB"/>
        </w:rPr>
        <w:t>To evaluate the UK specialty coffee market and the characteristics of Covent Garden using credible secondary market, demographic and industry evidence</w:t>
      </w:r>
      <w:r w:rsidR="001B41A5" w:rsidRPr="00201851">
        <w:rPr>
          <w:rFonts w:ascii="Arial" w:hAnsi="Arial" w:cs="Arial"/>
          <w:sz w:val="24"/>
          <w:szCs w:val="24"/>
          <w:lang w:val="en-GB" w:eastAsia="en-GB"/>
        </w:rPr>
        <w:t xml:space="preserve">. </w:t>
      </w:r>
    </w:p>
    <w:p w14:paraId="33947330" w14:textId="07A7CEB3" w:rsidR="001B41A5" w:rsidRPr="00201851" w:rsidRDefault="002B7691" w:rsidP="002B7691">
      <w:pPr>
        <w:pStyle w:val="ListParagraph"/>
        <w:numPr>
          <w:ilvl w:val="0"/>
          <w:numId w:val="1"/>
        </w:numPr>
        <w:spacing w:line="360" w:lineRule="auto"/>
        <w:jc w:val="both"/>
        <w:rPr>
          <w:rFonts w:ascii="Arial" w:hAnsi="Arial" w:cs="Arial"/>
          <w:sz w:val="24"/>
          <w:szCs w:val="24"/>
          <w:lang w:val="en-GB" w:eastAsia="en-GB"/>
        </w:rPr>
      </w:pPr>
      <w:r w:rsidRPr="002B7691">
        <w:rPr>
          <w:rFonts w:ascii="Arial" w:hAnsi="Arial" w:cs="Arial"/>
          <w:sz w:val="24"/>
          <w:szCs w:val="24"/>
          <w:lang w:val="en-GB" w:eastAsia="en-GB"/>
        </w:rPr>
        <w:t>To analyse customer needs, purchasing behaviour and sustainability preferences relevant to premium and ethically sourced coffee consumers using secondary evidence</w:t>
      </w:r>
      <w:r w:rsidR="001B41A5" w:rsidRPr="00201851">
        <w:rPr>
          <w:rFonts w:ascii="Arial" w:hAnsi="Arial" w:cs="Arial"/>
          <w:sz w:val="24"/>
          <w:szCs w:val="24"/>
          <w:lang w:val="en-GB" w:eastAsia="en-GB"/>
        </w:rPr>
        <w:t xml:space="preserve">. </w:t>
      </w:r>
    </w:p>
    <w:p w14:paraId="6113C636" w14:textId="0E179AD2" w:rsidR="001B41A5" w:rsidRPr="00201851" w:rsidRDefault="00B603F1" w:rsidP="00B603F1">
      <w:pPr>
        <w:pStyle w:val="ListParagraph"/>
        <w:numPr>
          <w:ilvl w:val="0"/>
          <w:numId w:val="1"/>
        </w:numPr>
        <w:spacing w:line="360" w:lineRule="auto"/>
        <w:jc w:val="both"/>
        <w:rPr>
          <w:rFonts w:ascii="Arial" w:hAnsi="Arial" w:cs="Arial"/>
          <w:sz w:val="24"/>
          <w:szCs w:val="24"/>
          <w:lang w:val="en-GB" w:eastAsia="en-GB"/>
        </w:rPr>
      </w:pPr>
      <w:r w:rsidRPr="00B603F1">
        <w:rPr>
          <w:rFonts w:ascii="Arial" w:hAnsi="Arial" w:cs="Arial"/>
          <w:sz w:val="24"/>
          <w:szCs w:val="24"/>
          <w:lang w:val="en-GB" w:eastAsia="en-GB"/>
        </w:rPr>
        <w:t>To evaluate the competitive environment of Monmouth Street and Covent Garden by comparing relevant competitors, pricing, product propositions, customer experience</w:t>
      </w:r>
      <w:r>
        <w:rPr>
          <w:rFonts w:ascii="Arial" w:hAnsi="Arial" w:cs="Arial"/>
          <w:sz w:val="24"/>
          <w:szCs w:val="24"/>
          <w:lang w:val="en-GB" w:eastAsia="en-GB"/>
        </w:rPr>
        <w:t xml:space="preserve"> and sustainability positioning</w:t>
      </w:r>
      <w:r w:rsidR="001B41A5" w:rsidRPr="00201851">
        <w:rPr>
          <w:rFonts w:ascii="Arial" w:hAnsi="Arial" w:cs="Arial"/>
          <w:sz w:val="24"/>
          <w:szCs w:val="24"/>
          <w:lang w:val="en-GB" w:eastAsia="en-GB"/>
        </w:rPr>
        <w:t xml:space="preserve">. </w:t>
      </w:r>
    </w:p>
    <w:p w14:paraId="4EA7F449"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develop and assess an evidence-based business strategy, business model, financial plan, operational plan and implementation approach for The Ethical Bean Coffee House and determine the conditions required for potential commercial feasibility. </w:t>
      </w:r>
    </w:p>
    <w:p w14:paraId="1C53793A" w14:textId="77777777" w:rsidR="001B41A5" w:rsidRPr="00974088" w:rsidRDefault="001B41A5" w:rsidP="00201851">
      <w:pPr>
        <w:pStyle w:val="Heading3"/>
        <w:rPr>
          <w:rFonts w:eastAsia="Times New Roman"/>
          <w:lang w:val="en-GB" w:eastAsia="en-GB"/>
        </w:rPr>
      </w:pPr>
      <w:bookmarkStart w:id="10" w:name="_Toc241167414"/>
      <w:r w:rsidRPr="00974088">
        <w:rPr>
          <w:rFonts w:eastAsia="Times New Roman"/>
          <w:lang w:val="en-GB" w:eastAsia="en-GB"/>
        </w:rPr>
        <w:t>Research Questions</w:t>
      </w:r>
      <w:bookmarkEnd w:id="10"/>
    </w:p>
    <w:p w14:paraId="495E5E57"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RQ1: What market conditions and consumer trends influence the opportunity for a specialty coffee business in Covent Garden?</w:t>
      </w:r>
    </w:p>
    <w:p w14:paraId="44561941"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RQ2: What customer needs, preferences and purchasing behaviours could support an ethically sourced and sustainability-focused coffee proposition?</w:t>
      </w:r>
    </w:p>
    <w:p w14:paraId="3613B0CD"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RQ3: How does The Ethical Bean Coffee House's proposed positioning compare with existing coffee-shop competitors in Monmouth Street and the wider Covent Garden area?</w:t>
      </w:r>
    </w:p>
    <w:p w14:paraId="2C726850"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RQ4: What business strategy, business model, financial structure and operational approach would be required to establish The Ethical Bean Coffee House?</w:t>
      </w:r>
    </w:p>
    <w:p w14:paraId="163065A1" w14:textId="7D850844" w:rsidR="001B41A5" w:rsidRPr="009449D4" w:rsidRDefault="001B41A5" w:rsidP="00974088">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lastRenderedPageBreak/>
        <w:t>RQ5: Under what conditions could The Ethical Bean Coffee House represent a commercially feasible business opportunity?</w:t>
      </w:r>
    </w:p>
    <w:p w14:paraId="59B790CD" w14:textId="77777777" w:rsidR="001B41A5" w:rsidRPr="00974088" w:rsidRDefault="001B41A5" w:rsidP="00201851">
      <w:pPr>
        <w:pStyle w:val="Heading2"/>
        <w:rPr>
          <w:rFonts w:eastAsia="Times New Roman"/>
          <w:lang w:val="en-GB" w:eastAsia="en-GB"/>
        </w:rPr>
      </w:pPr>
      <w:bookmarkStart w:id="11" w:name="_Toc241167415"/>
      <w:r w:rsidRPr="00974088">
        <w:rPr>
          <w:rFonts w:eastAsia="Times New Roman"/>
          <w:lang w:val="en-GB" w:eastAsia="en-GB"/>
        </w:rPr>
        <w:t>1.5 Scope and Boundaries</w:t>
      </w:r>
      <w:bookmarkEnd w:id="11"/>
    </w:p>
    <w:p w14:paraId="723AF4F7" w14:textId="2F4E47D5"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The BDP focuses on a proposed new specialty coffee business located on Monmouth Street, Covent Garden, London, UK. </w:t>
      </w:r>
      <w:r w:rsidR="003A3A60" w:rsidRPr="003A3A60">
        <w:rPr>
          <w:rFonts w:ascii="Arial" w:hAnsi="Arial" w:cs="Arial"/>
          <w:sz w:val="24"/>
          <w:szCs w:val="24"/>
          <w:lang w:val="en-GB" w:eastAsia="en-GB"/>
        </w:rPr>
        <w:t>The analysis focuses primarily on ethically conscious specialty-coffee consumers, urban professionals and selected visit</w:t>
      </w:r>
      <w:r w:rsidR="003A3A60">
        <w:rPr>
          <w:rFonts w:ascii="Arial" w:hAnsi="Arial" w:cs="Arial"/>
          <w:sz w:val="24"/>
          <w:szCs w:val="24"/>
          <w:lang w:val="en-GB" w:eastAsia="en-GB"/>
        </w:rPr>
        <w:t>ors in and around Covent Garden</w:t>
      </w:r>
      <w:r w:rsidRPr="00974088">
        <w:rPr>
          <w:rFonts w:ascii="Arial" w:hAnsi="Arial" w:cs="Arial"/>
          <w:sz w:val="24"/>
          <w:szCs w:val="24"/>
          <w:lang w:val="en-GB" w:eastAsia="en-GB"/>
        </w:rPr>
        <w:t xml:space="preserve">. </w:t>
      </w:r>
      <w:r w:rsidR="00A8520D" w:rsidRPr="00A8520D">
        <w:rPr>
          <w:rFonts w:ascii="Arial" w:hAnsi="Arial" w:cs="Arial"/>
          <w:sz w:val="24"/>
          <w:szCs w:val="24"/>
          <w:lang w:val="en-GB" w:eastAsia="en-GB"/>
        </w:rPr>
        <w:t xml:space="preserve">The research uses secondary evidence only, including academic literature, government statistics, industry reports, official company information and other credible </w:t>
      </w:r>
      <w:r w:rsidR="00A8520D">
        <w:rPr>
          <w:rFonts w:ascii="Arial" w:hAnsi="Arial" w:cs="Arial"/>
          <w:sz w:val="24"/>
          <w:szCs w:val="24"/>
          <w:lang w:val="en-GB" w:eastAsia="en-GB"/>
        </w:rPr>
        <w:t>published sources</w:t>
      </w:r>
      <w:r w:rsidRPr="00974088">
        <w:rPr>
          <w:rFonts w:ascii="Arial" w:hAnsi="Arial" w:cs="Arial"/>
          <w:sz w:val="24"/>
          <w:szCs w:val="24"/>
          <w:lang w:val="en-GB" w:eastAsia="en-GB"/>
        </w:rPr>
        <w:t xml:space="preserve">. Primary surveys, interviews and focus groups are outside the scope. </w:t>
      </w:r>
      <w:r w:rsidR="0002780B" w:rsidRPr="0002780B">
        <w:rPr>
          <w:rFonts w:ascii="Arial" w:hAnsi="Arial" w:cs="Arial"/>
          <w:sz w:val="24"/>
          <w:szCs w:val="24"/>
          <w:lang w:val="en-GB" w:eastAsia="en-GB"/>
        </w:rPr>
        <w:t>The analysis was completed within the planned 16-week BDP timeframe</w:t>
      </w:r>
      <w:r w:rsidR="0002780B">
        <w:rPr>
          <w:rFonts w:ascii="Arial" w:hAnsi="Arial" w:cs="Arial"/>
          <w:sz w:val="24"/>
          <w:szCs w:val="24"/>
          <w:lang w:val="en-GB" w:eastAsia="en-GB"/>
        </w:rPr>
        <w:t>.</w:t>
      </w:r>
    </w:p>
    <w:p w14:paraId="5AD4A888" w14:textId="77777777" w:rsidR="001B41A5" w:rsidRPr="00974088" w:rsidRDefault="001B41A5" w:rsidP="00201851">
      <w:pPr>
        <w:pStyle w:val="Heading2"/>
        <w:rPr>
          <w:rFonts w:eastAsia="Times New Roman"/>
          <w:lang w:val="en-GB" w:eastAsia="en-GB"/>
        </w:rPr>
      </w:pPr>
      <w:bookmarkStart w:id="12" w:name="_Toc241167416"/>
      <w:r w:rsidRPr="00974088">
        <w:rPr>
          <w:rFonts w:eastAsia="Times New Roman"/>
          <w:lang w:val="en-GB" w:eastAsia="en-GB"/>
        </w:rPr>
        <w:t>1.6 Structure of the Report</w:t>
      </w:r>
      <w:bookmarkEnd w:id="12"/>
    </w:p>
    <w:p w14:paraId="2B524C8A" w14:textId="6BC62329" w:rsidR="001B41A5" w:rsidRPr="00974088" w:rsidRDefault="00AC7CF3" w:rsidP="00974088">
      <w:pPr>
        <w:spacing w:line="360" w:lineRule="auto"/>
        <w:jc w:val="both"/>
        <w:rPr>
          <w:rFonts w:ascii="Arial" w:hAnsi="Arial" w:cs="Arial"/>
          <w:sz w:val="24"/>
          <w:szCs w:val="24"/>
          <w:lang w:val="en-GB" w:eastAsia="en-GB"/>
        </w:rPr>
      </w:pPr>
      <w:r w:rsidRPr="00AC7CF3">
        <w:rPr>
          <w:rFonts w:ascii="Arial" w:hAnsi="Arial" w:cs="Arial"/>
          <w:sz w:val="24"/>
          <w:szCs w:val="24"/>
          <w:lang w:val="en-GB" w:eastAsia="en-GB"/>
        </w:rPr>
        <w:t>Chapter 3 provides the academic basis and Chapter 4 discusses the secondary research method. Chapters 5-10 build up the market, competitive, strategic, business-model, financial and operational case; and Chapters 11-14 assess feasibility, implementation, conclusions and reflection. The chapters evaluate the proposed opportunity in a systematic manner, rather than taking i</w:t>
      </w:r>
      <w:r>
        <w:rPr>
          <w:rFonts w:ascii="Arial" w:hAnsi="Arial" w:cs="Arial"/>
          <w:sz w:val="24"/>
          <w:szCs w:val="24"/>
          <w:lang w:val="en-GB" w:eastAsia="en-GB"/>
        </w:rPr>
        <w:t>t for granted that it is viable</w:t>
      </w:r>
      <w:r w:rsidR="001B41A5" w:rsidRPr="00974088">
        <w:rPr>
          <w:rFonts w:ascii="Arial" w:hAnsi="Arial" w:cs="Arial"/>
          <w:sz w:val="24"/>
          <w:szCs w:val="24"/>
          <w:lang w:val="en-GB" w:eastAsia="en-GB"/>
        </w:rPr>
        <w:t>.</w:t>
      </w:r>
    </w:p>
    <w:p w14:paraId="0F4F0987" w14:textId="4735E917" w:rsidR="001B41A5" w:rsidRDefault="001B41A5" w:rsidP="001B41A5">
      <w:pPr>
        <w:spacing w:after="0" w:line="240" w:lineRule="auto"/>
        <w:rPr>
          <w:rFonts w:ascii="Times New Roman" w:eastAsia="Times New Roman" w:hAnsi="Times New Roman" w:cs="Times New Roman"/>
          <w:sz w:val="24"/>
          <w:szCs w:val="24"/>
          <w:lang w:val="en-GB" w:eastAsia="en-GB"/>
        </w:rPr>
      </w:pPr>
    </w:p>
    <w:p w14:paraId="7A3BEFD8" w14:textId="2275B149" w:rsidR="00201851" w:rsidRDefault="00201851" w:rsidP="001B41A5">
      <w:pPr>
        <w:spacing w:after="0" w:line="240" w:lineRule="auto"/>
        <w:rPr>
          <w:rFonts w:ascii="Times New Roman" w:eastAsia="Times New Roman" w:hAnsi="Times New Roman" w:cs="Times New Roman"/>
          <w:sz w:val="24"/>
          <w:szCs w:val="24"/>
          <w:lang w:val="en-GB" w:eastAsia="en-GB"/>
        </w:rPr>
      </w:pPr>
    </w:p>
    <w:p w14:paraId="181F08E6" w14:textId="705FA9B6" w:rsidR="00201851" w:rsidRDefault="00201851" w:rsidP="001B41A5">
      <w:pPr>
        <w:spacing w:after="0" w:line="240" w:lineRule="auto"/>
        <w:rPr>
          <w:rFonts w:ascii="Times New Roman" w:eastAsia="Times New Roman" w:hAnsi="Times New Roman" w:cs="Times New Roman"/>
          <w:sz w:val="24"/>
          <w:szCs w:val="24"/>
          <w:lang w:val="en-GB" w:eastAsia="en-GB"/>
        </w:rPr>
      </w:pPr>
    </w:p>
    <w:p w14:paraId="20FE9BBD" w14:textId="08ECC172" w:rsidR="00201851" w:rsidRDefault="00201851" w:rsidP="001B41A5">
      <w:pPr>
        <w:spacing w:after="0" w:line="240" w:lineRule="auto"/>
        <w:rPr>
          <w:rFonts w:ascii="Times New Roman" w:eastAsia="Times New Roman" w:hAnsi="Times New Roman" w:cs="Times New Roman"/>
          <w:sz w:val="24"/>
          <w:szCs w:val="24"/>
          <w:lang w:val="en-GB" w:eastAsia="en-GB"/>
        </w:rPr>
      </w:pPr>
    </w:p>
    <w:p w14:paraId="7DC5EEF4" w14:textId="7737FC5B" w:rsidR="00201851" w:rsidRDefault="00201851" w:rsidP="001B41A5">
      <w:pPr>
        <w:spacing w:after="0" w:line="240" w:lineRule="auto"/>
        <w:rPr>
          <w:rFonts w:ascii="Times New Roman" w:eastAsia="Times New Roman" w:hAnsi="Times New Roman" w:cs="Times New Roman"/>
          <w:sz w:val="24"/>
          <w:szCs w:val="24"/>
          <w:lang w:val="en-GB" w:eastAsia="en-GB"/>
        </w:rPr>
      </w:pPr>
    </w:p>
    <w:p w14:paraId="39D91DA7" w14:textId="23FCBF94" w:rsidR="00201851" w:rsidRDefault="00201851" w:rsidP="001B41A5">
      <w:pPr>
        <w:spacing w:after="0" w:line="240" w:lineRule="auto"/>
        <w:rPr>
          <w:rFonts w:ascii="Times New Roman" w:eastAsia="Times New Roman" w:hAnsi="Times New Roman" w:cs="Times New Roman"/>
          <w:sz w:val="24"/>
          <w:szCs w:val="24"/>
          <w:lang w:val="en-GB" w:eastAsia="en-GB"/>
        </w:rPr>
      </w:pPr>
    </w:p>
    <w:p w14:paraId="324E5208" w14:textId="60990CD5" w:rsidR="00201851" w:rsidRDefault="00201851" w:rsidP="001B41A5">
      <w:pPr>
        <w:spacing w:after="0" w:line="240" w:lineRule="auto"/>
        <w:rPr>
          <w:rFonts w:ascii="Times New Roman" w:eastAsia="Times New Roman" w:hAnsi="Times New Roman" w:cs="Times New Roman"/>
          <w:sz w:val="24"/>
          <w:szCs w:val="24"/>
          <w:lang w:val="en-GB" w:eastAsia="en-GB"/>
        </w:rPr>
      </w:pPr>
    </w:p>
    <w:p w14:paraId="6A8E24AA" w14:textId="04AA4CF8" w:rsidR="00201851" w:rsidRDefault="00201851" w:rsidP="001B41A5">
      <w:pPr>
        <w:spacing w:after="0" w:line="240" w:lineRule="auto"/>
        <w:rPr>
          <w:rFonts w:ascii="Times New Roman" w:eastAsia="Times New Roman" w:hAnsi="Times New Roman" w:cs="Times New Roman"/>
          <w:sz w:val="24"/>
          <w:szCs w:val="24"/>
          <w:lang w:val="en-GB" w:eastAsia="en-GB"/>
        </w:rPr>
      </w:pPr>
    </w:p>
    <w:p w14:paraId="14576F7F" w14:textId="0DD36701" w:rsidR="00201851" w:rsidRDefault="00201851" w:rsidP="001B41A5">
      <w:pPr>
        <w:spacing w:after="0" w:line="240" w:lineRule="auto"/>
        <w:rPr>
          <w:rFonts w:ascii="Times New Roman" w:eastAsia="Times New Roman" w:hAnsi="Times New Roman" w:cs="Times New Roman"/>
          <w:sz w:val="24"/>
          <w:szCs w:val="24"/>
          <w:lang w:val="en-GB" w:eastAsia="en-GB"/>
        </w:rPr>
      </w:pPr>
    </w:p>
    <w:p w14:paraId="02234F2F" w14:textId="35E022F9" w:rsidR="00201851" w:rsidRDefault="00201851" w:rsidP="001B41A5">
      <w:pPr>
        <w:spacing w:after="0" w:line="240" w:lineRule="auto"/>
        <w:rPr>
          <w:rFonts w:ascii="Times New Roman" w:eastAsia="Times New Roman" w:hAnsi="Times New Roman" w:cs="Times New Roman"/>
          <w:sz w:val="24"/>
          <w:szCs w:val="24"/>
          <w:lang w:val="en-GB" w:eastAsia="en-GB"/>
        </w:rPr>
      </w:pPr>
    </w:p>
    <w:p w14:paraId="72AA6DAA" w14:textId="4CB261A3" w:rsidR="00201851" w:rsidRDefault="00201851" w:rsidP="001B41A5">
      <w:pPr>
        <w:spacing w:after="0" w:line="240" w:lineRule="auto"/>
        <w:rPr>
          <w:rFonts w:ascii="Times New Roman" w:eastAsia="Times New Roman" w:hAnsi="Times New Roman" w:cs="Times New Roman"/>
          <w:sz w:val="24"/>
          <w:szCs w:val="24"/>
          <w:lang w:val="en-GB" w:eastAsia="en-GB"/>
        </w:rPr>
      </w:pPr>
    </w:p>
    <w:p w14:paraId="72589AAE" w14:textId="3831D6B8" w:rsidR="00201851" w:rsidRDefault="00201851" w:rsidP="001B41A5">
      <w:pPr>
        <w:spacing w:after="0" w:line="240" w:lineRule="auto"/>
        <w:rPr>
          <w:rFonts w:ascii="Times New Roman" w:eastAsia="Times New Roman" w:hAnsi="Times New Roman" w:cs="Times New Roman"/>
          <w:sz w:val="24"/>
          <w:szCs w:val="24"/>
          <w:lang w:val="en-GB" w:eastAsia="en-GB"/>
        </w:rPr>
      </w:pPr>
    </w:p>
    <w:p w14:paraId="6B071DA5" w14:textId="2801A984" w:rsidR="00201851" w:rsidRDefault="00201851" w:rsidP="001B41A5">
      <w:pPr>
        <w:spacing w:after="0" w:line="240" w:lineRule="auto"/>
        <w:rPr>
          <w:rFonts w:ascii="Times New Roman" w:eastAsia="Times New Roman" w:hAnsi="Times New Roman" w:cs="Times New Roman"/>
          <w:sz w:val="24"/>
          <w:szCs w:val="24"/>
          <w:lang w:val="en-GB" w:eastAsia="en-GB"/>
        </w:rPr>
      </w:pPr>
    </w:p>
    <w:p w14:paraId="62D0E9CB" w14:textId="60BC186F" w:rsidR="00201851" w:rsidRDefault="00201851" w:rsidP="001B41A5">
      <w:pPr>
        <w:spacing w:after="0" w:line="240" w:lineRule="auto"/>
        <w:rPr>
          <w:rFonts w:ascii="Times New Roman" w:eastAsia="Times New Roman" w:hAnsi="Times New Roman" w:cs="Times New Roman"/>
          <w:sz w:val="24"/>
          <w:szCs w:val="24"/>
          <w:lang w:val="en-GB" w:eastAsia="en-GB"/>
        </w:rPr>
      </w:pPr>
    </w:p>
    <w:p w14:paraId="2B023E48" w14:textId="25429F22" w:rsidR="00201851" w:rsidRDefault="00201851" w:rsidP="001B41A5">
      <w:pPr>
        <w:spacing w:after="0" w:line="240" w:lineRule="auto"/>
        <w:rPr>
          <w:rFonts w:ascii="Times New Roman" w:eastAsia="Times New Roman" w:hAnsi="Times New Roman" w:cs="Times New Roman"/>
          <w:sz w:val="24"/>
          <w:szCs w:val="24"/>
          <w:lang w:val="en-GB" w:eastAsia="en-GB"/>
        </w:rPr>
      </w:pPr>
    </w:p>
    <w:p w14:paraId="07DFA7EF" w14:textId="25D18575" w:rsidR="00201851" w:rsidRDefault="00201851" w:rsidP="001B41A5">
      <w:pPr>
        <w:spacing w:after="0" w:line="240" w:lineRule="auto"/>
        <w:rPr>
          <w:rFonts w:ascii="Times New Roman" w:eastAsia="Times New Roman" w:hAnsi="Times New Roman" w:cs="Times New Roman"/>
          <w:sz w:val="24"/>
          <w:szCs w:val="24"/>
          <w:lang w:val="en-GB" w:eastAsia="en-GB"/>
        </w:rPr>
      </w:pPr>
    </w:p>
    <w:p w14:paraId="71F994D8" w14:textId="67C38EC1" w:rsidR="00201851" w:rsidRDefault="00201851" w:rsidP="001B41A5">
      <w:pPr>
        <w:spacing w:after="0" w:line="240" w:lineRule="auto"/>
        <w:rPr>
          <w:rFonts w:ascii="Times New Roman" w:eastAsia="Times New Roman" w:hAnsi="Times New Roman" w:cs="Times New Roman"/>
          <w:sz w:val="24"/>
          <w:szCs w:val="24"/>
          <w:lang w:val="en-GB" w:eastAsia="en-GB"/>
        </w:rPr>
      </w:pPr>
    </w:p>
    <w:p w14:paraId="54486458" w14:textId="4348A4BF" w:rsidR="00201851" w:rsidRDefault="00201851" w:rsidP="001B41A5">
      <w:pPr>
        <w:spacing w:after="0" w:line="240" w:lineRule="auto"/>
        <w:rPr>
          <w:rFonts w:ascii="Times New Roman" w:eastAsia="Times New Roman" w:hAnsi="Times New Roman" w:cs="Times New Roman"/>
          <w:sz w:val="24"/>
          <w:szCs w:val="24"/>
          <w:lang w:val="en-GB" w:eastAsia="en-GB"/>
        </w:rPr>
      </w:pPr>
    </w:p>
    <w:p w14:paraId="5606328A" w14:textId="5854C5B6" w:rsidR="00201851" w:rsidRDefault="00201851" w:rsidP="001B41A5">
      <w:pPr>
        <w:spacing w:after="0" w:line="240" w:lineRule="auto"/>
        <w:rPr>
          <w:rFonts w:ascii="Times New Roman" w:eastAsia="Times New Roman" w:hAnsi="Times New Roman" w:cs="Times New Roman"/>
          <w:sz w:val="24"/>
          <w:szCs w:val="24"/>
          <w:lang w:val="en-GB" w:eastAsia="en-GB"/>
        </w:rPr>
      </w:pPr>
    </w:p>
    <w:p w14:paraId="346A18DF" w14:textId="77777777" w:rsidR="00201851" w:rsidRPr="001B41A5" w:rsidRDefault="00201851" w:rsidP="001B41A5">
      <w:pPr>
        <w:spacing w:after="0" w:line="240" w:lineRule="auto"/>
        <w:rPr>
          <w:rFonts w:ascii="Times New Roman" w:eastAsia="Times New Roman" w:hAnsi="Times New Roman" w:cs="Times New Roman"/>
          <w:sz w:val="24"/>
          <w:szCs w:val="24"/>
          <w:lang w:val="en-GB" w:eastAsia="en-GB"/>
        </w:rPr>
      </w:pPr>
    </w:p>
    <w:p w14:paraId="662D26C7" w14:textId="77777777" w:rsidR="001B41A5" w:rsidRPr="00296B61" w:rsidRDefault="001B41A5" w:rsidP="00296B61">
      <w:pPr>
        <w:pStyle w:val="Heading1"/>
        <w:jc w:val="center"/>
        <w:rPr>
          <w:rFonts w:eastAsia="Times New Roman"/>
          <w:lang w:val="en-GB" w:eastAsia="en-GB"/>
        </w:rPr>
      </w:pPr>
      <w:bookmarkStart w:id="13" w:name="_Toc241167417"/>
      <w:r w:rsidRPr="00296B61">
        <w:rPr>
          <w:rFonts w:eastAsia="Times New Roman"/>
          <w:lang w:val="en-GB" w:eastAsia="en-GB"/>
        </w:rPr>
        <w:lastRenderedPageBreak/>
        <w:t>Chapter 2: Company Description</w:t>
      </w:r>
      <w:bookmarkEnd w:id="13"/>
    </w:p>
    <w:p w14:paraId="6D359CF9" w14:textId="77777777" w:rsidR="001B41A5" w:rsidRPr="00296B61" w:rsidRDefault="001B41A5" w:rsidP="00296B61">
      <w:pPr>
        <w:pStyle w:val="Heading2"/>
        <w:rPr>
          <w:rFonts w:eastAsia="Times New Roman"/>
          <w:lang w:val="en-GB" w:eastAsia="en-GB"/>
        </w:rPr>
      </w:pPr>
      <w:bookmarkStart w:id="14" w:name="_Toc241167418"/>
      <w:r w:rsidRPr="00296B61">
        <w:rPr>
          <w:rFonts w:eastAsia="Times New Roman"/>
          <w:lang w:val="en-GB" w:eastAsia="en-GB"/>
        </w:rPr>
        <w:t>2.1 Business Identity and Legal Structure</w:t>
      </w:r>
      <w:bookmarkEnd w:id="14"/>
    </w:p>
    <w:p w14:paraId="50BE5C2D" w14:textId="77777777" w:rsidR="00B85E87" w:rsidRPr="00B85E87" w:rsidRDefault="00B85E87" w:rsidP="00B85E87">
      <w:pPr>
        <w:spacing w:before="240" w:line="360" w:lineRule="auto"/>
        <w:jc w:val="both"/>
        <w:rPr>
          <w:rFonts w:ascii="Arial" w:hAnsi="Arial" w:cs="Arial"/>
          <w:sz w:val="24"/>
          <w:szCs w:val="24"/>
          <w:lang w:val="en-GB" w:eastAsia="en-GB"/>
        </w:rPr>
      </w:pPr>
      <w:r w:rsidRPr="00B85E87">
        <w:rPr>
          <w:rFonts w:ascii="Arial" w:hAnsi="Arial" w:cs="Arial"/>
          <w:sz w:val="24"/>
          <w:szCs w:val="24"/>
          <w:lang w:val="en-GB" w:eastAsia="en-GB"/>
        </w:rPr>
        <w:t>The Ethical Bean Coffee House (TEBC) is a new specialty coffee business to open on Monmouth Street, Covent Garden, London, UK. The proposed business will be a private limited company, subject to legal and financial formalities. This can give the company a corporate identity and help to reduce the risk of its shareholders being held liable for the company's debts, as well as its potential capacity for future investment and expansion.</w:t>
      </w:r>
    </w:p>
    <w:p w14:paraId="2740E2CE" w14:textId="5CA9E1A0" w:rsidR="001B41A5" w:rsidRPr="00296B61" w:rsidRDefault="00B85E87" w:rsidP="00B85E87">
      <w:pPr>
        <w:spacing w:before="240" w:line="360" w:lineRule="auto"/>
        <w:jc w:val="both"/>
        <w:rPr>
          <w:rFonts w:ascii="Arial" w:hAnsi="Arial" w:cs="Arial"/>
          <w:sz w:val="24"/>
          <w:szCs w:val="24"/>
          <w:lang w:val="en-GB" w:eastAsia="en-GB"/>
        </w:rPr>
      </w:pPr>
      <w:r w:rsidRPr="00B85E87">
        <w:rPr>
          <w:rFonts w:ascii="Arial" w:hAnsi="Arial" w:cs="Arial"/>
          <w:sz w:val="24"/>
          <w:szCs w:val="24"/>
          <w:lang w:val="en-GB" w:eastAsia="en-GB"/>
        </w:rPr>
        <w:t xml:space="preserve">The location offers access to a developed commercial and tourist sector, but also immerses TEBC in the midst of a competitive specialty coffee market. There are already 27 specialty coffee shops located at Monmouth Street (Monmouth Coffee Company, 2026) and a number of specialty coffee companies have been identified by Covent Garden London (2026) in the surrounding area. </w:t>
      </w:r>
    </w:p>
    <w:p w14:paraId="7F49BC6B" w14:textId="77777777" w:rsidR="001B41A5" w:rsidRPr="00296B61" w:rsidRDefault="001B41A5" w:rsidP="00296B61">
      <w:pPr>
        <w:pStyle w:val="Heading2"/>
        <w:rPr>
          <w:rFonts w:eastAsia="Times New Roman"/>
          <w:lang w:val="en-GB" w:eastAsia="en-GB"/>
        </w:rPr>
      </w:pPr>
      <w:bookmarkStart w:id="15" w:name="_Toc241167419"/>
      <w:r w:rsidRPr="00296B61">
        <w:rPr>
          <w:rFonts w:eastAsia="Times New Roman"/>
          <w:lang w:val="en-GB" w:eastAsia="en-GB"/>
        </w:rPr>
        <w:t>2.2 Product or Service and the Problem Solved</w:t>
      </w:r>
      <w:bookmarkEnd w:id="15"/>
    </w:p>
    <w:p w14:paraId="3C0512DA" w14:textId="77777777" w:rsidR="002827E8" w:rsidRPr="002827E8" w:rsidRDefault="002827E8" w:rsidP="002827E8">
      <w:pPr>
        <w:spacing w:before="240" w:line="360" w:lineRule="auto"/>
        <w:jc w:val="both"/>
        <w:rPr>
          <w:rFonts w:ascii="Arial" w:hAnsi="Arial" w:cs="Arial"/>
          <w:sz w:val="24"/>
          <w:szCs w:val="24"/>
          <w:lang w:val="en-GB" w:eastAsia="en-GB"/>
        </w:rPr>
      </w:pPr>
      <w:r w:rsidRPr="002827E8">
        <w:rPr>
          <w:rFonts w:ascii="Arial" w:hAnsi="Arial" w:cs="Arial"/>
          <w:sz w:val="24"/>
          <w:szCs w:val="24"/>
          <w:lang w:val="en-GB" w:eastAsia="en-GB"/>
        </w:rPr>
        <w:t>TEBC aims to deliver top quality specialty coffee, ethically sourced beans, food products and a sustainable café experience. Proposed core offer is espresso based drinks, filter coffee, seasonal specialty drinks, alternative milk and selected light food and pastries. Coffee beans will be purchased from suppliers that can prove their ethical and environmental practices to be credible, and TEBC aims to inform others about its origin, sourcing relationships and sustainability efforts in a transparent manner.</w:t>
      </w:r>
    </w:p>
    <w:p w14:paraId="3E9BCF18" w14:textId="03C68E78" w:rsidR="002827E8" w:rsidRPr="002827E8" w:rsidRDefault="002827E8" w:rsidP="002827E8">
      <w:pPr>
        <w:spacing w:before="240" w:line="360" w:lineRule="auto"/>
        <w:jc w:val="both"/>
        <w:rPr>
          <w:rFonts w:ascii="Arial" w:hAnsi="Arial" w:cs="Arial"/>
          <w:sz w:val="24"/>
          <w:szCs w:val="24"/>
          <w:lang w:val="en-GB" w:eastAsia="en-GB"/>
        </w:rPr>
      </w:pPr>
      <w:r w:rsidRPr="002827E8">
        <w:rPr>
          <w:rFonts w:ascii="Arial" w:hAnsi="Arial" w:cs="Arial"/>
          <w:sz w:val="24"/>
          <w:szCs w:val="24"/>
          <w:lang w:val="en-GB" w:eastAsia="en-GB"/>
        </w:rPr>
        <w:t xml:space="preserve">The offered product addresses the opportunity identified in Chapter 1, and is accompanied by responsible sourcing and customer experience. This is relevant because some sustainability attributes have the potential to affect consumer preferences and willingness to pay for coffee (Fuller, </w:t>
      </w:r>
      <w:proofErr w:type="spellStart"/>
      <w:r w:rsidRPr="002827E8">
        <w:rPr>
          <w:rFonts w:ascii="Arial" w:hAnsi="Arial" w:cs="Arial"/>
          <w:sz w:val="24"/>
          <w:szCs w:val="24"/>
          <w:lang w:val="en-GB" w:eastAsia="en-GB"/>
        </w:rPr>
        <w:t>Grebitus</w:t>
      </w:r>
      <w:proofErr w:type="spellEnd"/>
      <w:r w:rsidRPr="002827E8">
        <w:rPr>
          <w:rFonts w:ascii="Arial" w:hAnsi="Arial" w:cs="Arial"/>
          <w:sz w:val="24"/>
          <w:szCs w:val="24"/>
          <w:lang w:val="en-GB" w:eastAsia="en-GB"/>
        </w:rPr>
        <w:t xml:space="preserve"> and Schmitz, 2022; Fuller and </w:t>
      </w:r>
      <w:proofErr w:type="spellStart"/>
      <w:r w:rsidRPr="002827E8">
        <w:rPr>
          <w:rFonts w:ascii="Arial" w:hAnsi="Arial" w:cs="Arial"/>
          <w:sz w:val="24"/>
          <w:szCs w:val="24"/>
          <w:lang w:val="en-GB" w:eastAsia="en-GB"/>
        </w:rPr>
        <w:t>Grebitus</w:t>
      </w:r>
      <w:proofErr w:type="spellEnd"/>
      <w:r w:rsidRPr="002827E8">
        <w:rPr>
          <w:rFonts w:ascii="Arial" w:hAnsi="Arial" w:cs="Arial"/>
          <w:sz w:val="24"/>
          <w:szCs w:val="24"/>
          <w:lang w:val="en-GB" w:eastAsia="en-GB"/>
        </w:rPr>
        <w:t xml:space="preserve">, 2023). </w:t>
      </w:r>
    </w:p>
    <w:p w14:paraId="7A649A17" w14:textId="77777777" w:rsidR="002827E8" w:rsidRPr="002827E8" w:rsidRDefault="002827E8" w:rsidP="002827E8">
      <w:pPr>
        <w:spacing w:before="240" w:line="360" w:lineRule="auto"/>
        <w:jc w:val="both"/>
        <w:rPr>
          <w:rFonts w:ascii="Arial" w:hAnsi="Arial" w:cs="Arial"/>
          <w:b/>
          <w:sz w:val="24"/>
          <w:szCs w:val="24"/>
          <w:lang w:val="en-GB" w:eastAsia="en-GB"/>
        </w:rPr>
      </w:pPr>
      <w:r w:rsidRPr="002827E8">
        <w:rPr>
          <w:rFonts w:ascii="Arial" w:hAnsi="Arial" w:cs="Arial"/>
          <w:b/>
          <w:sz w:val="24"/>
          <w:szCs w:val="24"/>
          <w:lang w:val="en-GB" w:eastAsia="en-GB"/>
        </w:rPr>
        <w:t>The first proposition is thus:</w:t>
      </w:r>
    </w:p>
    <w:p w14:paraId="0078646A" w14:textId="77777777" w:rsidR="002827E8" w:rsidRPr="002827E8" w:rsidRDefault="002827E8" w:rsidP="002827E8">
      <w:pPr>
        <w:spacing w:before="240" w:line="360" w:lineRule="auto"/>
        <w:jc w:val="both"/>
        <w:rPr>
          <w:rFonts w:ascii="Arial" w:hAnsi="Arial" w:cs="Arial"/>
          <w:sz w:val="24"/>
          <w:szCs w:val="24"/>
          <w:lang w:val="en-GB" w:eastAsia="en-GB"/>
        </w:rPr>
      </w:pPr>
      <w:r w:rsidRPr="002827E8">
        <w:rPr>
          <w:rFonts w:ascii="Arial" w:hAnsi="Arial" w:cs="Arial"/>
          <w:sz w:val="24"/>
          <w:szCs w:val="24"/>
          <w:lang w:val="en-GB" w:eastAsia="en-GB"/>
        </w:rPr>
        <w:t>Specialty coffee at a premium that is brought with a transparent ethical sourcing and sustainable operations in an inviting setting of a Covent Garden café.</w:t>
      </w:r>
    </w:p>
    <w:p w14:paraId="0EA9BC3C" w14:textId="6DE7A6AE" w:rsidR="001B41A5" w:rsidRPr="00296B61" w:rsidRDefault="002827E8" w:rsidP="002827E8">
      <w:pPr>
        <w:spacing w:before="240" w:line="360" w:lineRule="auto"/>
        <w:jc w:val="both"/>
        <w:rPr>
          <w:rFonts w:ascii="Arial" w:hAnsi="Arial" w:cs="Arial"/>
          <w:sz w:val="24"/>
          <w:szCs w:val="24"/>
          <w:lang w:val="en-GB" w:eastAsia="en-GB"/>
        </w:rPr>
      </w:pPr>
      <w:r w:rsidRPr="002827E8">
        <w:rPr>
          <w:rFonts w:ascii="Arial" w:hAnsi="Arial" w:cs="Arial"/>
          <w:sz w:val="24"/>
          <w:szCs w:val="24"/>
          <w:lang w:val="en-GB" w:eastAsia="en-GB"/>
        </w:rPr>
        <w:lastRenderedPageBreak/>
        <w:t>The proposition is then put to the test of competitor evidence, customer evid</w:t>
      </w:r>
      <w:r>
        <w:rPr>
          <w:rFonts w:ascii="Arial" w:hAnsi="Arial" w:cs="Arial"/>
          <w:sz w:val="24"/>
          <w:szCs w:val="24"/>
          <w:lang w:val="en-GB" w:eastAsia="en-GB"/>
        </w:rPr>
        <w:t>ence and financial requirements</w:t>
      </w:r>
      <w:r w:rsidR="001B41A5" w:rsidRPr="00296B61">
        <w:rPr>
          <w:rFonts w:ascii="Arial" w:hAnsi="Arial" w:cs="Arial"/>
          <w:sz w:val="24"/>
          <w:szCs w:val="24"/>
          <w:lang w:val="en-GB" w:eastAsia="en-GB"/>
        </w:rPr>
        <w:t>.</w:t>
      </w:r>
    </w:p>
    <w:p w14:paraId="20A6F482" w14:textId="77777777" w:rsidR="001B41A5" w:rsidRPr="00296B61" w:rsidRDefault="001B41A5" w:rsidP="00296B61">
      <w:pPr>
        <w:pStyle w:val="Heading2"/>
        <w:rPr>
          <w:rFonts w:eastAsia="Times New Roman"/>
          <w:lang w:val="en-GB" w:eastAsia="en-GB"/>
        </w:rPr>
      </w:pPr>
      <w:bookmarkStart w:id="16" w:name="_Toc241167420"/>
      <w:r w:rsidRPr="00296B61">
        <w:rPr>
          <w:rFonts w:eastAsia="Times New Roman"/>
          <w:lang w:val="en-GB" w:eastAsia="en-GB"/>
        </w:rPr>
        <w:t>2.3 Founding Idea and Brief History</w:t>
      </w:r>
      <w:bookmarkEnd w:id="16"/>
    </w:p>
    <w:p w14:paraId="3FFEE73C" w14:textId="7BF0E78F" w:rsidR="001B41A5" w:rsidRPr="00296B61" w:rsidRDefault="00E75DE2" w:rsidP="00296B61">
      <w:pPr>
        <w:spacing w:before="240" w:line="360" w:lineRule="auto"/>
        <w:jc w:val="both"/>
        <w:rPr>
          <w:rFonts w:ascii="Arial" w:hAnsi="Arial" w:cs="Arial"/>
          <w:sz w:val="24"/>
          <w:szCs w:val="24"/>
          <w:lang w:val="en-GB" w:eastAsia="en-GB"/>
        </w:rPr>
      </w:pPr>
      <w:r w:rsidRPr="00E75DE2">
        <w:rPr>
          <w:rFonts w:ascii="Arial" w:hAnsi="Arial" w:cs="Arial"/>
          <w:sz w:val="24"/>
          <w:szCs w:val="24"/>
          <w:lang w:val="en-GB" w:eastAsia="en-GB"/>
        </w:rPr>
        <w:t xml:space="preserve">The concept that brought this business idea together was when people started to buy specialty coffees, they started to know more about the ethical sourcing of coffee, as well as the environmental and social issues that arose along the global supply chain. Sustainability is emerging as a key aspect of the coffee industry, but there are different ways of addressing sustainability and the impacts of the initiatives are not always clear and convincing (Wright et al., 2024). The idea thus explores the possibility of transferring these trends into a viable independent coffee-shop offering in Covent </w:t>
      </w:r>
      <w:r>
        <w:rPr>
          <w:rFonts w:ascii="Arial" w:hAnsi="Arial" w:cs="Arial"/>
          <w:sz w:val="24"/>
          <w:szCs w:val="24"/>
          <w:lang w:val="en-GB" w:eastAsia="en-GB"/>
        </w:rPr>
        <w:t>Garden in the commercial market</w:t>
      </w:r>
      <w:r w:rsidR="001B41A5" w:rsidRPr="00296B61">
        <w:rPr>
          <w:rFonts w:ascii="Arial" w:hAnsi="Arial" w:cs="Arial"/>
          <w:sz w:val="24"/>
          <w:szCs w:val="24"/>
          <w:lang w:val="en-GB" w:eastAsia="en-GB"/>
        </w:rPr>
        <w:t>.</w:t>
      </w:r>
    </w:p>
    <w:p w14:paraId="30F9B1A1" w14:textId="77777777" w:rsidR="001B41A5" w:rsidRPr="00296B61" w:rsidRDefault="001B41A5" w:rsidP="00296B61">
      <w:pPr>
        <w:pStyle w:val="Heading2"/>
        <w:rPr>
          <w:rFonts w:eastAsia="Times New Roman"/>
          <w:lang w:val="en-GB" w:eastAsia="en-GB"/>
        </w:rPr>
      </w:pPr>
      <w:bookmarkStart w:id="17" w:name="_Toc241167421"/>
      <w:r w:rsidRPr="00296B61">
        <w:rPr>
          <w:rFonts w:eastAsia="Times New Roman"/>
          <w:lang w:val="en-GB" w:eastAsia="en-GB"/>
        </w:rPr>
        <w:t>2.4 Mission, Vision and Values</w:t>
      </w:r>
      <w:bookmarkEnd w:id="17"/>
    </w:p>
    <w:p w14:paraId="7620363E" w14:textId="77777777" w:rsidR="001B41A5" w:rsidRPr="00296B61" w:rsidRDefault="001B41A5" w:rsidP="00296B61">
      <w:pPr>
        <w:pStyle w:val="Heading3"/>
        <w:rPr>
          <w:rFonts w:eastAsia="Times New Roman"/>
          <w:lang w:val="en-GB" w:eastAsia="en-GB"/>
        </w:rPr>
      </w:pPr>
      <w:bookmarkStart w:id="18" w:name="_Toc241167422"/>
      <w:r w:rsidRPr="00296B61">
        <w:rPr>
          <w:rFonts w:eastAsia="Times New Roman"/>
          <w:lang w:val="en-GB" w:eastAsia="en-GB"/>
        </w:rPr>
        <w:t>Mission</w:t>
      </w:r>
      <w:bookmarkEnd w:id="18"/>
    </w:p>
    <w:p w14:paraId="4CCDD0A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mission of The Ethical Bean Coffee House is to provide high-quality specialty coffee while creating greater transparency, responsibility and sustainability across the coffee-shop experience.</w:t>
      </w:r>
    </w:p>
    <w:p w14:paraId="0ECB42E9" w14:textId="77777777" w:rsidR="001B41A5" w:rsidRPr="00296B61" w:rsidRDefault="001B41A5" w:rsidP="00296B61">
      <w:pPr>
        <w:pStyle w:val="Heading3"/>
        <w:rPr>
          <w:rFonts w:eastAsia="Times New Roman"/>
          <w:lang w:val="en-GB" w:eastAsia="en-GB"/>
        </w:rPr>
      </w:pPr>
      <w:bookmarkStart w:id="19" w:name="_Toc241167423"/>
      <w:r w:rsidRPr="00296B61">
        <w:rPr>
          <w:rFonts w:eastAsia="Times New Roman"/>
          <w:lang w:val="en-GB" w:eastAsia="en-GB"/>
        </w:rPr>
        <w:t>Vision</w:t>
      </w:r>
      <w:bookmarkEnd w:id="19"/>
    </w:p>
    <w:p w14:paraId="26D291C1"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vision is to develop a recognised ethical specialty coffee brand that demonstrates how premium hospitality can be combined with responsible sourcing, environmental awareness and positive customer experiences.</w:t>
      </w:r>
    </w:p>
    <w:p w14:paraId="772E59EC" w14:textId="77777777" w:rsidR="001B41A5" w:rsidRPr="00296B61" w:rsidRDefault="001B41A5" w:rsidP="00296B61">
      <w:pPr>
        <w:jc w:val="both"/>
        <w:rPr>
          <w:rFonts w:ascii="Arial" w:hAnsi="Arial" w:cs="Arial"/>
          <w:b/>
          <w:sz w:val="24"/>
        </w:rPr>
      </w:pPr>
      <w:r w:rsidRPr="00296B61">
        <w:rPr>
          <w:rFonts w:ascii="Arial" w:hAnsi="Arial" w:cs="Arial"/>
          <w:b/>
          <w:sz w:val="24"/>
        </w:rPr>
        <w:t>The business will be guided by four core values:</w:t>
      </w:r>
    </w:p>
    <w:p w14:paraId="59D1644E" w14:textId="77777777" w:rsidR="00D0754A" w:rsidRPr="00D0754A" w:rsidRDefault="00D0754A" w:rsidP="00D0754A">
      <w:pPr>
        <w:pStyle w:val="ListParagraph"/>
        <w:numPr>
          <w:ilvl w:val="0"/>
          <w:numId w:val="3"/>
        </w:numPr>
        <w:spacing w:before="240" w:line="360" w:lineRule="auto"/>
        <w:jc w:val="both"/>
        <w:rPr>
          <w:rFonts w:ascii="Arial" w:hAnsi="Arial" w:cs="Arial"/>
          <w:sz w:val="24"/>
          <w:szCs w:val="24"/>
          <w:lang w:val="en-GB" w:eastAsia="en-GB"/>
        </w:rPr>
      </w:pPr>
      <w:r w:rsidRPr="00D0754A">
        <w:rPr>
          <w:rFonts w:ascii="Arial" w:hAnsi="Arial" w:cs="Arial"/>
          <w:b/>
          <w:sz w:val="24"/>
          <w:szCs w:val="24"/>
          <w:lang w:val="en-GB" w:eastAsia="en-GB"/>
        </w:rPr>
        <w:t>Ethical sourcing –</w:t>
      </w:r>
      <w:r w:rsidRPr="00D0754A">
        <w:rPr>
          <w:rFonts w:ascii="Arial" w:hAnsi="Arial" w:cs="Arial"/>
          <w:sz w:val="24"/>
          <w:szCs w:val="24"/>
          <w:lang w:val="en-GB" w:eastAsia="en-GB"/>
        </w:rPr>
        <w:t xml:space="preserve"> caring relationships with the coffee growers and suppliers. </w:t>
      </w:r>
    </w:p>
    <w:p w14:paraId="5101E9CA" w14:textId="77777777" w:rsidR="00D0754A" w:rsidRPr="00D0754A" w:rsidRDefault="00D0754A" w:rsidP="00D0754A">
      <w:pPr>
        <w:pStyle w:val="ListParagraph"/>
        <w:numPr>
          <w:ilvl w:val="0"/>
          <w:numId w:val="3"/>
        </w:numPr>
        <w:spacing w:before="240" w:line="360" w:lineRule="auto"/>
        <w:jc w:val="both"/>
        <w:rPr>
          <w:rFonts w:ascii="Arial" w:hAnsi="Arial" w:cs="Arial"/>
          <w:sz w:val="24"/>
          <w:szCs w:val="24"/>
          <w:lang w:val="en-GB" w:eastAsia="en-GB"/>
        </w:rPr>
      </w:pPr>
      <w:r w:rsidRPr="00D0754A">
        <w:rPr>
          <w:rFonts w:ascii="Arial" w:hAnsi="Arial" w:cs="Arial"/>
          <w:b/>
          <w:sz w:val="24"/>
          <w:szCs w:val="24"/>
          <w:lang w:val="en-GB" w:eastAsia="en-GB"/>
        </w:rPr>
        <w:t>Sustainability –</w:t>
      </w:r>
      <w:r w:rsidRPr="00D0754A">
        <w:rPr>
          <w:rFonts w:ascii="Arial" w:hAnsi="Arial" w:cs="Arial"/>
          <w:sz w:val="24"/>
          <w:szCs w:val="24"/>
          <w:lang w:val="en-GB" w:eastAsia="en-GB"/>
        </w:rPr>
        <w:t xml:space="preserve"> minimizing unnecessary waste and environmental effects in operations. </w:t>
      </w:r>
    </w:p>
    <w:p w14:paraId="5172C1F9" w14:textId="77777777" w:rsidR="00D0754A" w:rsidRPr="00D0754A" w:rsidRDefault="00D0754A" w:rsidP="00D0754A">
      <w:pPr>
        <w:pStyle w:val="ListParagraph"/>
        <w:numPr>
          <w:ilvl w:val="0"/>
          <w:numId w:val="3"/>
        </w:numPr>
        <w:spacing w:before="240" w:line="360" w:lineRule="auto"/>
        <w:jc w:val="both"/>
        <w:rPr>
          <w:rFonts w:ascii="Arial" w:hAnsi="Arial" w:cs="Arial"/>
          <w:sz w:val="24"/>
          <w:szCs w:val="24"/>
          <w:lang w:val="en-GB" w:eastAsia="en-GB"/>
        </w:rPr>
      </w:pPr>
      <w:r w:rsidRPr="00D0754A">
        <w:rPr>
          <w:rFonts w:ascii="Arial" w:hAnsi="Arial" w:cs="Arial"/>
          <w:b/>
          <w:sz w:val="24"/>
          <w:szCs w:val="24"/>
          <w:lang w:val="en-GB" w:eastAsia="en-GB"/>
        </w:rPr>
        <w:t xml:space="preserve">Quality </w:t>
      </w:r>
      <w:r w:rsidRPr="00D0754A">
        <w:rPr>
          <w:rFonts w:ascii="Arial" w:hAnsi="Arial" w:cs="Arial"/>
          <w:sz w:val="24"/>
          <w:szCs w:val="24"/>
          <w:lang w:val="en-GB" w:eastAsia="en-GB"/>
        </w:rPr>
        <w:t xml:space="preserve">– the provision of high quality of coffee, ingredients and customer service. </w:t>
      </w:r>
    </w:p>
    <w:p w14:paraId="3A885442" w14:textId="77777777" w:rsidR="00D0754A" w:rsidRPr="00D0754A" w:rsidRDefault="00D0754A" w:rsidP="00D0754A">
      <w:pPr>
        <w:pStyle w:val="ListParagraph"/>
        <w:numPr>
          <w:ilvl w:val="0"/>
          <w:numId w:val="3"/>
        </w:numPr>
        <w:spacing w:before="240" w:line="360" w:lineRule="auto"/>
        <w:jc w:val="both"/>
        <w:rPr>
          <w:rFonts w:ascii="Arial" w:hAnsi="Arial" w:cs="Arial"/>
          <w:sz w:val="24"/>
          <w:szCs w:val="24"/>
          <w:lang w:val="en-GB" w:eastAsia="en-GB"/>
        </w:rPr>
      </w:pPr>
      <w:r w:rsidRPr="00D0754A">
        <w:rPr>
          <w:rFonts w:ascii="Arial" w:hAnsi="Arial" w:cs="Arial"/>
          <w:b/>
          <w:sz w:val="24"/>
          <w:szCs w:val="24"/>
          <w:lang w:val="en-GB" w:eastAsia="en-GB"/>
        </w:rPr>
        <w:t xml:space="preserve">Transparency </w:t>
      </w:r>
      <w:r w:rsidRPr="00D0754A">
        <w:rPr>
          <w:rFonts w:ascii="Arial" w:hAnsi="Arial" w:cs="Arial"/>
          <w:sz w:val="24"/>
          <w:szCs w:val="24"/>
          <w:lang w:val="en-GB" w:eastAsia="en-GB"/>
        </w:rPr>
        <w:t xml:space="preserve">– honesty in sourcing and sustainability claims without any backing. </w:t>
      </w:r>
    </w:p>
    <w:p w14:paraId="302756A8" w14:textId="26FADB4F" w:rsidR="001B41A5" w:rsidRPr="003C1271" w:rsidRDefault="00D0754A" w:rsidP="00D0754A">
      <w:pPr>
        <w:pStyle w:val="ListParagraph"/>
        <w:numPr>
          <w:ilvl w:val="0"/>
          <w:numId w:val="3"/>
        </w:numPr>
        <w:spacing w:before="240" w:line="360" w:lineRule="auto"/>
        <w:jc w:val="both"/>
        <w:rPr>
          <w:rFonts w:ascii="Arial" w:hAnsi="Arial" w:cs="Arial"/>
          <w:sz w:val="24"/>
          <w:szCs w:val="24"/>
          <w:lang w:val="en-GB" w:eastAsia="en-GB"/>
        </w:rPr>
      </w:pPr>
      <w:r w:rsidRPr="00D0754A">
        <w:rPr>
          <w:rFonts w:ascii="Arial" w:hAnsi="Arial" w:cs="Arial"/>
          <w:sz w:val="24"/>
          <w:szCs w:val="24"/>
          <w:lang w:val="en-GB" w:eastAsia="en-GB"/>
        </w:rPr>
        <w:lastRenderedPageBreak/>
        <w:t xml:space="preserve">The above values are relevant as consumers' perception and purchase decisions can be affected by credible sustainability </w:t>
      </w:r>
      <w:r>
        <w:rPr>
          <w:rFonts w:ascii="Arial" w:hAnsi="Arial" w:cs="Arial"/>
          <w:sz w:val="24"/>
          <w:szCs w:val="24"/>
          <w:lang w:val="en-GB" w:eastAsia="en-GB"/>
        </w:rPr>
        <w:t>communication (Fairtrade, 2025)</w:t>
      </w:r>
      <w:r w:rsidR="001B41A5" w:rsidRPr="003C1271">
        <w:rPr>
          <w:rFonts w:ascii="Arial" w:hAnsi="Arial" w:cs="Arial"/>
          <w:sz w:val="24"/>
          <w:szCs w:val="24"/>
          <w:lang w:val="en-GB" w:eastAsia="en-GB"/>
        </w:rPr>
        <w:t xml:space="preserve">. </w:t>
      </w:r>
    </w:p>
    <w:p w14:paraId="70344624" w14:textId="540D33FA" w:rsidR="001B41A5" w:rsidRPr="00296B61" w:rsidRDefault="00F303A1" w:rsidP="00296B61">
      <w:pPr>
        <w:spacing w:before="240" w:line="360" w:lineRule="auto"/>
        <w:jc w:val="both"/>
        <w:rPr>
          <w:rFonts w:ascii="Arial" w:hAnsi="Arial" w:cs="Arial"/>
          <w:sz w:val="24"/>
          <w:szCs w:val="24"/>
          <w:lang w:val="en-GB" w:eastAsia="en-GB"/>
        </w:rPr>
      </w:pPr>
      <w:r w:rsidRPr="00F303A1">
        <w:rPr>
          <w:rFonts w:ascii="Arial" w:hAnsi="Arial" w:cs="Arial"/>
          <w:sz w:val="24"/>
          <w:szCs w:val="24"/>
          <w:lang w:val="en-GB" w:eastAsia="en-GB"/>
        </w:rPr>
        <w:t>These values are relevant because credible sustainability communication may influence consumer perceptions and purchas</w:t>
      </w:r>
      <w:r>
        <w:rPr>
          <w:rFonts w:ascii="Arial" w:hAnsi="Arial" w:cs="Arial"/>
          <w:sz w:val="24"/>
          <w:szCs w:val="24"/>
          <w:lang w:val="en-GB" w:eastAsia="en-GB"/>
        </w:rPr>
        <w:t>ing decisions (Fairtrade, 2025)</w:t>
      </w:r>
      <w:r w:rsidR="001B41A5" w:rsidRPr="00296B61">
        <w:rPr>
          <w:rFonts w:ascii="Arial" w:hAnsi="Arial" w:cs="Arial"/>
          <w:sz w:val="24"/>
          <w:szCs w:val="24"/>
          <w:lang w:val="en-GB" w:eastAsia="en-GB"/>
        </w:rPr>
        <w:t>.</w:t>
      </w:r>
    </w:p>
    <w:p w14:paraId="2073CE7D" w14:textId="35FE6C8F" w:rsidR="001B41A5" w:rsidRPr="00296B61" w:rsidRDefault="001B41A5" w:rsidP="00721AC8">
      <w:pPr>
        <w:pStyle w:val="Heading2"/>
        <w:numPr>
          <w:ilvl w:val="1"/>
          <w:numId w:val="45"/>
        </w:numPr>
        <w:rPr>
          <w:rFonts w:eastAsia="Times New Roman"/>
          <w:lang w:val="en-GB" w:eastAsia="en-GB"/>
        </w:rPr>
      </w:pPr>
      <w:bookmarkStart w:id="20" w:name="_Toc241167424"/>
      <w:r w:rsidRPr="00296B61">
        <w:rPr>
          <w:rFonts w:eastAsia="Times New Roman"/>
          <w:lang w:val="en-GB" w:eastAsia="en-GB"/>
        </w:rPr>
        <w:t>Business Objectives and Goals</w:t>
      </w:r>
      <w:bookmarkEnd w:id="20"/>
    </w:p>
    <w:p w14:paraId="744A96E7" w14:textId="77777777" w:rsidR="00721AC8" w:rsidRDefault="00721AC8" w:rsidP="00721AC8">
      <w:pPr>
        <w:pStyle w:val="ListParagraph"/>
        <w:numPr>
          <w:ilvl w:val="0"/>
          <w:numId w:val="44"/>
        </w:num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The first business aims are tentative SMART goals and will be determined in the financial and feasibility analysis.</w:t>
      </w:r>
    </w:p>
    <w:p w14:paraId="6501AECC" w14:textId="79EF8191" w:rsidR="00721AC8" w:rsidRPr="00721AC8" w:rsidRDefault="00721AC8" w:rsidP="00721AC8">
      <w:pPr>
        <w:pStyle w:val="ListParagraph"/>
        <w:numPr>
          <w:ilvl w:val="0"/>
          <w:numId w:val="44"/>
        </w:num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 xml:space="preserve">To complete market, competitor and customer analysis for the proposed Monmouth Street location. </w:t>
      </w:r>
    </w:p>
    <w:p w14:paraId="0C9BB4AF" w14:textId="77777777" w:rsidR="00721AC8" w:rsidRPr="00721AC8" w:rsidRDefault="00721AC8" w:rsidP="00721AC8">
      <w:pPr>
        <w:pStyle w:val="ListParagraph"/>
        <w:numPr>
          <w:ilvl w:val="0"/>
          <w:numId w:val="44"/>
        </w:num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 xml:space="preserve">To create an evidence-based ethical sourcing and sustainable supply-chain model for the proposed business. </w:t>
      </w:r>
    </w:p>
    <w:p w14:paraId="4C6F589E" w14:textId="77777777" w:rsidR="00721AC8" w:rsidRPr="00721AC8" w:rsidRDefault="00721AC8" w:rsidP="00721AC8">
      <w:pPr>
        <w:pStyle w:val="ListParagraph"/>
        <w:numPr>
          <w:ilvl w:val="0"/>
          <w:numId w:val="44"/>
        </w:num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 xml:space="preserve">To create a specialty coffee quality-based differentiated product/ service proposition that integrates specialty coffee quality, ethical sourcing and sustainable operations. </w:t>
      </w:r>
    </w:p>
    <w:p w14:paraId="66A78455" w14:textId="31850227" w:rsidR="00721AC8" w:rsidRPr="00721AC8" w:rsidRDefault="00721AC8" w:rsidP="00721AC8">
      <w:pPr>
        <w:pStyle w:val="ListParagraph"/>
        <w:numPr>
          <w:ilvl w:val="0"/>
          <w:numId w:val="44"/>
        </w:num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 xml:space="preserve">To prepare three-to-five-year financial forecast, break-even analysis and sensitivity analysis to establish financial conditions for viability. </w:t>
      </w:r>
    </w:p>
    <w:p w14:paraId="438C900A" w14:textId="77777777" w:rsidR="00721AC8" w:rsidRPr="00721AC8" w:rsidRDefault="00721AC8" w:rsidP="00721AC8">
      <w:pPr>
        <w:pStyle w:val="ListParagraph"/>
        <w:numPr>
          <w:ilvl w:val="0"/>
          <w:numId w:val="44"/>
        </w:num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 xml:space="preserve">To create an implementation plan that includes operational, customer, financial and sustainability KPI's that are measurable in the first year of operation. </w:t>
      </w:r>
    </w:p>
    <w:p w14:paraId="24CD3F64" w14:textId="2F70DDAE" w:rsidR="001B41A5" w:rsidRPr="00296B61" w:rsidRDefault="00721AC8" w:rsidP="00721AC8">
      <w:p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 xml:space="preserve">These goals are based on the evidence presented in the following analysis and will </w:t>
      </w:r>
      <w:r>
        <w:rPr>
          <w:rFonts w:ascii="Arial" w:hAnsi="Arial" w:cs="Arial"/>
          <w:sz w:val="24"/>
          <w:szCs w:val="24"/>
          <w:lang w:val="en-GB" w:eastAsia="en-GB"/>
        </w:rPr>
        <w:t>not be assumed to be attainable</w:t>
      </w:r>
      <w:r w:rsidR="001B41A5" w:rsidRPr="00296B61">
        <w:rPr>
          <w:rFonts w:ascii="Arial" w:hAnsi="Arial" w:cs="Arial"/>
          <w:sz w:val="24"/>
          <w:szCs w:val="24"/>
          <w:lang w:val="en-GB" w:eastAsia="en-GB"/>
        </w:rPr>
        <w:t>.</w:t>
      </w:r>
    </w:p>
    <w:p w14:paraId="71059E91" w14:textId="77777777" w:rsidR="001B41A5" w:rsidRPr="00296B61" w:rsidRDefault="001B41A5" w:rsidP="003C1271">
      <w:pPr>
        <w:pStyle w:val="Heading2"/>
        <w:rPr>
          <w:rFonts w:eastAsia="Times New Roman"/>
          <w:lang w:val="en-GB" w:eastAsia="en-GB"/>
        </w:rPr>
      </w:pPr>
      <w:bookmarkStart w:id="21" w:name="_Toc241167425"/>
      <w:r w:rsidRPr="00296B61">
        <w:rPr>
          <w:rFonts w:eastAsia="Times New Roman"/>
          <w:lang w:val="en-GB" w:eastAsia="en-GB"/>
        </w:rPr>
        <w:t>2.6 Alignment with Trends and Opportunity</w:t>
      </w:r>
      <w:bookmarkEnd w:id="21"/>
    </w:p>
    <w:p w14:paraId="01049D26" w14:textId="32CDEB84" w:rsidR="00F57D71" w:rsidRDefault="00721AC8" w:rsidP="00296B61">
      <w:pPr>
        <w:spacing w:before="240" w:line="360" w:lineRule="auto"/>
        <w:jc w:val="both"/>
        <w:rPr>
          <w:rFonts w:ascii="Arial" w:hAnsi="Arial" w:cs="Arial"/>
          <w:sz w:val="24"/>
          <w:szCs w:val="24"/>
          <w:lang w:val="en-GB" w:eastAsia="en-GB"/>
        </w:rPr>
      </w:pPr>
      <w:r w:rsidRPr="00721AC8">
        <w:rPr>
          <w:rFonts w:ascii="Arial" w:hAnsi="Arial" w:cs="Arial"/>
          <w:sz w:val="24"/>
          <w:szCs w:val="24"/>
          <w:lang w:val="en-GB" w:eastAsia="en-GB"/>
        </w:rPr>
        <w:t>The idea of the business is aligned with the ongoing business activities in the UK coffee shops, the interest of the consumers in special coffee and the increased focus on ethical and sustainable coffee sourcing (World Coffee Portal, 2025).  The proposal, however, has to show a clear and defensible difference as there are established specialty operators in Covent Garden. The next analysis will then focus on the potential for ethical sourcing, sustainability, transparency and customer experience to offer TEBC sufficient strategic and commerc</w:t>
      </w:r>
      <w:r>
        <w:rPr>
          <w:rFonts w:ascii="Arial" w:hAnsi="Arial" w:cs="Arial"/>
          <w:sz w:val="24"/>
          <w:szCs w:val="24"/>
          <w:lang w:val="en-GB" w:eastAsia="en-GB"/>
        </w:rPr>
        <w:t>ial differentiation</w:t>
      </w:r>
      <w:r w:rsidR="001B41A5" w:rsidRPr="00296B61">
        <w:rPr>
          <w:rFonts w:ascii="Arial" w:hAnsi="Arial" w:cs="Arial"/>
          <w:sz w:val="24"/>
          <w:szCs w:val="24"/>
          <w:lang w:val="en-GB" w:eastAsia="en-GB"/>
        </w:rPr>
        <w:t>.</w:t>
      </w:r>
    </w:p>
    <w:p w14:paraId="0A235F0D" w14:textId="77777777" w:rsidR="00764905" w:rsidRPr="00764905" w:rsidRDefault="00764905" w:rsidP="00764905">
      <w:pPr>
        <w:keepNext/>
        <w:keepLines/>
        <w:spacing w:before="360" w:after="80" w:line="360" w:lineRule="auto"/>
        <w:jc w:val="center"/>
        <w:outlineLvl w:val="0"/>
        <w:rPr>
          <w:rFonts w:ascii="Arial" w:eastAsia="Times New Roman" w:hAnsi="Arial" w:cstheme="majorBidi"/>
          <w:b/>
          <w:color w:val="000000" w:themeColor="text1"/>
          <w:sz w:val="32"/>
          <w:szCs w:val="40"/>
          <w:lang w:val="en-GB" w:eastAsia="en-GB"/>
        </w:rPr>
      </w:pPr>
      <w:bookmarkStart w:id="22" w:name="_Toc241167426"/>
      <w:r w:rsidRPr="00764905">
        <w:rPr>
          <w:rFonts w:ascii="Arial" w:eastAsia="Times New Roman" w:hAnsi="Arial" w:cstheme="majorBidi"/>
          <w:b/>
          <w:color w:val="000000" w:themeColor="text1"/>
          <w:sz w:val="32"/>
          <w:szCs w:val="40"/>
          <w:lang w:val="en-GB" w:eastAsia="en-GB"/>
        </w:rPr>
        <w:lastRenderedPageBreak/>
        <w:t>Chapter 3: Literature Review</w:t>
      </w:r>
      <w:bookmarkEnd w:id="22"/>
    </w:p>
    <w:p w14:paraId="0A0225D5"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3" w:name="_Toc241167427"/>
      <w:r w:rsidRPr="00764905">
        <w:rPr>
          <w:rFonts w:ascii="Arial" w:eastAsia="Times New Roman" w:hAnsi="Arial" w:cstheme="majorBidi"/>
          <w:b/>
          <w:color w:val="000000" w:themeColor="text1"/>
          <w:sz w:val="28"/>
          <w:szCs w:val="32"/>
          <w:lang w:val="en-GB" w:eastAsia="en-GB"/>
        </w:rPr>
        <w:t>3.1 Introduction</w:t>
      </w:r>
      <w:bookmarkEnd w:id="23"/>
    </w:p>
    <w:p w14:paraId="0F720106" w14:textId="18946979" w:rsidR="00764905" w:rsidRPr="00764905" w:rsidRDefault="00C506B4" w:rsidP="00764905">
      <w:pPr>
        <w:spacing w:line="360" w:lineRule="auto"/>
        <w:jc w:val="both"/>
        <w:rPr>
          <w:rFonts w:ascii="Arial" w:hAnsi="Arial" w:cs="Arial"/>
          <w:sz w:val="24"/>
          <w:szCs w:val="24"/>
          <w:lang w:val="en-GB" w:eastAsia="en-GB"/>
        </w:rPr>
      </w:pPr>
      <w:r w:rsidRPr="00C506B4">
        <w:rPr>
          <w:rFonts w:ascii="Arial" w:hAnsi="Arial" w:cs="Arial"/>
          <w:sz w:val="24"/>
          <w:szCs w:val="24"/>
          <w:lang w:val="en-GB" w:eastAsia="en-GB"/>
        </w:rPr>
        <w:t xml:space="preserve">This literature review focuses on the academic support for the market opportunity, strategic needs and commercial viability of The Ethical Bean Coffee House (TEBC) in Covent Garden. The focus of the review is specialty coffee, customer value, ethical sourcing, sustainable SC management and competitive advantage. An external environment, resources, value creation, customer proposition and business model are critically assessed for the proposed business using relevant strategic frameworks. The main analytical lenses are provided by Porter's competitive strategy, the Resource Based View (RBV), PESTLE, Five Forces and the Triple Bottom Line (TBL) supported by the Value Chain, Value Proposition Canvas (VPC) </w:t>
      </w:r>
      <w:r>
        <w:rPr>
          <w:rFonts w:ascii="Arial" w:hAnsi="Arial" w:cs="Arial"/>
          <w:sz w:val="24"/>
          <w:szCs w:val="24"/>
          <w:lang w:val="en-GB" w:eastAsia="en-GB"/>
        </w:rPr>
        <w:t>and Business Model Canvas (BMC)</w:t>
      </w:r>
      <w:r w:rsidR="00764905" w:rsidRPr="00764905">
        <w:rPr>
          <w:rFonts w:ascii="Arial" w:hAnsi="Arial" w:cs="Arial"/>
          <w:sz w:val="24"/>
          <w:szCs w:val="24"/>
          <w:lang w:val="en-GB" w:eastAsia="en-GB"/>
        </w:rPr>
        <w:t>.</w:t>
      </w:r>
    </w:p>
    <w:p w14:paraId="239DEFD7"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4" w:name="_Toc241167428"/>
      <w:r w:rsidRPr="00764905">
        <w:rPr>
          <w:rFonts w:ascii="Arial" w:eastAsia="Times New Roman" w:hAnsi="Arial" w:cstheme="majorBidi"/>
          <w:b/>
          <w:color w:val="000000" w:themeColor="text1"/>
          <w:sz w:val="28"/>
          <w:szCs w:val="32"/>
          <w:lang w:val="en-GB" w:eastAsia="en-GB"/>
        </w:rPr>
        <w:t>3.2 Specialty Coffee, Consumer Value and Ethical Consumption</w:t>
      </w:r>
      <w:bookmarkEnd w:id="24"/>
    </w:p>
    <w:p w14:paraId="65467D8C" w14:textId="77777777" w:rsidR="00C506B4" w:rsidRPr="00C506B4" w:rsidRDefault="00C506B4" w:rsidP="00C506B4">
      <w:pPr>
        <w:spacing w:line="360" w:lineRule="auto"/>
        <w:jc w:val="both"/>
        <w:rPr>
          <w:rFonts w:ascii="Arial" w:hAnsi="Arial" w:cs="Arial"/>
          <w:sz w:val="24"/>
          <w:szCs w:val="24"/>
          <w:lang w:val="en-GB" w:eastAsia="en-GB"/>
        </w:rPr>
      </w:pPr>
      <w:r w:rsidRPr="00C506B4">
        <w:rPr>
          <w:rFonts w:ascii="Arial" w:hAnsi="Arial" w:cs="Arial"/>
          <w:sz w:val="24"/>
          <w:szCs w:val="24"/>
          <w:lang w:val="en-GB" w:eastAsia="en-GB"/>
        </w:rPr>
        <w:t xml:space="preserve">Specialty coffee is becoming synonymous with quality, origin, craftsmanship and </w:t>
      </w:r>
      <w:proofErr w:type="spellStart"/>
      <w:r w:rsidRPr="00C506B4">
        <w:rPr>
          <w:rFonts w:ascii="Arial" w:hAnsi="Arial" w:cs="Arial"/>
          <w:sz w:val="24"/>
          <w:szCs w:val="24"/>
          <w:lang w:val="en-GB" w:eastAsia="en-GB"/>
        </w:rPr>
        <w:t>premiumisation</w:t>
      </w:r>
      <w:proofErr w:type="spellEnd"/>
      <w:r w:rsidRPr="00C506B4">
        <w:rPr>
          <w:rFonts w:ascii="Arial" w:hAnsi="Arial" w:cs="Arial"/>
          <w:sz w:val="24"/>
          <w:szCs w:val="24"/>
          <w:lang w:val="en-GB" w:eastAsia="en-GB"/>
        </w:rPr>
        <w:t>. Independent coffee shops can compete on customer value, not volume, based on these characteristics. Consumer value can be achieved through the product quality, convenience, and sensory/ethical characteristics (Holbrook, 1999). For coffee, transparency and provenance can create added value in the perception of the consumer when dealing with “how” and “where” the product is made.</w:t>
      </w:r>
    </w:p>
    <w:p w14:paraId="08459ABC" w14:textId="456A87CF" w:rsidR="00764905" w:rsidRPr="00764905" w:rsidRDefault="00C506B4" w:rsidP="00C506B4">
      <w:pPr>
        <w:spacing w:line="360" w:lineRule="auto"/>
        <w:jc w:val="both"/>
        <w:rPr>
          <w:rFonts w:ascii="Arial" w:hAnsi="Arial" w:cs="Arial"/>
          <w:sz w:val="24"/>
          <w:szCs w:val="24"/>
          <w:lang w:val="en-GB" w:eastAsia="en-GB"/>
        </w:rPr>
      </w:pPr>
      <w:r w:rsidRPr="00C506B4">
        <w:rPr>
          <w:rFonts w:ascii="Arial" w:hAnsi="Arial" w:cs="Arial"/>
          <w:sz w:val="24"/>
          <w:szCs w:val="24"/>
          <w:lang w:val="en-GB" w:eastAsia="en-GB"/>
        </w:rPr>
        <w:t xml:space="preserve">Ethical consumption literature indicates that the sustainability and responsible sourcing can affect purchase intentions and willingness to pay, but not necessarily. This relationship could be limited due to price, convenience, quality and trust (Carrington, Neville and Whitwell, 2010). Consumer needs and sustainable consumption may thus need to be balanced with the principles of sustainability (White, Habib and </w:t>
      </w:r>
      <w:proofErr w:type="spellStart"/>
      <w:r w:rsidRPr="00C506B4">
        <w:rPr>
          <w:rFonts w:ascii="Arial" w:hAnsi="Arial" w:cs="Arial"/>
          <w:sz w:val="24"/>
          <w:szCs w:val="24"/>
          <w:lang w:val="en-GB" w:eastAsia="en-GB"/>
        </w:rPr>
        <w:t>Hardisty</w:t>
      </w:r>
      <w:proofErr w:type="spellEnd"/>
      <w:r w:rsidRPr="00C506B4">
        <w:rPr>
          <w:rFonts w:ascii="Arial" w:hAnsi="Arial" w:cs="Arial"/>
          <w:sz w:val="24"/>
          <w:szCs w:val="24"/>
          <w:lang w:val="en-GB" w:eastAsia="en-GB"/>
        </w:rPr>
        <w:t>, 2019).</w:t>
      </w:r>
    </w:p>
    <w:p w14:paraId="714DCA94"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5" w:name="_Toc241167429"/>
      <w:r w:rsidRPr="00764905">
        <w:rPr>
          <w:rFonts w:ascii="Arial" w:eastAsia="Times New Roman" w:hAnsi="Arial" w:cstheme="majorBidi"/>
          <w:b/>
          <w:color w:val="000000" w:themeColor="text1"/>
          <w:sz w:val="28"/>
          <w:szCs w:val="32"/>
          <w:lang w:val="en-GB" w:eastAsia="en-GB"/>
        </w:rPr>
        <w:t>3.3 Ethical Sourcing and Sustainable Supply-Chain Management</w:t>
      </w:r>
      <w:bookmarkEnd w:id="25"/>
    </w:p>
    <w:p w14:paraId="3A2EEE68" w14:textId="77777777" w:rsidR="008B3134" w:rsidRPr="008B3134" w:rsidRDefault="008B3134" w:rsidP="008B3134">
      <w:pPr>
        <w:spacing w:line="360" w:lineRule="auto"/>
        <w:jc w:val="both"/>
        <w:rPr>
          <w:rFonts w:ascii="Arial" w:hAnsi="Arial" w:cs="Arial"/>
          <w:sz w:val="24"/>
          <w:szCs w:val="24"/>
          <w:lang w:val="en-GB" w:eastAsia="en-GB"/>
        </w:rPr>
      </w:pPr>
      <w:r w:rsidRPr="008B3134">
        <w:rPr>
          <w:rFonts w:ascii="Arial" w:hAnsi="Arial" w:cs="Arial"/>
          <w:sz w:val="24"/>
          <w:szCs w:val="24"/>
          <w:lang w:val="en-GB" w:eastAsia="en-GB"/>
        </w:rPr>
        <w:t>Ethical sourcing takes into account social, environmental and economic aspects of procurement. Sustainable supply-chain management includes procurement, supplier management, supply chain operations and value creation (Carter and Rogers, 2008). Responsible sourcing and traceability can help to build trust, authenticity and differentiation in specialty coffee brands.</w:t>
      </w:r>
    </w:p>
    <w:p w14:paraId="461FB9FB" w14:textId="14DE38AF" w:rsidR="00764905" w:rsidRPr="00764905" w:rsidRDefault="008B3134" w:rsidP="008B3134">
      <w:pPr>
        <w:spacing w:line="360" w:lineRule="auto"/>
        <w:jc w:val="both"/>
        <w:rPr>
          <w:rFonts w:ascii="Arial" w:hAnsi="Arial" w:cs="Arial"/>
          <w:sz w:val="24"/>
          <w:szCs w:val="24"/>
          <w:lang w:val="en-GB" w:eastAsia="en-GB"/>
        </w:rPr>
      </w:pPr>
      <w:r w:rsidRPr="008B3134">
        <w:rPr>
          <w:rFonts w:ascii="Arial" w:hAnsi="Arial" w:cs="Arial"/>
          <w:sz w:val="24"/>
          <w:szCs w:val="24"/>
          <w:lang w:val="en-GB" w:eastAsia="en-GB"/>
        </w:rPr>
        <w:lastRenderedPageBreak/>
        <w:t>But sustainability presents challenges for the operation as well. Responsible procurement can be more expensive, result in higher supplier verification and increased challenge to standardisation throughout complex supply chains. Organisations that assert they are or are not environmentally friendly or ethical should have credible supporting evidence to back up their claims as this could jeopardise customers' trust (</w:t>
      </w:r>
      <w:proofErr w:type="spellStart"/>
      <w:r w:rsidRPr="008B3134">
        <w:rPr>
          <w:rFonts w:ascii="Arial" w:hAnsi="Arial" w:cs="Arial"/>
          <w:sz w:val="24"/>
          <w:szCs w:val="24"/>
          <w:lang w:val="en-GB" w:eastAsia="en-GB"/>
        </w:rPr>
        <w:t>Delmas</w:t>
      </w:r>
      <w:proofErr w:type="spellEnd"/>
      <w:r w:rsidRPr="008B3134">
        <w:rPr>
          <w:rFonts w:ascii="Arial" w:hAnsi="Arial" w:cs="Arial"/>
          <w:sz w:val="24"/>
          <w:szCs w:val="24"/>
          <w:lang w:val="en-GB" w:eastAsia="en-GB"/>
        </w:rPr>
        <w:t xml:space="preserve"> and </w:t>
      </w:r>
      <w:proofErr w:type="spellStart"/>
      <w:r w:rsidRPr="008B3134">
        <w:rPr>
          <w:rFonts w:ascii="Arial" w:hAnsi="Arial" w:cs="Arial"/>
          <w:sz w:val="24"/>
          <w:szCs w:val="24"/>
          <w:lang w:val="en-GB" w:eastAsia="en-GB"/>
        </w:rPr>
        <w:t>Burbano</w:t>
      </w:r>
      <w:proofErr w:type="spellEnd"/>
      <w:r w:rsidRPr="008B3134">
        <w:rPr>
          <w:rFonts w:ascii="Arial" w:hAnsi="Arial" w:cs="Arial"/>
          <w:sz w:val="24"/>
          <w:szCs w:val="24"/>
          <w:lang w:val="en-GB" w:eastAsia="en-GB"/>
        </w:rPr>
        <w:t xml:space="preserve">, 2011). </w:t>
      </w:r>
    </w:p>
    <w:p w14:paraId="4A2EB0B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6" w:name="_Toc241167430"/>
      <w:r w:rsidRPr="00764905">
        <w:rPr>
          <w:rFonts w:ascii="Arial" w:eastAsia="Times New Roman" w:hAnsi="Arial" w:cstheme="majorBidi"/>
          <w:b/>
          <w:color w:val="000000" w:themeColor="text1"/>
          <w:sz w:val="28"/>
          <w:szCs w:val="32"/>
          <w:lang w:val="en-GB" w:eastAsia="en-GB"/>
        </w:rPr>
        <w:t>3.4 Competitive Advantage: Porter and RBV/VRIO</w:t>
      </w:r>
      <w:bookmarkEnd w:id="26"/>
    </w:p>
    <w:p w14:paraId="6900DA5F" w14:textId="77777777" w:rsidR="008B3134" w:rsidRPr="008B3134" w:rsidRDefault="008B3134" w:rsidP="008B3134">
      <w:pPr>
        <w:spacing w:line="360" w:lineRule="auto"/>
        <w:jc w:val="both"/>
        <w:rPr>
          <w:rFonts w:ascii="Arial" w:hAnsi="Arial" w:cs="Arial"/>
          <w:sz w:val="24"/>
          <w:szCs w:val="24"/>
          <w:lang w:val="en-GB" w:eastAsia="en-GB"/>
        </w:rPr>
      </w:pPr>
      <w:r w:rsidRPr="008B3134">
        <w:rPr>
          <w:rFonts w:ascii="Arial" w:hAnsi="Arial" w:cs="Arial"/>
          <w:sz w:val="24"/>
          <w:szCs w:val="24"/>
          <w:lang w:val="en-GB" w:eastAsia="en-GB"/>
        </w:rPr>
        <w:t>According to Porter 1985, there are three generic competitive strategies: cost leadership, differentiation and focus. Differentiation through ethical sourcing, specialty quality and customer experience could be more consistent with the concept than cost leadership and will ultimately drive TEBC's operating costs. The business may thus be differentiated with the specialty coffee and ethical value of the product to the consumers of Covent Garden.</w:t>
      </w:r>
    </w:p>
    <w:p w14:paraId="23481AB3" w14:textId="7D4F173D" w:rsidR="00764905" w:rsidRPr="00764905" w:rsidRDefault="008B3134" w:rsidP="008B3134">
      <w:pPr>
        <w:spacing w:line="360" w:lineRule="auto"/>
        <w:jc w:val="both"/>
        <w:rPr>
          <w:rFonts w:ascii="Arial" w:hAnsi="Arial" w:cs="Arial"/>
          <w:sz w:val="24"/>
          <w:szCs w:val="24"/>
          <w:lang w:val="en-GB" w:eastAsia="en-GB"/>
        </w:rPr>
      </w:pPr>
      <w:r w:rsidRPr="008B3134">
        <w:rPr>
          <w:rFonts w:ascii="Arial" w:hAnsi="Arial" w:cs="Arial"/>
          <w:sz w:val="24"/>
          <w:szCs w:val="24"/>
          <w:lang w:val="en-GB" w:eastAsia="en-GB"/>
        </w:rPr>
        <w:t>The Resource Based View (RBV) is the second external view, which involves the internal resources and capabilities of the company. Barney (1991) has suggested that resources that are valuable, rare, difficult to imitate and backed up by the organisation can provide sustained competitive advantage. Supplier relations, sourcing expertise, brand reputation, sustainability and customer experience are potentially relevant resources for TEBC. Porter deals with competitive positioning while RBV/VRIO deals with the internal resources and capabilities that could be used to achieve the position.</w:t>
      </w:r>
      <w:r w:rsidR="00764905" w:rsidRPr="00764905">
        <w:rPr>
          <w:rFonts w:ascii="Arial" w:hAnsi="Arial" w:cs="Arial"/>
          <w:sz w:val="24"/>
          <w:szCs w:val="24"/>
          <w:lang w:val="en-GB" w:eastAsia="en-GB"/>
        </w:rPr>
        <w:t xml:space="preserve"> </w:t>
      </w:r>
    </w:p>
    <w:p w14:paraId="2035047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7" w:name="_Toc241167431"/>
      <w:r w:rsidRPr="00764905">
        <w:rPr>
          <w:rFonts w:ascii="Arial" w:eastAsia="Times New Roman" w:hAnsi="Arial" w:cstheme="majorBidi"/>
          <w:b/>
          <w:color w:val="000000" w:themeColor="text1"/>
          <w:sz w:val="28"/>
          <w:szCs w:val="32"/>
          <w:lang w:val="en-GB" w:eastAsia="en-GB"/>
        </w:rPr>
        <w:t>3.5 External and Industry Environment: PESTLE and Five Forces</w:t>
      </w:r>
      <w:bookmarkEnd w:id="27"/>
    </w:p>
    <w:p w14:paraId="01674E7E" w14:textId="77777777" w:rsidR="008B3134" w:rsidRPr="008B3134" w:rsidRDefault="008B3134" w:rsidP="008B3134">
      <w:pPr>
        <w:spacing w:line="360" w:lineRule="auto"/>
        <w:jc w:val="both"/>
        <w:rPr>
          <w:rFonts w:ascii="Arial" w:hAnsi="Arial" w:cs="Arial"/>
          <w:sz w:val="24"/>
          <w:szCs w:val="24"/>
          <w:lang w:val="en-GB" w:eastAsia="en-GB"/>
        </w:rPr>
      </w:pPr>
      <w:r w:rsidRPr="008B3134">
        <w:rPr>
          <w:rFonts w:ascii="Arial" w:hAnsi="Arial" w:cs="Arial"/>
          <w:sz w:val="24"/>
          <w:szCs w:val="24"/>
          <w:lang w:val="en-GB" w:eastAsia="en-GB"/>
        </w:rPr>
        <w:t xml:space="preserve">PESTLE stands for political, economic, social, technological, legal and environmental factors, as outlined by </w:t>
      </w:r>
      <w:proofErr w:type="spellStart"/>
      <w:r w:rsidRPr="008B3134">
        <w:rPr>
          <w:rFonts w:ascii="Arial" w:hAnsi="Arial" w:cs="Arial"/>
          <w:sz w:val="24"/>
          <w:szCs w:val="24"/>
          <w:lang w:val="en-GB" w:eastAsia="en-GB"/>
        </w:rPr>
        <w:t>Yüksel</w:t>
      </w:r>
      <w:proofErr w:type="spellEnd"/>
      <w:r w:rsidRPr="008B3134">
        <w:rPr>
          <w:rFonts w:ascii="Arial" w:hAnsi="Arial" w:cs="Arial"/>
          <w:sz w:val="24"/>
          <w:szCs w:val="24"/>
          <w:lang w:val="en-GB" w:eastAsia="en-GB"/>
        </w:rPr>
        <w:t xml:space="preserve"> (2012). Inflation, operating costs, social trends in the consumption of ethical products, digital ordering technologies, legal requirements for food operations and environmental pressures on the coffee supply are factors that are relevant for TEBC. PESTLE is usually an environmental scanning tool, and does not describe the capabilities or competitive positioning of the firm.</w:t>
      </w:r>
    </w:p>
    <w:p w14:paraId="142415AB" w14:textId="672F602C" w:rsidR="00764905" w:rsidRPr="00764905" w:rsidRDefault="008B3134" w:rsidP="008B3134">
      <w:pPr>
        <w:spacing w:line="360" w:lineRule="auto"/>
        <w:jc w:val="both"/>
        <w:rPr>
          <w:rFonts w:ascii="Arial" w:hAnsi="Arial" w:cs="Arial"/>
          <w:sz w:val="24"/>
          <w:szCs w:val="24"/>
          <w:lang w:val="en-GB" w:eastAsia="en-GB"/>
        </w:rPr>
      </w:pPr>
      <w:r w:rsidRPr="008B3134">
        <w:rPr>
          <w:rFonts w:ascii="Arial" w:hAnsi="Arial" w:cs="Arial"/>
          <w:sz w:val="24"/>
          <w:szCs w:val="24"/>
          <w:lang w:val="en-GB" w:eastAsia="en-GB"/>
        </w:rPr>
        <w:t xml:space="preserve">Porter's (1979) Five Forces model examines competition, new entrants, suppliers, buyers and substitutes. It applies to the coffee shop context, as do alternative cafes, substitution pressures from home preparation and other drinks and intensifying rivalry as seen by established operators. Five Forces is an assessment of industry structure, </w:t>
      </w:r>
      <w:r w:rsidRPr="008B3134">
        <w:rPr>
          <w:rFonts w:ascii="Arial" w:hAnsi="Arial" w:cs="Arial"/>
          <w:sz w:val="24"/>
          <w:szCs w:val="24"/>
          <w:lang w:val="en-GB" w:eastAsia="en-GB"/>
        </w:rPr>
        <w:lastRenderedPageBreak/>
        <w:t>not customer-value design and capability. Hence, RBV and Porter's Gener</w:t>
      </w:r>
      <w:r>
        <w:rPr>
          <w:rFonts w:ascii="Arial" w:hAnsi="Arial" w:cs="Arial"/>
          <w:sz w:val="24"/>
          <w:szCs w:val="24"/>
          <w:lang w:val="en-GB" w:eastAsia="en-GB"/>
        </w:rPr>
        <w:t>ic Strategies work best with it</w:t>
      </w:r>
      <w:r w:rsidR="00764905" w:rsidRPr="00764905">
        <w:rPr>
          <w:rFonts w:ascii="Arial" w:hAnsi="Arial" w:cs="Arial"/>
          <w:sz w:val="24"/>
          <w:szCs w:val="24"/>
          <w:lang w:val="en-GB" w:eastAsia="en-GB"/>
        </w:rPr>
        <w:t>.</w:t>
      </w:r>
    </w:p>
    <w:p w14:paraId="475FFE90"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8" w:name="_Toc241167432"/>
      <w:r w:rsidRPr="00764905">
        <w:rPr>
          <w:rFonts w:ascii="Arial" w:eastAsia="Times New Roman" w:hAnsi="Arial" w:cstheme="majorBidi"/>
          <w:b/>
          <w:color w:val="000000" w:themeColor="text1"/>
          <w:sz w:val="28"/>
          <w:szCs w:val="32"/>
          <w:lang w:val="en-GB" w:eastAsia="en-GB"/>
        </w:rPr>
        <w:t>3.6 Value Creation and Sustainability: Value Chain and TBL</w:t>
      </w:r>
      <w:bookmarkEnd w:id="28"/>
    </w:p>
    <w:p w14:paraId="7D7C9175" w14:textId="1A5AC0C5" w:rsidR="00764905" w:rsidRPr="00764905" w:rsidRDefault="00A13C75" w:rsidP="00A13C75">
      <w:pPr>
        <w:spacing w:line="360" w:lineRule="auto"/>
        <w:jc w:val="both"/>
        <w:rPr>
          <w:rFonts w:ascii="Arial" w:hAnsi="Arial" w:cs="Arial"/>
          <w:sz w:val="24"/>
          <w:szCs w:val="24"/>
          <w:lang w:val="en-GB" w:eastAsia="en-GB"/>
        </w:rPr>
      </w:pPr>
      <w:r w:rsidRPr="00A13C75">
        <w:rPr>
          <w:rFonts w:ascii="Arial" w:hAnsi="Arial" w:cs="Arial"/>
          <w:sz w:val="24"/>
          <w:szCs w:val="24"/>
          <w:lang w:val="en-GB" w:eastAsia="en-GB"/>
        </w:rPr>
        <w:t>According to Porter (1985), value chain is the concept of how value can be added by the companies by performing the activities such as inbound logistics, operations, marketing and sales and service. In TEBC, value can travel from the ethical sourcing and supplier relationships, to the process of preparing and serving coffee, towards the experience for the end customer. The conventional value chain, however, might not be able to capture the intangible outcomes like Social Responsibility and community value.</w:t>
      </w:r>
      <w:r w:rsidR="00D94CC0">
        <w:rPr>
          <w:rFonts w:ascii="Arial" w:hAnsi="Arial" w:cs="Arial"/>
          <w:sz w:val="24"/>
          <w:szCs w:val="24"/>
          <w:lang w:val="en-GB" w:eastAsia="en-GB"/>
        </w:rPr>
        <w:t xml:space="preserve"> </w:t>
      </w:r>
      <w:r w:rsidRPr="00A13C75">
        <w:rPr>
          <w:rFonts w:ascii="Arial" w:hAnsi="Arial" w:cs="Arial"/>
          <w:sz w:val="24"/>
          <w:szCs w:val="24"/>
          <w:lang w:val="en-GB" w:eastAsia="en-GB"/>
        </w:rPr>
        <w:t>The Triple Bottom Line expands sustainability assessment by taking into account People, Planet and Profit (</w:t>
      </w:r>
      <w:proofErr w:type="spellStart"/>
      <w:r w:rsidRPr="00A13C75">
        <w:rPr>
          <w:rFonts w:ascii="Arial" w:hAnsi="Arial" w:cs="Arial"/>
          <w:sz w:val="24"/>
          <w:szCs w:val="24"/>
          <w:lang w:val="en-GB" w:eastAsia="en-GB"/>
        </w:rPr>
        <w:t>Elkington</w:t>
      </w:r>
      <w:proofErr w:type="spellEnd"/>
      <w:r w:rsidRPr="00A13C75">
        <w:rPr>
          <w:rFonts w:ascii="Arial" w:hAnsi="Arial" w:cs="Arial"/>
          <w:sz w:val="24"/>
          <w:szCs w:val="24"/>
          <w:lang w:val="en-GB" w:eastAsia="en-GB"/>
        </w:rPr>
        <w:t xml:space="preserve">, 1997). </w:t>
      </w:r>
    </w:p>
    <w:p w14:paraId="2EE5358F"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9" w:name="_Toc241167433"/>
      <w:r w:rsidRPr="00764905">
        <w:rPr>
          <w:rFonts w:ascii="Arial" w:eastAsia="Times New Roman" w:hAnsi="Arial" w:cstheme="majorBidi"/>
          <w:b/>
          <w:color w:val="000000" w:themeColor="text1"/>
          <w:sz w:val="28"/>
          <w:szCs w:val="32"/>
          <w:lang w:val="en-GB" w:eastAsia="en-GB"/>
        </w:rPr>
        <w:t>3.7 Customer and Business Model Tools: VPC and BMC</w:t>
      </w:r>
      <w:bookmarkEnd w:id="29"/>
    </w:p>
    <w:p w14:paraId="1EF36514" w14:textId="1735439A" w:rsidR="00764905" w:rsidRPr="00764905" w:rsidRDefault="003343CF" w:rsidP="00764905">
      <w:pPr>
        <w:spacing w:line="360" w:lineRule="auto"/>
        <w:jc w:val="both"/>
        <w:rPr>
          <w:rFonts w:ascii="Arial" w:hAnsi="Arial" w:cs="Arial"/>
          <w:sz w:val="24"/>
          <w:szCs w:val="24"/>
          <w:lang w:val="en-GB" w:eastAsia="en-GB"/>
        </w:rPr>
      </w:pPr>
      <w:r w:rsidRPr="003343CF">
        <w:rPr>
          <w:rFonts w:ascii="Arial" w:hAnsi="Arial" w:cs="Arial"/>
          <w:sz w:val="24"/>
          <w:szCs w:val="24"/>
          <w:lang w:val="en-GB" w:eastAsia="en-GB"/>
        </w:rPr>
        <w:t>The Value Proposition Canvas is used to link the customer jobs and pains/gains to the offered value proposition (</w:t>
      </w:r>
      <w:proofErr w:type="spellStart"/>
      <w:r w:rsidRPr="003343CF">
        <w:rPr>
          <w:rFonts w:ascii="Arial" w:hAnsi="Arial" w:cs="Arial"/>
          <w:sz w:val="24"/>
          <w:szCs w:val="24"/>
          <w:lang w:val="en-GB" w:eastAsia="en-GB"/>
        </w:rPr>
        <w:t>Osterwalder</w:t>
      </w:r>
      <w:proofErr w:type="spellEnd"/>
      <w:r w:rsidRPr="003343CF">
        <w:rPr>
          <w:rFonts w:ascii="Arial" w:hAnsi="Arial" w:cs="Arial"/>
          <w:sz w:val="24"/>
          <w:szCs w:val="24"/>
          <w:lang w:val="en-GB" w:eastAsia="en-GB"/>
        </w:rPr>
        <w:t xml:space="preserve"> et al., 2014). What people want could be quality coffee, convenient and social or working environments, and what they are concerned about could be poor quality, lack of transparency, or unsustainable practices. The framework can then be used to assess the match between these needs and the specialty coffee, ethical sourcing and customer experience that will be offered as a combination. But it's not a substitute for primary consumer research. The Business Model Canvas combines the elements of customer segments, value proposition, channels, customer relationships, revenue streams, resources, activities, partners and costs (</w:t>
      </w:r>
      <w:proofErr w:type="spellStart"/>
      <w:r w:rsidRPr="003343CF">
        <w:rPr>
          <w:rFonts w:ascii="Arial" w:hAnsi="Arial" w:cs="Arial"/>
          <w:sz w:val="24"/>
          <w:szCs w:val="24"/>
          <w:lang w:val="en-GB" w:eastAsia="en-GB"/>
        </w:rPr>
        <w:t>Osterwalder</w:t>
      </w:r>
      <w:proofErr w:type="spellEnd"/>
      <w:r w:rsidRPr="003343CF">
        <w:rPr>
          <w:rFonts w:ascii="Arial" w:hAnsi="Arial" w:cs="Arial"/>
          <w:sz w:val="24"/>
          <w:szCs w:val="24"/>
          <w:lang w:val="en-GB" w:eastAsia="en-GB"/>
        </w:rPr>
        <w:t xml:space="preserve"> and </w:t>
      </w:r>
      <w:proofErr w:type="spellStart"/>
      <w:r w:rsidRPr="003343CF">
        <w:rPr>
          <w:rFonts w:ascii="Arial" w:hAnsi="Arial" w:cs="Arial"/>
          <w:sz w:val="24"/>
          <w:szCs w:val="24"/>
          <w:lang w:val="en-GB" w:eastAsia="en-GB"/>
        </w:rPr>
        <w:t>Pigneur</w:t>
      </w:r>
      <w:proofErr w:type="spellEnd"/>
      <w:r w:rsidRPr="003343CF">
        <w:rPr>
          <w:rFonts w:ascii="Arial" w:hAnsi="Arial" w:cs="Arial"/>
          <w:sz w:val="24"/>
          <w:szCs w:val="24"/>
          <w:lang w:val="en-GB" w:eastAsia="en-GB"/>
        </w:rPr>
        <w:t>, 2010).</w:t>
      </w:r>
      <w:r w:rsidR="00764905" w:rsidRPr="00764905">
        <w:rPr>
          <w:rFonts w:ascii="Arial" w:hAnsi="Arial" w:cs="Arial"/>
          <w:sz w:val="24"/>
          <w:szCs w:val="24"/>
          <w:lang w:val="en-GB" w:eastAsia="en-GB"/>
        </w:rPr>
        <w:t xml:space="preserve"> </w:t>
      </w:r>
    </w:p>
    <w:p w14:paraId="7A79799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0" w:name="_Toc241167434"/>
      <w:r w:rsidRPr="00764905">
        <w:rPr>
          <w:rFonts w:ascii="Arial" w:eastAsia="Times New Roman" w:hAnsi="Arial" w:cstheme="majorBidi"/>
          <w:b/>
          <w:color w:val="000000" w:themeColor="text1"/>
          <w:sz w:val="28"/>
          <w:szCs w:val="32"/>
          <w:lang w:val="en-GB" w:eastAsia="en-GB"/>
        </w:rPr>
        <w:t>3.8 Integrated Framework and Research Gap</w:t>
      </w:r>
      <w:bookmarkEnd w:id="30"/>
    </w:p>
    <w:p w14:paraId="53114DF5" w14:textId="77777777" w:rsidR="00614ED4" w:rsidRPr="00614ED4" w:rsidRDefault="00614ED4" w:rsidP="00614ED4">
      <w:pPr>
        <w:spacing w:line="360" w:lineRule="auto"/>
        <w:jc w:val="both"/>
        <w:rPr>
          <w:rFonts w:ascii="Arial" w:hAnsi="Arial" w:cs="Arial"/>
          <w:sz w:val="24"/>
          <w:szCs w:val="24"/>
          <w:lang w:val="en-GB" w:eastAsia="en-GB"/>
        </w:rPr>
      </w:pPr>
      <w:r w:rsidRPr="00614ED4">
        <w:rPr>
          <w:rFonts w:ascii="Arial" w:hAnsi="Arial" w:cs="Arial"/>
          <w:sz w:val="24"/>
          <w:szCs w:val="24"/>
          <w:lang w:val="en-GB" w:eastAsia="en-GB"/>
        </w:rPr>
        <w:t>The frameworks are best used in combination and not separately. PESTLE is used to determine macro-environmental factors and Five Forces is used to determine the industry structure and competitive pressures. The internal resources and capabilities are part of RBV/VRIO and Porter helps with competitive positioning. The Value Chain focuses on the value-creating activities, TBL focuses on sustainability (People, Planet and Profit), VPC brings together the needs of the customer with the activities which help to create value, and BMC brings the proposition together with the larger business model.</w:t>
      </w:r>
    </w:p>
    <w:p w14:paraId="06D9EB48" w14:textId="57D8091E" w:rsidR="00764905" w:rsidRPr="00764905" w:rsidRDefault="00614ED4" w:rsidP="00614ED4">
      <w:pPr>
        <w:spacing w:line="360" w:lineRule="auto"/>
        <w:jc w:val="both"/>
        <w:rPr>
          <w:sz w:val="24"/>
          <w:szCs w:val="24"/>
          <w:lang w:val="en-GB" w:eastAsia="en-GB"/>
        </w:rPr>
      </w:pPr>
      <w:r w:rsidRPr="00614ED4">
        <w:rPr>
          <w:rFonts w:ascii="Arial" w:hAnsi="Arial" w:cs="Arial"/>
          <w:sz w:val="24"/>
          <w:szCs w:val="24"/>
          <w:lang w:val="en-GB" w:eastAsia="en-GB"/>
        </w:rPr>
        <w:lastRenderedPageBreak/>
        <w:t xml:space="preserve">The literature reviewed suggests that there is a gap in integration and contextualization. Theories and research on ethical consumption, sustainable supply chain, specialty coffee and competitive advantage are studied separately. </w:t>
      </w:r>
    </w:p>
    <w:p w14:paraId="7123D942"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w:t>
      </w:r>
    </w:p>
    <w:p w14:paraId="0752AA59" w14:textId="029BA7F2" w:rsidR="00764905" w:rsidRDefault="00764905" w:rsidP="00764905">
      <w:pPr>
        <w:spacing w:line="360" w:lineRule="auto"/>
        <w:jc w:val="both"/>
        <w:rPr>
          <w:rFonts w:ascii="Arial" w:hAnsi="Arial" w:cs="Arial"/>
          <w:sz w:val="24"/>
          <w:szCs w:val="24"/>
          <w:lang w:val="en-GB" w:eastAsia="en-GB"/>
        </w:rPr>
      </w:pPr>
    </w:p>
    <w:p w14:paraId="28869AE6" w14:textId="11BBAB94" w:rsidR="00AA38D5" w:rsidRDefault="00AA38D5" w:rsidP="00764905">
      <w:pPr>
        <w:spacing w:line="360" w:lineRule="auto"/>
        <w:jc w:val="both"/>
        <w:rPr>
          <w:rFonts w:ascii="Arial" w:hAnsi="Arial" w:cs="Arial"/>
          <w:sz w:val="24"/>
          <w:szCs w:val="24"/>
          <w:lang w:val="en-GB" w:eastAsia="en-GB"/>
        </w:rPr>
      </w:pPr>
    </w:p>
    <w:p w14:paraId="67B1F9DF" w14:textId="4A0A0C8B" w:rsidR="00AA38D5" w:rsidRDefault="00AA38D5" w:rsidP="00764905">
      <w:pPr>
        <w:spacing w:line="360" w:lineRule="auto"/>
        <w:jc w:val="both"/>
        <w:rPr>
          <w:rFonts w:ascii="Arial" w:hAnsi="Arial" w:cs="Arial"/>
          <w:sz w:val="24"/>
          <w:szCs w:val="24"/>
          <w:lang w:val="en-GB" w:eastAsia="en-GB"/>
        </w:rPr>
      </w:pPr>
    </w:p>
    <w:p w14:paraId="7E901858" w14:textId="46B84B8F" w:rsidR="00AA38D5" w:rsidRDefault="00AA38D5" w:rsidP="00764905">
      <w:pPr>
        <w:spacing w:line="360" w:lineRule="auto"/>
        <w:jc w:val="both"/>
        <w:rPr>
          <w:rFonts w:ascii="Arial" w:hAnsi="Arial" w:cs="Arial"/>
          <w:sz w:val="24"/>
          <w:szCs w:val="24"/>
          <w:lang w:val="en-GB" w:eastAsia="en-GB"/>
        </w:rPr>
      </w:pPr>
    </w:p>
    <w:p w14:paraId="2737969A" w14:textId="5F8865B1" w:rsidR="00AA38D5" w:rsidRDefault="00AA38D5" w:rsidP="00764905">
      <w:pPr>
        <w:spacing w:line="360" w:lineRule="auto"/>
        <w:jc w:val="both"/>
        <w:rPr>
          <w:rFonts w:ascii="Arial" w:hAnsi="Arial" w:cs="Arial"/>
          <w:sz w:val="24"/>
          <w:szCs w:val="24"/>
          <w:lang w:val="en-GB" w:eastAsia="en-GB"/>
        </w:rPr>
      </w:pPr>
    </w:p>
    <w:p w14:paraId="0EB2200E" w14:textId="643D8748" w:rsidR="00AA38D5" w:rsidRDefault="00AA38D5" w:rsidP="00764905">
      <w:pPr>
        <w:spacing w:line="360" w:lineRule="auto"/>
        <w:jc w:val="both"/>
        <w:rPr>
          <w:rFonts w:ascii="Arial" w:hAnsi="Arial" w:cs="Arial"/>
          <w:sz w:val="24"/>
          <w:szCs w:val="24"/>
          <w:lang w:val="en-GB" w:eastAsia="en-GB"/>
        </w:rPr>
      </w:pPr>
    </w:p>
    <w:p w14:paraId="277BB5AA" w14:textId="714EB7DD" w:rsidR="00AA38D5" w:rsidRDefault="00AA38D5" w:rsidP="00764905">
      <w:pPr>
        <w:spacing w:line="360" w:lineRule="auto"/>
        <w:jc w:val="both"/>
        <w:rPr>
          <w:rFonts w:ascii="Arial" w:hAnsi="Arial" w:cs="Arial"/>
          <w:sz w:val="24"/>
          <w:szCs w:val="24"/>
          <w:lang w:val="en-GB" w:eastAsia="en-GB"/>
        </w:rPr>
      </w:pPr>
    </w:p>
    <w:p w14:paraId="73F09656" w14:textId="6151835B" w:rsidR="00AA38D5" w:rsidRDefault="00AA38D5" w:rsidP="00764905">
      <w:pPr>
        <w:spacing w:line="360" w:lineRule="auto"/>
        <w:jc w:val="both"/>
        <w:rPr>
          <w:rFonts w:ascii="Arial" w:hAnsi="Arial" w:cs="Arial"/>
          <w:sz w:val="24"/>
          <w:szCs w:val="24"/>
          <w:lang w:val="en-GB" w:eastAsia="en-GB"/>
        </w:rPr>
      </w:pPr>
    </w:p>
    <w:p w14:paraId="0F292E80" w14:textId="7AEB8712" w:rsidR="00D94CC0" w:rsidRDefault="00D94CC0" w:rsidP="00764905">
      <w:pPr>
        <w:spacing w:line="360" w:lineRule="auto"/>
        <w:jc w:val="both"/>
        <w:rPr>
          <w:rFonts w:ascii="Arial" w:hAnsi="Arial" w:cs="Arial"/>
          <w:sz w:val="24"/>
          <w:szCs w:val="24"/>
          <w:lang w:val="en-GB" w:eastAsia="en-GB"/>
        </w:rPr>
      </w:pPr>
    </w:p>
    <w:p w14:paraId="38A9BF77" w14:textId="666EE1D4" w:rsidR="00D94CC0" w:rsidRDefault="00D94CC0" w:rsidP="00764905">
      <w:pPr>
        <w:spacing w:line="360" w:lineRule="auto"/>
        <w:jc w:val="both"/>
        <w:rPr>
          <w:rFonts w:ascii="Arial" w:hAnsi="Arial" w:cs="Arial"/>
          <w:sz w:val="24"/>
          <w:szCs w:val="24"/>
          <w:lang w:val="en-GB" w:eastAsia="en-GB"/>
        </w:rPr>
      </w:pPr>
    </w:p>
    <w:p w14:paraId="46DA648C" w14:textId="6C12E51F" w:rsidR="00D94CC0" w:rsidRDefault="00D94CC0" w:rsidP="00764905">
      <w:pPr>
        <w:spacing w:line="360" w:lineRule="auto"/>
        <w:jc w:val="both"/>
        <w:rPr>
          <w:rFonts w:ascii="Arial" w:hAnsi="Arial" w:cs="Arial"/>
          <w:sz w:val="24"/>
          <w:szCs w:val="24"/>
          <w:lang w:val="en-GB" w:eastAsia="en-GB"/>
        </w:rPr>
      </w:pPr>
    </w:p>
    <w:p w14:paraId="2BECC60E" w14:textId="69634697" w:rsidR="00D94CC0" w:rsidRDefault="00D94CC0" w:rsidP="00764905">
      <w:pPr>
        <w:spacing w:line="360" w:lineRule="auto"/>
        <w:jc w:val="both"/>
        <w:rPr>
          <w:rFonts w:ascii="Arial" w:hAnsi="Arial" w:cs="Arial"/>
          <w:sz w:val="24"/>
          <w:szCs w:val="24"/>
          <w:lang w:val="en-GB" w:eastAsia="en-GB"/>
        </w:rPr>
      </w:pPr>
    </w:p>
    <w:p w14:paraId="209807F1" w14:textId="1AB66015" w:rsidR="00D94CC0" w:rsidRDefault="00D94CC0" w:rsidP="00764905">
      <w:pPr>
        <w:spacing w:line="360" w:lineRule="auto"/>
        <w:jc w:val="both"/>
        <w:rPr>
          <w:rFonts w:ascii="Arial" w:hAnsi="Arial" w:cs="Arial"/>
          <w:sz w:val="24"/>
          <w:szCs w:val="24"/>
          <w:lang w:val="en-GB" w:eastAsia="en-GB"/>
        </w:rPr>
      </w:pPr>
    </w:p>
    <w:p w14:paraId="6190C444" w14:textId="21F9BBCA" w:rsidR="00D94CC0" w:rsidRDefault="00D94CC0" w:rsidP="00764905">
      <w:pPr>
        <w:spacing w:line="360" w:lineRule="auto"/>
        <w:jc w:val="both"/>
        <w:rPr>
          <w:rFonts w:ascii="Arial" w:hAnsi="Arial" w:cs="Arial"/>
          <w:sz w:val="24"/>
          <w:szCs w:val="24"/>
          <w:lang w:val="en-GB" w:eastAsia="en-GB"/>
        </w:rPr>
      </w:pPr>
    </w:p>
    <w:p w14:paraId="04A60815" w14:textId="3E813C33" w:rsidR="00D94CC0" w:rsidRDefault="00D94CC0" w:rsidP="00764905">
      <w:pPr>
        <w:spacing w:line="360" w:lineRule="auto"/>
        <w:jc w:val="both"/>
        <w:rPr>
          <w:rFonts w:ascii="Arial" w:hAnsi="Arial" w:cs="Arial"/>
          <w:sz w:val="24"/>
          <w:szCs w:val="24"/>
          <w:lang w:val="en-GB" w:eastAsia="en-GB"/>
        </w:rPr>
      </w:pPr>
    </w:p>
    <w:p w14:paraId="7EEF3E60" w14:textId="540DAD60" w:rsidR="00D94CC0" w:rsidRDefault="00D94CC0" w:rsidP="00764905">
      <w:pPr>
        <w:spacing w:line="360" w:lineRule="auto"/>
        <w:jc w:val="both"/>
        <w:rPr>
          <w:rFonts w:ascii="Arial" w:hAnsi="Arial" w:cs="Arial"/>
          <w:sz w:val="24"/>
          <w:szCs w:val="24"/>
          <w:lang w:val="en-GB" w:eastAsia="en-GB"/>
        </w:rPr>
      </w:pPr>
    </w:p>
    <w:p w14:paraId="2BC116D7" w14:textId="596C3970" w:rsidR="00D94CC0" w:rsidRDefault="00D94CC0" w:rsidP="00764905">
      <w:pPr>
        <w:spacing w:line="360" w:lineRule="auto"/>
        <w:jc w:val="both"/>
        <w:rPr>
          <w:rFonts w:ascii="Arial" w:hAnsi="Arial" w:cs="Arial"/>
          <w:sz w:val="24"/>
          <w:szCs w:val="24"/>
          <w:lang w:val="en-GB" w:eastAsia="en-GB"/>
        </w:rPr>
      </w:pPr>
    </w:p>
    <w:p w14:paraId="27E47619" w14:textId="77777777" w:rsidR="00D94CC0" w:rsidRPr="00764905" w:rsidRDefault="00D94CC0" w:rsidP="00764905">
      <w:pPr>
        <w:spacing w:line="360" w:lineRule="auto"/>
        <w:jc w:val="both"/>
        <w:rPr>
          <w:rFonts w:ascii="Arial" w:hAnsi="Arial" w:cs="Arial"/>
          <w:sz w:val="24"/>
          <w:szCs w:val="24"/>
          <w:lang w:val="en-GB" w:eastAsia="en-GB"/>
        </w:rPr>
      </w:pPr>
    </w:p>
    <w:p w14:paraId="45A12B3E" w14:textId="6C70822A" w:rsidR="00764905" w:rsidRPr="00764905" w:rsidRDefault="00764905" w:rsidP="00764905">
      <w:pPr>
        <w:spacing w:line="360" w:lineRule="auto"/>
        <w:jc w:val="both"/>
        <w:rPr>
          <w:rFonts w:ascii="Arial" w:hAnsi="Arial" w:cs="Arial"/>
          <w:sz w:val="24"/>
          <w:szCs w:val="24"/>
          <w:lang w:val="en-GB" w:eastAsia="en-GB"/>
        </w:rPr>
      </w:pPr>
    </w:p>
    <w:p w14:paraId="5304BC78" w14:textId="77777777" w:rsidR="00764905" w:rsidRPr="00764905" w:rsidRDefault="00764905" w:rsidP="00764905">
      <w:pPr>
        <w:keepNext/>
        <w:keepLines/>
        <w:spacing w:before="360" w:after="80" w:line="360" w:lineRule="auto"/>
        <w:jc w:val="center"/>
        <w:outlineLvl w:val="0"/>
        <w:rPr>
          <w:rFonts w:ascii="Arial" w:eastAsia="Times New Roman" w:hAnsi="Arial" w:cstheme="majorBidi"/>
          <w:b/>
          <w:color w:val="000000" w:themeColor="text1"/>
          <w:sz w:val="32"/>
          <w:szCs w:val="40"/>
          <w:lang w:val="en-GB" w:eastAsia="en-GB"/>
        </w:rPr>
      </w:pPr>
      <w:bookmarkStart w:id="31" w:name="_Toc241167435"/>
      <w:r w:rsidRPr="00764905">
        <w:rPr>
          <w:rFonts w:ascii="Arial" w:eastAsia="Times New Roman" w:hAnsi="Arial" w:cstheme="majorBidi"/>
          <w:b/>
          <w:color w:val="000000" w:themeColor="text1"/>
          <w:sz w:val="32"/>
          <w:szCs w:val="40"/>
          <w:lang w:val="en-GB" w:eastAsia="en-GB"/>
        </w:rPr>
        <w:lastRenderedPageBreak/>
        <w:t>Chapter 4: RESEARCH METHODOLOGY</w:t>
      </w:r>
      <w:bookmarkEnd w:id="31"/>
    </w:p>
    <w:p w14:paraId="77BF245A"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2" w:name="_Toc241167436"/>
      <w:r w:rsidRPr="00764905">
        <w:rPr>
          <w:rFonts w:ascii="Arial" w:eastAsia="Times New Roman" w:hAnsi="Arial" w:cstheme="majorBidi"/>
          <w:b/>
          <w:color w:val="000000" w:themeColor="text1"/>
          <w:sz w:val="28"/>
          <w:szCs w:val="32"/>
          <w:lang w:val="en-GB" w:eastAsia="en-GB"/>
        </w:rPr>
        <w:t>4.1 Introduction</w:t>
      </w:r>
      <w:bookmarkEnd w:id="32"/>
    </w:p>
    <w:p w14:paraId="7AE28BF3" w14:textId="2670741C" w:rsidR="00764905" w:rsidRPr="00764905" w:rsidRDefault="00437EEF" w:rsidP="00764905">
      <w:pPr>
        <w:spacing w:line="360" w:lineRule="auto"/>
        <w:jc w:val="both"/>
        <w:rPr>
          <w:rFonts w:ascii="Arial" w:hAnsi="Arial" w:cs="Arial"/>
          <w:sz w:val="24"/>
          <w:szCs w:val="24"/>
          <w:lang w:val="en-GB" w:eastAsia="en-GB"/>
        </w:rPr>
      </w:pPr>
      <w:r w:rsidRPr="00437EEF">
        <w:rPr>
          <w:rFonts w:ascii="Arial" w:hAnsi="Arial" w:cs="Arial"/>
          <w:sz w:val="24"/>
          <w:szCs w:val="24"/>
          <w:lang w:val="en-GB" w:eastAsia="en-GB"/>
        </w:rPr>
        <w:t>This chapter details the methods applied in the study of the market research aspect and strategic feasibility of The Ethical Bean Coffee House (TEBC). The study is secondary and includes both quantitative and qualitative data to give an evidence based assessment of the proposed business. The quantitative evidence will cover market size and growth, pricing, operating costs, financial assumptions, and the qualitative evidence will cover consumer trends, competitor propositions, sustainability issues, industry conditions and strategic considerations. Complementary analysis techniques such as PESTLE, Porter's Five Forces, SWOT, Value Chain, RBV/VRIO and Porter's Generic Strategies are used to analyse the evidence (Saunders, Lewis and Thornhill, 2019).</w:t>
      </w:r>
    </w:p>
    <w:p w14:paraId="601FE1D6"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3" w:name="_Toc241167437"/>
      <w:r w:rsidRPr="00764905">
        <w:rPr>
          <w:rFonts w:ascii="Arial" w:eastAsia="Times New Roman" w:hAnsi="Arial" w:cstheme="majorBidi"/>
          <w:b/>
          <w:color w:val="000000" w:themeColor="text1"/>
          <w:sz w:val="28"/>
          <w:szCs w:val="32"/>
          <w:lang w:val="en-GB" w:eastAsia="en-GB"/>
        </w:rPr>
        <w:t>4.2 Research Approach and Design</w:t>
      </w:r>
      <w:bookmarkEnd w:id="33"/>
    </w:p>
    <w:p w14:paraId="53429BC4" w14:textId="77777777" w:rsidR="002E279B" w:rsidRPr="002E279B" w:rsidRDefault="002E279B" w:rsidP="002E279B">
      <w:pPr>
        <w:spacing w:line="360" w:lineRule="auto"/>
        <w:jc w:val="both"/>
        <w:rPr>
          <w:rFonts w:ascii="Arial" w:hAnsi="Arial" w:cs="Arial"/>
          <w:sz w:val="24"/>
          <w:szCs w:val="24"/>
          <w:lang w:val="en-GB" w:eastAsia="en-GB"/>
        </w:rPr>
      </w:pPr>
      <w:r w:rsidRPr="002E279B">
        <w:rPr>
          <w:rFonts w:ascii="Arial" w:hAnsi="Arial" w:cs="Arial"/>
          <w:sz w:val="24"/>
          <w:szCs w:val="24"/>
          <w:lang w:val="en-GB" w:eastAsia="en-GB"/>
        </w:rPr>
        <w:t>The research design in the study is secondary-data research with exploratory and descriptive aspects. Secondary research is suitable as the BDP does not need primary answers to be gathered as there is evidence available for the UK coffee-shop market, consumer behaviour, competitors, economic conditions, sustainability and business feasibility. Secondary data can also be used to compare to other sources of secondary data available and can offer more contextual evidence (Saunders, Lewis and Thornhill, 2019).</w:t>
      </w:r>
    </w:p>
    <w:p w14:paraId="77745835" w14:textId="00023009" w:rsidR="00764905" w:rsidRPr="00764905" w:rsidRDefault="002E279B" w:rsidP="002E279B">
      <w:pPr>
        <w:spacing w:line="360" w:lineRule="auto"/>
        <w:jc w:val="both"/>
        <w:rPr>
          <w:rFonts w:ascii="Arial" w:hAnsi="Arial" w:cs="Arial"/>
          <w:sz w:val="24"/>
          <w:szCs w:val="24"/>
          <w:lang w:val="en-GB" w:eastAsia="en-GB"/>
        </w:rPr>
      </w:pPr>
      <w:r w:rsidRPr="002E279B">
        <w:rPr>
          <w:rFonts w:ascii="Arial" w:hAnsi="Arial" w:cs="Arial"/>
          <w:sz w:val="24"/>
          <w:szCs w:val="24"/>
          <w:lang w:val="en-GB" w:eastAsia="en-GB"/>
        </w:rPr>
        <w:t xml:space="preserve">This analysis is qualitative and quantitative using secondary data. While market values, growth rates, prices, and operating costs and financial assumptions are quantitative evidence, consumer preferences, sustainability trends, competitor strategies, regulatory developments, and industry commentary are qualitative evidence (Creswell and Creswell, 2018). </w:t>
      </w:r>
    </w:p>
    <w:p w14:paraId="4568E9A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4" w:name="_Toc241167438"/>
      <w:r w:rsidRPr="00764905">
        <w:rPr>
          <w:rFonts w:ascii="Arial" w:eastAsia="Times New Roman" w:hAnsi="Arial" w:cstheme="majorBidi"/>
          <w:b/>
          <w:color w:val="000000" w:themeColor="text1"/>
          <w:sz w:val="28"/>
          <w:szCs w:val="32"/>
          <w:lang w:val="en-GB" w:eastAsia="en-GB"/>
        </w:rPr>
        <w:t>4.3 Data Sources and Literature Search Strategy</w:t>
      </w:r>
      <w:bookmarkEnd w:id="34"/>
    </w:p>
    <w:p w14:paraId="66ED254B" w14:textId="77777777" w:rsidR="00A94694" w:rsidRPr="00A94694" w:rsidRDefault="00A94694" w:rsidP="00A94694">
      <w:pPr>
        <w:spacing w:line="360" w:lineRule="auto"/>
        <w:jc w:val="both"/>
        <w:rPr>
          <w:rFonts w:ascii="Arial" w:hAnsi="Arial" w:cs="Arial"/>
          <w:sz w:val="24"/>
          <w:szCs w:val="24"/>
          <w:lang w:val="en-GB" w:eastAsia="en-GB"/>
        </w:rPr>
      </w:pPr>
      <w:r w:rsidRPr="00A94694">
        <w:rPr>
          <w:rFonts w:ascii="Arial" w:hAnsi="Arial" w:cs="Arial"/>
          <w:sz w:val="24"/>
          <w:szCs w:val="24"/>
          <w:lang w:val="en-GB" w:eastAsia="en-GB"/>
        </w:rPr>
        <w:t xml:space="preserve">Library databases at the UWTSL and Scopus, Web of Science, </w:t>
      </w:r>
      <w:proofErr w:type="spellStart"/>
      <w:r w:rsidRPr="00A94694">
        <w:rPr>
          <w:rFonts w:ascii="Arial" w:hAnsi="Arial" w:cs="Arial"/>
          <w:sz w:val="24"/>
          <w:szCs w:val="24"/>
          <w:lang w:val="en-GB" w:eastAsia="en-GB"/>
        </w:rPr>
        <w:t>ScienceDirect</w:t>
      </w:r>
      <w:proofErr w:type="spellEnd"/>
      <w:r w:rsidRPr="00A94694">
        <w:rPr>
          <w:rFonts w:ascii="Arial" w:hAnsi="Arial" w:cs="Arial"/>
          <w:sz w:val="24"/>
          <w:szCs w:val="24"/>
          <w:lang w:val="en-GB" w:eastAsia="en-GB"/>
        </w:rPr>
        <w:t xml:space="preserve"> and Google Scholar were used for academic literature search. These sources were chosen because they are peer-reviewed journal articles, academic books and other scholarly works that address the research questions.</w:t>
      </w:r>
    </w:p>
    <w:p w14:paraId="0BB33827" w14:textId="2ACC17CD" w:rsidR="00764905" w:rsidRPr="00764905" w:rsidRDefault="00A94694" w:rsidP="00A94694">
      <w:pPr>
        <w:spacing w:line="360" w:lineRule="auto"/>
        <w:jc w:val="both"/>
        <w:rPr>
          <w:rFonts w:ascii="Arial" w:hAnsi="Arial" w:cs="Arial"/>
          <w:sz w:val="24"/>
          <w:szCs w:val="24"/>
          <w:lang w:val="en-GB" w:eastAsia="en-GB"/>
        </w:rPr>
      </w:pPr>
      <w:r w:rsidRPr="00A94694">
        <w:rPr>
          <w:rFonts w:ascii="Arial" w:hAnsi="Arial" w:cs="Arial"/>
          <w:sz w:val="24"/>
          <w:szCs w:val="24"/>
          <w:lang w:val="en-GB" w:eastAsia="en-GB"/>
        </w:rPr>
        <w:lastRenderedPageBreak/>
        <w:t>Sources of information from the industry, government and organizations were also examined and included publications from the UK government and institutional sources, the Office for National Statistics (ONS), British Coffee Association, British Retail Consortium, Food Standards Agency and releva</w:t>
      </w:r>
      <w:r>
        <w:rPr>
          <w:rFonts w:ascii="Arial" w:hAnsi="Arial" w:cs="Arial"/>
          <w:sz w:val="24"/>
          <w:szCs w:val="24"/>
          <w:lang w:val="en-GB" w:eastAsia="en-GB"/>
        </w:rPr>
        <w:t>nt sustainability organisations</w:t>
      </w:r>
      <w:r w:rsidR="00791F80" w:rsidRPr="00791F80">
        <w:rPr>
          <w:rFonts w:ascii="Arial" w:hAnsi="Arial" w:cs="Arial"/>
          <w:sz w:val="24"/>
          <w:szCs w:val="24"/>
          <w:lang w:val="en-GB" w:eastAsia="en-GB"/>
        </w:rPr>
        <w:t xml:space="preserve">. </w:t>
      </w:r>
    </w:p>
    <w:p w14:paraId="757DF746" w14:textId="77777777" w:rsidR="00764905" w:rsidRPr="00764905" w:rsidRDefault="00764905" w:rsidP="00764905">
      <w:pPr>
        <w:spacing w:line="360" w:lineRule="auto"/>
        <w:jc w:val="both"/>
        <w:rPr>
          <w:rFonts w:ascii="Arial" w:hAnsi="Arial" w:cs="Arial"/>
          <w:b/>
          <w:sz w:val="24"/>
          <w:szCs w:val="24"/>
          <w:lang w:val="en-GB" w:eastAsia="en-GB"/>
        </w:rPr>
      </w:pPr>
      <w:r w:rsidRPr="00764905">
        <w:rPr>
          <w:rFonts w:ascii="Arial" w:hAnsi="Arial" w:cs="Arial"/>
          <w:b/>
          <w:sz w:val="24"/>
          <w:szCs w:val="24"/>
          <w:lang w:val="en-GB" w:eastAsia="en-GB"/>
        </w:rPr>
        <w:t>Combinations of keywords were used in searches:</w:t>
      </w:r>
    </w:p>
    <w:p w14:paraId="73E879C7" w14:textId="29EE0CE6" w:rsidR="00764905" w:rsidRPr="00764905" w:rsidRDefault="00764905" w:rsidP="00C635DE">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World of coffee and tea” </w:t>
      </w:r>
    </w:p>
    <w:p w14:paraId="3894AB06"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consumer behaviour UK” </w:t>
      </w:r>
    </w:p>
    <w:p w14:paraId="3A71D607"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“specialty coffee UK” </w:t>
      </w:r>
    </w:p>
    <w:p w14:paraId="3C2CA402"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“ethical coffee consumption” </w:t>
      </w:r>
    </w:p>
    <w:p w14:paraId="179CB5EC"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Sustainable coffee supply chain </w:t>
      </w:r>
    </w:p>
    <w:p w14:paraId="71FBE65D"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shop competitors UK” </w:t>
      </w:r>
    </w:p>
    <w:p w14:paraId="67C17080"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pricing UK” </w:t>
      </w:r>
    </w:p>
    <w:p w14:paraId="0305BBF1"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“sustainable business model coffee” </w:t>
      </w:r>
    </w:p>
    <w:p w14:paraId="0E07AD13"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industry Porter 5 forces model. </w:t>
      </w:r>
    </w:p>
    <w:p w14:paraId="57875EEF"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Consumer preferences for “ethical coffee” </w:t>
      </w:r>
    </w:p>
    <w:p w14:paraId="7F51EE08" w14:textId="554B7B59" w:rsidR="00764905" w:rsidRPr="00764905" w:rsidRDefault="00AB0EEB" w:rsidP="00764905">
      <w:pPr>
        <w:spacing w:line="360" w:lineRule="auto"/>
        <w:jc w:val="both"/>
        <w:rPr>
          <w:rFonts w:ascii="Arial" w:hAnsi="Arial" w:cs="Arial"/>
          <w:sz w:val="24"/>
          <w:szCs w:val="24"/>
          <w:lang w:val="en-GB" w:eastAsia="en-GB"/>
        </w:rPr>
      </w:pPr>
      <w:r w:rsidRPr="00AB0EEB">
        <w:rPr>
          <w:rFonts w:ascii="Arial" w:hAnsi="Arial" w:cs="Arial"/>
          <w:sz w:val="24"/>
          <w:szCs w:val="24"/>
          <w:lang w:val="en-GB" w:eastAsia="en-GB"/>
        </w:rPr>
        <w:t xml:space="preserve">Boolean operators such as AND </w:t>
      </w:r>
      <w:proofErr w:type="spellStart"/>
      <w:r w:rsidRPr="00AB0EEB">
        <w:rPr>
          <w:rFonts w:ascii="Arial" w:hAnsi="Arial" w:cs="Arial"/>
          <w:sz w:val="24"/>
          <w:szCs w:val="24"/>
          <w:lang w:val="en-GB" w:eastAsia="en-GB"/>
        </w:rPr>
        <w:t>and</w:t>
      </w:r>
      <w:proofErr w:type="spellEnd"/>
      <w:r w:rsidRPr="00AB0EEB">
        <w:rPr>
          <w:rFonts w:ascii="Arial" w:hAnsi="Arial" w:cs="Arial"/>
          <w:sz w:val="24"/>
          <w:szCs w:val="24"/>
          <w:lang w:val="en-GB" w:eastAsia="en-GB"/>
        </w:rPr>
        <w:t xml:space="preserve"> OR were used to narrow or broaden searches. Examples included “coffee shop” AND “consumer behaviour”, “ethical coffee” AND sustainability, and “UK coffee market” AND growth</w:t>
      </w:r>
      <w:r w:rsidR="00764905" w:rsidRPr="00764905">
        <w:rPr>
          <w:rFonts w:ascii="Arial" w:hAnsi="Arial" w:cs="Arial"/>
          <w:sz w:val="24"/>
          <w:szCs w:val="24"/>
          <w:lang w:val="en-GB" w:eastAsia="en-GB"/>
        </w:rPr>
        <w:t>.</w:t>
      </w:r>
    </w:p>
    <w:p w14:paraId="0525A8BD"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5" w:name="_Toc241167439"/>
      <w:r w:rsidRPr="00764905">
        <w:rPr>
          <w:rFonts w:ascii="Arial" w:eastAsia="Times New Roman" w:hAnsi="Arial" w:cstheme="majorBidi"/>
          <w:b/>
          <w:color w:val="000000" w:themeColor="text1"/>
          <w:sz w:val="28"/>
          <w:szCs w:val="32"/>
          <w:lang w:val="en-GB" w:eastAsia="en-GB"/>
        </w:rPr>
        <w:t>4.4 Inclusion and Exclusion Criteria</w:t>
      </w:r>
      <w:bookmarkEnd w:id="35"/>
    </w:p>
    <w:p w14:paraId="10C709A5" w14:textId="3421C2F5" w:rsidR="00764905" w:rsidRPr="00764905" w:rsidRDefault="00F56501" w:rsidP="00764905">
      <w:pPr>
        <w:spacing w:line="360" w:lineRule="auto"/>
        <w:jc w:val="both"/>
        <w:rPr>
          <w:rFonts w:ascii="Arial" w:hAnsi="Arial" w:cs="Arial"/>
          <w:sz w:val="24"/>
          <w:szCs w:val="24"/>
          <w:lang w:val="en-GB" w:eastAsia="en-GB"/>
        </w:rPr>
      </w:pPr>
      <w:r w:rsidRPr="00F56501">
        <w:rPr>
          <w:rFonts w:ascii="Arial" w:hAnsi="Arial" w:cs="Arial"/>
          <w:sz w:val="24"/>
          <w:szCs w:val="24"/>
          <w:lang w:val="en-GB" w:eastAsia="en-GB"/>
        </w:rPr>
        <w:t>Sources were included where they were directly relevant to the UK coffee-shop industry, consumer behaviour, sustainability, ethical consumption, competitors, strategic management, financial assumptions or the theoretic</w:t>
      </w:r>
      <w:r>
        <w:rPr>
          <w:rFonts w:ascii="Arial" w:hAnsi="Arial" w:cs="Arial"/>
          <w:sz w:val="24"/>
          <w:szCs w:val="24"/>
          <w:lang w:val="en-GB" w:eastAsia="en-GB"/>
        </w:rPr>
        <w:t>al underpinning of the proposal</w:t>
      </w:r>
      <w:r w:rsidR="00764905" w:rsidRPr="00764905">
        <w:rPr>
          <w:rFonts w:ascii="Arial" w:hAnsi="Arial" w:cs="Arial"/>
          <w:sz w:val="24"/>
          <w:szCs w:val="24"/>
          <w:lang w:val="en-GB" w:eastAsia="en-GB"/>
        </w:rPr>
        <w:t>. Priority was given to peer-reviewed academic articles, scholarly books, government publications, reputable industry reports or credible corporate reports.</w:t>
      </w:r>
    </w:p>
    <w:p w14:paraId="3EC9AE26" w14:textId="17E1B00E" w:rsidR="00764905" w:rsidRPr="00764905" w:rsidRDefault="009169D7" w:rsidP="00764905">
      <w:pPr>
        <w:spacing w:line="360" w:lineRule="auto"/>
        <w:jc w:val="both"/>
        <w:rPr>
          <w:rFonts w:ascii="Arial" w:hAnsi="Arial" w:cs="Arial"/>
          <w:sz w:val="24"/>
          <w:szCs w:val="24"/>
          <w:lang w:val="en-GB" w:eastAsia="en-GB"/>
        </w:rPr>
      </w:pPr>
      <w:r w:rsidRPr="009169D7">
        <w:rPr>
          <w:rFonts w:ascii="Arial" w:hAnsi="Arial" w:cs="Arial"/>
          <w:sz w:val="24"/>
          <w:szCs w:val="24"/>
          <w:lang w:val="en-GB" w:eastAsia="en-GB"/>
        </w:rPr>
        <w:t>Sources were excluded where they were not relevant to the research questions, duplicated existing evidence, had no identifiable author, lacked sufficient credibility or coul</w:t>
      </w:r>
      <w:r>
        <w:rPr>
          <w:rFonts w:ascii="Arial" w:hAnsi="Arial" w:cs="Arial"/>
          <w:sz w:val="24"/>
          <w:szCs w:val="24"/>
          <w:lang w:val="en-GB" w:eastAsia="en-GB"/>
        </w:rPr>
        <w:t>d not be appropriately verified</w:t>
      </w:r>
      <w:r w:rsidR="00764905" w:rsidRPr="00764905">
        <w:rPr>
          <w:rFonts w:ascii="Arial" w:hAnsi="Arial" w:cs="Arial"/>
          <w:sz w:val="24"/>
          <w:szCs w:val="24"/>
          <w:lang w:val="en-GB" w:eastAsia="en-GB"/>
        </w:rPr>
        <w:t xml:space="preserve">. </w:t>
      </w:r>
      <w:r w:rsidR="00D518BC" w:rsidRPr="00D518BC">
        <w:rPr>
          <w:rFonts w:ascii="Arial" w:hAnsi="Arial" w:cs="Arial"/>
          <w:sz w:val="24"/>
          <w:szCs w:val="24"/>
          <w:lang w:val="en-GB" w:eastAsia="en-GB"/>
        </w:rPr>
        <w:t>Competitors were selected where they provided meaningful evidence relevant to product offerings, pricing, customer experience, sustainability or market positioning and were sufficiently comparable to the proposed café context (Saunders, Lewis and Thornhill, 2019).</w:t>
      </w:r>
    </w:p>
    <w:p w14:paraId="5A2AABEA"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6" w:name="_Toc241167440"/>
      <w:r w:rsidRPr="00764905">
        <w:rPr>
          <w:rFonts w:ascii="Arial" w:eastAsia="Times New Roman" w:hAnsi="Arial" w:cstheme="majorBidi"/>
          <w:b/>
          <w:color w:val="000000" w:themeColor="text1"/>
          <w:sz w:val="28"/>
          <w:szCs w:val="32"/>
          <w:lang w:val="en-GB" w:eastAsia="en-GB"/>
        </w:rPr>
        <w:lastRenderedPageBreak/>
        <w:t>4.5 Data Analysis</w:t>
      </w:r>
      <w:bookmarkEnd w:id="36"/>
    </w:p>
    <w:p w14:paraId="32120E1E" w14:textId="4A721433" w:rsidR="00764905" w:rsidRPr="00764905" w:rsidRDefault="00167BEF" w:rsidP="00764905">
      <w:pPr>
        <w:spacing w:line="360" w:lineRule="auto"/>
        <w:jc w:val="both"/>
        <w:rPr>
          <w:rFonts w:ascii="Arial" w:hAnsi="Arial" w:cs="Arial"/>
          <w:sz w:val="24"/>
          <w:szCs w:val="24"/>
          <w:lang w:val="en-GB" w:eastAsia="en-GB"/>
        </w:rPr>
      </w:pPr>
      <w:r w:rsidRPr="00167BEF">
        <w:rPr>
          <w:rFonts w:ascii="Arial" w:hAnsi="Arial" w:cs="Arial"/>
          <w:sz w:val="24"/>
          <w:szCs w:val="24"/>
          <w:lang w:val="en-GB" w:eastAsia="en-GB"/>
        </w:rPr>
        <w:t>Thematic analysis, comparative analysis and quantitative trend analysis were used to</w:t>
      </w:r>
      <w:r>
        <w:rPr>
          <w:rFonts w:ascii="Arial" w:hAnsi="Arial" w:cs="Arial"/>
          <w:sz w:val="24"/>
          <w:szCs w:val="24"/>
          <w:lang w:val="en-GB" w:eastAsia="en-GB"/>
        </w:rPr>
        <w:t xml:space="preserve"> analyse the secondary evidence</w:t>
      </w:r>
      <w:r w:rsidR="00764905" w:rsidRPr="00764905">
        <w:rPr>
          <w:rFonts w:ascii="Arial" w:hAnsi="Arial" w:cs="Arial"/>
          <w:sz w:val="24"/>
          <w:szCs w:val="24"/>
          <w:lang w:val="en-GB" w:eastAsia="en-GB"/>
        </w:rPr>
        <w:t xml:space="preserve">. </w:t>
      </w:r>
      <w:r w:rsidR="00857494" w:rsidRPr="00857494">
        <w:rPr>
          <w:rFonts w:ascii="Arial" w:hAnsi="Arial" w:cs="Arial"/>
          <w:sz w:val="24"/>
          <w:szCs w:val="24"/>
          <w:lang w:val="en-GB" w:eastAsia="en-GB"/>
        </w:rPr>
        <w:t>Qualitative evidence was organised into the themes of consumer behaviour, sustainability, ethical sourcing, competition, digitalis</w:t>
      </w:r>
      <w:r w:rsidR="00857494">
        <w:rPr>
          <w:rFonts w:ascii="Arial" w:hAnsi="Arial" w:cs="Arial"/>
          <w:sz w:val="24"/>
          <w:szCs w:val="24"/>
          <w:lang w:val="en-GB" w:eastAsia="en-GB"/>
        </w:rPr>
        <w:t>ation and strategic positioning</w:t>
      </w:r>
      <w:r w:rsidR="00764905" w:rsidRPr="00764905">
        <w:rPr>
          <w:rFonts w:ascii="Arial" w:hAnsi="Arial" w:cs="Arial"/>
          <w:sz w:val="24"/>
          <w:szCs w:val="24"/>
          <w:lang w:val="en-GB" w:eastAsia="en-GB"/>
        </w:rPr>
        <w:t xml:space="preserve">. </w:t>
      </w:r>
      <w:r w:rsidR="00AE6E2A" w:rsidRPr="00AE6E2A">
        <w:rPr>
          <w:rFonts w:ascii="Arial" w:hAnsi="Arial" w:cs="Arial"/>
          <w:sz w:val="24"/>
          <w:szCs w:val="24"/>
          <w:lang w:val="en-GB" w:eastAsia="en-GB"/>
        </w:rPr>
        <w:t>Thematic analysis was used to identify recurring patterns and themes within the documentary evidence (Braun and Clarke, 2022).</w:t>
      </w:r>
    </w:p>
    <w:p w14:paraId="1AD81106" w14:textId="56A483B1" w:rsidR="00764905" w:rsidRPr="00764905" w:rsidRDefault="00046046" w:rsidP="00764905">
      <w:pPr>
        <w:spacing w:line="360" w:lineRule="auto"/>
        <w:jc w:val="both"/>
        <w:rPr>
          <w:rFonts w:ascii="Arial" w:hAnsi="Arial" w:cs="Arial"/>
          <w:sz w:val="24"/>
          <w:szCs w:val="24"/>
          <w:lang w:val="en-GB" w:eastAsia="en-GB"/>
        </w:rPr>
      </w:pPr>
      <w:r w:rsidRPr="00046046">
        <w:rPr>
          <w:rFonts w:ascii="Arial" w:hAnsi="Arial" w:cs="Arial"/>
          <w:sz w:val="24"/>
          <w:szCs w:val="24"/>
          <w:lang w:val="en-GB" w:eastAsia="en-GB"/>
        </w:rPr>
        <w:t xml:space="preserve">Descriptive comparison was used for quantitative evidence. Market size and growth data were examined to identify trends, while competitor prices were compared within equivalent product categories where comparable data were available. </w:t>
      </w:r>
      <w:r w:rsidR="0069005D">
        <w:rPr>
          <w:rFonts w:ascii="Arial" w:hAnsi="Arial" w:cs="Arial"/>
          <w:sz w:val="24"/>
          <w:szCs w:val="24"/>
          <w:lang w:val="en-GB" w:eastAsia="en-GB"/>
        </w:rPr>
        <w:t xml:space="preserve"> </w:t>
      </w:r>
      <w:r w:rsidR="001B4ADA" w:rsidRPr="001B4ADA">
        <w:rPr>
          <w:rFonts w:ascii="Arial" w:hAnsi="Arial" w:cs="Arial"/>
          <w:sz w:val="24"/>
          <w:szCs w:val="24"/>
          <w:lang w:val="en-GB" w:eastAsia="en-GB"/>
        </w:rPr>
        <w:t>Competitors were compared using criteria including price, product range, positioning, sustainability, customer experience, location, digital presence and differentiation. The resulting evidence informed th</w:t>
      </w:r>
      <w:r w:rsidR="001B4ADA">
        <w:rPr>
          <w:rFonts w:ascii="Arial" w:hAnsi="Arial" w:cs="Arial"/>
          <w:sz w:val="24"/>
          <w:szCs w:val="24"/>
          <w:lang w:val="en-GB" w:eastAsia="en-GB"/>
        </w:rPr>
        <w:t>e SWOT and Five Forces analyses</w:t>
      </w:r>
      <w:r w:rsidR="00764905" w:rsidRPr="00764905">
        <w:rPr>
          <w:rFonts w:ascii="Arial" w:hAnsi="Arial" w:cs="Arial"/>
          <w:sz w:val="24"/>
          <w:szCs w:val="24"/>
          <w:lang w:val="en-GB" w:eastAsia="en-GB"/>
        </w:rPr>
        <w:t>.</w:t>
      </w:r>
    </w:p>
    <w:p w14:paraId="6E11D08B"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7" w:name="_Toc241167441"/>
      <w:r w:rsidRPr="00764905">
        <w:rPr>
          <w:rFonts w:ascii="Arial" w:eastAsia="Times New Roman" w:hAnsi="Arial" w:cstheme="majorBidi"/>
          <w:b/>
          <w:color w:val="000000" w:themeColor="text1"/>
          <w:sz w:val="28"/>
          <w:szCs w:val="32"/>
          <w:lang w:val="en-GB" w:eastAsia="en-GB"/>
        </w:rPr>
        <w:t>4.6 Application of Strategic Frameworks</w:t>
      </w:r>
      <w:bookmarkEnd w:id="37"/>
    </w:p>
    <w:p w14:paraId="3C7A5BA2" w14:textId="3684487F" w:rsidR="00764905" w:rsidRPr="00764905" w:rsidRDefault="00610DDF" w:rsidP="00764905">
      <w:pPr>
        <w:spacing w:line="360" w:lineRule="auto"/>
        <w:jc w:val="both"/>
        <w:rPr>
          <w:rFonts w:ascii="Arial" w:hAnsi="Arial" w:cs="Arial"/>
          <w:sz w:val="24"/>
          <w:szCs w:val="24"/>
          <w:lang w:val="en-GB" w:eastAsia="en-GB"/>
        </w:rPr>
      </w:pPr>
      <w:r w:rsidRPr="00610DDF">
        <w:rPr>
          <w:rFonts w:ascii="Arial" w:hAnsi="Arial" w:cs="Arial"/>
          <w:sz w:val="24"/>
          <w:szCs w:val="24"/>
          <w:lang w:val="en-GB" w:eastAsia="en-GB"/>
        </w:rPr>
        <w:t>The evidence was analysed through a set of com</w:t>
      </w:r>
      <w:r>
        <w:rPr>
          <w:rFonts w:ascii="Arial" w:hAnsi="Arial" w:cs="Arial"/>
          <w:sz w:val="24"/>
          <w:szCs w:val="24"/>
          <w:lang w:val="en-GB" w:eastAsia="en-GB"/>
        </w:rPr>
        <w:t>plementary strategic frameworks</w:t>
      </w:r>
      <w:r w:rsidR="00764905" w:rsidRPr="00764905">
        <w:rPr>
          <w:rFonts w:ascii="Arial" w:hAnsi="Arial" w:cs="Arial"/>
          <w:sz w:val="24"/>
          <w:szCs w:val="24"/>
          <w:lang w:val="en-GB" w:eastAsia="en-GB"/>
        </w:rPr>
        <w:t xml:space="preserve">. </w:t>
      </w:r>
      <w:r w:rsidR="00B546C9" w:rsidRPr="00B546C9">
        <w:rPr>
          <w:rFonts w:ascii="Arial" w:hAnsi="Arial" w:cs="Arial"/>
          <w:sz w:val="24"/>
          <w:szCs w:val="24"/>
          <w:lang w:val="en-GB" w:eastAsia="en-GB"/>
        </w:rPr>
        <w:t>PESTLE was used to analyse political, economic, social, technological, legal and environmental influences (</w:t>
      </w:r>
      <w:proofErr w:type="spellStart"/>
      <w:r w:rsidR="00B546C9" w:rsidRPr="00B546C9">
        <w:rPr>
          <w:rFonts w:ascii="Arial" w:hAnsi="Arial" w:cs="Arial"/>
          <w:sz w:val="24"/>
          <w:szCs w:val="24"/>
          <w:lang w:val="en-GB" w:eastAsia="en-GB"/>
        </w:rPr>
        <w:t>Yüksel</w:t>
      </w:r>
      <w:proofErr w:type="spellEnd"/>
      <w:r w:rsidR="00B546C9" w:rsidRPr="00B546C9">
        <w:rPr>
          <w:rFonts w:ascii="Arial" w:hAnsi="Arial" w:cs="Arial"/>
          <w:sz w:val="24"/>
          <w:szCs w:val="24"/>
          <w:lang w:val="en-GB" w:eastAsia="en-GB"/>
        </w:rPr>
        <w:t>, 2012).</w:t>
      </w:r>
      <w:r w:rsidR="00764905" w:rsidRPr="00764905">
        <w:rPr>
          <w:rFonts w:ascii="Arial" w:hAnsi="Arial" w:cs="Arial"/>
          <w:sz w:val="24"/>
          <w:szCs w:val="24"/>
          <w:lang w:val="en-GB" w:eastAsia="en-GB"/>
        </w:rPr>
        <w:t xml:space="preserve"> Porter's Five Forces is used to assess the competition in the coffee-shop market (Porter, 1980). Value Chain Analysis takes into account all activities including sourcing, operations, marketing and service that could add value (Porter, 1985).</w:t>
      </w:r>
    </w:p>
    <w:p w14:paraId="3D1A287F" w14:textId="6AA3429E" w:rsidR="00764905" w:rsidRPr="00764905" w:rsidRDefault="00CA2F9F" w:rsidP="00764905">
      <w:pPr>
        <w:spacing w:line="360" w:lineRule="auto"/>
        <w:jc w:val="both"/>
        <w:rPr>
          <w:rFonts w:ascii="Arial" w:hAnsi="Arial" w:cs="Arial"/>
          <w:sz w:val="24"/>
          <w:szCs w:val="24"/>
          <w:lang w:val="en-GB" w:eastAsia="en-GB"/>
        </w:rPr>
      </w:pPr>
      <w:r w:rsidRPr="00CA2F9F">
        <w:rPr>
          <w:rFonts w:ascii="Arial" w:hAnsi="Arial" w:cs="Arial"/>
          <w:sz w:val="24"/>
          <w:szCs w:val="24"/>
          <w:lang w:val="en-GB" w:eastAsia="en-GB"/>
        </w:rPr>
        <w:t>RBV/VRIO was used to assess whether potentially relevant resources and capabilities, including ethical sourcing, sustainability capability, brand identity and customer relationships, could provide valuable, rare, difficult-to-imitate and organisationally supported advantages (Barney, 1991).</w:t>
      </w:r>
      <w:r w:rsidRPr="00764905">
        <w:rPr>
          <w:rFonts w:ascii="Arial" w:hAnsi="Arial" w:cs="Arial"/>
          <w:sz w:val="24"/>
          <w:szCs w:val="24"/>
          <w:lang w:val="en-GB" w:eastAsia="en-GB"/>
        </w:rPr>
        <w:t xml:space="preserve"> </w:t>
      </w:r>
      <w:r w:rsidR="00220160" w:rsidRPr="00220160">
        <w:rPr>
          <w:rFonts w:ascii="Arial" w:hAnsi="Arial" w:cs="Arial"/>
          <w:sz w:val="24"/>
          <w:szCs w:val="24"/>
          <w:lang w:val="en-GB" w:eastAsia="en-GB"/>
        </w:rPr>
        <w:t>Porter's Generic Strategies were used to assess the suitability of differentiation, cost leadership and focus for the p</w:t>
      </w:r>
      <w:r w:rsidR="00220160">
        <w:rPr>
          <w:rFonts w:ascii="Arial" w:hAnsi="Arial" w:cs="Arial"/>
          <w:sz w:val="24"/>
          <w:szCs w:val="24"/>
          <w:lang w:val="en-GB" w:eastAsia="en-GB"/>
        </w:rPr>
        <w:t>roposed business (Porter, 1985)</w:t>
      </w:r>
      <w:r w:rsidR="00764905" w:rsidRPr="00764905">
        <w:rPr>
          <w:rFonts w:ascii="Arial" w:hAnsi="Arial" w:cs="Arial"/>
          <w:sz w:val="24"/>
          <w:szCs w:val="24"/>
          <w:lang w:val="en-GB" w:eastAsia="en-GB"/>
        </w:rPr>
        <w:t xml:space="preserve">. </w:t>
      </w:r>
      <w:r w:rsidR="00184D21" w:rsidRPr="00184D21">
        <w:rPr>
          <w:rFonts w:ascii="Arial" w:hAnsi="Arial" w:cs="Arial"/>
          <w:sz w:val="24"/>
          <w:szCs w:val="24"/>
          <w:lang w:val="en-GB" w:eastAsia="en-GB"/>
        </w:rPr>
        <w:t>SWOT was then used to integrate internal strengths and weaknesses with ext</w:t>
      </w:r>
      <w:r w:rsidR="00184D21">
        <w:rPr>
          <w:rFonts w:ascii="Arial" w:hAnsi="Arial" w:cs="Arial"/>
          <w:sz w:val="24"/>
          <w:szCs w:val="24"/>
          <w:lang w:val="en-GB" w:eastAsia="en-GB"/>
        </w:rPr>
        <w:t>ernal opportunities and threats</w:t>
      </w:r>
      <w:r w:rsidR="00764905" w:rsidRPr="00764905">
        <w:rPr>
          <w:rFonts w:ascii="Arial" w:hAnsi="Arial" w:cs="Arial"/>
          <w:sz w:val="24"/>
          <w:szCs w:val="24"/>
          <w:lang w:val="en-GB" w:eastAsia="en-GB"/>
        </w:rPr>
        <w:t>.</w:t>
      </w:r>
    </w:p>
    <w:p w14:paraId="2F907764"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8" w:name="_Toc241167442"/>
      <w:r w:rsidRPr="00764905">
        <w:rPr>
          <w:rFonts w:ascii="Arial" w:eastAsia="Times New Roman" w:hAnsi="Arial" w:cstheme="majorBidi"/>
          <w:b/>
          <w:color w:val="000000" w:themeColor="text1"/>
          <w:sz w:val="28"/>
          <w:szCs w:val="32"/>
          <w:lang w:val="en-GB" w:eastAsia="en-GB"/>
        </w:rPr>
        <w:t>4.7 Reliability, validity and limitations</w:t>
      </w:r>
      <w:bookmarkEnd w:id="38"/>
    </w:p>
    <w:p w14:paraId="5440F658" w14:textId="0E7F77B4" w:rsidR="00764905" w:rsidRPr="00764905" w:rsidRDefault="00B43E62" w:rsidP="00764905">
      <w:pPr>
        <w:spacing w:line="360" w:lineRule="auto"/>
        <w:jc w:val="both"/>
        <w:rPr>
          <w:rFonts w:ascii="Arial" w:hAnsi="Arial" w:cs="Arial"/>
          <w:sz w:val="24"/>
          <w:szCs w:val="24"/>
          <w:lang w:val="en-GB" w:eastAsia="en-GB"/>
        </w:rPr>
      </w:pPr>
      <w:r w:rsidRPr="00B43E62">
        <w:rPr>
          <w:rFonts w:ascii="Arial" w:hAnsi="Arial" w:cs="Arial"/>
          <w:sz w:val="24"/>
          <w:szCs w:val="24"/>
          <w:lang w:val="en-GB" w:eastAsia="en-GB"/>
        </w:rPr>
        <w:t xml:space="preserve">Research rigour was supported through the use of multiple academic, institutional and industry sources, transparent search criteria and comparison of evidence across sources. Triangulation reduced reliance on any single publication and strengthened the credibility of the analysis (Saunders, Lewis and Thornhill, 2019). </w:t>
      </w:r>
      <w:r w:rsidR="003E7AA0" w:rsidRPr="003E7AA0">
        <w:rPr>
          <w:rFonts w:ascii="Arial" w:hAnsi="Arial" w:cs="Arial"/>
          <w:sz w:val="24"/>
          <w:szCs w:val="24"/>
          <w:lang w:val="en-GB" w:eastAsia="en-GB"/>
        </w:rPr>
        <w:t xml:space="preserve">But secondary </w:t>
      </w:r>
      <w:r w:rsidR="003E7AA0" w:rsidRPr="003E7AA0">
        <w:rPr>
          <w:rFonts w:ascii="Arial" w:hAnsi="Arial" w:cs="Arial"/>
          <w:sz w:val="24"/>
          <w:szCs w:val="24"/>
          <w:lang w:val="en-GB" w:eastAsia="en-GB"/>
        </w:rPr>
        <w:lastRenderedPageBreak/>
        <w:t xml:space="preserve">research is plagued by a number of drawbacks. Definitions, periods of reporting and methodologies used in the presentation of market data may vary, and commercial industry reports may include commercially oriented or promotional views. The current competitive analysis also had to be limited as internal company data was not readily available in all cases; in these instances, analysis was based on available data in the public domain. </w:t>
      </w:r>
    </w:p>
    <w:p w14:paraId="5B375E97"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9" w:name="_Toc241167443"/>
      <w:r w:rsidRPr="00764905">
        <w:rPr>
          <w:rFonts w:ascii="Arial" w:eastAsia="Times New Roman" w:hAnsi="Arial" w:cstheme="majorBidi"/>
          <w:b/>
          <w:color w:val="000000" w:themeColor="text1"/>
          <w:sz w:val="28"/>
          <w:szCs w:val="32"/>
          <w:lang w:val="en-GB" w:eastAsia="en-GB"/>
        </w:rPr>
        <w:t>4.8 Ethical Considerations</w:t>
      </w:r>
      <w:bookmarkEnd w:id="39"/>
    </w:p>
    <w:p w14:paraId="7634B1C6" w14:textId="742EC58B" w:rsidR="00764905" w:rsidRPr="00764905" w:rsidRDefault="00E625EF" w:rsidP="00764905">
      <w:pPr>
        <w:spacing w:line="360" w:lineRule="auto"/>
        <w:jc w:val="both"/>
        <w:rPr>
          <w:rFonts w:ascii="Arial" w:hAnsi="Arial" w:cs="Arial"/>
          <w:sz w:val="24"/>
          <w:szCs w:val="24"/>
          <w:lang w:val="en-GB" w:eastAsia="en-GB"/>
        </w:rPr>
      </w:pPr>
      <w:r w:rsidRPr="00E625EF">
        <w:rPr>
          <w:rFonts w:ascii="Arial" w:hAnsi="Arial" w:cs="Arial"/>
          <w:sz w:val="24"/>
          <w:szCs w:val="24"/>
          <w:lang w:val="en-GB" w:eastAsia="en-GB"/>
        </w:rPr>
        <w:t>The research is conducted with secondary documentary evidence only, without human subjects, questionnaires and interviews. Thus, no primary personal data is collected or participant consent requested in the study. However, the rights of science are still significant. Harvard referencing was used to identify sources and some evidence was sourced where appropriate, no evidence was fabricated or deliberately misrepresented, and researcher developed assumptions were clearly distinguished from published evidence. Great attention was paid to ensuring competitor details were accurate and that there were no claims regarding ethical or sustainability aspects that were unsupported. The principles also embrace transparency and the judicious use of secondary evidence (Saunders, Lewis and Thornhill, 2019).</w:t>
      </w:r>
    </w:p>
    <w:p w14:paraId="5E9500D9" w14:textId="77777777" w:rsidR="00764905" w:rsidRPr="00764905" w:rsidRDefault="00764905" w:rsidP="00764905">
      <w:pPr>
        <w:spacing w:line="360" w:lineRule="auto"/>
        <w:jc w:val="both"/>
        <w:rPr>
          <w:rFonts w:ascii="Arial" w:hAnsi="Arial" w:cs="Arial"/>
          <w:sz w:val="24"/>
          <w:szCs w:val="24"/>
          <w:lang w:val="en-GB" w:eastAsia="en-GB"/>
        </w:rPr>
      </w:pPr>
    </w:p>
    <w:p w14:paraId="154E71DB" w14:textId="77777777" w:rsidR="00764905" w:rsidRPr="00764905" w:rsidRDefault="00764905" w:rsidP="00764905">
      <w:pPr>
        <w:spacing w:line="360" w:lineRule="auto"/>
        <w:jc w:val="both"/>
        <w:rPr>
          <w:rFonts w:ascii="Arial" w:hAnsi="Arial" w:cs="Arial"/>
          <w:sz w:val="24"/>
          <w:szCs w:val="24"/>
          <w:lang w:val="en-GB" w:eastAsia="en-GB"/>
        </w:rPr>
      </w:pPr>
    </w:p>
    <w:p w14:paraId="7D729D0C" w14:textId="77777777" w:rsidR="00764905" w:rsidRPr="00764905" w:rsidRDefault="00764905" w:rsidP="00764905">
      <w:pPr>
        <w:spacing w:line="360" w:lineRule="auto"/>
        <w:jc w:val="both"/>
        <w:rPr>
          <w:rFonts w:ascii="Arial" w:hAnsi="Arial" w:cs="Arial"/>
          <w:sz w:val="24"/>
          <w:szCs w:val="24"/>
          <w:lang w:val="en-GB" w:eastAsia="en-GB"/>
        </w:rPr>
      </w:pPr>
    </w:p>
    <w:p w14:paraId="5EBFA8F1" w14:textId="7E363CEA" w:rsidR="00764905" w:rsidRDefault="009E2322" w:rsidP="00764905">
      <w:pPr>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 </w:t>
      </w:r>
    </w:p>
    <w:p w14:paraId="01CBCC81" w14:textId="3BF58E68" w:rsidR="00A73062" w:rsidRDefault="00A73062" w:rsidP="00764905">
      <w:pPr>
        <w:spacing w:line="360" w:lineRule="auto"/>
        <w:jc w:val="both"/>
        <w:rPr>
          <w:rFonts w:ascii="Arial" w:hAnsi="Arial" w:cs="Arial"/>
          <w:sz w:val="24"/>
          <w:szCs w:val="24"/>
          <w:lang w:val="en-GB" w:eastAsia="en-GB"/>
        </w:rPr>
      </w:pPr>
    </w:p>
    <w:p w14:paraId="5665059F" w14:textId="2FF23B78" w:rsidR="00A73062" w:rsidRDefault="00A73062" w:rsidP="00764905">
      <w:pPr>
        <w:spacing w:line="360" w:lineRule="auto"/>
        <w:jc w:val="both"/>
        <w:rPr>
          <w:rFonts w:ascii="Arial" w:hAnsi="Arial" w:cs="Arial"/>
          <w:sz w:val="24"/>
          <w:szCs w:val="24"/>
          <w:lang w:val="en-GB" w:eastAsia="en-GB"/>
        </w:rPr>
      </w:pPr>
    </w:p>
    <w:p w14:paraId="7AE0330C" w14:textId="040D5921" w:rsidR="00A73062" w:rsidRDefault="00A73062" w:rsidP="00764905">
      <w:pPr>
        <w:spacing w:line="360" w:lineRule="auto"/>
        <w:jc w:val="both"/>
        <w:rPr>
          <w:rFonts w:ascii="Arial" w:hAnsi="Arial" w:cs="Arial"/>
          <w:sz w:val="24"/>
          <w:szCs w:val="24"/>
          <w:lang w:val="en-GB" w:eastAsia="en-GB"/>
        </w:rPr>
      </w:pPr>
    </w:p>
    <w:p w14:paraId="0F20EA0F" w14:textId="12D7409B" w:rsidR="00A73062" w:rsidRDefault="00A73062" w:rsidP="00764905">
      <w:pPr>
        <w:spacing w:line="360" w:lineRule="auto"/>
        <w:jc w:val="both"/>
        <w:rPr>
          <w:rFonts w:ascii="Arial" w:hAnsi="Arial" w:cs="Arial"/>
          <w:sz w:val="24"/>
          <w:szCs w:val="24"/>
          <w:lang w:val="en-GB" w:eastAsia="en-GB"/>
        </w:rPr>
      </w:pPr>
    </w:p>
    <w:p w14:paraId="66D62AC9" w14:textId="77777777" w:rsidR="00A73062" w:rsidRPr="00764905" w:rsidRDefault="00A73062" w:rsidP="00764905">
      <w:pPr>
        <w:spacing w:line="360" w:lineRule="auto"/>
        <w:jc w:val="both"/>
        <w:rPr>
          <w:rFonts w:ascii="Arial" w:hAnsi="Arial" w:cs="Arial"/>
          <w:sz w:val="24"/>
          <w:szCs w:val="24"/>
          <w:lang w:val="en-GB" w:eastAsia="en-GB"/>
        </w:rPr>
      </w:pPr>
    </w:p>
    <w:p w14:paraId="7DE13C2D" w14:textId="1F9AFDC0" w:rsidR="00764905" w:rsidRPr="0051296B" w:rsidRDefault="00764905" w:rsidP="00F331CA">
      <w:pPr>
        <w:pStyle w:val="Heading1"/>
        <w:jc w:val="center"/>
        <w:rPr>
          <w:rFonts w:eastAsia="Times New Roman"/>
          <w:lang w:val="en-GB" w:eastAsia="en-GB"/>
        </w:rPr>
      </w:pPr>
      <w:bookmarkStart w:id="40" w:name="_Toc241167444"/>
      <w:r w:rsidRPr="00764905">
        <w:rPr>
          <w:rFonts w:eastAsia="Times New Roman"/>
          <w:lang w:val="en-GB" w:eastAsia="en-GB"/>
        </w:rPr>
        <w:lastRenderedPageBreak/>
        <w:t>Chapter 5: Market Opportunity Analysis</w:t>
      </w:r>
      <w:bookmarkEnd w:id="40"/>
    </w:p>
    <w:p w14:paraId="137C03D6" w14:textId="307F27EA" w:rsidR="004C6A98" w:rsidRPr="004C6A98" w:rsidRDefault="0051296B" w:rsidP="00F331CA">
      <w:pPr>
        <w:pStyle w:val="Heading2"/>
        <w:rPr>
          <w:lang w:val="en-GB" w:eastAsia="en-GB"/>
        </w:rPr>
      </w:pPr>
      <w:bookmarkStart w:id="41" w:name="_Toc241167445"/>
      <w:r>
        <w:rPr>
          <w:lang w:val="en-GB" w:eastAsia="en-GB"/>
        </w:rPr>
        <w:t>5.1 Introduction</w:t>
      </w:r>
      <w:bookmarkEnd w:id="41"/>
    </w:p>
    <w:p w14:paraId="3809780F" w14:textId="64849CED" w:rsidR="004C6A98" w:rsidRPr="004C6A98" w:rsidRDefault="00487FF5" w:rsidP="004C6A98">
      <w:pPr>
        <w:spacing w:before="240" w:line="360" w:lineRule="auto"/>
        <w:jc w:val="both"/>
        <w:rPr>
          <w:rFonts w:ascii="Arial" w:hAnsi="Arial" w:cs="Arial"/>
          <w:sz w:val="24"/>
          <w:szCs w:val="24"/>
          <w:lang w:val="en-GB" w:eastAsia="en-GB"/>
        </w:rPr>
      </w:pPr>
      <w:r w:rsidRPr="00487FF5">
        <w:rPr>
          <w:rFonts w:ascii="Arial" w:hAnsi="Arial" w:cs="Arial"/>
          <w:sz w:val="24"/>
          <w:szCs w:val="24"/>
          <w:lang w:val="en-GB" w:eastAsia="en-GB"/>
        </w:rPr>
        <w:t>This chapter assesses the market potential of The Ethical Bean Coffee House (TEBC) at the proposed Monmouth Street, Covent Garden, London location. The analysis uses national coffee-market evidence and local geographic, demographic, psychographic and behavioural evidence to assess the attractiveness and realistic feasibility of the proposed market. Rather than considering the whole UK coffee market, the analysis focuses on the potential customer base within the Covent Garden catchment area. Segmentation, Targeting and Positioning (STP) concepts are also used to identify priority customer groups and develop an indicative TAM-SAM-SOM scenario. Published evidence is distinguished from researcher-d</w:t>
      </w:r>
      <w:r>
        <w:rPr>
          <w:rFonts w:ascii="Arial" w:hAnsi="Arial" w:cs="Arial"/>
          <w:sz w:val="24"/>
          <w:szCs w:val="24"/>
          <w:lang w:val="en-GB" w:eastAsia="en-GB"/>
        </w:rPr>
        <w:t>eveloped assumptions throughout.</w:t>
      </w:r>
    </w:p>
    <w:p w14:paraId="30B0684F" w14:textId="7CDA03D1" w:rsidR="004C6A98" w:rsidRPr="00F331CA" w:rsidRDefault="004C6A98" w:rsidP="00F331CA">
      <w:pPr>
        <w:pStyle w:val="Heading2"/>
        <w:rPr>
          <w:lang w:val="en-GB" w:eastAsia="en-GB"/>
        </w:rPr>
      </w:pPr>
      <w:bookmarkStart w:id="42" w:name="_Toc241167446"/>
      <w:r w:rsidRPr="004C6A98">
        <w:rPr>
          <w:lang w:val="en-GB" w:eastAsia="en-GB"/>
        </w:rPr>
        <w:t>5.2 UK Coffee Market Context</w:t>
      </w:r>
      <w:bookmarkEnd w:id="42"/>
    </w:p>
    <w:p w14:paraId="1208567B" w14:textId="60B7DAE0" w:rsidR="00F331CA" w:rsidRPr="00F331CA" w:rsidRDefault="009D0EBC" w:rsidP="00F331CA">
      <w:pPr>
        <w:spacing w:before="240" w:line="360" w:lineRule="auto"/>
        <w:jc w:val="both"/>
        <w:rPr>
          <w:rFonts w:ascii="Arial" w:hAnsi="Arial" w:cs="Arial"/>
          <w:sz w:val="24"/>
          <w:szCs w:val="24"/>
          <w:lang w:val="en-GB" w:eastAsia="en-GB"/>
        </w:rPr>
      </w:pPr>
      <w:r w:rsidRPr="009D0EBC">
        <w:rPr>
          <w:rFonts w:ascii="Arial" w:hAnsi="Arial" w:cs="Arial"/>
          <w:sz w:val="24"/>
          <w:szCs w:val="24"/>
          <w:lang w:val="en-GB" w:eastAsia="en-GB"/>
        </w:rPr>
        <w:t>The proposed business operates within a substantial UK coffee-shop market. The UK coffee-shop market was valued at approximately £6.8 billion, with 12,313 outlets in 2026 (World Coffee Portal, 2026). Independent operators, specialty coffee and experience-led hospitality remain relevant components of the sector. However, sector-level growth does not automatically establish de</w:t>
      </w:r>
      <w:r>
        <w:rPr>
          <w:rFonts w:ascii="Arial" w:hAnsi="Arial" w:cs="Arial"/>
          <w:sz w:val="24"/>
          <w:szCs w:val="24"/>
          <w:lang w:val="en-GB" w:eastAsia="en-GB"/>
        </w:rPr>
        <w:t>mand for an individual new café</w:t>
      </w:r>
      <w:r w:rsidR="00F331CA">
        <w:rPr>
          <w:rFonts w:ascii="Arial" w:hAnsi="Arial" w:cs="Arial"/>
          <w:sz w:val="24"/>
          <w:szCs w:val="24"/>
          <w:lang w:val="en-GB" w:eastAsia="en-GB"/>
        </w:rPr>
        <w:t>.</w:t>
      </w:r>
    </w:p>
    <w:p w14:paraId="7BB868F2" w14:textId="483B4138" w:rsidR="004C6A98" w:rsidRPr="004C6A98" w:rsidRDefault="008B30B6" w:rsidP="004C6A98">
      <w:pPr>
        <w:spacing w:before="240" w:line="360" w:lineRule="auto"/>
        <w:jc w:val="both"/>
        <w:rPr>
          <w:rFonts w:ascii="Arial" w:hAnsi="Arial" w:cs="Arial"/>
          <w:sz w:val="24"/>
          <w:szCs w:val="24"/>
          <w:lang w:val="en-GB" w:eastAsia="en-GB"/>
        </w:rPr>
      </w:pPr>
      <w:r w:rsidRPr="008B30B6">
        <w:rPr>
          <w:rFonts w:ascii="Arial" w:hAnsi="Arial" w:cs="Arial"/>
          <w:sz w:val="24"/>
          <w:szCs w:val="24"/>
          <w:lang w:val="en-GB" w:eastAsia="en-GB"/>
        </w:rPr>
        <w:t>National market size should not be treated as the market available to TEBC. The key commercial question is whether sufficient customers can be reached at the proposed Covent Garden site and c</w:t>
      </w:r>
      <w:r>
        <w:rPr>
          <w:rFonts w:ascii="Arial" w:hAnsi="Arial" w:cs="Arial"/>
          <w:sz w:val="24"/>
          <w:szCs w:val="24"/>
          <w:lang w:val="en-GB" w:eastAsia="en-GB"/>
        </w:rPr>
        <w:t>onverted into repeat purchasers</w:t>
      </w:r>
      <w:r w:rsidR="00F331CA">
        <w:rPr>
          <w:rFonts w:ascii="Arial" w:hAnsi="Arial" w:cs="Arial"/>
          <w:sz w:val="24"/>
          <w:szCs w:val="24"/>
          <w:lang w:val="en-GB" w:eastAsia="en-GB"/>
        </w:rPr>
        <w:t>.</w:t>
      </w:r>
    </w:p>
    <w:p w14:paraId="2C9AECE8" w14:textId="5A845D61" w:rsidR="004C6A98" w:rsidRPr="00F331CA" w:rsidRDefault="004C6A98" w:rsidP="00F331CA">
      <w:pPr>
        <w:pStyle w:val="Heading2"/>
        <w:rPr>
          <w:lang w:val="en-GB" w:eastAsia="en-GB"/>
        </w:rPr>
      </w:pPr>
      <w:bookmarkStart w:id="43" w:name="_Toc241167447"/>
      <w:r w:rsidRPr="004C6A98">
        <w:rPr>
          <w:lang w:val="en-GB" w:eastAsia="en-GB"/>
        </w:rPr>
        <w:t>5.3 Local Market Opportunity: Covent Garden</w:t>
      </w:r>
      <w:bookmarkEnd w:id="43"/>
    </w:p>
    <w:p w14:paraId="613DD7A8" w14:textId="0FFB2AE1" w:rsidR="00F331CA" w:rsidRPr="00F331CA" w:rsidRDefault="00CE730D" w:rsidP="00F331CA">
      <w:pPr>
        <w:spacing w:before="240" w:line="360" w:lineRule="auto"/>
        <w:jc w:val="both"/>
        <w:rPr>
          <w:rFonts w:ascii="Arial" w:hAnsi="Arial" w:cs="Arial"/>
          <w:sz w:val="24"/>
          <w:szCs w:val="24"/>
          <w:lang w:val="en-GB" w:eastAsia="en-GB"/>
        </w:rPr>
      </w:pPr>
      <w:r w:rsidRPr="00CE730D">
        <w:rPr>
          <w:rFonts w:ascii="Arial" w:hAnsi="Arial" w:cs="Arial"/>
          <w:sz w:val="24"/>
          <w:szCs w:val="24"/>
          <w:lang w:val="en-GB" w:eastAsia="en-GB"/>
        </w:rPr>
        <w:t>Covent Garden brings together residents, workers, tourists and leisure visitors within a concentrated commercial area. A 2025 commercial property profile estimates approximately 38 million annual visitor occasions, around 222,000 workers and 10,000 residents within a 15-minute walking distance, alongside approximately 800 bars and restaurants. These figures are commercial estimates and should therefore be treated as market-sizing inputs rather than precise statistical measures.</w:t>
      </w:r>
    </w:p>
    <w:p w14:paraId="072859D1" w14:textId="45444561" w:rsidR="00F331CA" w:rsidRPr="00F331CA" w:rsidRDefault="00F331CA" w:rsidP="00F331CA">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 xml:space="preserve">This is echoed by broader West End evidence, which includes the scale and quality of footfall. Shaftesbury Capital's data shows that the area has an estimated 63m footfall </w:t>
      </w:r>
      <w:r w:rsidRPr="00F331CA">
        <w:rPr>
          <w:rFonts w:ascii="Arial" w:hAnsi="Arial" w:cs="Arial"/>
          <w:sz w:val="24"/>
          <w:szCs w:val="24"/>
          <w:lang w:val="en-GB" w:eastAsia="en-GB"/>
        </w:rPr>
        <w:lastRenderedPageBreak/>
        <w:t xml:space="preserve">per year on its holdings in Covent Garden, reflecting its visitor intensity and overall commercial appeal. In addition, Covent Garden is a very active retail and food and beverage district and has continued investment in the district and strong demand </w:t>
      </w:r>
      <w:r>
        <w:rPr>
          <w:rFonts w:ascii="Arial" w:hAnsi="Arial" w:cs="Arial"/>
          <w:sz w:val="24"/>
          <w:szCs w:val="24"/>
          <w:lang w:val="en-GB" w:eastAsia="en-GB"/>
        </w:rPr>
        <w:t>for prime space (CBRE, 2026).</w:t>
      </w:r>
    </w:p>
    <w:p w14:paraId="71FC4903" w14:textId="2C79C974" w:rsidR="00A6148D" w:rsidRPr="00A6148D" w:rsidRDefault="00F331CA" w:rsidP="00A6148D">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 xml:space="preserve">The residential market should not, however, be overlooked. Covent Garden's population is over 6,000, based on the Covent Garden Community Association, but the exact number of people varies depending on the area chosen. Thus the potential demand of the venture needs to be viewed as the sum of the resident demand, worker demand and visitor demand, </w:t>
      </w:r>
      <w:r w:rsidR="00A6148D">
        <w:rPr>
          <w:rFonts w:ascii="Arial" w:hAnsi="Arial" w:cs="Arial"/>
          <w:sz w:val="24"/>
          <w:szCs w:val="24"/>
          <w:lang w:val="en-GB" w:eastAsia="en-GB"/>
        </w:rPr>
        <w:t>and not just the tourism demand</w:t>
      </w:r>
    </w:p>
    <w:p w14:paraId="21F6C25A" w14:textId="6DC85A28" w:rsidR="00A6148D" w:rsidRPr="00A6148D" w:rsidRDefault="00A6148D" w:rsidP="00A6148D">
      <w:pPr>
        <w:pStyle w:val="Caption"/>
        <w:keepNext/>
        <w:jc w:val="both"/>
        <w:rPr>
          <w:rFonts w:ascii="Arial" w:hAnsi="Arial" w:cs="Arial"/>
          <w:sz w:val="24"/>
        </w:rPr>
      </w:pPr>
      <w:bookmarkStart w:id="44" w:name="_Toc241170837"/>
      <w:r w:rsidRPr="00A6148D">
        <w:rPr>
          <w:rFonts w:ascii="Arial" w:hAnsi="Arial" w:cs="Arial"/>
          <w:sz w:val="24"/>
        </w:rPr>
        <w:t xml:space="preserve">Table </w:t>
      </w:r>
      <w:r w:rsidRPr="00A6148D">
        <w:rPr>
          <w:rFonts w:ascii="Arial" w:hAnsi="Arial" w:cs="Arial"/>
          <w:sz w:val="24"/>
        </w:rPr>
        <w:fldChar w:fldCharType="begin"/>
      </w:r>
      <w:r w:rsidRPr="00A6148D">
        <w:rPr>
          <w:rFonts w:ascii="Arial" w:hAnsi="Arial" w:cs="Arial"/>
          <w:sz w:val="24"/>
        </w:rPr>
        <w:instrText xml:space="preserve"> SEQ Table \* ARABIC </w:instrText>
      </w:r>
      <w:r w:rsidRPr="00A6148D">
        <w:rPr>
          <w:rFonts w:ascii="Arial" w:hAnsi="Arial" w:cs="Arial"/>
          <w:sz w:val="24"/>
        </w:rPr>
        <w:fldChar w:fldCharType="separate"/>
      </w:r>
      <w:r w:rsidR="001815EA">
        <w:rPr>
          <w:rFonts w:ascii="Arial" w:hAnsi="Arial" w:cs="Arial"/>
          <w:noProof/>
          <w:sz w:val="24"/>
        </w:rPr>
        <w:t>1</w:t>
      </w:r>
      <w:r w:rsidRPr="00A6148D">
        <w:rPr>
          <w:rFonts w:ascii="Arial" w:hAnsi="Arial" w:cs="Arial"/>
          <w:sz w:val="24"/>
        </w:rPr>
        <w:fldChar w:fldCharType="end"/>
      </w:r>
      <w:r w:rsidRPr="00A6148D">
        <w:rPr>
          <w:rFonts w:ascii="Arial" w:hAnsi="Arial" w:cs="Arial"/>
          <w:sz w:val="24"/>
        </w:rPr>
        <w:t>: Local Customer Pools and Demand Characteristics</w:t>
      </w:r>
      <w:bookmarkEnd w:id="44"/>
    </w:p>
    <w:tbl>
      <w:tblPr>
        <w:tblStyle w:val="TableGrid"/>
        <w:tblW w:w="0" w:type="auto"/>
        <w:tblLook w:val="04A0" w:firstRow="1" w:lastRow="0" w:firstColumn="1" w:lastColumn="0" w:noHBand="0" w:noVBand="1"/>
      </w:tblPr>
      <w:tblGrid>
        <w:gridCol w:w="1740"/>
        <w:gridCol w:w="1795"/>
        <w:gridCol w:w="1951"/>
        <w:gridCol w:w="1763"/>
        <w:gridCol w:w="1767"/>
      </w:tblGrid>
      <w:tr w:rsidR="00A6148D" w:rsidRPr="00A6148D" w14:paraId="7E73E1C8" w14:textId="77777777" w:rsidTr="00A6148D">
        <w:tc>
          <w:tcPr>
            <w:tcW w:w="1740" w:type="dxa"/>
          </w:tcPr>
          <w:p w14:paraId="35F78780"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Customer pool</w:t>
            </w:r>
          </w:p>
        </w:tc>
        <w:tc>
          <w:tcPr>
            <w:tcW w:w="1795" w:type="dxa"/>
          </w:tcPr>
          <w:p w14:paraId="74161C54"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Available evidence</w:t>
            </w:r>
          </w:p>
        </w:tc>
        <w:tc>
          <w:tcPr>
            <w:tcW w:w="1951" w:type="dxa"/>
          </w:tcPr>
          <w:p w14:paraId="0F49B2C3"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Likely purchase pattern</w:t>
            </w:r>
          </w:p>
        </w:tc>
        <w:tc>
          <w:tcPr>
            <w:tcW w:w="1763" w:type="dxa"/>
          </w:tcPr>
          <w:p w14:paraId="195B9A37"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Average expenditure</w:t>
            </w:r>
          </w:p>
        </w:tc>
        <w:tc>
          <w:tcPr>
            <w:tcW w:w="1767" w:type="dxa"/>
          </w:tcPr>
          <w:p w14:paraId="6A37EC5F" w14:textId="77777777" w:rsidR="00A6148D" w:rsidRPr="00E53AA4" w:rsidRDefault="00A6148D" w:rsidP="0038379F">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Commercial relevance</w:t>
            </w:r>
          </w:p>
        </w:tc>
      </w:tr>
      <w:tr w:rsidR="00A6148D" w:rsidRPr="00A6148D" w14:paraId="2B8052DB" w14:textId="77777777" w:rsidTr="00A6148D">
        <w:tc>
          <w:tcPr>
            <w:tcW w:w="1740" w:type="dxa"/>
          </w:tcPr>
          <w:p w14:paraId="3EA9BDBA"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Visitors</w:t>
            </w:r>
          </w:p>
        </w:tc>
        <w:tc>
          <w:tcPr>
            <w:tcW w:w="1795" w:type="dxa"/>
          </w:tcPr>
          <w:p w14:paraId="10E05D05" w14:textId="47ECA345" w:rsidR="00A6148D" w:rsidRPr="00A6148D" w:rsidRDefault="00FE5886" w:rsidP="0038379F">
            <w:pPr>
              <w:spacing w:before="240" w:line="360" w:lineRule="auto"/>
              <w:jc w:val="both"/>
              <w:rPr>
                <w:rFonts w:ascii="Arial" w:hAnsi="Arial" w:cs="Arial"/>
                <w:sz w:val="24"/>
                <w:szCs w:val="24"/>
                <w:lang w:val="en-GB" w:eastAsia="en-GB"/>
              </w:rPr>
            </w:pPr>
            <w:r w:rsidRPr="00FE5886">
              <w:rPr>
                <w:rFonts w:ascii="Arial" w:hAnsi="Arial" w:cs="Arial"/>
                <w:sz w:val="24"/>
                <w:szCs w:val="24"/>
                <w:lang w:val="en-GB" w:eastAsia="en-GB"/>
              </w:rPr>
              <w:t>Approximately 38m annual visitor occasions</w:t>
            </w:r>
          </w:p>
        </w:tc>
        <w:tc>
          <w:tcPr>
            <w:tcW w:w="1951" w:type="dxa"/>
          </w:tcPr>
          <w:p w14:paraId="0A5D312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Occasional/one-off purchase; frequency depends on length and purpose of visit</w:t>
            </w:r>
          </w:p>
        </w:tc>
        <w:tc>
          <w:tcPr>
            <w:tcW w:w="1763" w:type="dxa"/>
          </w:tcPr>
          <w:p w14:paraId="34328E30"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1285A10E"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Very large volume but relatively low repeat potential</w:t>
            </w:r>
          </w:p>
        </w:tc>
      </w:tr>
      <w:tr w:rsidR="00A6148D" w:rsidRPr="00A6148D" w14:paraId="40489ABD" w14:textId="77777777" w:rsidTr="00A6148D">
        <w:tc>
          <w:tcPr>
            <w:tcW w:w="1740" w:type="dxa"/>
          </w:tcPr>
          <w:p w14:paraId="74F75AF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Workers</w:t>
            </w:r>
          </w:p>
        </w:tc>
        <w:tc>
          <w:tcPr>
            <w:tcW w:w="1795" w:type="dxa"/>
          </w:tcPr>
          <w:p w14:paraId="5068E961"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222,000 within a 15-minute walking distance</w:t>
            </w:r>
          </w:p>
        </w:tc>
        <w:tc>
          <w:tcPr>
            <w:tcW w:w="1951" w:type="dxa"/>
          </w:tcPr>
          <w:p w14:paraId="63CE04A1"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Potentially repeat weekday purchasing; frequency to be validated</w:t>
            </w:r>
          </w:p>
        </w:tc>
        <w:tc>
          <w:tcPr>
            <w:tcW w:w="1763" w:type="dxa"/>
          </w:tcPr>
          <w:p w14:paraId="71947EE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68D4A19B"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High-value segment because repeat purchasing can create predictable revenue</w:t>
            </w:r>
          </w:p>
        </w:tc>
      </w:tr>
      <w:tr w:rsidR="00A6148D" w:rsidRPr="00A6148D" w14:paraId="23F628BB" w14:textId="77777777" w:rsidTr="00A6148D">
        <w:tc>
          <w:tcPr>
            <w:tcW w:w="1740" w:type="dxa"/>
          </w:tcPr>
          <w:p w14:paraId="3C651FEC"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Residents</w:t>
            </w:r>
          </w:p>
        </w:tc>
        <w:tc>
          <w:tcPr>
            <w:tcW w:w="1795" w:type="dxa"/>
          </w:tcPr>
          <w:p w14:paraId="0E8683B8"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 xml:space="preserve">Approximately 10,000 within a 15-minute </w:t>
            </w:r>
            <w:r w:rsidRPr="00A6148D">
              <w:rPr>
                <w:rFonts w:ascii="Arial" w:hAnsi="Arial" w:cs="Arial"/>
                <w:sz w:val="24"/>
                <w:szCs w:val="24"/>
                <w:lang w:val="en-GB" w:eastAsia="en-GB"/>
              </w:rPr>
              <w:lastRenderedPageBreak/>
              <w:t>walking distance</w:t>
            </w:r>
          </w:p>
        </w:tc>
        <w:tc>
          <w:tcPr>
            <w:tcW w:w="1951" w:type="dxa"/>
          </w:tcPr>
          <w:p w14:paraId="5977DB4C"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lastRenderedPageBreak/>
              <w:t>Potentially regular/local purchasing</w:t>
            </w:r>
          </w:p>
        </w:tc>
        <w:tc>
          <w:tcPr>
            <w:tcW w:w="1763" w:type="dxa"/>
          </w:tcPr>
          <w:p w14:paraId="6624C7F3"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2C17B136"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 xml:space="preserve">Smaller population but potentially </w:t>
            </w:r>
            <w:r w:rsidRPr="00A6148D">
              <w:rPr>
                <w:rFonts w:ascii="Arial" w:hAnsi="Arial" w:cs="Arial"/>
                <w:sz w:val="24"/>
                <w:szCs w:val="24"/>
                <w:lang w:val="en-GB" w:eastAsia="en-GB"/>
              </w:rPr>
              <w:lastRenderedPageBreak/>
              <w:t>high repeat frequency</w:t>
            </w:r>
          </w:p>
        </w:tc>
      </w:tr>
      <w:tr w:rsidR="00A6148D" w:rsidRPr="00A6148D" w14:paraId="02E584E2" w14:textId="77777777" w:rsidTr="00A6148D">
        <w:tc>
          <w:tcPr>
            <w:tcW w:w="1740" w:type="dxa"/>
          </w:tcPr>
          <w:p w14:paraId="358545AE"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lastRenderedPageBreak/>
              <w:t>Wider West End visitors</w:t>
            </w:r>
          </w:p>
        </w:tc>
        <w:tc>
          <w:tcPr>
            <w:tcW w:w="1795" w:type="dxa"/>
          </w:tcPr>
          <w:p w14:paraId="54CF0372"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High regional footfall</w:t>
            </w:r>
          </w:p>
        </w:tc>
        <w:tc>
          <w:tcPr>
            <w:tcW w:w="1951" w:type="dxa"/>
          </w:tcPr>
          <w:p w14:paraId="24C40116"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Occasional purchases linked to shopping, leisure and tourism</w:t>
            </w:r>
          </w:p>
        </w:tc>
        <w:tc>
          <w:tcPr>
            <w:tcW w:w="1763" w:type="dxa"/>
          </w:tcPr>
          <w:p w14:paraId="0E6A6636"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22DFE875" w14:textId="77777777" w:rsidR="00A6148D" w:rsidRPr="00A6148D" w:rsidRDefault="00A6148D" w:rsidP="0038379F">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Provides additional spill-over demand</w:t>
            </w:r>
          </w:p>
        </w:tc>
      </w:tr>
    </w:tbl>
    <w:p w14:paraId="10BBD4D1" w14:textId="77777777" w:rsidR="00A6148D" w:rsidRPr="00A6148D" w:rsidRDefault="00A6148D" w:rsidP="00A6148D">
      <w:pPr>
        <w:spacing w:before="240" w:line="360" w:lineRule="auto"/>
        <w:jc w:val="both"/>
        <w:rPr>
          <w:rFonts w:ascii="Arial" w:hAnsi="Arial" w:cs="Arial"/>
          <w:sz w:val="24"/>
          <w:szCs w:val="24"/>
          <w:lang w:val="en-GB" w:eastAsia="en-GB"/>
        </w:rPr>
      </w:pPr>
    </w:p>
    <w:p w14:paraId="59698B2A" w14:textId="2ED20662" w:rsidR="00A6148D" w:rsidRPr="00A6148D" w:rsidRDefault="00A6148D" w:rsidP="00A6148D">
      <w:pPr>
        <w:spacing w:before="240" w:line="360" w:lineRule="auto"/>
        <w:jc w:val="both"/>
        <w:rPr>
          <w:rFonts w:ascii="Arial" w:hAnsi="Arial" w:cs="Arial"/>
          <w:sz w:val="24"/>
          <w:szCs w:val="24"/>
          <w:lang w:val="en-GB" w:eastAsia="en-GB"/>
        </w:rPr>
      </w:pPr>
      <w:r w:rsidRPr="00A6148D">
        <w:rPr>
          <w:rFonts w:ascii="Arial" w:hAnsi="Arial" w:cs="Arial"/>
          <w:b/>
          <w:sz w:val="24"/>
          <w:szCs w:val="24"/>
          <w:lang w:val="en-GB" w:eastAsia="en-GB"/>
        </w:rPr>
        <w:t>Source:</w:t>
      </w:r>
      <w:r w:rsidRPr="00A6148D">
        <w:rPr>
          <w:rFonts w:ascii="Arial" w:hAnsi="Arial" w:cs="Arial"/>
          <w:sz w:val="24"/>
          <w:szCs w:val="24"/>
          <w:lang w:val="en-GB" w:eastAsia="en-GB"/>
        </w:rPr>
        <w:t xml:space="preserve"> Researcher’s synthesis based on published local market evidence. Population/visitor figures are secondary-data estimates; purchase frequency and average expenditure are researcher planning assumptions requiring</w:t>
      </w:r>
      <w:r>
        <w:rPr>
          <w:rFonts w:ascii="Arial" w:hAnsi="Arial" w:cs="Arial"/>
          <w:sz w:val="24"/>
          <w:szCs w:val="24"/>
          <w:lang w:val="en-GB" w:eastAsia="en-GB"/>
        </w:rPr>
        <w:t xml:space="preserve"> validation.</w:t>
      </w:r>
    </w:p>
    <w:p w14:paraId="76FD2B6F" w14:textId="54AA9606" w:rsidR="00E53AA4" w:rsidRPr="00E53AA4" w:rsidRDefault="00FF4EC2" w:rsidP="00E53AA4">
      <w:pPr>
        <w:spacing w:before="240" w:line="360" w:lineRule="auto"/>
        <w:jc w:val="both"/>
        <w:rPr>
          <w:rFonts w:ascii="Arial" w:hAnsi="Arial" w:cs="Arial"/>
          <w:sz w:val="24"/>
          <w:szCs w:val="24"/>
          <w:lang w:val="en-GB" w:eastAsia="en-GB"/>
        </w:rPr>
      </w:pPr>
      <w:r w:rsidRPr="00FF4EC2">
        <w:rPr>
          <w:rFonts w:ascii="Arial" w:hAnsi="Arial" w:cs="Arial"/>
          <w:sz w:val="24"/>
          <w:szCs w:val="24"/>
          <w:lang w:val="en-GB" w:eastAsia="en-GB"/>
        </w:rPr>
        <w:t xml:space="preserve">The local opportunity should not be interpreted solely through headline visitor numbers. </w:t>
      </w:r>
      <w:r w:rsidR="00576058" w:rsidRPr="00576058">
        <w:rPr>
          <w:rFonts w:ascii="Arial" w:hAnsi="Arial" w:cs="Arial"/>
          <w:sz w:val="24"/>
          <w:szCs w:val="24"/>
          <w:lang w:val="en-GB" w:eastAsia="en-GB"/>
        </w:rPr>
        <w:t>Annual numbers of 38 million visitors applies to visitor occasions, not the number of individual visitors; workers and residents may have more repeat-purchase potential. Therefore, not only does the size of every customer base matter, but so does how often they are purchasing and the average transaction amount, as well as the rate</w:t>
      </w:r>
      <w:r w:rsidR="00576058">
        <w:rPr>
          <w:rFonts w:ascii="Arial" w:hAnsi="Arial" w:cs="Arial"/>
          <w:sz w:val="24"/>
          <w:szCs w:val="24"/>
          <w:lang w:val="en-GB" w:eastAsia="en-GB"/>
        </w:rPr>
        <w:t xml:space="preserve"> of conversion to repeat buyers</w:t>
      </w:r>
      <w:r w:rsidR="00A6148D" w:rsidRPr="00A6148D">
        <w:rPr>
          <w:rFonts w:ascii="Arial" w:hAnsi="Arial" w:cs="Arial"/>
          <w:sz w:val="24"/>
          <w:szCs w:val="24"/>
          <w:lang w:val="en-GB" w:eastAsia="en-GB"/>
        </w:rPr>
        <w:t>.</w:t>
      </w:r>
    </w:p>
    <w:p w14:paraId="33BA9FA1" w14:textId="030B3B90" w:rsidR="00E53AA4" w:rsidRPr="00E53AA4" w:rsidRDefault="00E53AA4" w:rsidP="00E53AA4">
      <w:pPr>
        <w:pStyle w:val="Caption"/>
        <w:keepNext/>
        <w:rPr>
          <w:rFonts w:ascii="Arial" w:hAnsi="Arial" w:cs="Arial"/>
          <w:sz w:val="24"/>
        </w:rPr>
      </w:pPr>
      <w:bookmarkStart w:id="45" w:name="_Toc241170838"/>
      <w:r w:rsidRPr="00E53AA4">
        <w:rPr>
          <w:rFonts w:ascii="Arial" w:hAnsi="Arial" w:cs="Arial"/>
          <w:sz w:val="24"/>
        </w:rPr>
        <w:t xml:space="preserve">Table </w:t>
      </w:r>
      <w:r w:rsidRPr="00E53AA4">
        <w:rPr>
          <w:rFonts w:ascii="Arial" w:hAnsi="Arial" w:cs="Arial"/>
          <w:sz w:val="24"/>
        </w:rPr>
        <w:fldChar w:fldCharType="begin"/>
      </w:r>
      <w:r w:rsidRPr="00E53AA4">
        <w:rPr>
          <w:rFonts w:ascii="Arial" w:hAnsi="Arial" w:cs="Arial"/>
          <w:sz w:val="24"/>
        </w:rPr>
        <w:instrText xml:space="preserve"> SEQ Table \* ARABIC </w:instrText>
      </w:r>
      <w:r w:rsidRPr="00E53AA4">
        <w:rPr>
          <w:rFonts w:ascii="Arial" w:hAnsi="Arial" w:cs="Arial"/>
          <w:sz w:val="24"/>
        </w:rPr>
        <w:fldChar w:fldCharType="separate"/>
      </w:r>
      <w:r w:rsidR="001815EA">
        <w:rPr>
          <w:rFonts w:ascii="Arial" w:hAnsi="Arial" w:cs="Arial"/>
          <w:noProof/>
          <w:sz w:val="24"/>
        </w:rPr>
        <w:t>2</w:t>
      </w:r>
      <w:r w:rsidRPr="00E53AA4">
        <w:rPr>
          <w:rFonts w:ascii="Arial" w:hAnsi="Arial" w:cs="Arial"/>
          <w:sz w:val="24"/>
        </w:rPr>
        <w:fldChar w:fldCharType="end"/>
      </w:r>
      <w:r w:rsidRPr="00E53AA4">
        <w:rPr>
          <w:rFonts w:ascii="Arial" w:hAnsi="Arial" w:cs="Arial"/>
          <w:sz w:val="24"/>
        </w:rPr>
        <w:t>: Illustrative Local Demand Scenario</w:t>
      </w:r>
      <w:bookmarkEnd w:id="45"/>
    </w:p>
    <w:tbl>
      <w:tblPr>
        <w:tblStyle w:val="TableGrid"/>
        <w:tblW w:w="0" w:type="auto"/>
        <w:tblLook w:val="04A0" w:firstRow="1" w:lastRow="0" w:firstColumn="1" w:lastColumn="0" w:noHBand="0" w:noVBand="1"/>
      </w:tblPr>
      <w:tblGrid>
        <w:gridCol w:w="2254"/>
        <w:gridCol w:w="2254"/>
        <w:gridCol w:w="2254"/>
        <w:gridCol w:w="2254"/>
      </w:tblGrid>
      <w:tr w:rsidR="00E53AA4" w:rsidRPr="00E53AA4" w14:paraId="0F1EE2D5" w14:textId="77777777" w:rsidTr="00E53AA4">
        <w:tc>
          <w:tcPr>
            <w:tcW w:w="2254" w:type="dxa"/>
          </w:tcPr>
          <w:p w14:paraId="04494657"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Segment</w:t>
            </w:r>
          </w:p>
        </w:tc>
        <w:tc>
          <w:tcPr>
            <w:tcW w:w="2254" w:type="dxa"/>
          </w:tcPr>
          <w:p w14:paraId="0A1C39C5"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Market pool</w:t>
            </w:r>
          </w:p>
        </w:tc>
        <w:tc>
          <w:tcPr>
            <w:tcW w:w="2254" w:type="dxa"/>
          </w:tcPr>
          <w:p w14:paraId="77E0FCF3"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Planning assumption</w:t>
            </w:r>
          </w:p>
        </w:tc>
        <w:tc>
          <w:tcPr>
            <w:tcW w:w="2254" w:type="dxa"/>
          </w:tcPr>
          <w:p w14:paraId="0D54F3EF" w14:textId="77777777" w:rsidR="00E53AA4" w:rsidRPr="00E857CE" w:rsidRDefault="00E53AA4" w:rsidP="0038379F">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Illustrative annual transactions</w:t>
            </w:r>
          </w:p>
        </w:tc>
      </w:tr>
      <w:tr w:rsidR="00E53AA4" w:rsidRPr="00E53AA4" w14:paraId="02EEC7EB" w14:textId="77777777" w:rsidTr="00E53AA4">
        <w:tc>
          <w:tcPr>
            <w:tcW w:w="2254" w:type="dxa"/>
          </w:tcPr>
          <w:p w14:paraId="2EF0B20A"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Visitors</w:t>
            </w:r>
          </w:p>
        </w:tc>
        <w:tc>
          <w:tcPr>
            <w:tcW w:w="2254" w:type="dxa"/>
          </w:tcPr>
          <w:p w14:paraId="62EAE6FF"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38,000,000 occasions</w:t>
            </w:r>
          </w:p>
        </w:tc>
        <w:tc>
          <w:tcPr>
            <w:tcW w:w="2254" w:type="dxa"/>
          </w:tcPr>
          <w:p w14:paraId="68ACBBC5"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20% make a café purchase</w:t>
            </w:r>
          </w:p>
        </w:tc>
        <w:tc>
          <w:tcPr>
            <w:tcW w:w="2254" w:type="dxa"/>
          </w:tcPr>
          <w:p w14:paraId="45AC6D6D"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7,600,000</w:t>
            </w:r>
          </w:p>
        </w:tc>
      </w:tr>
      <w:tr w:rsidR="00E53AA4" w:rsidRPr="00E53AA4" w14:paraId="5F62ECC7" w14:textId="77777777" w:rsidTr="00E53AA4">
        <w:tc>
          <w:tcPr>
            <w:tcW w:w="2254" w:type="dxa"/>
          </w:tcPr>
          <w:p w14:paraId="1D782344"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Reachable visitor occasions</w:t>
            </w:r>
          </w:p>
        </w:tc>
        <w:tc>
          <w:tcPr>
            <w:tcW w:w="2254" w:type="dxa"/>
          </w:tcPr>
          <w:p w14:paraId="24EDB795"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7,600,000</w:t>
            </w:r>
          </w:p>
        </w:tc>
        <w:tc>
          <w:tcPr>
            <w:tcW w:w="2254" w:type="dxa"/>
          </w:tcPr>
          <w:p w14:paraId="4EA88B5F"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15% fall within realistic competitive catchment</w:t>
            </w:r>
          </w:p>
        </w:tc>
        <w:tc>
          <w:tcPr>
            <w:tcW w:w="2254" w:type="dxa"/>
          </w:tcPr>
          <w:p w14:paraId="32F796DA"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1,140,000</w:t>
            </w:r>
          </w:p>
        </w:tc>
      </w:tr>
      <w:tr w:rsidR="00E53AA4" w:rsidRPr="00E53AA4" w14:paraId="3CBAC120" w14:textId="77777777" w:rsidTr="00E53AA4">
        <w:tc>
          <w:tcPr>
            <w:tcW w:w="2254" w:type="dxa"/>
          </w:tcPr>
          <w:p w14:paraId="71228859"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lastRenderedPageBreak/>
              <w:t>TEBC visitor capture</w:t>
            </w:r>
          </w:p>
        </w:tc>
        <w:tc>
          <w:tcPr>
            <w:tcW w:w="2254" w:type="dxa"/>
          </w:tcPr>
          <w:p w14:paraId="54D5BA6A"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1,140,000</w:t>
            </w:r>
          </w:p>
        </w:tc>
        <w:tc>
          <w:tcPr>
            <w:tcW w:w="2254" w:type="dxa"/>
          </w:tcPr>
          <w:p w14:paraId="265D468E"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 captured by TEBC</w:t>
            </w:r>
          </w:p>
        </w:tc>
        <w:tc>
          <w:tcPr>
            <w:tcW w:w="2254" w:type="dxa"/>
          </w:tcPr>
          <w:p w14:paraId="63688B74" w14:textId="77777777" w:rsidR="00E53AA4" w:rsidRPr="00E53AA4" w:rsidRDefault="00E53AA4" w:rsidP="0038379F">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22,800</w:t>
            </w:r>
          </w:p>
        </w:tc>
      </w:tr>
      <w:tr w:rsidR="00561388" w:rsidRPr="00E53AA4" w14:paraId="39E6D1B4" w14:textId="77777777" w:rsidTr="00E53AA4">
        <w:tc>
          <w:tcPr>
            <w:tcW w:w="2254" w:type="dxa"/>
          </w:tcPr>
          <w:p w14:paraId="638FB640" w14:textId="4C243E53" w:rsidR="00561388" w:rsidRPr="00561388" w:rsidRDefault="00561388" w:rsidP="00561388">
            <w:pPr>
              <w:spacing w:before="240" w:line="360" w:lineRule="auto"/>
              <w:jc w:val="both"/>
              <w:rPr>
                <w:rFonts w:ascii="Arial" w:hAnsi="Arial" w:cs="Arial"/>
                <w:sz w:val="24"/>
                <w:szCs w:val="24"/>
                <w:lang w:val="en-GB" w:eastAsia="en-GB"/>
              </w:rPr>
            </w:pPr>
            <w:r w:rsidRPr="00561388">
              <w:rPr>
                <w:rFonts w:ascii="Arial" w:hAnsi="Arial" w:cs="Arial"/>
                <w:sz w:val="24"/>
              </w:rPr>
              <w:t>Visitor transactions</w:t>
            </w:r>
          </w:p>
        </w:tc>
        <w:tc>
          <w:tcPr>
            <w:tcW w:w="2254" w:type="dxa"/>
          </w:tcPr>
          <w:p w14:paraId="1B4F95FC" w14:textId="7F39C30A" w:rsidR="00561388" w:rsidRPr="00561388" w:rsidRDefault="00561388" w:rsidP="00561388">
            <w:pPr>
              <w:spacing w:before="240" w:line="360" w:lineRule="auto"/>
              <w:jc w:val="both"/>
              <w:rPr>
                <w:rFonts w:ascii="Arial" w:hAnsi="Arial" w:cs="Arial"/>
                <w:sz w:val="24"/>
                <w:szCs w:val="24"/>
                <w:lang w:val="en-GB" w:eastAsia="en-GB"/>
              </w:rPr>
            </w:pPr>
            <w:r w:rsidRPr="00561388">
              <w:rPr>
                <w:rFonts w:ascii="Arial" w:hAnsi="Arial" w:cs="Arial"/>
                <w:sz w:val="24"/>
              </w:rPr>
              <w:t>22,800 transactions</w:t>
            </w:r>
          </w:p>
        </w:tc>
        <w:tc>
          <w:tcPr>
            <w:tcW w:w="2254" w:type="dxa"/>
          </w:tcPr>
          <w:p w14:paraId="5739AB21" w14:textId="1ADE9576" w:rsidR="00561388" w:rsidRPr="00561388" w:rsidRDefault="00561388" w:rsidP="00561388">
            <w:pPr>
              <w:spacing w:before="240" w:line="360" w:lineRule="auto"/>
              <w:jc w:val="both"/>
              <w:rPr>
                <w:rFonts w:ascii="Arial" w:hAnsi="Arial" w:cs="Arial"/>
                <w:sz w:val="24"/>
                <w:szCs w:val="24"/>
                <w:lang w:val="en-GB" w:eastAsia="en-GB"/>
              </w:rPr>
            </w:pPr>
            <w:r w:rsidRPr="00561388">
              <w:rPr>
                <w:rFonts w:ascii="Arial" w:hAnsi="Arial" w:cs="Arial"/>
                <w:sz w:val="24"/>
              </w:rPr>
              <w:t>£7 average transaction</w:t>
            </w:r>
          </w:p>
        </w:tc>
        <w:tc>
          <w:tcPr>
            <w:tcW w:w="2254" w:type="dxa"/>
          </w:tcPr>
          <w:p w14:paraId="5A66EEDF" w14:textId="131F8E5B" w:rsidR="00561388" w:rsidRPr="00561388" w:rsidRDefault="00561388" w:rsidP="00561388">
            <w:pPr>
              <w:spacing w:before="240" w:line="360" w:lineRule="auto"/>
              <w:jc w:val="both"/>
              <w:rPr>
                <w:rFonts w:ascii="Arial" w:hAnsi="Arial" w:cs="Arial"/>
                <w:sz w:val="24"/>
                <w:szCs w:val="24"/>
                <w:lang w:val="en-GB" w:eastAsia="en-GB"/>
              </w:rPr>
            </w:pPr>
            <w:r w:rsidRPr="00561388">
              <w:rPr>
                <w:rFonts w:ascii="Arial" w:hAnsi="Arial" w:cs="Arial"/>
                <w:sz w:val="24"/>
              </w:rPr>
              <w:t>£159,600</w:t>
            </w:r>
          </w:p>
        </w:tc>
      </w:tr>
    </w:tbl>
    <w:p w14:paraId="70CA1041" w14:textId="591964D9" w:rsidR="00E53AA4" w:rsidRPr="00E53AA4" w:rsidRDefault="00E53AA4" w:rsidP="00E53AA4">
      <w:pPr>
        <w:spacing w:before="240" w:line="360" w:lineRule="auto"/>
        <w:jc w:val="both"/>
        <w:rPr>
          <w:rFonts w:ascii="Arial" w:hAnsi="Arial" w:cs="Arial"/>
          <w:sz w:val="24"/>
          <w:szCs w:val="24"/>
          <w:lang w:val="en-GB" w:eastAsia="en-GB"/>
        </w:rPr>
      </w:pPr>
      <w:r w:rsidRPr="00E857CE">
        <w:rPr>
          <w:rFonts w:ascii="Arial" w:hAnsi="Arial" w:cs="Arial"/>
          <w:b/>
          <w:sz w:val="24"/>
          <w:szCs w:val="24"/>
          <w:lang w:val="en-GB" w:eastAsia="en-GB"/>
        </w:rPr>
        <w:t>Source:</w:t>
      </w:r>
      <w:r w:rsidRPr="00E53AA4">
        <w:rPr>
          <w:rFonts w:ascii="Arial" w:hAnsi="Arial" w:cs="Arial"/>
          <w:sz w:val="24"/>
          <w:szCs w:val="24"/>
          <w:lang w:val="en-GB" w:eastAsia="en-GB"/>
        </w:rPr>
        <w:t xml:space="preserve"> Researcher’s illustrative calculation. The 20%, 15%, 2% and £7 figures are planning assumptions and are not published market </w:t>
      </w:r>
      <w:r>
        <w:rPr>
          <w:rFonts w:ascii="Arial" w:hAnsi="Arial" w:cs="Arial"/>
          <w:sz w:val="24"/>
          <w:szCs w:val="24"/>
          <w:lang w:val="en-GB" w:eastAsia="en-GB"/>
        </w:rPr>
        <w:t>statistics or a sales forecast</w:t>
      </w:r>
    </w:p>
    <w:p w14:paraId="2F770579" w14:textId="3AC4B924" w:rsidR="004C6A98" w:rsidRPr="004C6A98" w:rsidRDefault="00145DC2" w:rsidP="004C6A98">
      <w:pPr>
        <w:spacing w:before="240" w:line="360" w:lineRule="auto"/>
        <w:jc w:val="both"/>
        <w:rPr>
          <w:rFonts w:ascii="Arial" w:hAnsi="Arial" w:cs="Arial"/>
          <w:sz w:val="24"/>
          <w:szCs w:val="24"/>
          <w:lang w:val="en-GB" w:eastAsia="en-GB"/>
        </w:rPr>
      </w:pPr>
      <w:r w:rsidRPr="00145DC2">
        <w:rPr>
          <w:rFonts w:ascii="Arial" w:hAnsi="Arial" w:cs="Arial"/>
          <w:sz w:val="24"/>
          <w:szCs w:val="24"/>
          <w:lang w:val="en-GB" w:eastAsia="en-GB"/>
        </w:rPr>
        <w:t>This figure of £159,600 is not an indication of the first year's income. It does not take into account the total available local demand and provides an example only of a proportion of this that can be converted into transactions. The assumptions must be validated by observing the competitors, analysing the suppliers and pricing, conducting test trading and then analysing the transaction data. Important, this scenario does not include repeat purchases by workers and residents. These segments should therefore be estimated separately from a fuller commercial model, based on a realistic purchase frequency a</w:t>
      </w:r>
      <w:r>
        <w:rPr>
          <w:rFonts w:ascii="Arial" w:hAnsi="Arial" w:cs="Arial"/>
          <w:sz w:val="24"/>
          <w:szCs w:val="24"/>
          <w:lang w:val="en-GB" w:eastAsia="en-GB"/>
        </w:rPr>
        <w:t>nd an average transaction value</w:t>
      </w:r>
      <w:r w:rsidR="00E53AA4" w:rsidRPr="00E53AA4">
        <w:rPr>
          <w:rFonts w:ascii="Arial" w:hAnsi="Arial" w:cs="Arial"/>
          <w:sz w:val="24"/>
          <w:szCs w:val="24"/>
          <w:lang w:val="en-GB" w:eastAsia="en-GB"/>
        </w:rPr>
        <w:t>.</w:t>
      </w:r>
    </w:p>
    <w:p w14:paraId="69B92379" w14:textId="027CEFA2" w:rsidR="004C6A98" w:rsidRPr="004C6A98" w:rsidRDefault="004C6A98" w:rsidP="008B0B6B">
      <w:pPr>
        <w:pStyle w:val="Heading2"/>
        <w:rPr>
          <w:lang w:val="en-GB" w:eastAsia="en-GB"/>
        </w:rPr>
      </w:pPr>
      <w:bookmarkStart w:id="46" w:name="_Toc241167448"/>
      <w:r w:rsidRPr="004C6A98">
        <w:rPr>
          <w:lang w:val="en-GB" w:eastAsia="en-GB"/>
        </w:rPr>
        <w:t>5.4 Ma</w:t>
      </w:r>
      <w:r w:rsidR="0051296B">
        <w:rPr>
          <w:lang w:val="en-GB" w:eastAsia="en-GB"/>
        </w:rPr>
        <w:t>rket Segmentation and Targeting</w:t>
      </w:r>
      <w:bookmarkEnd w:id="46"/>
    </w:p>
    <w:p w14:paraId="1AC97FAA" w14:textId="77777777" w:rsidR="00BB0352" w:rsidRPr="00BB0352" w:rsidRDefault="00BB0352" w:rsidP="00BB0352">
      <w:pPr>
        <w:spacing w:before="240" w:line="360" w:lineRule="auto"/>
        <w:jc w:val="both"/>
        <w:rPr>
          <w:rFonts w:ascii="Arial" w:hAnsi="Arial" w:cs="Arial"/>
          <w:sz w:val="24"/>
          <w:szCs w:val="24"/>
          <w:lang w:val="en-GB" w:eastAsia="en-GB"/>
        </w:rPr>
      </w:pPr>
      <w:r w:rsidRPr="00BB0352">
        <w:rPr>
          <w:rFonts w:ascii="Arial" w:hAnsi="Arial" w:cs="Arial"/>
          <w:b/>
          <w:sz w:val="24"/>
          <w:szCs w:val="24"/>
          <w:lang w:val="en-GB" w:eastAsia="en-GB"/>
        </w:rPr>
        <w:t>Analysis of STP:</w:t>
      </w:r>
      <w:r w:rsidRPr="00BB0352">
        <w:rPr>
          <w:rFonts w:ascii="Arial" w:hAnsi="Arial" w:cs="Arial"/>
          <w:sz w:val="24"/>
          <w:szCs w:val="24"/>
          <w:lang w:val="en-GB" w:eastAsia="en-GB"/>
        </w:rPr>
        <w:t xml:space="preserve"> Geographic, Demographic, Psychographic and Behavioural Segments &amp; Identification of most commercially relevant customers</w:t>
      </w:r>
    </w:p>
    <w:p w14:paraId="3F335D6C" w14:textId="77777777" w:rsidR="00BB0352" w:rsidRPr="00BB0352" w:rsidRDefault="00BB0352" w:rsidP="00BB0352">
      <w:pPr>
        <w:spacing w:before="240" w:line="360" w:lineRule="auto"/>
        <w:jc w:val="both"/>
        <w:rPr>
          <w:rFonts w:ascii="Arial" w:hAnsi="Arial" w:cs="Arial"/>
          <w:sz w:val="24"/>
          <w:szCs w:val="24"/>
          <w:lang w:val="en-GB" w:eastAsia="en-GB"/>
        </w:rPr>
      </w:pPr>
      <w:r w:rsidRPr="00BB0352">
        <w:rPr>
          <w:rFonts w:ascii="Arial" w:hAnsi="Arial" w:cs="Arial"/>
          <w:sz w:val="24"/>
          <w:szCs w:val="24"/>
          <w:lang w:val="en-GB" w:eastAsia="en-GB"/>
        </w:rPr>
        <w:t>Geographic segmentation targets potential customers who live within walking distance of Monmouth Street and the larger Covent Garden/West End area. This is especially important for workers and residents as convenience and accessibility can facilitate repeat purchases.</w:t>
      </w:r>
    </w:p>
    <w:p w14:paraId="3093C8B5" w14:textId="77777777" w:rsidR="00BB0352" w:rsidRPr="00BB0352" w:rsidRDefault="00BB0352" w:rsidP="00BB0352">
      <w:pPr>
        <w:spacing w:before="240" w:line="360" w:lineRule="auto"/>
        <w:jc w:val="both"/>
        <w:rPr>
          <w:rFonts w:ascii="Arial" w:hAnsi="Arial" w:cs="Arial"/>
          <w:sz w:val="24"/>
          <w:szCs w:val="24"/>
          <w:lang w:val="en-GB" w:eastAsia="en-GB"/>
        </w:rPr>
      </w:pPr>
      <w:r w:rsidRPr="00BB0352">
        <w:rPr>
          <w:rFonts w:ascii="Arial" w:hAnsi="Arial" w:cs="Arial"/>
          <w:sz w:val="24"/>
          <w:szCs w:val="24"/>
          <w:lang w:val="en-GB" w:eastAsia="en-GB"/>
        </w:rPr>
        <w:t>Demographic segmentation is targeting the economically active including workers and students; it is acknowledging that there is a much wider audience for Covent Garden than just the local population.</w:t>
      </w:r>
    </w:p>
    <w:p w14:paraId="3087A4BE" w14:textId="77777777" w:rsidR="00BB0352" w:rsidRPr="00BB0352" w:rsidRDefault="00BB0352" w:rsidP="00BB0352">
      <w:pPr>
        <w:spacing w:before="240" w:line="360" w:lineRule="auto"/>
        <w:jc w:val="both"/>
        <w:rPr>
          <w:rFonts w:ascii="Arial" w:hAnsi="Arial" w:cs="Arial"/>
          <w:sz w:val="24"/>
          <w:szCs w:val="24"/>
          <w:lang w:val="en-GB" w:eastAsia="en-GB"/>
        </w:rPr>
      </w:pPr>
      <w:r w:rsidRPr="00BB0352">
        <w:rPr>
          <w:rFonts w:ascii="Arial" w:hAnsi="Arial" w:cs="Arial"/>
          <w:sz w:val="24"/>
          <w:szCs w:val="24"/>
          <w:lang w:val="en-GB" w:eastAsia="en-GB"/>
        </w:rPr>
        <w:t xml:space="preserve">Psychographic Segmentation is especially geared towards consumers with a passion for specialty coffee, quality, ethical consumption, sustainability and experiential hospitality. It is consistent with research showing consumers might be willing to pay increased prices for sustainable and trustworthy coffee attributes (Fuller and </w:t>
      </w:r>
      <w:proofErr w:type="spellStart"/>
      <w:r w:rsidRPr="00BB0352">
        <w:rPr>
          <w:rFonts w:ascii="Arial" w:hAnsi="Arial" w:cs="Arial"/>
          <w:sz w:val="24"/>
          <w:szCs w:val="24"/>
          <w:lang w:val="en-GB" w:eastAsia="en-GB"/>
        </w:rPr>
        <w:t>Grebitus</w:t>
      </w:r>
      <w:proofErr w:type="spellEnd"/>
      <w:r w:rsidRPr="00BB0352">
        <w:rPr>
          <w:rFonts w:ascii="Arial" w:hAnsi="Arial" w:cs="Arial"/>
          <w:sz w:val="24"/>
          <w:szCs w:val="24"/>
          <w:lang w:val="en-GB" w:eastAsia="en-GB"/>
        </w:rPr>
        <w:t xml:space="preserve">, 2023; Abdu and </w:t>
      </w:r>
      <w:proofErr w:type="spellStart"/>
      <w:r w:rsidRPr="00BB0352">
        <w:rPr>
          <w:rFonts w:ascii="Arial" w:hAnsi="Arial" w:cs="Arial"/>
          <w:sz w:val="24"/>
          <w:szCs w:val="24"/>
          <w:lang w:val="en-GB" w:eastAsia="en-GB"/>
        </w:rPr>
        <w:t>Mutuku</w:t>
      </w:r>
      <w:proofErr w:type="spellEnd"/>
      <w:r w:rsidRPr="00BB0352">
        <w:rPr>
          <w:rFonts w:ascii="Arial" w:hAnsi="Arial" w:cs="Arial"/>
          <w:sz w:val="24"/>
          <w:szCs w:val="24"/>
          <w:lang w:val="en-GB" w:eastAsia="en-GB"/>
        </w:rPr>
        <w:t>, 2021).</w:t>
      </w:r>
    </w:p>
    <w:p w14:paraId="5EC7D075" w14:textId="77777777" w:rsidR="00BB0352" w:rsidRPr="00BB0352" w:rsidRDefault="00BB0352" w:rsidP="00BB0352">
      <w:pPr>
        <w:spacing w:before="240" w:line="360" w:lineRule="auto"/>
        <w:jc w:val="both"/>
        <w:rPr>
          <w:rFonts w:ascii="Arial" w:hAnsi="Arial" w:cs="Arial"/>
          <w:sz w:val="24"/>
          <w:szCs w:val="24"/>
          <w:lang w:val="en-GB" w:eastAsia="en-GB"/>
        </w:rPr>
      </w:pPr>
      <w:r w:rsidRPr="00BB0352">
        <w:rPr>
          <w:rFonts w:ascii="Arial" w:hAnsi="Arial" w:cs="Arial"/>
          <w:sz w:val="24"/>
          <w:szCs w:val="24"/>
          <w:lang w:val="en-GB" w:eastAsia="en-GB"/>
        </w:rPr>
        <w:lastRenderedPageBreak/>
        <w:t>Behavioural segmentation refers to frequency of coffee purchase, frequency of visits to the coffee shop, interest in specialty coffees and the likelihood of returning to the coffee shop. Occasional tourists may not, therefore, provide the same recurring revenue potential as workers and regular local visitors.</w:t>
      </w:r>
    </w:p>
    <w:p w14:paraId="5EC61C57" w14:textId="441471BB" w:rsidR="004C6A98" w:rsidRPr="004C6A98" w:rsidRDefault="00BB0352" w:rsidP="00BB0352">
      <w:pPr>
        <w:spacing w:before="240" w:line="360" w:lineRule="auto"/>
        <w:jc w:val="both"/>
        <w:rPr>
          <w:rFonts w:ascii="Arial" w:hAnsi="Arial" w:cs="Arial"/>
          <w:sz w:val="24"/>
          <w:szCs w:val="24"/>
          <w:lang w:val="en-GB" w:eastAsia="en-GB"/>
        </w:rPr>
      </w:pPr>
      <w:r w:rsidRPr="00BB0352">
        <w:rPr>
          <w:rFonts w:ascii="Arial" w:hAnsi="Arial" w:cs="Arial"/>
          <w:sz w:val="24"/>
          <w:szCs w:val="24"/>
          <w:lang w:val="en-GB" w:eastAsia="en-GB"/>
        </w:rPr>
        <w:t>From this analysis, the primary target segment is the coffee consumer who is both ethically conscious and highly motivated for specialty coffee, and also highly motivated towards quality, convenience and responsible sourcing in their pr</w:t>
      </w:r>
      <w:r>
        <w:rPr>
          <w:rFonts w:ascii="Arial" w:hAnsi="Arial" w:cs="Arial"/>
          <w:sz w:val="24"/>
          <w:szCs w:val="24"/>
          <w:lang w:val="en-GB" w:eastAsia="en-GB"/>
        </w:rPr>
        <w:t>ofessional life within the city</w:t>
      </w:r>
      <w:r w:rsidR="00D34C90" w:rsidRPr="00D34C90">
        <w:rPr>
          <w:rFonts w:ascii="Arial" w:hAnsi="Arial" w:cs="Arial"/>
          <w:sz w:val="24"/>
          <w:szCs w:val="24"/>
          <w:lang w:val="en-GB" w:eastAsia="en-GB"/>
        </w:rPr>
        <w:t>. Selected Covent Garden visitors form the key secondary segment, while local residents provide an additio</w:t>
      </w:r>
      <w:r w:rsidR="00D34C90">
        <w:rPr>
          <w:rFonts w:ascii="Arial" w:hAnsi="Arial" w:cs="Arial"/>
          <w:sz w:val="24"/>
          <w:szCs w:val="24"/>
          <w:lang w:val="en-GB" w:eastAsia="en-GB"/>
        </w:rPr>
        <w:t>nal repeat-purchase opportunity</w:t>
      </w:r>
      <w:r w:rsidR="008B0B6B">
        <w:rPr>
          <w:rFonts w:ascii="Arial" w:hAnsi="Arial" w:cs="Arial"/>
          <w:sz w:val="24"/>
          <w:szCs w:val="24"/>
          <w:lang w:val="en-GB" w:eastAsia="en-GB"/>
        </w:rPr>
        <w:t>.</w:t>
      </w:r>
    </w:p>
    <w:p w14:paraId="5AE5604B" w14:textId="7E88E8E3" w:rsidR="004C6A98" w:rsidRPr="00AD7940" w:rsidRDefault="004C6A98" w:rsidP="00AD7940">
      <w:pPr>
        <w:pStyle w:val="Heading2"/>
        <w:rPr>
          <w:lang w:val="en-GB" w:eastAsia="en-GB"/>
        </w:rPr>
      </w:pPr>
      <w:bookmarkStart w:id="47" w:name="_Toc241167449"/>
      <w:r w:rsidRPr="004C6A98">
        <w:rPr>
          <w:lang w:val="en-GB" w:eastAsia="en-GB"/>
        </w:rPr>
        <w:t>5.5 Indicative TAM, SAM and SOM</w:t>
      </w:r>
      <w:bookmarkEnd w:id="47"/>
    </w:p>
    <w:p w14:paraId="52A7AC92" w14:textId="73B8678F" w:rsidR="00E857CE" w:rsidRPr="004C6A98" w:rsidRDefault="00B66630" w:rsidP="004C6A98">
      <w:pPr>
        <w:spacing w:before="240" w:line="360" w:lineRule="auto"/>
        <w:jc w:val="both"/>
        <w:rPr>
          <w:rFonts w:ascii="Arial" w:hAnsi="Arial" w:cs="Arial"/>
          <w:sz w:val="24"/>
          <w:szCs w:val="24"/>
          <w:lang w:val="en-GB" w:eastAsia="en-GB"/>
        </w:rPr>
      </w:pPr>
      <w:r w:rsidRPr="00B66630">
        <w:rPr>
          <w:rFonts w:ascii="Arial" w:hAnsi="Arial" w:cs="Arial"/>
          <w:sz w:val="24"/>
          <w:szCs w:val="24"/>
          <w:lang w:val="en-GB" w:eastAsia="en-GB"/>
        </w:rPr>
        <w:t>A local market estimate should distinguish the overall market from the market potentially reachable and ultimately vapourable by one café. The following scenario combines published local market indicators with explicit researcher-developed assumptions and should be treated as an illustrative planning exercise requiring later validation.</w:t>
      </w:r>
    </w:p>
    <w:p w14:paraId="33BF6210" w14:textId="79A24A81" w:rsidR="00AD7940" w:rsidRPr="00AD7940" w:rsidRDefault="00AD7940" w:rsidP="00AD7940">
      <w:pPr>
        <w:pStyle w:val="Caption"/>
        <w:keepNext/>
        <w:jc w:val="both"/>
        <w:rPr>
          <w:rFonts w:ascii="Arial" w:hAnsi="Arial" w:cs="Arial"/>
          <w:sz w:val="24"/>
        </w:rPr>
      </w:pPr>
      <w:bookmarkStart w:id="48" w:name="_Toc241170839"/>
      <w:r w:rsidRPr="00AD7940">
        <w:rPr>
          <w:rFonts w:ascii="Arial" w:hAnsi="Arial" w:cs="Arial"/>
          <w:sz w:val="24"/>
        </w:rPr>
        <w:t xml:space="preserve">Table </w:t>
      </w:r>
      <w:r w:rsidRPr="00AD7940">
        <w:rPr>
          <w:rFonts w:ascii="Arial" w:hAnsi="Arial" w:cs="Arial"/>
          <w:sz w:val="24"/>
        </w:rPr>
        <w:fldChar w:fldCharType="begin"/>
      </w:r>
      <w:r w:rsidRPr="00AD7940">
        <w:rPr>
          <w:rFonts w:ascii="Arial" w:hAnsi="Arial" w:cs="Arial"/>
          <w:sz w:val="24"/>
        </w:rPr>
        <w:instrText xml:space="preserve"> SEQ Table \* ARABIC </w:instrText>
      </w:r>
      <w:r w:rsidRPr="00AD7940">
        <w:rPr>
          <w:rFonts w:ascii="Arial" w:hAnsi="Arial" w:cs="Arial"/>
          <w:sz w:val="24"/>
        </w:rPr>
        <w:fldChar w:fldCharType="separate"/>
      </w:r>
      <w:r w:rsidR="001815EA">
        <w:rPr>
          <w:rFonts w:ascii="Arial" w:hAnsi="Arial" w:cs="Arial"/>
          <w:noProof/>
          <w:sz w:val="24"/>
        </w:rPr>
        <w:t>3</w:t>
      </w:r>
      <w:r w:rsidRPr="00AD7940">
        <w:rPr>
          <w:rFonts w:ascii="Arial" w:hAnsi="Arial" w:cs="Arial"/>
          <w:sz w:val="24"/>
        </w:rPr>
        <w:fldChar w:fldCharType="end"/>
      </w:r>
      <w:r w:rsidRPr="00AD7940">
        <w:rPr>
          <w:rFonts w:ascii="Arial" w:hAnsi="Arial" w:cs="Arial"/>
          <w:sz w:val="24"/>
        </w:rPr>
        <w:t>: Indicative Market Opportunity</w:t>
      </w:r>
      <w:bookmarkEnd w:id="48"/>
    </w:p>
    <w:tbl>
      <w:tblPr>
        <w:tblStyle w:val="TableGrid"/>
        <w:tblW w:w="0" w:type="auto"/>
        <w:tblLook w:val="04A0" w:firstRow="1" w:lastRow="0" w:firstColumn="1" w:lastColumn="0" w:noHBand="0" w:noVBand="1"/>
      </w:tblPr>
      <w:tblGrid>
        <w:gridCol w:w="2254"/>
        <w:gridCol w:w="2254"/>
        <w:gridCol w:w="2254"/>
        <w:gridCol w:w="2254"/>
      </w:tblGrid>
      <w:tr w:rsidR="00B24162" w:rsidRPr="00B24162" w14:paraId="6940D186" w14:textId="77777777" w:rsidTr="00B24162">
        <w:tc>
          <w:tcPr>
            <w:tcW w:w="2254" w:type="dxa"/>
          </w:tcPr>
          <w:p w14:paraId="77C10451" w14:textId="77777777" w:rsidR="00B24162" w:rsidRPr="00EC3E5F" w:rsidRDefault="00B24162" w:rsidP="00140358">
            <w:pPr>
              <w:spacing w:before="240" w:line="360" w:lineRule="auto"/>
              <w:jc w:val="both"/>
              <w:rPr>
                <w:rFonts w:ascii="Arial" w:hAnsi="Arial" w:cs="Arial"/>
                <w:b/>
                <w:sz w:val="24"/>
                <w:szCs w:val="24"/>
                <w:lang w:val="en-GB" w:eastAsia="en-GB"/>
              </w:rPr>
            </w:pPr>
            <w:r w:rsidRPr="00EC3E5F">
              <w:rPr>
                <w:rFonts w:ascii="Arial" w:hAnsi="Arial" w:cs="Arial"/>
                <w:b/>
                <w:sz w:val="24"/>
                <w:szCs w:val="24"/>
                <w:lang w:val="en-GB" w:eastAsia="en-GB"/>
              </w:rPr>
              <w:t>Measure</w:t>
            </w:r>
          </w:p>
        </w:tc>
        <w:tc>
          <w:tcPr>
            <w:tcW w:w="2254" w:type="dxa"/>
          </w:tcPr>
          <w:p w14:paraId="42CF875E" w14:textId="77777777" w:rsidR="00B24162" w:rsidRPr="00EC3E5F" w:rsidRDefault="00B24162" w:rsidP="00140358">
            <w:pPr>
              <w:spacing w:before="240" w:line="360" w:lineRule="auto"/>
              <w:jc w:val="both"/>
              <w:rPr>
                <w:rFonts w:ascii="Arial" w:hAnsi="Arial" w:cs="Arial"/>
                <w:b/>
                <w:sz w:val="24"/>
                <w:szCs w:val="24"/>
                <w:lang w:val="en-GB" w:eastAsia="en-GB"/>
              </w:rPr>
            </w:pPr>
            <w:r w:rsidRPr="00EC3E5F">
              <w:rPr>
                <w:rFonts w:ascii="Arial" w:hAnsi="Arial" w:cs="Arial"/>
                <w:b/>
                <w:sz w:val="24"/>
                <w:szCs w:val="24"/>
                <w:lang w:val="en-GB" w:eastAsia="en-GB"/>
              </w:rPr>
              <w:t>Basis</w:t>
            </w:r>
          </w:p>
        </w:tc>
        <w:tc>
          <w:tcPr>
            <w:tcW w:w="2254" w:type="dxa"/>
          </w:tcPr>
          <w:p w14:paraId="2E890960" w14:textId="77777777" w:rsidR="00B24162" w:rsidRPr="00EC3E5F" w:rsidRDefault="00B24162" w:rsidP="00140358">
            <w:pPr>
              <w:spacing w:before="240" w:line="360" w:lineRule="auto"/>
              <w:jc w:val="both"/>
              <w:rPr>
                <w:rFonts w:ascii="Arial" w:hAnsi="Arial" w:cs="Arial"/>
                <w:b/>
                <w:sz w:val="24"/>
                <w:szCs w:val="24"/>
                <w:lang w:val="en-GB" w:eastAsia="en-GB"/>
              </w:rPr>
            </w:pPr>
            <w:r w:rsidRPr="00EC3E5F">
              <w:rPr>
                <w:rFonts w:ascii="Arial" w:hAnsi="Arial" w:cs="Arial"/>
                <w:b/>
                <w:sz w:val="24"/>
                <w:szCs w:val="24"/>
                <w:lang w:val="en-GB" w:eastAsia="en-GB"/>
              </w:rPr>
              <w:t>Calculation</w:t>
            </w:r>
          </w:p>
        </w:tc>
        <w:tc>
          <w:tcPr>
            <w:tcW w:w="2254" w:type="dxa"/>
          </w:tcPr>
          <w:p w14:paraId="5A3974C0" w14:textId="77777777" w:rsidR="00B24162" w:rsidRPr="00EC3E5F" w:rsidRDefault="00B24162" w:rsidP="00140358">
            <w:pPr>
              <w:spacing w:before="240" w:line="360" w:lineRule="auto"/>
              <w:jc w:val="both"/>
              <w:rPr>
                <w:rFonts w:ascii="Arial" w:hAnsi="Arial" w:cs="Arial"/>
                <w:b/>
                <w:sz w:val="24"/>
                <w:szCs w:val="24"/>
                <w:lang w:val="en-GB" w:eastAsia="en-GB"/>
              </w:rPr>
            </w:pPr>
            <w:r w:rsidRPr="00EC3E5F">
              <w:rPr>
                <w:rFonts w:ascii="Arial" w:hAnsi="Arial" w:cs="Arial"/>
                <w:b/>
                <w:sz w:val="24"/>
                <w:szCs w:val="24"/>
                <w:lang w:val="en-GB" w:eastAsia="en-GB"/>
              </w:rPr>
              <w:t>Indicative result</w:t>
            </w:r>
          </w:p>
        </w:tc>
      </w:tr>
      <w:tr w:rsidR="00B24162" w:rsidRPr="00B24162" w14:paraId="2E28F24A" w14:textId="77777777" w:rsidTr="00B24162">
        <w:tc>
          <w:tcPr>
            <w:tcW w:w="2254" w:type="dxa"/>
          </w:tcPr>
          <w:p w14:paraId="76B2F178"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TAM</w:t>
            </w:r>
          </w:p>
        </w:tc>
        <w:tc>
          <w:tcPr>
            <w:tcW w:w="2254" w:type="dxa"/>
          </w:tcPr>
          <w:p w14:paraId="49E68918"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Covent Garden annual visitor occasions</w:t>
            </w:r>
          </w:p>
        </w:tc>
        <w:tc>
          <w:tcPr>
            <w:tcW w:w="2254" w:type="dxa"/>
          </w:tcPr>
          <w:p w14:paraId="2C264B57"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Published estimate</w:t>
            </w:r>
          </w:p>
        </w:tc>
        <w:tc>
          <w:tcPr>
            <w:tcW w:w="2254" w:type="dxa"/>
          </w:tcPr>
          <w:p w14:paraId="5425187A"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38,000,000 visitor occasions</w:t>
            </w:r>
          </w:p>
        </w:tc>
      </w:tr>
      <w:tr w:rsidR="00B24162" w:rsidRPr="00B24162" w14:paraId="4928B1B8" w14:textId="77777777" w:rsidTr="00B24162">
        <w:tc>
          <w:tcPr>
            <w:tcW w:w="2254" w:type="dxa"/>
          </w:tcPr>
          <w:p w14:paraId="73E3BEEC"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Potential café occasions</w:t>
            </w:r>
          </w:p>
        </w:tc>
        <w:tc>
          <w:tcPr>
            <w:tcW w:w="2254" w:type="dxa"/>
          </w:tcPr>
          <w:p w14:paraId="03204CDD"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Planning assumption: 20% use a café</w:t>
            </w:r>
          </w:p>
        </w:tc>
        <w:tc>
          <w:tcPr>
            <w:tcW w:w="2254" w:type="dxa"/>
          </w:tcPr>
          <w:p w14:paraId="093167C5"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38m × 20%</w:t>
            </w:r>
          </w:p>
        </w:tc>
        <w:tc>
          <w:tcPr>
            <w:tcW w:w="2254" w:type="dxa"/>
          </w:tcPr>
          <w:p w14:paraId="4766ADDC"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7,600,000 occasions</w:t>
            </w:r>
          </w:p>
        </w:tc>
      </w:tr>
      <w:tr w:rsidR="00B24162" w:rsidRPr="00B24162" w14:paraId="0A9074B5" w14:textId="77777777" w:rsidTr="00B24162">
        <w:tc>
          <w:tcPr>
            <w:tcW w:w="2254" w:type="dxa"/>
          </w:tcPr>
          <w:p w14:paraId="3936C479"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SAM</w:t>
            </w:r>
          </w:p>
        </w:tc>
        <w:tc>
          <w:tcPr>
            <w:tcW w:w="2254" w:type="dxa"/>
          </w:tcPr>
          <w:p w14:paraId="051C2DA1"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Planning assumption: 15% within realistic competitive catchment</w:t>
            </w:r>
          </w:p>
        </w:tc>
        <w:tc>
          <w:tcPr>
            <w:tcW w:w="2254" w:type="dxa"/>
          </w:tcPr>
          <w:p w14:paraId="250F1A89"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7.6m × 15%</w:t>
            </w:r>
          </w:p>
        </w:tc>
        <w:tc>
          <w:tcPr>
            <w:tcW w:w="2254" w:type="dxa"/>
          </w:tcPr>
          <w:p w14:paraId="4F79B137"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1,140,000 occasions</w:t>
            </w:r>
          </w:p>
        </w:tc>
      </w:tr>
      <w:tr w:rsidR="00B24162" w:rsidRPr="00B24162" w14:paraId="7C7EEB95" w14:textId="77777777" w:rsidTr="00B24162">
        <w:tc>
          <w:tcPr>
            <w:tcW w:w="2254" w:type="dxa"/>
          </w:tcPr>
          <w:p w14:paraId="62DA028B"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lastRenderedPageBreak/>
              <w:t>SOM</w:t>
            </w:r>
          </w:p>
        </w:tc>
        <w:tc>
          <w:tcPr>
            <w:tcW w:w="2254" w:type="dxa"/>
          </w:tcPr>
          <w:p w14:paraId="60A07093"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Planning assumption: 2% TEBC capture</w:t>
            </w:r>
          </w:p>
        </w:tc>
        <w:tc>
          <w:tcPr>
            <w:tcW w:w="2254" w:type="dxa"/>
          </w:tcPr>
          <w:p w14:paraId="060BAEB1"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1.14m × 2%</w:t>
            </w:r>
          </w:p>
        </w:tc>
        <w:tc>
          <w:tcPr>
            <w:tcW w:w="2254" w:type="dxa"/>
          </w:tcPr>
          <w:p w14:paraId="09397660"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22,800 transactions</w:t>
            </w:r>
          </w:p>
        </w:tc>
      </w:tr>
      <w:tr w:rsidR="00B24162" w:rsidRPr="00B24162" w14:paraId="3612007A" w14:textId="77777777" w:rsidTr="00B24162">
        <w:tc>
          <w:tcPr>
            <w:tcW w:w="2254" w:type="dxa"/>
          </w:tcPr>
          <w:p w14:paraId="2C20A180"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Illustrative visitor sales value</w:t>
            </w:r>
          </w:p>
        </w:tc>
        <w:tc>
          <w:tcPr>
            <w:tcW w:w="2254" w:type="dxa"/>
          </w:tcPr>
          <w:p w14:paraId="7AE07467"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£7 average transaction</w:t>
            </w:r>
          </w:p>
        </w:tc>
        <w:tc>
          <w:tcPr>
            <w:tcW w:w="2254" w:type="dxa"/>
          </w:tcPr>
          <w:p w14:paraId="0FDE8982"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22,800 × £7</w:t>
            </w:r>
          </w:p>
        </w:tc>
        <w:tc>
          <w:tcPr>
            <w:tcW w:w="2254" w:type="dxa"/>
          </w:tcPr>
          <w:p w14:paraId="674DFDE4" w14:textId="77777777" w:rsidR="00B24162" w:rsidRPr="00B24162" w:rsidRDefault="00B24162" w:rsidP="00140358">
            <w:pPr>
              <w:spacing w:before="240" w:line="360" w:lineRule="auto"/>
              <w:jc w:val="both"/>
              <w:rPr>
                <w:rFonts w:ascii="Arial" w:hAnsi="Arial" w:cs="Arial"/>
                <w:sz w:val="24"/>
                <w:szCs w:val="24"/>
                <w:lang w:val="en-GB" w:eastAsia="en-GB"/>
              </w:rPr>
            </w:pPr>
            <w:r w:rsidRPr="00B24162">
              <w:rPr>
                <w:rFonts w:ascii="Arial" w:hAnsi="Arial" w:cs="Arial"/>
                <w:sz w:val="24"/>
                <w:szCs w:val="24"/>
                <w:lang w:val="en-GB" w:eastAsia="en-GB"/>
              </w:rPr>
              <w:t>£159,600</w:t>
            </w:r>
          </w:p>
        </w:tc>
      </w:tr>
    </w:tbl>
    <w:p w14:paraId="09973968" w14:textId="6169A25A" w:rsidR="004C6A98" w:rsidRPr="004C6A98" w:rsidRDefault="004C6A98" w:rsidP="004C6A98">
      <w:pPr>
        <w:spacing w:before="240" w:line="360" w:lineRule="auto"/>
        <w:jc w:val="both"/>
        <w:rPr>
          <w:rFonts w:ascii="Arial" w:hAnsi="Arial" w:cs="Arial"/>
          <w:sz w:val="24"/>
          <w:szCs w:val="24"/>
          <w:lang w:val="en-GB" w:eastAsia="en-GB"/>
        </w:rPr>
      </w:pPr>
      <w:r w:rsidRPr="005438A3">
        <w:rPr>
          <w:rFonts w:ascii="Arial" w:hAnsi="Arial" w:cs="Arial"/>
          <w:b/>
          <w:sz w:val="24"/>
          <w:szCs w:val="24"/>
          <w:lang w:val="en-GB" w:eastAsia="en-GB"/>
        </w:rPr>
        <w:t>Source:</w:t>
      </w:r>
      <w:r w:rsidRPr="004C6A98">
        <w:rPr>
          <w:rFonts w:ascii="Arial" w:hAnsi="Arial" w:cs="Arial"/>
          <w:sz w:val="24"/>
          <w:szCs w:val="24"/>
          <w:lang w:val="en-GB" w:eastAsia="en-GB"/>
        </w:rPr>
        <w:t xml:space="preserve"> Researcher’s calculation using published Covent Garden market evidence and</w:t>
      </w:r>
      <w:r w:rsidR="005438A3">
        <w:rPr>
          <w:rFonts w:ascii="Arial" w:hAnsi="Arial" w:cs="Arial"/>
          <w:sz w:val="24"/>
          <w:szCs w:val="24"/>
          <w:lang w:val="en-GB" w:eastAsia="en-GB"/>
        </w:rPr>
        <w:t xml:space="preserve"> explicit planning assumptions</w:t>
      </w:r>
    </w:p>
    <w:p w14:paraId="14A3ECB9" w14:textId="0B5F371D" w:rsidR="00596E37" w:rsidRPr="00596E37" w:rsidRDefault="008B4BD8" w:rsidP="00596E37">
      <w:pPr>
        <w:spacing w:before="240" w:line="360" w:lineRule="auto"/>
        <w:jc w:val="both"/>
        <w:rPr>
          <w:rFonts w:ascii="Arial" w:hAnsi="Arial" w:cs="Arial"/>
          <w:sz w:val="24"/>
          <w:szCs w:val="24"/>
          <w:lang w:val="en-GB" w:eastAsia="en-GB"/>
        </w:rPr>
      </w:pPr>
      <w:r w:rsidRPr="008B4BD8">
        <w:rPr>
          <w:rFonts w:ascii="Arial" w:hAnsi="Arial" w:cs="Arial"/>
          <w:sz w:val="24"/>
          <w:szCs w:val="24"/>
          <w:lang w:val="en-GB" w:eastAsia="en-GB"/>
        </w:rPr>
        <w:t>The £159,600 is not a forecast and should not be quoted as expected first-year revenue. It is an illustrative attainable-market scenario for the visitor segment only. The 20%, 15% and 2% assumptions are researcher-developed planning assumptions rather than published conversion rates and require validation through competitor observation, local footfall assessment, pricing analysis, test trading and subsequent transaction data. The scenario also excludes repeat purcha</w:t>
      </w:r>
      <w:r>
        <w:rPr>
          <w:rFonts w:ascii="Arial" w:hAnsi="Arial" w:cs="Arial"/>
          <w:sz w:val="24"/>
          <w:szCs w:val="24"/>
          <w:lang w:val="en-GB" w:eastAsia="en-GB"/>
        </w:rPr>
        <w:t>sing from workers and residents</w:t>
      </w:r>
      <w:r w:rsidR="00596E37">
        <w:rPr>
          <w:rFonts w:ascii="Arial" w:hAnsi="Arial" w:cs="Arial"/>
          <w:sz w:val="24"/>
          <w:szCs w:val="24"/>
          <w:lang w:val="en-GB" w:eastAsia="en-GB"/>
        </w:rPr>
        <w:t>.</w:t>
      </w:r>
    </w:p>
    <w:p w14:paraId="39E971EF" w14:textId="099CA44D" w:rsidR="004C6A98" w:rsidRPr="004C6A98" w:rsidRDefault="00596E37" w:rsidP="004C6A98">
      <w:pPr>
        <w:spacing w:before="240" w:line="360" w:lineRule="auto"/>
        <w:jc w:val="both"/>
        <w:rPr>
          <w:rFonts w:ascii="Arial" w:hAnsi="Arial" w:cs="Arial"/>
          <w:sz w:val="24"/>
          <w:szCs w:val="24"/>
          <w:lang w:val="en-GB" w:eastAsia="en-GB"/>
        </w:rPr>
      </w:pPr>
      <w:r w:rsidRPr="00596E37">
        <w:rPr>
          <w:rFonts w:ascii="Arial" w:hAnsi="Arial" w:cs="Arial"/>
          <w:sz w:val="24"/>
          <w:szCs w:val="24"/>
          <w:lang w:val="en-GB" w:eastAsia="en-GB"/>
        </w:rPr>
        <w:t>This may be an opportunity to grow even bigger since the model doesn't monetize repeat demand from workers and residents. Then a worker who buys twice a week is much more valuable commercially than an occasional visitor even though the latter generates the headline footfall. So that future financial predictions involve different transaction assumptions for workers, residents and visitors as well as being</w:t>
      </w:r>
      <w:r>
        <w:rPr>
          <w:rFonts w:ascii="Arial" w:hAnsi="Arial" w:cs="Arial"/>
          <w:sz w:val="24"/>
          <w:szCs w:val="24"/>
          <w:lang w:val="en-GB" w:eastAsia="en-GB"/>
        </w:rPr>
        <w:t xml:space="preserve"> based on total annual footfall.</w:t>
      </w:r>
    </w:p>
    <w:p w14:paraId="50F57266" w14:textId="6436E27D" w:rsidR="004C6A98" w:rsidRPr="004C6A98" w:rsidRDefault="004C6A98" w:rsidP="004B4887">
      <w:pPr>
        <w:pStyle w:val="Heading2"/>
        <w:rPr>
          <w:lang w:val="en-GB" w:eastAsia="en-GB"/>
        </w:rPr>
      </w:pPr>
      <w:bookmarkStart w:id="49" w:name="_Toc241167450"/>
      <w:r w:rsidRPr="004C6A98">
        <w:rPr>
          <w:lang w:val="en-GB" w:eastAsia="en-GB"/>
        </w:rPr>
        <w:t>5.6 Customer N</w:t>
      </w:r>
      <w:r w:rsidR="004B4887">
        <w:rPr>
          <w:lang w:val="en-GB" w:eastAsia="en-GB"/>
        </w:rPr>
        <w:t>eeds and Commercial Opportunity</w:t>
      </w:r>
      <w:bookmarkEnd w:id="49"/>
    </w:p>
    <w:p w14:paraId="584923CB" w14:textId="416F426D" w:rsidR="004B4887" w:rsidRPr="004B4887" w:rsidRDefault="00EB6C90" w:rsidP="004B4887">
      <w:pPr>
        <w:spacing w:before="240" w:line="360" w:lineRule="auto"/>
        <w:jc w:val="both"/>
        <w:rPr>
          <w:rFonts w:ascii="Arial" w:hAnsi="Arial" w:cs="Arial"/>
          <w:sz w:val="24"/>
          <w:szCs w:val="24"/>
          <w:lang w:val="en-GB" w:eastAsia="en-GB"/>
        </w:rPr>
      </w:pPr>
      <w:r w:rsidRPr="00EB6C90">
        <w:rPr>
          <w:rFonts w:ascii="Arial" w:hAnsi="Arial" w:cs="Arial"/>
          <w:sz w:val="24"/>
          <w:szCs w:val="24"/>
          <w:lang w:val="en-GB" w:eastAsia="en-GB"/>
        </w:rPr>
        <w:t xml:space="preserve">Multiple customer needs may support the proposed market opportunity. Quality, convenience, experience and responsible consumption are relevant dimensions of specialty-coffee consumption, while independent operators may differentiate through their products and services (World Coffee Portal, 2026). Sustainability research also suggests potential willingness to pay for credible coffee sustainability attributes, although willingness varies according to consumer and product context (Fuller, </w:t>
      </w:r>
      <w:proofErr w:type="spellStart"/>
      <w:r w:rsidRPr="00EB6C90">
        <w:rPr>
          <w:rFonts w:ascii="Arial" w:hAnsi="Arial" w:cs="Arial"/>
          <w:sz w:val="24"/>
          <w:szCs w:val="24"/>
          <w:lang w:val="en-GB" w:eastAsia="en-GB"/>
        </w:rPr>
        <w:t>Grebitus</w:t>
      </w:r>
      <w:proofErr w:type="spellEnd"/>
      <w:r w:rsidRPr="00EB6C90">
        <w:rPr>
          <w:rFonts w:ascii="Arial" w:hAnsi="Arial" w:cs="Arial"/>
          <w:sz w:val="24"/>
          <w:szCs w:val="24"/>
          <w:lang w:val="en-GB" w:eastAsia="en-GB"/>
        </w:rPr>
        <w:t xml:space="preserve"> and Schmitz, 2022; Fuller and </w:t>
      </w:r>
      <w:proofErr w:type="spellStart"/>
      <w:r w:rsidRPr="00EB6C90">
        <w:rPr>
          <w:rFonts w:ascii="Arial" w:hAnsi="Arial" w:cs="Arial"/>
          <w:sz w:val="24"/>
          <w:szCs w:val="24"/>
          <w:lang w:val="en-GB" w:eastAsia="en-GB"/>
        </w:rPr>
        <w:t>Grebitus</w:t>
      </w:r>
      <w:proofErr w:type="spellEnd"/>
      <w:r w:rsidRPr="00EB6C90">
        <w:rPr>
          <w:rFonts w:ascii="Arial" w:hAnsi="Arial" w:cs="Arial"/>
          <w:sz w:val="24"/>
          <w:szCs w:val="24"/>
          <w:lang w:val="en-GB" w:eastAsia="en-GB"/>
        </w:rPr>
        <w:t>, 2023).</w:t>
      </w:r>
    </w:p>
    <w:p w14:paraId="553722D3" w14:textId="2EFE39C6" w:rsidR="004B4887" w:rsidRPr="004B4887" w:rsidRDefault="00940400" w:rsidP="004B4887">
      <w:pPr>
        <w:spacing w:before="240" w:line="360" w:lineRule="auto"/>
        <w:jc w:val="both"/>
        <w:rPr>
          <w:rFonts w:ascii="Arial" w:hAnsi="Arial" w:cs="Arial"/>
          <w:sz w:val="24"/>
          <w:szCs w:val="24"/>
          <w:lang w:val="en-GB" w:eastAsia="en-GB"/>
        </w:rPr>
      </w:pPr>
      <w:r w:rsidRPr="00940400">
        <w:rPr>
          <w:rFonts w:ascii="Arial" w:hAnsi="Arial" w:cs="Arial"/>
          <w:sz w:val="24"/>
          <w:szCs w:val="24"/>
          <w:lang w:val="en-GB" w:eastAsia="en-GB"/>
        </w:rPr>
        <w:lastRenderedPageBreak/>
        <w:t>Price sensitivity remains an important constraint. TEBC cannot assume that ethical attributes will remove customer sensitivity to price, particularly in a high-cost location such as Covent Garden. The commercial proposition therefore needs to combine credible ethical value with product quality, convenienc</w:t>
      </w:r>
      <w:r>
        <w:rPr>
          <w:rFonts w:ascii="Arial" w:hAnsi="Arial" w:cs="Arial"/>
          <w:sz w:val="24"/>
          <w:szCs w:val="24"/>
          <w:lang w:val="en-GB" w:eastAsia="en-GB"/>
        </w:rPr>
        <w:t>e and perceived value for money</w:t>
      </w:r>
      <w:r w:rsidR="004B4887">
        <w:rPr>
          <w:rFonts w:ascii="Arial" w:hAnsi="Arial" w:cs="Arial"/>
          <w:sz w:val="24"/>
          <w:szCs w:val="24"/>
          <w:lang w:val="en-GB" w:eastAsia="en-GB"/>
        </w:rPr>
        <w:t>.</w:t>
      </w:r>
    </w:p>
    <w:p w14:paraId="0FFF0BFD" w14:textId="1A5ED59D" w:rsidR="004B4887" w:rsidRPr="004B4887" w:rsidRDefault="004B4887" w:rsidP="004B4887">
      <w:pPr>
        <w:pStyle w:val="Heading2"/>
        <w:rPr>
          <w:lang w:val="en-GB" w:eastAsia="en-GB"/>
        </w:rPr>
      </w:pPr>
      <w:bookmarkStart w:id="50" w:name="_Toc241167451"/>
      <w:r w:rsidRPr="004B4887">
        <w:rPr>
          <w:lang w:val="en-GB" w:eastAsia="en-GB"/>
        </w:rPr>
        <w:t>5.7 Market Opportunity Assessment</w:t>
      </w:r>
      <w:bookmarkEnd w:id="50"/>
    </w:p>
    <w:p w14:paraId="4933DD97" w14:textId="77777777" w:rsidR="009578FD" w:rsidRPr="009578FD" w:rsidRDefault="001667FD" w:rsidP="009578FD">
      <w:pPr>
        <w:spacing w:before="240" w:line="360" w:lineRule="auto"/>
        <w:jc w:val="both"/>
        <w:rPr>
          <w:rFonts w:ascii="Arial" w:hAnsi="Arial" w:cs="Arial"/>
          <w:sz w:val="24"/>
          <w:szCs w:val="24"/>
          <w:lang w:val="en-GB" w:eastAsia="en-GB"/>
        </w:rPr>
      </w:pPr>
      <w:r w:rsidRPr="001667FD">
        <w:rPr>
          <w:rFonts w:ascii="Arial" w:hAnsi="Arial" w:cs="Arial"/>
          <w:sz w:val="24"/>
          <w:szCs w:val="24"/>
          <w:lang w:val="en-GB" w:eastAsia="en-GB"/>
        </w:rPr>
        <w:t xml:space="preserve">The overall evidence indicates a potentially attractive but competitive market opportunity. Visitor activity is substantial, while the concentration of workers and residents provides potential for repeat purchasing. </w:t>
      </w:r>
      <w:r w:rsidR="009578FD" w:rsidRPr="009578FD">
        <w:rPr>
          <w:rFonts w:ascii="Arial" w:hAnsi="Arial" w:cs="Arial"/>
          <w:sz w:val="24"/>
          <w:szCs w:val="24"/>
          <w:lang w:val="en-GB" w:eastAsia="en-GB"/>
        </w:rPr>
        <w:t>The proposed concept is well supported by experiential consumption, interest in responsible sourcing and specialty-coffee demand.</w:t>
      </w:r>
    </w:p>
    <w:p w14:paraId="65C8C68A" w14:textId="77777777" w:rsidR="009578FD" w:rsidRPr="009578FD" w:rsidRDefault="009578FD" w:rsidP="009578FD">
      <w:pPr>
        <w:spacing w:before="240" w:line="360" w:lineRule="auto"/>
        <w:jc w:val="both"/>
        <w:rPr>
          <w:rFonts w:ascii="Arial" w:hAnsi="Arial" w:cs="Arial"/>
          <w:sz w:val="24"/>
          <w:szCs w:val="24"/>
          <w:lang w:val="en-GB" w:eastAsia="en-GB"/>
        </w:rPr>
      </w:pPr>
      <w:r w:rsidRPr="009578FD">
        <w:rPr>
          <w:rFonts w:ascii="Arial" w:hAnsi="Arial" w:cs="Arial"/>
          <w:sz w:val="24"/>
          <w:szCs w:val="24"/>
          <w:lang w:val="en-GB" w:eastAsia="en-GB"/>
        </w:rPr>
        <w:t>But the destination-market size does not correspond to the attainable market for one outlet. TEBC is well-competed in the local market and must obtain enough repeat customers. The targeted available market is probably more likely to be made up of specialised and ethical coffee buyers, urban professionals and a smaller number of visitors, than simply destination traffic.</w:t>
      </w:r>
    </w:p>
    <w:p w14:paraId="6275906B" w14:textId="77777777" w:rsidR="009578FD" w:rsidRPr="009578FD" w:rsidRDefault="009578FD" w:rsidP="009578FD">
      <w:pPr>
        <w:spacing w:before="240" w:line="360" w:lineRule="auto"/>
        <w:jc w:val="both"/>
        <w:rPr>
          <w:rFonts w:ascii="Arial" w:hAnsi="Arial" w:cs="Arial"/>
          <w:sz w:val="24"/>
          <w:szCs w:val="24"/>
          <w:lang w:val="en-GB" w:eastAsia="en-GB"/>
        </w:rPr>
      </w:pPr>
      <w:r w:rsidRPr="009578FD">
        <w:rPr>
          <w:rFonts w:ascii="Arial" w:hAnsi="Arial" w:cs="Arial"/>
          <w:sz w:val="24"/>
          <w:szCs w:val="24"/>
          <w:lang w:val="en-GB" w:eastAsia="en-GB"/>
        </w:rPr>
        <w:t>The financial model for Year 1 is based on 41,850 transactions – this equates to 135 transactions per trading day over 310 trading days – meaning market attractiveness has to be measured in terms of the number of transactions available locally, not destination transactions.</w:t>
      </w:r>
    </w:p>
    <w:p w14:paraId="4C265EFA" w14:textId="5332557A" w:rsidR="00764905" w:rsidRDefault="009578FD" w:rsidP="009578FD">
      <w:pPr>
        <w:spacing w:before="240" w:line="360" w:lineRule="auto"/>
        <w:jc w:val="both"/>
        <w:rPr>
          <w:rFonts w:ascii="Arial" w:hAnsi="Arial" w:cs="Arial"/>
          <w:sz w:val="24"/>
          <w:szCs w:val="24"/>
          <w:lang w:val="en-GB" w:eastAsia="en-GB"/>
        </w:rPr>
      </w:pPr>
      <w:r w:rsidRPr="009578FD">
        <w:rPr>
          <w:rFonts w:ascii="Arial" w:hAnsi="Arial" w:cs="Arial"/>
          <w:sz w:val="24"/>
          <w:szCs w:val="24"/>
          <w:lang w:val="en-GB" w:eastAsia="en-GB"/>
        </w:rPr>
        <w:t>The analysis confirms the focused staged differentiation strategy outlined in Chapter 7, but its opportunity is subject to a requirement to generate adequate transaction volumes, to secure repeat purchases, to be competitively priced, and to offer a customer value proposition that is clearly differentiated from the other existing players. Therefore, the conversion rates of the visitor numbers should be verified prior to significant expansion or investment.</w:t>
      </w:r>
    </w:p>
    <w:p w14:paraId="4B4E296F" w14:textId="43D91101" w:rsidR="00AA315B" w:rsidRDefault="00AA315B" w:rsidP="00764905">
      <w:pPr>
        <w:spacing w:before="240" w:line="360" w:lineRule="auto"/>
        <w:jc w:val="both"/>
        <w:rPr>
          <w:rFonts w:ascii="Arial" w:hAnsi="Arial" w:cs="Arial"/>
          <w:sz w:val="24"/>
          <w:szCs w:val="24"/>
          <w:lang w:val="en-GB" w:eastAsia="en-GB"/>
        </w:rPr>
      </w:pPr>
    </w:p>
    <w:p w14:paraId="281C5F4A" w14:textId="77777777" w:rsidR="00B213BD" w:rsidRPr="00B213BD" w:rsidRDefault="00B213BD" w:rsidP="00874FBB">
      <w:pPr>
        <w:pStyle w:val="Heading1"/>
        <w:jc w:val="center"/>
        <w:rPr>
          <w:lang w:val="en-GB" w:eastAsia="en-GB"/>
        </w:rPr>
      </w:pPr>
      <w:bookmarkStart w:id="51" w:name="_Toc241167452"/>
      <w:r w:rsidRPr="00B213BD">
        <w:rPr>
          <w:lang w:val="en-GB" w:eastAsia="en-GB"/>
        </w:rPr>
        <w:lastRenderedPageBreak/>
        <w:t>Chapter 6: Competitive Environment Analysis</w:t>
      </w:r>
      <w:bookmarkEnd w:id="51"/>
    </w:p>
    <w:p w14:paraId="4DD3C0B2" w14:textId="6B22C704" w:rsidR="00B213BD" w:rsidRPr="00B213BD" w:rsidRDefault="0051277B" w:rsidP="00874FBB">
      <w:pPr>
        <w:pStyle w:val="Heading2"/>
        <w:rPr>
          <w:lang w:val="en-GB" w:eastAsia="en-GB"/>
        </w:rPr>
      </w:pPr>
      <w:bookmarkStart w:id="52" w:name="_Toc241167453"/>
      <w:r>
        <w:rPr>
          <w:lang w:val="en-GB" w:eastAsia="en-GB"/>
        </w:rPr>
        <w:t>6.1 Introduction</w:t>
      </w:r>
      <w:bookmarkEnd w:id="52"/>
    </w:p>
    <w:p w14:paraId="6FD7C3FF" w14:textId="77777777" w:rsidR="00560D18" w:rsidRPr="00560D18" w:rsidRDefault="00560D18" w:rsidP="00560D18">
      <w:pPr>
        <w:spacing w:before="240" w:line="360" w:lineRule="auto"/>
        <w:jc w:val="both"/>
        <w:rPr>
          <w:rFonts w:ascii="Arial" w:hAnsi="Arial" w:cs="Arial"/>
          <w:sz w:val="24"/>
          <w:szCs w:val="24"/>
          <w:lang w:val="en-GB" w:eastAsia="en-GB"/>
        </w:rPr>
      </w:pPr>
      <w:r w:rsidRPr="00560D18">
        <w:rPr>
          <w:rFonts w:ascii="Arial" w:hAnsi="Arial" w:cs="Arial"/>
          <w:sz w:val="24"/>
          <w:szCs w:val="24"/>
          <w:lang w:val="en-GB" w:eastAsia="en-GB"/>
        </w:rPr>
        <w:t>This chapter is an evaluation of the competitive environment for The Ethical Bean Coffee House (TEBC) at the proposed site in Monmouth Street, Covent Garden. The analysis compares competitors, involves Porter's 5 Forces and PESTLE analysis to check competitive intensity and external pressures as well as areas of differentiation. Despite its growth, the UK coffee-shop market is still very large, with the presence of the branded market at around £6.8 billion and 12,313 outlets in 2026 (World Coffee Portal, 2026). But that doesn't mean that the competition for a new independent café is gone because the market is booming. The chapter therefore assesses the possibility of TEBC being able to market a viable and competitive product in the current market.</w:t>
      </w:r>
    </w:p>
    <w:p w14:paraId="4386FACF" w14:textId="77777777" w:rsidR="00560D18" w:rsidRPr="00560D18" w:rsidRDefault="00560D18" w:rsidP="00560D18">
      <w:pPr>
        <w:pStyle w:val="Heading2"/>
        <w:rPr>
          <w:lang w:val="en-GB" w:eastAsia="en-GB"/>
        </w:rPr>
      </w:pPr>
      <w:bookmarkStart w:id="53" w:name="_Toc241167454"/>
      <w:r w:rsidRPr="00560D18">
        <w:rPr>
          <w:lang w:val="en-GB" w:eastAsia="en-GB"/>
        </w:rPr>
        <w:t>6.2 Competitor Analysis</w:t>
      </w:r>
      <w:bookmarkEnd w:id="53"/>
    </w:p>
    <w:p w14:paraId="126BB0F6" w14:textId="62FEC861" w:rsidR="00B213BD" w:rsidRDefault="00560D18" w:rsidP="00560D18">
      <w:pPr>
        <w:spacing w:before="240" w:line="360" w:lineRule="auto"/>
        <w:jc w:val="both"/>
        <w:rPr>
          <w:rFonts w:ascii="Arial" w:hAnsi="Arial" w:cs="Arial"/>
          <w:sz w:val="24"/>
          <w:szCs w:val="24"/>
          <w:lang w:val="en-GB" w:eastAsia="en-GB"/>
        </w:rPr>
      </w:pPr>
      <w:r w:rsidRPr="00560D18">
        <w:rPr>
          <w:rFonts w:ascii="Arial" w:hAnsi="Arial" w:cs="Arial"/>
          <w:sz w:val="24"/>
          <w:szCs w:val="24"/>
          <w:lang w:val="en-GB" w:eastAsia="en-GB"/>
        </w:rPr>
        <w:t xml:space="preserve">Covent Garden is a very competitive specialty-coffee market, in which established operators fight for their survival by product quality, origin, hospitality, experience and brand. Quality, provenance and customer experience are already competitive dimensions recognised in the local area as relevant with specialty coffee businesses (Monmouth Coffee Company, </w:t>
      </w:r>
      <w:proofErr w:type="spellStart"/>
      <w:r w:rsidRPr="00560D18">
        <w:rPr>
          <w:rFonts w:ascii="Arial" w:hAnsi="Arial" w:cs="Arial"/>
          <w:sz w:val="24"/>
          <w:szCs w:val="24"/>
          <w:lang w:val="en-GB" w:eastAsia="en-GB"/>
        </w:rPr>
        <w:t>WatchHouse</w:t>
      </w:r>
      <w:proofErr w:type="spellEnd"/>
      <w:r w:rsidRPr="00560D18">
        <w:rPr>
          <w:rFonts w:ascii="Arial" w:hAnsi="Arial" w:cs="Arial"/>
          <w:sz w:val="24"/>
          <w:szCs w:val="24"/>
          <w:lang w:val="en-GB" w:eastAsia="en-GB"/>
        </w:rPr>
        <w:t xml:space="preserve"> and </w:t>
      </w:r>
      <w:proofErr w:type="spellStart"/>
      <w:r w:rsidRPr="00560D18">
        <w:rPr>
          <w:rFonts w:ascii="Arial" w:hAnsi="Arial" w:cs="Arial"/>
          <w:sz w:val="24"/>
          <w:szCs w:val="24"/>
          <w:lang w:val="en-GB" w:eastAsia="en-GB"/>
        </w:rPr>
        <w:t>Qima</w:t>
      </w:r>
      <w:proofErr w:type="spellEnd"/>
      <w:r w:rsidRPr="00560D18">
        <w:rPr>
          <w:rFonts w:ascii="Arial" w:hAnsi="Arial" w:cs="Arial"/>
          <w:sz w:val="24"/>
          <w:szCs w:val="24"/>
          <w:lang w:val="en-GB" w:eastAsia="en-GB"/>
        </w:rPr>
        <w:t>) being identified as relevant evidence of local destination.</w:t>
      </w:r>
    </w:p>
    <w:p w14:paraId="175DF7EF" w14:textId="4D10B160" w:rsidR="0051277B" w:rsidRPr="0051277B" w:rsidRDefault="0051277B" w:rsidP="0051277B">
      <w:pPr>
        <w:pStyle w:val="Caption"/>
        <w:keepNext/>
        <w:rPr>
          <w:rFonts w:ascii="Arial" w:hAnsi="Arial" w:cs="Arial"/>
          <w:sz w:val="24"/>
        </w:rPr>
      </w:pPr>
      <w:bookmarkStart w:id="54" w:name="_Toc241170840"/>
      <w:r w:rsidRPr="0051277B">
        <w:rPr>
          <w:rFonts w:ascii="Arial" w:hAnsi="Arial" w:cs="Arial"/>
          <w:sz w:val="24"/>
        </w:rPr>
        <w:t xml:space="preserve">Table </w:t>
      </w:r>
      <w:r w:rsidRPr="0051277B">
        <w:rPr>
          <w:rFonts w:ascii="Arial" w:hAnsi="Arial" w:cs="Arial"/>
          <w:sz w:val="24"/>
        </w:rPr>
        <w:fldChar w:fldCharType="begin"/>
      </w:r>
      <w:r w:rsidRPr="0051277B">
        <w:rPr>
          <w:rFonts w:ascii="Arial" w:hAnsi="Arial" w:cs="Arial"/>
          <w:sz w:val="24"/>
        </w:rPr>
        <w:instrText xml:space="preserve"> SEQ Table \* ARABIC </w:instrText>
      </w:r>
      <w:r w:rsidRPr="0051277B">
        <w:rPr>
          <w:rFonts w:ascii="Arial" w:hAnsi="Arial" w:cs="Arial"/>
          <w:sz w:val="24"/>
        </w:rPr>
        <w:fldChar w:fldCharType="separate"/>
      </w:r>
      <w:r w:rsidR="001815EA">
        <w:rPr>
          <w:rFonts w:ascii="Arial" w:hAnsi="Arial" w:cs="Arial"/>
          <w:noProof/>
          <w:sz w:val="24"/>
        </w:rPr>
        <w:t>4</w:t>
      </w:r>
      <w:r w:rsidRPr="0051277B">
        <w:rPr>
          <w:rFonts w:ascii="Arial" w:hAnsi="Arial" w:cs="Arial"/>
          <w:sz w:val="24"/>
        </w:rPr>
        <w:fldChar w:fldCharType="end"/>
      </w:r>
      <w:r w:rsidRPr="0051277B">
        <w:rPr>
          <w:rFonts w:ascii="Arial" w:hAnsi="Arial" w:cs="Arial"/>
          <w:sz w:val="24"/>
        </w:rPr>
        <w:t>: Competitor Comparison</w:t>
      </w:r>
      <w:bookmarkEnd w:id="54"/>
    </w:p>
    <w:tbl>
      <w:tblPr>
        <w:tblStyle w:val="TableGrid"/>
        <w:tblW w:w="0" w:type="auto"/>
        <w:tblLook w:val="04A0" w:firstRow="1" w:lastRow="0" w:firstColumn="1" w:lastColumn="0" w:noHBand="0" w:noVBand="1"/>
      </w:tblPr>
      <w:tblGrid>
        <w:gridCol w:w="1438"/>
        <w:gridCol w:w="1357"/>
        <w:gridCol w:w="1472"/>
        <w:gridCol w:w="1575"/>
        <w:gridCol w:w="1702"/>
        <w:gridCol w:w="1472"/>
      </w:tblGrid>
      <w:tr w:rsidR="0051277B" w:rsidRPr="0051277B" w14:paraId="6528824A" w14:textId="77777777" w:rsidTr="001560A9">
        <w:tc>
          <w:tcPr>
            <w:tcW w:w="1438" w:type="dxa"/>
          </w:tcPr>
          <w:p w14:paraId="47EF74F0" w14:textId="77777777" w:rsidR="0051277B" w:rsidRPr="007575A5" w:rsidRDefault="0051277B" w:rsidP="0038379F">
            <w:pPr>
              <w:spacing w:before="240" w:line="360" w:lineRule="auto"/>
              <w:jc w:val="both"/>
              <w:rPr>
                <w:rFonts w:ascii="Arial" w:hAnsi="Arial" w:cs="Arial"/>
                <w:b/>
                <w:sz w:val="18"/>
                <w:szCs w:val="18"/>
                <w:lang w:val="en-GB" w:eastAsia="en-GB"/>
              </w:rPr>
            </w:pPr>
            <w:r w:rsidRPr="007575A5">
              <w:rPr>
                <w:rFonts w:ascii="Arial" w:hAnsi="Arial" w:cs="Arial"/>
                <w:b/>
                <w:sz w:val="18"/>
                <w:szCs w:val="18"/>
                <w:lang w:val="en-GB" w:eastAsia="en-GB"/>
              </w:rPr>
              <w:t>Criteria</w:t>
            </w:r>
          </w:p>
        </w:tc>
        <w:tc>
          <w:tcPr>
            <w:tcW w:w="1357" w:type="dxa"/>
          </w:tcPr>
          <w:p w14:paraId="4865E777" w14:textId="77777777" w:rsidR="0051277B" w:rsidRPr="007575A5" w:rsidRDefault="0051277B" w:rsidP="0038379F">
            <w:pPr>
              <w:spacing w:before="240" w:line="360" w:lineRule="auto"/>
              <w:jc w:val="both"/>
              <w:rPr>
                <w:rFonts w:ascii="Arial" w:hAnsi="Arial" w:cs="Arial"/>
                <w:b/>
                <w:sz w:val="18"/>
                <w:szCs w:val="18"/>
                <w:lang w:val="en-GB" w:eastAsia="en-GB"/>
              </w:rPr>
            </w:pPr>
            <w:r w:rsidRPr="007575A5">
              <w:rPr>
                <w:rFonts w:ascii="Arial" w:hAnsi="Arial" w:cs="Arial"/>
                <w:b/>
                <w:sz w:val="18"/>
                <w:szCs w:val="18"/>
                <w:lang w:val="en-GB" w:eastAsia="en-GB"/>
              </w:rPr>
              <w:t>Monmouth Coffee Company</w:t>
            </w:r>
          </w:p>
        </w:tc>
        <w:tc>
          <w:tcPr>
            <w:tcW w:w="1472" w:type="dxa"/>
          </w:tcPr>
          <w:p w14:paraId="086D96A0" w14:textId="77777777" w:rsidR="0051277B" w:rsidRPr="007575A5" w:rsidRDefault="0051277B" w:rsidP="0038379F">
            <w:pPr>
              <w:spacing w:before="240" w:line="360" w:lineRule="auto"/>
              <w:jc w:val="both"/>
              <w:rPr>
                <w:rFonts w:ascii="Arial" w:hAnsi="Arial" w:cs="Arial"/>
                <w:b/>
                <w:sz w:val="18"/>
                <w:szCs w:val="18"/>
                <w:lang w:val="en-GB" w:eastAsia="en-GB"/>
              </w:rPr>
            </w:pPr>
            <w:proofErr w:type="spellStart"/>
            <w:r w:rsidRPr="007575A5">
              <w:rPr>
                <w:rFonts w:ascii="Arial" w:hAnsi="Arial" w:cs="Arial"/>
                <w:b/>
                <w:sz w:val="18"/>
                <w:szCs w:val="18"/>
                <w:lang w:val="en-GB" w:eastAsia="en-GB"/>
              </w:rPr>
              <w:t>WatchHouse</w:t>
            </w:r>
            <w:proofErr w:type="spellEnd"/>
          </w:p>
        </w:tc>
        <w:tc>
          <w:tcPr>
            <w:tcW w:w="1575" w:type="dxa"/>
          </w:tcPr>
          <w:p w14:paraId="6F383C28" w14:textId="77777777" w:rsidR="0051277B" w:rsidRPr="007575A5" w:rsidRDefault="0051277B" w:rsidP="0038379F">
            <w:pPr>
              <w:spacing w:before="240" w:line="360" w:lineRule="auto"/>
              <w:jc w:val="both"/>
              <w:rPr>
                <w:rFonts w:ascii="Arial" w:hAnsi="Arial" w:cs="Arial"/>
                <w:b/>
                <w:sz w:val="18"/>
                <w:szCs w:val="18"/>
                <w:lang w:val="en-GB" w:eastAsia="en-GB"/>
              </w:rPr>
            </w:pPr>
            <w:proofErr w:type="spellStart"/>
            <w:r w:rsidRPr="007575A5">
              <w:rPr>
                <w:rFonts w:ascii="Arial" w:hAnsi="Arial" w:cs="Arial"/>
                <w:b/>
                <w:sz w:val="18"/>
                <w:szCs w:val="18"/>
                <w:lang w:val="en-GB" w:eastAsia="en-GB"/>
              </w:rPr>
              <w:t>Qima</w:t>
            </w:r>
            <w:proofErr w:type="spellEnd"/>
            <w:r w:rsidRPr="007575A5">
              <w:rPr>
                <w:rFonts w:ascii="Arial" w:hAnsi="Arial" w:cs="Arial"/>
                <w:b/>
                <w:sz w:val="18"/>
                <w:szCs w:val="18"/>
                <w:lang w:val="en-GB" w:eastAsia="en-GB"/>
              </w:rPr>
              <w:t xml:space="preserve"> Café &amp; </w:t>
            </w:r>
            <w:proofErr w:type="spellStart"/>
            <w:r w:rsidRPr="007575A5">
              <w:rPr>
                <w:rFonts w:ascii="Arial" w:hAnsi="Arial" w:cs="Arial"/>
                <w:b/>
                <w:sz w:val="18"/>
                <w:szCs w:val="18"/>
                <w:lang w:val="en-GB" w:eastAsia="en-GB"/>
              </w:rPr>
              <w:t>Pâtisserie</w:t>
            </w:r>
            <w:proofErr w:type="spellEnd"/>
          </w:p>
        </w:tc>
        <w:tc>
          <w:tcPr>
            <w:tcW w:w="1702" w:type="dxa"/>
          </w:tcPr>
          <w:p w14:paraId="5B68C809" w14:textId="77777777" w:rsidR="0051277B" w:rsidRPr="007575A5" w:rsidRDefault="0051277B" w:rsidP="0038379F">
            <w:pPr>
              <w:spacing w:before="240" w:line="360" w:lineRule="auto"/>
              <w:jc w:val="both"/>
              <w:rPr>
                <w:rFonts w:ascii="Arial" w:hAnsi="Arial" w:cs="Arial"/>
                <w:b/>
                <w:sz w:val="18"/>
                <w:szCs w:val="18"/>
                <w:lang w:val="en-GB" w:eastAsia="en-GB"/>
              </w:rPr>
            </w:pPr>
            <w:proofErr w:type="spellStart"/>
            <w:r w:rsidRPr="007575A5">
              <w:rPr>
                <w:rFonts w:ascii="Arial" w:hAnsi="Arial" w:cs="Arial"/>
                <w:b/>
                <w:sz w:val="18"/>
                <w:szCs w:val="18"/>
                <w:lang w:val="en-GB" w:eastAsia="en-GB"/>
              </w:rPr>
              <w:t>Abuelo</w:t>
            </w:r>
            <w:proofErr w:type="spellEnd"/>
          </w:p>
        </w:tc>
        <w:tc>
          <w:tcPr>
            <w:tcW w:w="1472" w:type="dxa"/>
          </w:tcPr>
          <w:p w14:paraId="5DCEE4B3" w14:textId="77777777" w:rsidR="0051277B" w:rsidRPr="007575A5" w:rsidRDefault="0051277B" w:rsidP="0038379F">
            <w:pPr>
              <w:spacing w:before="240" w:line="360" w:lineRule="auto"/>
              <w:jc w:val="both"/>
              <w:rPr>
                <w:rFonts w:ascii="Arial" w:hAnsi="Arial" w:cs="Arial"/>
                <w:b/>
                <w:sz w:val="18"/>
                <w:szCs w:val="18"/>
                <w:lang w:val="en-GB" w:eastAsia="en-GB"/>
              </w:rPr>
            </w:pPr>
            <w:r w:rsidRPr="007575A5">
              <w:rPr>
                <w:rFonts w:ascii="Arial" w:hAnsi="Arial" w:cs="Arial"/>
                <w:b/>
                <w:sz w:val="18"/>
                <w:szCs w:val="18"/>
                <w:lang w:val="en-GB" w:eastAsia="en-GB"/>
              </w:rPr>
              <w:t>The Ethical Bean Coffee House</w:t>
            </w:r>
          </w:p>
        </w:tc>
      </w:tr>
      <w:tr w:rsidR="006F1DCD" w:rsidRPr="0051277B" w14:paraId="35311728" w14:textId="77777777" w:rsidTr="001560A9">
        <w:tc>
          <w:tcPr>
            <w:tcW w:w="1438" w:type="dxa"/>
          </w:tcPr>
          <w:p w14:paraId="5E1B33DD"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Location</w:t>
            </w:r>
          </w:p>
        </w:tc>
        <w:tc>
          <w:tcPr>
            <w:tcW w:w="1357" w:type="dxa"/>
          </w:tcPr>
          <w:p w14:paraId="54A17D1A"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Monmouth Street</w:t>
            </w:r>
          </w:p>
        </w:tc>
        <w:tc>
          <w:tcPr>
            <w:tcW w:w="1472" w:type="dxa"/>
          </w:tcPr>
          <w:p w14:paraId="524923CA"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Southampton Street</w:t>
            </w:r>
          </w:p>
        </w:tc>
        <w:tc>
          <w:tcPr>
            <w:tcW w:w="1575" w:type="dxa"/>
          </w:tcPr>
          <w:p w14:paraId="5AEED1F3"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New Row</w:t>
            </w:r>
          </w:p>
        </w:tc>
        <w:tc>
          <w:tcPr>
            <w:tcW w:w="1702" w:type="dxa"/>
          </w:tcPr>
          <w:p w14:paraId="16F941C1"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Southampton Street</w:t>
            </w:r>
          </w:p>
        </w:tc>
        <w:tc>
          <w:tcPr>
            <w:tcW w:w="1472" w:type="dxa"/>
          </w:tcPr>
          <w:p w14:paraId="735C40DB" w14:textId="5EBB89F1" w:rsidR="006F1DCD" w:rsidRPr="006F1DCD" w:rsidRDefault="006F1DCD" w:rsidP="006F1DCD">
            <w:pPr>
              <w:spacing w:before="240" w:line="360" w:lineRule="auto"/>
              <w:jc w:val="both"/>
              <w:rPr>
                <w:rFonts w:ascii="Arial" w:hAnsi="Arial" w:cs="Arial"/>
                <w:sz w:val="18"/>
                <w:szCs w:val="18"/>
                <w:lang w:val="en-GB" w:eastAsia="en-GB"/>
              </w:rPr>
            </w:pPr>
            <w:r w:rsidRPr="006F1DCD">
              <w:rPr>
                <w:rFonts w:ascii="Arial" w:hAnsi="Arial" w:cs="Arial"/>
                <w:sz w:val="18"/>
              </w:rPr>
              <w:t>Proposed: Monmouth Street</w:t>
            </w:r>
          </w:p>
        </w:tc>
      </w:tr>
      <w:tr w:rsidR="006F1DCD" w:rsidRPr="0051277B" w14:paraId="0F6F3206" w14:textId="77777777" w:rsidTr="001560A9">
        <w:tc>
          <w:tcPr>
            <w:tcW w:w="1438" w:type="dxa"/>
          </w:tcPr>
          <w:p w14:paraId="37522E47"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Core products</w:t>
            </w:r>
          </w:p>
        </w:tc>
        <w:tc>
          <w:tcPr>
            <w:tcW w:w="1357" w:type="dxa"/>
          </w:tcPr>
          <w:p w14:paraId="66C61DFA"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Specialty coffee, beans and food</w:t>
            </w:r>
          </w:p>
        </w:tc>
        <w:tc>
          <w:tcPr>
            <w:tcW w:w="1472" w:type="dxa"/>
          </w:tcPr>
          <w:p w14:paraId="5978E4E6"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Specialty coffee, seasonal drinks and brunch</w:t>
            </w:r>
          </w:p>
        </w:tc>
        <w:tc>
          <w:tcPr>
            <w:tcW w:w="1575" w:type="dxa"/>
          </w:tcPr>
          <w:p w14:paraId="0DF226AC"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Specialty coffee and patisserie</w:t>
            </w:r>
          </w:p>
        </w:tc>
        <w:tc>
          <w:tcPr>
            <w:tcW w:w="1702" w:type="dxa"/>
          </w:tcPr>
          <w:p w14:paraId="1DC2432B"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Specialty coffee and food</w:t>
            </w:r>
          </w:p>
        </w:tc>
        <w:tc>
          <w:tcPr>
            <w:tcW w:w="1472" w:type="dxa"/>
          </w:tcPr>
          <w:p w14:paraId="40978251" w14:textId="5017F5CA" w:rsidR="006F1DCD" w:rsidRPr="006F1DCD" w:rsidRDefault="006F1DCD" w:rsidP="006F1DCD">
            <w:pPr>
              <w:spacing w:before="240" w:line="360" w:lineRule="auto"/>
              <w:jc w:val="both"/>
              <w:rPr>
                <w:rFonts w:ascii="Arial" w:hAnsi="Arial" w:cs="Arial"/>
                <w:sz w:val="18"/>
                <w:szCs w:val="18"/>
                <w:lang w:val="en-GB" w:eastAsia="en-GB"/>
              </w:rPr>
            </w:pPr>
            <w:r w:rsidRPr="006F1DCD">
              <w:rPr>
                <w:rFonts w:ascii="Arial" w:hAnsi="Arial" w:cs="Arial"/>
                <w:sz w:val="18"/>
              </w:rPr>
              <w:t>Specialty coffee, beverages and concise food</w:t>
            </w:r>
          </w:p>
        </w:tc>
      </w:tr>
      <w:tr w:rsidR="006F1DCD" w:rsidRPr="0051277B" w14:paraId="766D09C5" w14:textId="77777777" w:rsidTr="001560A9">
        <w:tc>
          <w:tcPr>
            <w:tcW w:w="1438" w:type="dxa"/>
          </w:tcPr>
          <w:p w14:paraId="37DEC66E"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Target customers</w:t>
            </w:r>
          </w:p>
        </w:tc>
        <w:tc>
          <w:tcPr>
            <w:tcW w:w="1357" w:type="dxa"/>
          </w:tcPr>
          <w:p w14:paraId="786F30EA"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 xml:space="preserve">Coffee enthusiasts </w:t>
            </w:r>
            <w:r w:rsidRPr="007575A5">
              <w:rPr>
                <w:rFonts w:ascii="Arial" w:hAnsi="Arial" w:cs="Arial"/>
                <w:sz w:val="18"/>
                <w:szCs w:val="18"/>
                <w:lang w:val="en-GB" w:eastAsia="en-GB"/>
              </w:rPr>
              <w:lastRenderedPageBreak/>
              <w:t>and specialty consumers</w:t>
            </w:r>
          </w:p>
        </w:tc>
        <w:tc>
          <w:tcPr>
            <w:tcW w:w="1472" w:type="dxa"/>
          </w:tcPr>
          <w:p w14:paraId="5CB481BC"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lastRenderedPageBreak/>
              <w:t xml:space="preserve">Premium coffee, brunch </w:t>
            </w:r>
            <w:r w:rsidRPr="007575A5">
              <w:rPr>
                <w:rFonts w:ascii="Arial" w:hAnsi="Arial" w:cs="Arial"/>
                <w:sz w:val="18"/>
                <w:szCs w:val="18"/>
                <w:lang w:val="en-GB" w:eastAsia="en-GB"/>
              </w:rPr>
              <w:lastRenderedPageBreak/>
              <w:t>and experience consumers</w:t>
            </w:r>
          </w:p>
        </w:tc>
        <w:tc>
          <w:tcPr>
            <w:tcW w:w="1575" w:type="dxa"/>
          </w:tcPr>
          <w:p w14:paraId="13E1E589"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lastRenderedPageBreak/>
              <w:t>Luxury and provenance-</w:t>
            </w:r>
            <w:r w:rsidRPr="007575A5">
              <w:rPr>
                <w:rFonts w:ascii="Arial" w:hAnsi="Arial" w:cs="Arial"/>
                <w:sz w:val="18"/>
                <w:szCs w:val="18"/>
                <w:lang w:val="en-GB" w:eastAsia="en-GB"/>
              </w:rPr>
              <w:lastRenderedPageBreak/>
              <w:t>conscious consumers</w:t>
            </w:r>
          </w:p>
        </w:tc>
        <w:tc>
          <w:tcPr>
            <w:tcW w:w="1702" w:type="dxa"/>
          </w:tcPr>
          <w:p w14:paraId="5C2F833F"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lastRenderedPageBreak/>
              <w:t>Café and food consumers</w:t>
            </w:r>
          </w:p>
        </w:tc>
        <w:tc>
          <w:tcPr>
            <w:tcW w:w="1472" w:type="dxa"/>
          </w:tcPr>
          <w:p w14:paraId="25CAF6DC" w14:textId="3D85C254" w:rsidR="006F1DCD" w:rsidRPr="006F1DCD" w:rsidRDefault="006F1DCD" w:rsidP="006F1DCD">
            <w:pPr>
              <w:spacing w:before="240" w:line="360" w:lineRule="auto"/>
              <w:jc w:val="both"/>
              <w:rPr>
                <w:rFonts w:ascii="Arial" w:hAnsi="Arial" w:cs="Arial"/>
                <w:sz w:val="18"/>
                <w:szCs w:val="18"/>
                <w:lang w:val="en-GB" w:eastAsia="en-GB"/>
              </w:rPr>
            </w:pPr>
            <w:r w:rsidRPr="006F1DCD">
              <w:rPr>
                <w:rFonts w:ascii="Arial" w:hAnsi="Arial" w:cs="Arial"/>
                <w:sz w:val="18"/>
              </w:rPr>
              <w:t xml:space="preserve">Ethically conscious specialty-coffee </w:t>
            </w:r>
            <w:r w:rsidRPr="006F1DCD">
              <w:rPr>
                <w:rFonts w:ascii="Arial" w:hAnsi="Arial" w:cs="Arial"/>
                <w:sz w:val="18"/>
              </w:rPr>
              <w:lastRenderedPageBreak/>
              <w:t>consumers, professionals and selected visitors</w:t>
            </w:r>
          </w:p>
        </w:tc>
      </w:tr>
      <w:tr w:rsidR="006F1DCD" w:rsidRPr="0051277B" w14:paraId="745C1A97" w14:textId="77777777" w:rsidTr="001560A9">
        <w:tc>
          <w:tcPr>
            <w:tcW w:w="1438" w:type="dxa"/>
          </w:tcPr>
          <w:p w14:paraId="501CBF14"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lastRenderedPageBreak/>
              <w:t>Customer experience</w:t>
            </w:r>
          </w:p>
        </w:tc>
        <w:tc>
          <w:tcPr>
            <w:tcW w:w="1357" w:type="dxa"/>
          </w:tcPr>
          <w:p w14:paraId="79DB4D7C"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Specialist and coffee-focused</w:t>
            </w:r>
          </w:p>
        </w:tc>
        <w:tc>
          <w:tcPr>
            <w:tcW w:w="1472" w:type="dxa"/>
          </w:tcPr>
          <w:p w14:paraId="6D388B79"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Design-led and experience-oriented</w:t>
            </w:r>
          </w:p>
        </w:tc>
        <w:tc>
          <w:tcPr>
            <w:tcW w:w="1575" w:type="dxa"/>
          </w:tcPr>
          <w:p w14:paraId="2D4BA3DC"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Premium and provenance-focused</w:t>
            </w:r>
          </w:p>
        </w:tc>
        <w:tc>
          <w:tcPr>
            <w:tcW w:w="1702" w:type="dxa"/>
          </w:tcPr>
          <w:p w14:paraId="49D9EEFC"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Food and café experience</w:t>
            </w:r>
          </w:p>
        </w:tc>
        <w:tc>
          <w:tcPr>
            <w:tcW w:w="1472" w:type="dxa"/>
          </w:tcPr>
          <w:p w14:paraId="48B21F00" w14:textId="05CFFB64" w:rsidR="006F1DCD" w:rsidRPr="006F1DCD" w:rsidRDefault="006F1DCD" w:rsidP="006F1DCD">
            <w:pPr>
              <w:spacing w:before="240" w:line="360" w:lineRule="auto"/>
              <w:jc w:val="both"/>
              <w:rPr>
                <w:rFonts w:ascii="Arial" w:hAnsi="Arial" w:cs="Arial"/>
                <w:sz w:val="18"/>
                <w:szCs w:val="18"/>
                <w:lang w:val="en-GB" w:eastAsia="en-GB"/>
              </w:rPr>
            </w:pPr>
            <w:proofErr w:type="spellStart"/>
            <w:r w:rsidRPr="006F1DCD">
              <w:rPr>
                <w:rFonts w:ascii="Arial" w:hAnsi="Arial" w:cs="Arial"/>
                <w:sz w:val="18"/>
              </w:rPr>
              <w:t>Personalised</w:t>
            </w:r>
            <w:proofErr w:type="spellEnd"/>
            <w:r w:rsidRPr="006F1DCD">
              <w:rPr>
                <w:rFonts w:ascii="Arial" w:hAnsi="Arial" w:cs="Arial"/>
                <w:sz w:val="18"/>
              </w:rPr>
              <w:t>, ethical and experience-led</w:t>
            </w:r>
          </w:p>
        </w:tc>
      </w:tr>
      <w:tr w:rsidR="006F1DCD" w:rsidRPr="0051277B" w14:paraId="67A740D4" w14:textId="77777777" w:rsidTr="001560A9">
        <w:tc>
          <w:tcPr>
            <w:tcW w:w="1438" w:type="dxa"/>
          </w:tcPr>
          <w:p w14:paraId="0C74F9A9"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Sustainability positioning</w:t>
            </w:r>
          </w:p>
        </w:tc>
        <w:tc>
          <w:tcPr>
            <w:tcW w:w="1357" w:type="dxa"/>
          </w:tcPr>
          <w:p w14:paraId="7E9A83F6"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Responsible sourcing</w:t>
            </w:r>
          </w:p>
        </w:tc>
        <w:tc>
          <w:tcPr>
            <w:tcW w:w="1472" w:type="dxa"/>
          </w:tcPr>
          <w:p w14:paraId="08C55DB8"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Ethical and transparent supply chains</w:t>
            </w:r>
          </w:p>
        </w:tc>
        <w:tc>
          <w:tcPr>
            <w:tcW w:w="1575" w:type="dxa"/>
          </w:tcPr>
          <w:p w14:paraId="16A91E4F"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Strong provenance and ethical sourcing</w:t>
            </w:r>
          </w:p>
        </w:tc>
        <w:tc>
          <w:tcPr>
            <w:tcW w:w="1702" w:type="dxa"/>
          </w:tcPr>
          <w:p w14:paraId="70FC7498"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Ethical/specialty orientation</w:t>
            </w:r>
          </w:p>
        </w:tc>
        <w:tc>
          <w:tcPr>
            <w:tcW w:w="1472" w:type="dxa"/>
          </w:tcPr>
          <w:p w14:paraId="2011D864" w14:textId="70FAA013" w:rsidR="006F1DCD" w:rsidRPr="006F1DCD" w:rsidRDefault="006F1DCD" w:rsidP="006F1DCD">
            <w:pPr>
              <w:spacing w:before="240" w:line="360" w:lineRule="auto"/>
              <w:jc w:val="both"/>
              <w:rPr>
                <w:rFonts w:ascii="Arial" w:hAnsi="Arial" w:cs="Arial"/>
                <w:sz w:val="18"/>
                <w:szCs w:val="18"/>
                <w:lang w:val="en-GB" w:eastAsia="en-GB"/>
              </w:rPr>
            </w:pPr>
            <w:r w:rsidRPr="006F1DCD">
              <w:rPr>
                <w:rFonts w:ascii="Arial" w:hAnsi="Arial" w:cs="Arial"/>
                <w:sz w:val="18"/>
              </w:rPr>
              <w:t>Ethical sourcing, traceability and sustainability</w:t>
            </w:r>
          </w:p>
        </w:tc>
      </w:tr>
      <w:tr w:rsidR="006F1DCD" w:rsidRPr="0051277B" w14:paraId="43629F9F" w14:textId="77777777" w:rsidTr="001560A9">
        <w:tc>
          <w:tcPr>
            <w:tcW w:w="1438" w:type="dxa"/>
          </w:tcPr>
          <w:p w14:paraId="166EF051"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Main strengths</w:t>
            </w:r>
          </w:p>
        </w:tc>
        <w:tc>
          <w:tcPr>
            <w:tcW w:w="1357" w:type="dxa"/>
          </w:tcPr>
          <w:p w14:paraId="39060B19"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Heritage, reputation and sourcing expertise</w:t>
            </w:r>
          </w:p>
        </w:tc>
        <w:tc>
          <w:tcPr>
            <w:tcW w:w="1472" w:type="dxa"/>
          </w:tcPr>
          <w:p w14:paraId="37E49659"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Strong brand, experience and brunch</w:t>
            </w:r>
          </w:p>
        </w:tc>
        <w:tc>
          <w:tcPr>
            <w:tcW w:w="1575" w:type="dxa"/>
          </w:tcPr>
          <w:p w14:paraId="5768AD1F"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Rare coffee and provenance</w:t>
            </w:r>
          </w:p>
        </w:tc>
        <w:tc>
          <w:tcPr>
            <w:tcW w:w="1702" w:type="dxa"/>
          </w:tcPr>
          <w:p w14:paraId="65C66177"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Food and coffee combination</w:t>
            </w:r>
          </w:p>
        </w:tc>
        <w:tc>
          <w:tcPr>
            <w:tcW w:w="1472" w:type="dxa"/>
          </w:tcPr>
          <w:p w14:paraId="0695FEF5" w14:textId="669456B1" w:rsidR="006F1DCD" w:rsidRPr="006F1DCD" w:rsidRDefault="006F1DCD" w:rsidP="006F1DCD">
            <w:pPr>
              <w:spacing w:before="240" w:line="360" w:lineRule="auto"/>
              <w:jc w:val="both"/>
              <w:rPr>
                <w:rFonts w:ascii="Arial" w:hAnsi="Arial" w:cs="Arial"/>
                <w:sz w:val="18"/>
                <w:szCs w:val="18"/>
                <w:lang w:val="en-GB" w:eastAsia="en-GB"/>
              </w:rPr>
            </w:pPr>
            <w:r w:rsidRPr="006F1DCD">
              <w:rPr>
                <w:rFonts w:ascii="Arial" w:hAnsi="Arial" w:cs="Arial"/>
                <w:sz w:val="18"/>
              </w:rPr>
              <w:t>Flexible independent model and integrated ethical proposition</w:t>
            </w:r>
          </w:p>
        </w:tc>
      </w:tr>
      <w:tr w:rsidR="006F1DCD" w:rsidRPr="0051277B" w14:paraId="4D37A0CC" w14:textId="77777777" w:rsidTr="001560A9">
        <w:tc>
          <w:tcPr>
            <w:tcW w:w="1438" w:type="dxa"/>
          </w:tcPr>
          <w:p w14:paraId="39926D74"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Main weaknesses</w:t>
            </w:r>
          </w:p>
        </w:tc>
        <w:tc>
          <w:tcPr>
            <w:tcW w:w="1357" w:type="dxa"/>
          </w:tcPr>
          <w:p w14:paraId="417DDB0D"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Established specialist positioning</w:t>
            </w:r>
          </w:p>
        </w:tc>
        <w:tc>
          <w:tcPr>
            <w:tcW w:w="1472" w:type="dxa"/>
          </w:tcPr>
          <w:p w14:paraId="14494862"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Premium positioning and strong competition</w:t>
            </w:r>
          </w:p>
        </w:tc>
        <w:tc>
          <w:tcPr>
            <w:tcW w:w="1575" w:type="dxa"/>
          </w:tcPr>
          <w:p w14:paraId="5A6A9617"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Highly premium/niche proposition</w:t>
            </w:r>
          </w:p>
        </w:tc>
        <w:tc>
          <w:tcPr>
            <w:tcW w:w="1702" w:type="dxa"/>
          </w:tcPr>
          <w:p w14:paraId="460CDCED" w14:textId="77777777" w:rsidR="006F1DCD" w:rsidRPr="007575A5" w:rsidRDefault="006F1DCD" w:rsidP="006F1DCD">
            <w:pPr>
              <w:spacing w:before="240" w:line="360" w:lineRule="auto"/>
              <w:jc w:val="both"/>
              <w:rPr>
                <w:rFonts w:ascii="Arial" w:hAnsi="Arial" w:cs="Arial"/>
                <w:sz w:val="18"/>
                <w:szCs w:val="18"/>
                <w:lang w:val="en-GB" w:eastAsia="en-GB"/>
              </w:rPr>
            </w:pPr>
            <w:r w:rsidRPr="007575A5">
              <w:rPr>
                <w:rFonts w:ascii="Arial" w:hAnsi="Arial" w:cs="Arial"/>
                <w:sz w:val="18"/>
                <w:szCs w:val="18"/>
                <w:lang w:val="en-GB" w:eastAsia="en-GB"/>
              </w:rPr>
              <w:t>Less distinctive positioning</w:t>
            </w:r>
          </w:p>
        </w:tc>
        <w:tc>
          <w:tcPr>
            <w:tcW w:w="1472" w:type="dxa"/>
          </w:tcPr>
          <w:p w14:paraId="76845180" w14:textId="0C139488" w:rsidR="006F1DCD" w:rsidRPr="006F1DCD" w:rsidRDefault="006F1DCD" w:rsidP="006F1DCD">
            <w:pPr>
              <w:spacing w:before="240" w:line="360" w:lineRule="auto"/>
              <w:jc w:val="both"/>
              <w:rPr>
                <w:rFonts w:ascii="Arial" w:hAnsi="Arial" w:cs="Arial"/>
                <w:sz w:val="18"/>
                <w:szCs w:val="18"/>
                <w:lang w:val="en-GB" w:eastAsia="en-GB"/>
              </w:rPr>
            </w:pPr>
            <w:r w:rsidRPr="006F1DCD">
              <w:rPr>
                <w:rFonts w:ascii="Arial" w:hAnsi="Arial" w:cs="Arial"/>
                <w:sz w:val="18"/>
              </w:rPr>
              <w:t>New brand and limited scale</w:t>
            </w:r>
          </w:p>
        </w:tc>
      </w:tr>
    </w:tbl>
    <w:p w14:paraId="3C5836A3" w14:textId="0C41CAE9" w:rsidR="001560A9" w:rsidRPr="001560A9" w:rsidRDefault="003560CB" w:rsidP="001560A9">
      <w:pPr>
        <w:spacing w:before="240" w:line="360" w:lineRule="auto"/>
        <w:jc w:val="both"/>
        <w:rPr>
          <w:rFonts w:ascii="Arial" w:hAnsi="Arial" w:cs="Arial"/>
          <w:sz w:val="24"/>
          <w:szCs w:val="24"/>
          <w:lang w:val="en-GB" w:eastAsia="en-GB"/>
        </w:rPr>
      </w:pPr>
      <w:r w:rsidRPr="003560CB">
        <w:rPr>
          <w:rFonts w:ascii="Arial" w:hAnsi="Arial" w:cs="Arial"/>
          <w:sz w:val="24"/>
          <w:szCs w:val="24"/>
          <w:lang w:val="en-GB" w:eastAsia="en-GB"/>
        </w:rPr>
        <w:t>Monmouth Coffee Company is a good example of a direct competitor, by virtue of their location in Covent Garden, and their knowledge and reputation for responsibly sourced coffee (Covent Garden London, 2026).</w:t>
      </w:r>
      <w:r w:rsidRPr="000F7440">
        <w:rPr>
          <w:rFonts w:ascii="Arial" w:hAnsi="Arial" w:cs="Arial"/>
          <w:sz w:val="24"/>
          <w:szCs w:val="24"/>
          <w:lang w:val="en-GB" w:eastAsia="en-GB"/>
        </w:rPr>
        <w:t xml:space="preserve"> Its</w:t>
      </w:r>
      <w:r w:rsidR="000F7440" w:rsidRPr="000F7440">
        <w:rPr>
          <w:rFonts w:ascii="Arial" w:hAnsi="Arial" w:cs="Arial"/>
          <w:sz w:val="24"/>
          <w:szCs w:val="24"/>
          <w:lang w:val="en-GB" w:eastAsia="en-GB"/>
        </w:rPr>
        <w:t xml:space="preserve"> proximity to the proposed Monmouth Street location further increases its competitive relevance. TEBC therefore cannot rely on specialty coffee quality alone</w:t>
      </w:r>
      <w:r w:rsidR="000F7440">
        <w:rPr>
          <w:rFonts w:ascii="Arial" w:hAnsi="Arial" w:cs="Arial"/>
          <w:sz w:val="24"/>
          <w:szCs w:val="24"/>
          <w:lang w:val="en-GB" w:eastAsia="en-GB"/>
        </w:rPr>
        <w:t xml:space="preserve"> as a basis for differentiation</w:t>
      </w:r>
      <w:r w:rsidR="001560A9">
        <w:rPr>
          <w:rFonts w:ascii="Arial" w:hAnsi="Arial" w:cs="Arial"/>
          <w:sz w:val="24"/>
          <w:szCs w:val="24"/>
          <w:lang w:val="en-GB" w:eastAsia="en-GB"/>
        </w:rPr>
        <w:t>.</w:t>
      </w:r>
    </w:p>
    <w:p w14:paraId="4CBF8AB0" w14:textId="7183887F" w:rsidR="001560A9" w:rsidRPr="001560A9" w:rsidRDefault="0071448B" w:rsidP="001560A9">
      <w:pPr>
        <w:spacing w:before="240" w:line="360" w:lineRule="auto"/>
        <w:jc w:val="both"/>
        <w:rPr>
          <w:rFonts w:ascii="Arial" w:hAnsi="Arial" w:cs="Arial"/>
          <w:sz w:val="24"/>
          <w:szCs w:val="24"/>
          <w:lang w:val="en-GB" w:eastAsia="en-GB"/>
        </w:rPr>
      </w:pPr>
      <w:proofErr w:type="spellStart"/>
      <w:r w:rsidRPr="0071448B">
        <w:rPr>
          <w:rFonts w:ascii="Arial" w:hAnsi="Arial" w:cs="Arial"/>
          <w:sz w:val="24"/>
          <w:szCs w:val="24"/>
          <w:lang w:val="en-GB" w:eastAsia="en-GB"/>
        </w:rPr>
        <w:t>WatchHouse</w:t>
      </w:r>
      <w:proofErr w:type="spellEnd"/>
      <w:r w:rsidRPr="0071448B">
        <w:rPr>
          <w:rFonts w:ascii="Arial" w:hAnsi="Arial" w:cs="Arial"/>
          <w:sz w:val="24"/>
          <w:szCs w:val="24"/>
          <w:lang w:val="en-GB" w:eastAsia="en-GB"/>
        </w:rPr>
        <w:t xml:space="preserve"> provides another relevant competitive benchmark through its specialty coffee, wider hospitality offering and experience-led environment. Its Covent Garden location at 28–29 Southampton Street offers specialty equipment, a brew bar, brunch and outdoor seating, creating a broader coffee and hospitality experience (</w:t>
      </w:r>
      <w:proofErr w:type="spellStart"/>
      <w:r w:rsidRPr="0071448B">
        <w:rPr>
          <w:rFonts w:ascii="Arial" w:hAnsi="Arial" w:cs="Arial"/>
          <w:sz w:val="24"/>
          <w:szCs w:val="24"/>
          <w:lang w:val="en-GB" w:eastAsia="en-GB"/>
        </w:rPr>
        <w:t>WatchHouse</w:t>
      </w:r>
      <w:proofErr w:type="spellEnd"/>
      <w:r w:rsidRPr="0071448B">
        <w:rPr>
          <w:rFonts w:ascii="Arial" w:hAnsi="Arial" w:cs="Arial"/>
          <w:sz w:val="24"/>
          <w:szCs w:val="24"/>
          <w:lang w:val="en-GB" w:eastAsia="en-GB"/>
        </w:rPr>
        <w:t>, 2026a). Its wider London presence may also provide greater brand recognition and operational experience than a new independent café (</w:t>
      </w:r>
      <w:proofErr w:type="spellStart"/>
      <w:r w:rsidRPr="0071448B">
        <w:rPr>
          <w:rFonts w:ascii="Arial" w:hAnsi="Arial" w:cs="Arial"/>
          <w:sz w:val="24"/>
          <w:szCs w:val="24"/>
          <w:lang w:val="en-GB" w:eastAsia="en-GB"/>
        </w:rPr>
        <w:t>WatchHouse</w:t>
      </w:r>
      <w:proofErr w:type="spellEnd"/>
      <w:r w:rsidRPr="0071448B">
        <w:rPr>
          <w:rFonts w:ascii="Arial" w:hAnsi="Arial" w:cs="Arial"/>
          <w:sz w:val="24"/>
          <w:szCs w:val="24"/>
          <w:lang w:val="en-GB" w:eastAsia="en-GB"/>
        </w:rPr>
        <w:t>, 2026b)</w:t>
      </w:r>
    </w:p>
    <w:p w14:paraId="2A2D44A8" w14:textId="77777777" w:rsidR="00617BB4" w:rsidRDefault="00617BB4" w:rsidP="001560A9">
      <w:pPr>
        <w:spacing w:before="240" w:line="360" w:lineRule="auto"/>
        <w:jc w:val="both"/>
        <w:rPr>
          <w:rFonts w:ascii="Arial" w:hAnsi="Arial" w:cs="Arial"/>
          <w:sz w:val="24"/>
          <w:szCs w:val="24"/>
          <w:lang w:val="en-GB" w:eastAsia="en-GB"/>
        </w:rPr>
      </w:pPr>
      <w:proofErr w:type="spellStart"/>
      <w:r w:rsidRPr="00617BB4">
        <w:rPr>
          <w:rFonts w:ascii="Arial" w:hAnsi="Arial" w:cs="Arial"/>
          <w:sz w:val="24"/>
          <w:szCs w:val="24"/>
          <w:lang w:val="en-GB" w:eastAsia="en-GB"/>
        </w:rPr>
        <w:t>Qima</w:t>
      </w:r>
      <w:proofErr w:type="spellEnd"/>
      <w:r w:rsidRPr="00617BB4">
        <w:rPr>
          <w:rFonts w:ascii="Arial" w:hAnsi="Arial" w:cs="Arial"/>
          <w:sz w:val="24"/>
          <w:szCs w:val="24"/>
          <w:lang w:val="en-GB" w:eastAsia="en-GB"/>
        </w:rPr>
        <w:t xml:space="preserve"> provides a further competitive reference through its emphasis on rare coffee, provenance and premium coffee experience. Its Yemeni coffee proposition and </w:t>
      </w:r>
      <w:r w:rsidRPr="00617BB4">
        <w:rPr>
          <w:rFonts w:ascii="Arial" w:hAnsi="Arial" w:cs="Arial"/>
          <w:sz w:val="24"/>
          <w:szCs w:val="24"/>
          <w:lang w:val="en-GB" w:eastAsia="en-GB"/>
        </w:rPr>
        <w:lastRenderedPageBreak/>
        <w:t>emphasis on the connection between origin and the final cup demonstrate that provenance is already used within the local market (Covent Garden London, 2026). This indicates that sourcing and provenance alone should not be treated as unique sources of competitive advantage for TEBC.</w:t>
      </w:r>
    </w:p>
    <w:p w14:paraId="6AC10E19" w14:textId="77777777" w:rsidR="00830680" w:rsidRDefault="00830680" w:rsidP="00B213BD">
      <w:pPr>
        <w:spacing w:before="240" w:line="360" w:lineRule="auto"/>
        <w:jc w:val="both"/>
        <w:rPr>
          <w:rFonts w:ascii="Arial" w:hAnsi="Arial" w:cs="Arial"/>
          <w:sz w:val="24"/>
          <w:szCs w:val="24"/>
          <w:lang w:val="en-GB" w:eastAsia="en-GB"/>
        </w:rPr>
      </w:pPr>
      <w:proofErr w:type="spellStart"/>
      <w:r w:rsidRPr="00830680">
        <w:rPr>
          <w:rFonts w:ascii="Arial" w:hAnsi="Arial" w:cs="Arial"/>
          <w:sz w:val="24"/>
          <w:szCs w:val="24"/>
          <w:lang w:val="en-GB" w:eastAsia="en-GB"/>
        </w:rPr>
        <w:t>WatchHouse’s</w:t>
      </w:r>
      <w:proofErr w:type="spellEnd"/>
      <w:r w:rsidRPr="00830680">
        <w:rPr>
          <w:rFonts w:ascii="Arial" w:hAnsi="Arial" w:cs="Arial"/>
          <w:sz w:val="24"/>
          <w:szCs w:val="24"/>
          <w:lang w:val="en-GB" w:eastAsia="en-GB"/>
        </w:rPr>
        <w:t xml:space="preserve"> brunch menu also provides a useful local pricing benchmark, with sourdough toast at £4.80, porridge at £6.90 and pancakes at £14.50–£15.50 (</w:t>
      </w:r>
      <w:proofErr w:type="spellStart"/>
      <w:r w:rsidRPr="00830680">
        <w:rPr>
          <w:rFonts w:ascii="Arial" w:hAnsi="Arial" w:cs="Arial"/>
          <w:sz w:val="24"/>
          <w:szCs w:val="24"/>
          <w:lang w:val="en-GB" w:eastAsia="en-GB"/>
        </w:rPr>
        <w:t>WatchHouse</w:t>
      </w:r>
      <w:proofErr w:type="spellEnd"/>
      <w:r w:rsidRPr="00830680">
        <w:rPr>
          <w:rFonts w:ascii="Arial" w:hAnsi="Arial" w:cs="Arial"/>
          <w:sz w:val="24"/>
          <w:szCs w:val="24"/>
          <w:lang w:val="en-GB" w:eastAsia="en-GB"/>
        </w:rPr>
        <w:t>, 2026c). These prices provide contextual evidence for TEBC’s proposed accessible-premium positioning, although direct price comparison should focus on equivalent products.</w:t>
      </w:r>
    </w:p>
    <w:p w14:paraId="4072A503" w14:textId="77777777" w:rsidR="00F83A12" w:rsidRPr="00F83A12" w:rsidRDefault="00A40B5A" w:rsidP="00F83A12">
      <w:pPr>
        <w:spacing w:before="240" w:line="360" w:lineRule="auto"/>
        <w:jc w:val="both"/>
        <w:rPr>
          <w:rFonts w:ascii="Arial" w:hAnsi="Arial" w:cs="Arial"/>
          <w:sz w:val="24"/>
          <w:szCs w:val="24"/>
          <w:lang w:val="en-GB" w:eastAsia="en-GB"/>
        </w:rPr>
      </w:pPr>
      <w:r w:rsidRPr="00A40B5A">
        <w:rPr>
          <w:rFonts w:ascii="Arial" w:hAnsi="Arial" w:cs="Arial"/>
          <w:sz w:val="24"/>
          <w:szCs w:val="24"/>
          <w:lang w:val="en-GB" w:eastAsia="en-GB"/>
        </w:rPr>
        <w:t xml:space="preserve">Reliable individual market-share data for the selected Covent Garden cafés were not identified. It would therefore be inappropriate to assign unsupported market-share percentages. </w:t>
      </w:r>
      <w:r w:rsidR="00F83A12" w:rsidRPr="00F83A12">
        <w:rPr>
          <w:rFonts w:ascii="Arial" w:hAnsi="Arial" w:cs="Arial"/>
          <w:sz w:val="24"/>
          <w:szCs w:val="24"/>
          <w:lang w:val="en-GB" w:eastAsia="en-GB"/>
        </w:rPr>
        <w:t>A competitive comparison, on the other hand, takes into account the location of the business, product range, pricing, brand reputation, customer experience, sourcing credentials and operational scale. Industry-level reports are useful for market and operator evidence, but do not necessarily give the sales share of the individual independent café (World Coffee Portal, 2026).</w:t>
      </w:r>
    </w:p>
    <w:p w14:paraId="093130BF" w14:textId="77777777" w:rsidR="00F83A12" w:rsidRPr="00F83A12" w:rsidRDefault="00F83A12" w:rsidP="00F83A12">
      <w:pPr>
        <w:pStyle w:val="Heading2"/>
        <w:rPr>
          <w:lang w:val="en-GB" w:eastAsia="en-GB"/>
        </w:rPr>
      </w:pPr>
      <w:bookmarkStart w:id="55" w:name="_Toc241167455"/>
      <w:r w:rsidRPr="00F83A12">
        <w:rPr>
          <w:lang w:val="en-GB" w:eastAsia="en-GB"/>
        </w:rPr>
        <w:t>6.3 Porter’s Five Force</w:t>
      </w:r>
      <w:bookmarkEnd w:id="55"/>
    </w:p>
    <w:p w14:paraId="545F726D" w14:textId="534B2409" w:rsidR="00B213BD" w:rsidRPr="00B213BD" w:rsidRDefault="00F83A12" w:rsidP="00F83A12">
      <w:pPr>
        <w:spacing w:before="240" w:line="360" w:lineRule="auto"/>
        <w:jc w:val="both"/>
        <w:rPr>
          <w:rFonts w:ascii="Arial" w:hAnsi="Arial" w:cs="Arial"/>
          <w:sz w:val="24"/>
          <w:szCs w:val="24"/>
          <w:lang w:val="en-GB" w:eastAsia="en-GB"/>
        </w:rPr>
      </w:pPr>
      <w:r w:rsidRPr="00F83A12">
        <w:rPr>
          <w:rFonts w:ascii="Arial" w:hAnsi="Arial" w:cs="Arial"/>
          <w:sz w:val="24"/>
          <w:szCs w:val="24"/>
          <w:lang w:val="en-GB" w:eastAsia="en-GB"/>
        </w:rPr>
        <w:t>The structural forces that impact the competition and profitability of an industry are assessed by Porter's Five Forces (Porter, 1980; Porter, 2008).</w:t>
      </w:r>
    </w:p>
    <w:p w14:paraId="2B308233" w14:textId="5598A0F3" w:rsidR="006F1D89" w:rsidRPr="006F1D89" w:rsidRDefault="006F1D89" w:rsidP="006F1D89">
      <w:pPr>
        <w:pStyle w:val="Caption"/>
        <w:keepNext/>
        <w:jc w:val="both"/>
        <w:rPr>
          <w:rFonts w:ascii="Arial" w:hAnsi="Arial" w:cs="Arial"/>
          <w:sz w:val="24"/>
        </w:rPr>
      </w:pPr>
      <w:bookmarkStart w:id="56" w:name="_Toc241170841"/>
      <w:r w:rsidRPr="006F1D89">
        <w:rPr>
          <w:rFonts w:ascii="Arial" w:hAnsi="Arial" w:cs="Arial"/>
          <w:sz w:val="24"/>
        </w:rPr>
        <w:t xml:space="preserve">Table </w:t>
      </w:r>
      <w:r w:rsidRPr="006F1D89">
        <w:rPr>
          <w:rFonts w:ascii="Arial" w:hAnsi="Arial" w:cs="Arial"/>
          <w:sz w:val="24"/>
        </w:rPr>
        <w:fldChar w:fldCharType="begin"/>
      </w:r>
      <w:r w:rsidRPr="006F1D89">
        <w:rPr>
          <w:rFonts w:ascii="Arial" w:hAnsi="Arial" w:cs="Arial"/>
          <w:sz w:val="24"/>
        </w:rPr>
        <w:instrText xml:space="preserve"> SEQ Table \* ARABIC </w:instrText>
      </w:r>
      <w:r w:rsidRPr="006F1D89">
        <w:rPr>
          <w:rFonts w:ascii="Arial" w:hAnsi="Arial" w:cs="Arial"/>
          <w:sz w:val="24"/>
        </w:rPr>
        <w:fldChar w:fldCharType="separate"/>
      </w:r>
      <w:r w:rsidR="001815EA">
        <w:rPr>
          <w:rFonts w:ascii="Arial" w:hAnsi="Arial" w:cs="Arial"/>
          <w:noProof/>
          <w:sz w:val="24"/>
        </w:rPr>
        <w:t>5</w:t>
      </w:r>
      <w:r w:rsidRPr="006F1D89">
        <w:rPr>
          <w:rFonts w:ascii="Arial" w:hAnsi="Arial" w:cs="Arial"/>
          <w:sz w:val="24"/>
        </w:rPr>
        <w:fldChar w:fldCharType="end"/>
      </w:r>
      <w:r w:rsidRPr="006F1D89">
        <w:rPr>
          <w:rFonts w:ascii="Arial" w:hAnsi="Arial" w:cs="Arial"/>
          <w:sz w:val="24"/>
        </w:rPr>
        <w:t>: Five Forces Assessment</w:t>
      </w:r>
      <w:bookmarkEnd w:id="56"/>
    </w:p>
    <w:tbl>
      <w:tblPr>
        <w:tblStyle w:val="TableGrid"/>
        <w:tblW w:w="0" w:type="auto"/>
        <w:tblLook w:val="04A0" w:firstRow="1" w:lastRow="0" w:firstColumn="1" w:lastColumn="0" w:noHBand="0" w:noVBand="1"/>
      </w:tblPr>
      <w:tblGrid>
        <w:gridCol w:w="3005"/>
        <w:gridCol w:w="3005"/>
        <w:gridCol w:w="3006"/>
      </w:tblGrid>
      <w:tr w:rsidR="006F1D89" w:rsidRPr="006F1D89" w14:paraId="629AB82E" w14:textId="77777777" w:rsidTr="006F1D89">
        <w:tc>
          <w:tcPr>
            <w:tcW w:w="3005" w:type="dxa"/>
          </w:tcPr>
          <w:p w14:paraId="7EF44068" w14:textId="77777777" w:rsidR="006F1D89" w:rsidRPr="007B159C" w:rsidRDefault="006F1D89" w:rsidP="0038379F">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Force</w:t>
            </w:r>
          </w:p>
        </w:tc>
        <w:tc>
          <w:tcPr>
            <w:tcW w:w="3005" w:type="dxa"/>
          </w:tcPr>
          <w:p w14:paraId="7B57D861" w14:textId="77777777" w:rsidR="006F1D89" w:rsidRPr="007B159C" w:rsidRDefault="006F1D89" w:rsidP="0038379F">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Rating</w:t>
            </w:r>
          </w:p>
        </w:tc>
        <w:tc>
          <w:tcPr>
            <w:tcW w:w="3006" w:type="dxa"/>
          </w:tcPr>
          <w:p w14:paraId="7414F227" w14:textId="77777777" w:rsidR="006F1D89" w:rsidRPr="007B159C" w:rsidRDefault="006F1D89" w:rsidP="0038379F">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Evidence and strategic implication</w:t>
            </w:r>
          </w:p>
        </w:tc>
      </w:tr>
      <w:tr w:rsidR="006F1D89" w:rsidRPr="006F1D89" w14:paraId="461B1D47" w14:textId="77777777" w:rsidTr="006F1D89">
        <w:tc>
          <w:tcPr>
            <w:tcW w:w="3005" w:type="dxa"/>
          </w:tcPr>
          <w:p w14:paraId="649899D8"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Competitive rivalry</w:t>
            </w:r>
          </w:p>
        </w:tc>
        <w:tc>
          <w:tcPr>
            <w:tcW w:w="3005" w:type="dxa"/>
          </w:tcPr>
          <w:p w14:paraId="4D52EB34"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Very high</w:t>
            </w:r>
          </w:p>
        </w:tc>
        <w:tc>
          <w:tcPr>
            <w:tcW w:w="3006" w:type="dxa"/>
          </w:tcPr>
          <w:p w14:paraId="01160DC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 xml:space="preserve">Multiple specialty and mainstream cafés compete within a concentrated area. Monmouth, </w:t>
            </w:r>
            <w:proofErr w:type="spellStart"/>
            <w:r w:rsidRPr="006F1D89">
              <w:rPr>
                <w:rFonts w:ascii="Arial" w:hAnsi="Arial" w:cs="Arial"/>
                <w:sz w:val="24"/>
                <w:szCs w:val="24"/>
                <w:lang w:val="en-GB" w:eastAsia="en-GB"/>
              </w:rPr>
              <w:t>WatchHouse</w:t>
            </w:r>
            <w:proofErr w:type="spellEnd"/>
            <w:r w:rsidRPr="006F1D89">
              <w:rPr>
                <w:rFonts w:ascii="Arial" w:hAnsi="Arial" w:cs="Arial"/>
                <w:sz w:val="24"/>
                <w:szCs w:val="24"/>
                <w:lang w:val="en-GB" w:eastAsia="en-GB"/>
              </w:rPr>
              <w:t xml:space="preserve"> and </w:t>
            </w:r>
            <w:proofErr w:type="spellStart"/>
            <w:r w:rsidRPr="006F1D89">
              <w:rPr>
                <w:rFonts w:ascii="Arial" w:hAnsi="Arial" w:cs="Arial"/>
                <w:sz w:val="24"/>
                <w:szCs w:val="24"/>
                <w:lang w:val="en-GB" w:eastAsia="en-GB"/>
              </w:rPr>
              <w:t>Qima</w:t>
            </w:r>
            <w:proofErr w:type="spellEnd"/>
            <w:r w:rsidRPr="006F1D89">
              <w:rPr>
                <w:rFonts w:ascii="Arial" w:hAnsi="Arial" w:cs="Arial"/>
                <w:sz w:val="24"/>
                <w:szCs w:val="24"/>
                <w:lang w:val="en-GB" w:eastAsia="en-GB"/>
              </w:rPr>
              <w:t xml:space="preserve"> already compete through quality, </w:t>
            </w:r>
            <w:r w:rsidRPr="006F1D89">
              <w:rPr>
                <w:rFonts w:ascii="Arial" w:hAnsi="Arial" w:cs="Arial"/>
                <w:sz w:val="24"/>
                <w:szCs w:val="24"/>
                <w:lang w:val="en-GB" w:eastAsia="en-GB"/>
              </w:rPr>
              <w:lastRenderedPageBreak/>
              <w:t>experience and provenance (Covent Garden London, 2026).</w:t>
            </w:r>
          </w:p>
        </w:tc>
      </w:tr>
      <w:tr w:rsidR="006F1D89" w:rsidRPr="006F1D89" w14:paraId="5B310BDC" w14:textId="77777777" w:rsidTr="006F1D89">
        <w:tc>
          <w:tcPr>
            <w:tcW w:w="3005" w:type="dxa"/>
          </w:tcPr>
          <w:p w14:paraId="193EF70D"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lastRenderedPageBreak/>
              <w:t>Buyer power</w:t>
            </w:r>
          </w:p>
        </w:tc>
        <w:tc>
          <w:tcPr>
            <w:tcW w:w="3005" w:type="dxa"/>
          </w:tcPr>
          <w:p w14:paraId="1F986CE4"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High</w:t>
            </w:r>
          </w:p>
        </w:tc>
        <w:tc>
          <w:tcPr>
            <w:tcW w:w="3006" w:type="dxa"/>
          </w:tcPr>
          <w:p w14:paraId="35961F0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Customers have numerous nearby alternatives and face minimal switching costs.</w:t>
            </w:r>
          </w:p>
        </w:tc>
      </w:tr>
      <w:tr w:rsidR="006F1D89" w:rsidRPr="006F1D89" w14:paraId="34D20E53" w14:textId="77777777" w:rsidTr="006F1D89">
        <w:tc>
          <w:tcPr>
            <w:tcW w:w="3005" w:type="dxa"/>
          </w:tcPr>
          <w:p w14:paraId="03A0D93B"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Threat of substitutes</w:t>
            </w:r>
          </w:p>
        </w:tc>
        <w:tc>
          <w:tcPr>
            <w:tcW w:w="3005" w:type="dxa"/>
          </w:tcPr>
          <w:p w14:paraId="4CBA6BE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High</w:t>
            </w:r>
          </w:p>
        </w:tc>
        <w:tc>
          <w:tcPr>
            <w:tcW w:w="3006" w:type="dxa"/>
          </w:tcPr>
          <w:p w14:paraId="26CA2AA0"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Home brewing, workplace coffee, convenience coffee, food outlets and chain cafés provide readily available alternatives.</w:t>
            </w:r>
          </w:p>
        </w:tc>
      </w:tr>
      <w:tr w:rsidR="006F1D89" w:rsidRPr="006F1D89" w14:paraId="04FBAE96" w14:textId="77777777" w:rsidTr="006F1D89">
        <w:tc>
          <w:tcPr>
            <w:tcW w:w="3005" w:type="dxa"/>
          </w:tcPr>
          <w:p w14:paraId="797C4397"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Threat of new entrants</w:t>
            </w:r>
          </w:p>
        </w:tc>
        <w:tc>
          <w:tcPr>
            <w:tcW w:w="3005" w:type="dxa"/>
          </w:tcPr>
          <w:p w14:paraId="2F39F5F6"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Moderate</w:t>
            </w:r>
          </w:p>
        </w:tc>
        <w:tc>
          <w:tcPr>
            <w:tcW w:w="3006" w:type="dxa"/>
          </w:tcPr>
          <w:p w14:paraId="5D9DACD1"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Small cafés can enter without the scale of major chains, but central-London premises, staffing, equipment, compliance and intense competition increase entry barriers.</w:t>
            </w:r>
          </w:p>
        </w:tc>
      </w:tr>
      <w:tr w:rsidR="006F1D89" w:rsidRPr="006F1D89" w14:paraId="07F4B04C" w14:textId="77777777" w:rsidTr="006F1D89">
        <w:tc>
          <w:tcPr>
            <w:tcW w:w="3005" w:type="dxa"/>
          </w:tcPr>
          <w:p w14:paraId="4665701B"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Supplier power</w:t>
            </w:r>
          </w:p>
        </w:tc>
        <w:tc>
          <w:tcPr>
            <w:tcW w:w="3005" w:type="dxa"/>
          </w:tcPr>
          <w:p w14:paraId="3C8A9DD1"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Moderate</w:t>
            </w:r>
          </w:p>
        </w:tc>
        <w:tc>
          <w:tcPr>
            <w:tcW w:w="3006" w:type="dxa"/>
          </w:tcPr>
          <w:p w14:paraId="2CD524E2" w14:textId="77777777" w:rsidR="006F1D89" w:rsidRPr="006F1D89" w:rsidRDefault="006F1D89" w:rsidP="0038379F">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Specialty and ethical coffee can create quality and sourcing dependencies, but alternative roasters and producers can reduce concentration risk.</w:t>
            </w:r>
          </w:p>
        </w:tc>
      </w:tr>
    </w:tbl>
    <w:p w14:paraId="59D23B86" w14:textId="77777777" w:rsidR="00B213BD" w:rsidRPr="00B213BD" w:rsidRDefault="00B213BD" w:rsidP="00B213BD">
      <w:pPr>
        <w:spacing w:before="240" w:line="360" w:lineRule="auto"/>
        <w:jc w:val="both"/>
        <w:rPr>
          <w:rFonts w:ascii="Arial" w:hAnsi="Arial" w:cs="Arial"/>
          <w:sz w:val="24"/>
          <w:szCs w:val="24"/>
          <w:lang w:val="en-GB" w:eastAsia="en-GB"/>
        </w:rPr>
      </w:pPr>
    </w:p>
    <w:p w14:paraId="28D152F0" w14:textId="77777777" w:rsidR="00761D30" w:rsidRPr="00761D30" w:rsidRDefault="00761D30" w:rsidP="00761D30">
      <w:pPr>
        <w:spacing w:before="240" w:line="360" w:lineRule="auto"/>
        <w:jc w:val="both"/>
        <w:rPr>
          <w:rFonts w:ascii="Arial" w:hAnsi="Arial" w:cs="Arial"/>
          <w:sz w:val="24"/>
          <w:szCs w:val="24"/>
          <w:lang w:val="en-GB" w:eastAsia="en-GB"/>
        </w:rPr>
      </w:pPr>
      <w:r w:rsidRPr="00761D30">
        <w:rPr>
          <w:rFonts w:ascii="Arial" w:hAnsi="Arial" w:cs="Arial"/>
          <w:sz w:val="24"/>
          <w:szCs w:val="24"/>
          <w:lang w:val="en-GB" w:eastAsia="en-GB"/>
        </w:rPr>
        <w:t xml:space="preserve">In the concentrated market in Covent Garden there is a high level of competitive rivalry, as both established specialty and mainstream operators compete within this market. </w:t>
      </w:r>
      <w:r w:rsidRPr="00761D30">
        <w:rPr>
          <w:rFonts w:ascii="Arial" w:hAnsi="Arial" w:cs="Arial"/>
          <w:sz w:val="24"/>
          <w:szCs w:val="24"/>
          <w:lang w:val="en-GB" w:eastAsia="en-GB"/>
        </w:rPr>
        <w:lastRenderedPageBreak/>
        <w:t>Competition is not just for the quality of the coffee, but location, service, hospitality, product range, sustainability and customer experience at World Coffee Portal (2026).</w:t>
      </w:r>
    </w:p>
    <w:p w14:paraId="0167999B" w14:textId="77777777" w:rsidR="00761D30" w:rsidRPr="00761D30" w:rsidRDefault="00761D30" w:rsidP="00761D30">
      <w:pPr>
        <w:spacing w:before="240" w:line="360" w:lineRule="auto"/>
        <w:jc w:val="both"/>
        <w:rPr>
          <w:rFonts w:ascii="Arial" w:hAnsi="Arial" w:cs="Arial"/>
          <w:sz w:val="24"/>
          <w:szCs w:val="24"/>
          <w:lang w:val="en-GB" w:eastAsia="en-GB"/>
        </w:rPr>
      </w:pPr>
      <w:r w:rsidRPr="00761D30">
        <w:rPr>
          <w:rFonts w:ascii="Arial" w:hAnsi="Arial" w:cs="Arial"/>
          <w:sz w:val="24"/>
          <w:szCs w:val="24"/>
          <w:lang w:val="en-GB" w:eastAsia="en-GB"/>
        </w:rPr>
        <w:t>Buyer Power is High as there are many other options nearby and the costs of switching is also low. Switching to other cafés is relatively low cost and easy, and the customer is value for money (World Coffee Portal, 2025). The elements that will be needed forward for TEBC, then, will be consistent product quality, service and perceived value, to drive repeat purchases.</w:t>
      </w:r>
    </w:p>
    <w:p w14:paraId="7E7C8FAB" w14:textId="77777777" w:rsidR="00761D30" w:rsidRPr="00761D30" w:rsidRDefault="00761D30" w:rsidP="00761D30">
      <w:pPr>
        <w:spacing w:before="240" w:line="360" w:lineRule="auto"/>
        <w:jc w:val="both"/>
        <w:rPr>
          <w:rFonts w:ascii="Arial" w:hAnsi="Arial" w:cs="Arial"/>
          <w:sz w:val="24"/>
          <w:szCs w:val="24"/>
          <w:lang w:val="en-GB" w:eastAsia="en-GB"/>
        </w:rPr>
      </w:pPr>
      <w:r w:rsidRPr="00761D30">
        <w:rPr>
          <w:rFonts w:ascii="Arial" w:hAnsi="Arial" w:cs="Arial"/>
          <w:sz w:val="24"/>
          <w:szCs w:val="24"/>
          <w:lang w:val="en-GB" w:eastAsia="en-GB"/>
        </w:rPr>
        <w:t>There is a high risk of substitutions. They can make their own coffee at home or work, buy it from convenience stores or supermarkets, or opt for other cafés or food-service providers. It is therefore important that TEBC offers value beyond the drink itself, by being of high quality, offering good service, a good experience and credible ethical practices.</w:t>
      </w:r>
    </w:p>
    <w:p w14:paraId="32988840" w14:textId="6C14EF54" w:rsidR="00B213BD" w:rsidRPr="00B213BD" w:rsidRDefault="00761D30" w:rsidP="00761D30">
      <w:pPr>
        <w:spacing w:before="240" w:line="360" w:lineRule="auto"/>
        <w:jc w:val="both"/>
        <w:rPr>
          <w:rFonts w:ascii="Arial" w:hAnsi="Arial" w:cs="Arial"/>
          <w:sz w:val="24"/>
          <w:szCs w:val="24"/>
          <w:lang w:val="en-GB" w:eastAsia="en-GB"/>
        </w:rPr>
      </w:pPr>
      <w:r w:rsidRPr="00761D30">
        <w:rPr>
          <w:rFonts w:ascii="Arial" w:hAnsi="Arial" w:cs="Arial"/>
          <w:sz w:val="24"/>
          <w:szCs w:val="24"/>
          <w:lang w:val="en-GB" w:eastAsia="en-GB"/>
        </w:rPr>
        <w:t>The supplier power is in the mid-range. Specialty and ethically sourced coffee can be of a higher standard of quality and be reliant on particular roasters and/or producers. But ensuring alternative approved suppliers and not being too reliant on one su</w:t>
      </w:r>
      <w:r>
        <w:rPr>
          <w:rFonts w:ascii="Arial" w:hAnsi="Arial" w:cs="Arial"/>
          <w:sz w:val="24"/>
          <w:szCs w:val="24"/>
          <w:lang w:val="en-GB" w:eastAsia="en-GB"/>
        </w:rPr>
        <w:t>pplier can mitigate supply risk</w:t>
      </w:r>
      <w:r w:rsidR="00950D3E" w:rsidRPr="00950D3E">
        <w:rPr>
          <w:rFonts w:ascii="Arial" w:hAnsi="Arial" w:cs="Arial"/>
          <w:sz w:val="24"/>
          <w:szCs w:val="24"/>
          <w:lang w:val="en-GB" w:eastAsia="en-GB"/>
        </w:rPr>
        <w:t>. This is particularly relevant for an independent café that may have less purchasing power than major chains (World Coffee Portal, 2026).</w:t>
      </w:r>
    </w:p>
    <w:p w14:paraId="119BC1E6" w14:textId="3CF181C8" w:rsidR="00B213BD" w:rsidRPr="00B213BD" w:rsidRDefault="00B12DD9" w:rsidP="007B159C">
      <w:pPr>
        <w:pStyle w:val="Heading2"/>
        <w:rPr>
          <w:lang w:val="en-GB" w:eastAsia="en-GB"/>
        </w:rPr>
      </w:pPr>
      <w:bookmarkStart w:id="57" w:name="_Toc241167456"/>
      <w:r>
        <w:rPr>
          <w:lang w:val="en-GB" w:eastAsia="en-GB"/>
        </w:rPr>
        <w:t>6.4 PESTLE Analysis</w:t>
      </w:r>
      <w:bookmarkEnd w:id="57"/>
    </w:p>
    <w:p w14:paraId="3935C556" w14:textId="341B8093" w:rsidR="00B12DD9" w:rsidRPr="00B12DD9" w:rsidRDefault="00B12DD9" w:rsidP="00B12DD9">
      <w:pPr>
        <w:pStyle w:val="Caption"/>
        <w:keepNext/>
        <w:jc w:val="both"/>
        <w:rPr>
          <w:rFonts w:ascii="Arial" w:hAnsi="Arial" w:cs="Arial"/>
          <w:sz w:val="24"/>
        </w:rPr>
      </w:pPr>
      <w:bookmarkStart w:id="58" w:name="_Toc241170842"/>
      <w:r w:rsidRPr="00B12DD9">
        <w:rPr>
          <w:rFonts w:ascii="Arial" w:hAnsi="Arial" w:cs="Arial"/>
          <w:sz w:val="24"/>
        </w:rPr>
        <w:t xml:space="preserve">Table </w:t>
      </w:r>
      <w:r w:rsidRPr="00B12DD9">
        <w:rPr>
          <w:rFonts w:ascii="Arial" w:hAnsi="Arial" w:cs="Arial"/>
          <w:sz w:val="24"/>
        </w:rPr>
        <w:fldChar w:fldCharType="begin"/>
      </w:r>
      <w:r w:rsidRPr="00B12DD9">
        <w:rPr>
          <w:rFonts w:ascii="Arial" w:hAnsi="Arial" w:cs="Arial"/>
          <w:sz w:val="24"/>
        </w:rPr>
        <w:instrText xml:space="preserve"> SEQ Table \* ARABIC </w:instrText>
      </w:r>
      <w:r w:rsidRPr="00B12DD9">
        <w:rPr>
          <w:rFonts w:ascii="Arial" w:hAnsi="Arial" w:cs="Arial"/>
          <w:sz w:val="24"/>
        </w:rPr>
        <w:fldChar w:fldCharType="separate"/>
      </w:r>
      <w:r w:rsidR="001815EA">
        <w:rPr>
          <w:rFonts w:ascii="Arial" w:hAnsi="Arial" w:cs="Arial"/>
          <w:noProof/>
          <w:sz w:val="24"/>
        </w:rPr>
        <w:t>6</w:t>
      </w:r>
      <w:r w:rsidRPr="00B12DD9">
        <w:rPr>
          <w:rFonts w:ascii="Arial" w:hAnsi="Arial" w:cs="Arial"/>
          <w:sz w:val="24"/>
        </w:rPr>
        <w:fldChar w:fldCharType="end"/>
      </w:r>
      <w:r w:rsidRPr="00B12DD9">
        <w:rPr>
          <w:rFonts w:ascii="Arial" w:hAnsi="Arial" w:cs="Arial"/>
          <w:sz w:val="24"/>
        </w:rPr>
        <w:t>: PESTLE Analysis</w:t>
      </w:r>
      <w:bookmarkEnd w:id="58"/>
    </w:p>
    <w:tbl>
      <w:tblPr>
        <w:tblStyle w:val="TableGrid"/>
        <w:tblW w:w="0" w:type="auto"/>
        <w:tblLook w:val="04A0" w:firstRow="1" w:lastRow="0" w:firstColumn="1" w:lastColumn="0" w:noHBand="0" w:noVBand="1"/>
      </w:tblPr>
      <w:tblGrid>
        <w:gridCol w:w="3005"/>
        <w:gridCol w:w="3005"/>
        <w:gridCol w:w="3006"/>
      </w:tblGrid>
      <w:tr w:rsidR="00B12DD9" w:rsidRPr="00B12DD9" w14:paraId="39FD8485" w14:textId="77777777" w:rsidTr="00B12DD9">
        <w:tc>
          <w:tcPr>
            <w:tcW w:w="3005" w:type="dxa"/>
          </w:tcPr>
          <w:p w14:paraId="3EFEF7E4" w14:textId="77777777" w:rsidR="00B12DD9" w:rsidRPr="000866B5" w:rsidRDefault="00B12DD9" w:rsidP="0038379F">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Dimension</w:t>
            </w:r>
          </w:p>
        </w:tc>
        <w:tc>
          <w:tcPr>
            <w:tcW w:w="3005" w:type="dxa"/>
          </w:tcPr>
          <w:p w14:paraId="5678B3C1" w14:textId="77777777" w:rsidR="00B12DD9" w:rsidRPr="000866B5" w:rsidRDefault="00B12DD9" w:rsidP="0038379F">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Key issue</w:t>
            </w:r>
          </w:p>
        </w:tc>
        <w:tc>
          <w:tcPr>
            <w:tcW w:w="3006" w:type="dxa"/>
          </w:tcPr>
          <w:p w14:paraId="6F94C95A" w14:textId="77777777" w:rsidR="00B12DD9" w:rsidRPr="000866B5" w:rsidRDefault="00B12DD9" w:rsidP="0038379F">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Impact</w:t>
            </w:r>
          </w:p>
        </w:tc>
      </w:tr>
      <w:tr w:rsidR="00B12DD9" w:rsidRPr="00B12DD9" w14:paraId="25E4F7CC" w14:textId="77777777" w:rsidTr="00B12DD9">
        <w:tc>
          <w:tcPr>
            <w:tcW w:w="3005" w:type="dxa"/>
          </w:tcPr>
          <w:p w14:paraId="4DD1C1D9"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Political</w:t>
            </w:r>
          </w:p>
        </w:tc>
        <w:tc>
          <w:tcPr>
            <w:tcW w:w="3005" w:type="dxa"/>
          </w:tcPr>
          <w:p w14:paraId="03069261"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Government policies affecting hospitality, employment and business conditions</w:t>
            </w:r>
          </w:p>
        </w:tc>
        <w:tc>
          <w:tcPr>
            <w:tcW w:w="3006" w:type="dxa"/>
          </w:tcPr>
          <w:p w14:paraId="2E2A3FF9"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Moderate</w:t>
            </w:r>
          </w:p>
        </w:tc>
      </w:tr>
      <w:tr w:rsidR="00B12DD9" w:rsidRPr="00B12DD9" w14:paraId="2E607918" w14:textId="77777777" w:rsidTr="00B12DD9">
        <w:tc>
          <w:tcPr>
            <w:tcW w:w="3005" w:type="dxa"/>
          </w:tcPr>
          <w:p w14:paraId="5C030A66"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Economic</w:t>
            </w:r>
          </w:p>
        </w:tc>
        <w:tc>
          <w:tcPr>
            <w:tcW w:w="3005" w:type="dxa"/>
          </w:tcPr>
          <w:p w14:paraId="7BB2DB38"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Rent, wages, coffee, food and energy costs; customer value sensitivity</w:t>
            </w:r>
          </w:p>
        </w:tc>
        <w:tc>
          <w:tcPr>
            <w:tcW w:w="3006" w:type="dxa"/>
          </w:tcPr>
          <w:p w14:paraId="1790F054"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12DD9" w14:paraId="0D6300A4" w14:textId="77777777" w:rsidTr="00B12DD9">
        <w:tc>
          <w:tcPr>
            <w:tcW w:w="3005" w:type="dxa"/>
          </w:tcPr>
          <w:p w14:paraId="4612587F"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lastRenderedPageBreak/>
              <w:t>Social</w:t>
            </w:r>
          </w:p>
        </w:tc>
        <w:tc>
          <w:tcPr>
            <w:tcW w:w="3005" w:type="dxa"/>
          </w:tcPr>
          <w:p w14:paraId="48D9E49E"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Specialty coffee, ethical consumption, hospitality and experience</w:t>
            </w:r>
          </w:p>
        </w:tc>
        <w:tc>
          <w:tcPr>
            <w:tcW w:w="3006" w:type="dxa"/>
          </w:tcPr>
          <w:p w14:paraId="6A244B20"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12DD9" w14:paraId="06990799" w14:textId="77777777" w:rsidTr="00B12DD9">
        <w:tc>
          <w:tcPr>
            <w:tcW w:w="3005" w:type="dxa"/>
          </w:tcPr>
          <w:p w14:paraId="2A1C4A47"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Technological</w:t>
            </w:r>
          </w:p>
        </w:tc>
        <w:tc>
          <w:tcPr>
            <w:tcW w:w="3005" w:type="dxa"/>
          </w:tcPr>
          <w:p w14:paraId="1A5A5033"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Digital discovery, social media, POS, loyalty and ordering</w:t>
            </w:r>
          </w:p>
        </w:tc>
        <w:tc>
          <w:tcPr>
            <w:tcW w:w="3006" w:type="dxa"/>
          </w:tcPr>
          <w:p w14:paraId="15C3762B"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Moderate–high</w:t>
            </w:r>
          </w:p>
        </w:tc>
      </w:tr>
      <w:tr w:rsidR="00B12DD9" w:rsidRPr="00B12DD9" w14:paraId="68D15F3F" w14:textId="77777777" w:rsidTr="00B12DD9">
        <w:tc>
          <w:tcPr>
            <w:tcW w:w="3005" w:type="dxa"/>
          </w:tcPr>
          <w:p w14:paraId="37C51FFF"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Legal</w:t>
            </w:r>
          </w:p>
        </w:tc>
        <w:tc>
          <w:tcPr>
            <w:tcW w:w="3005" w:type="dxa"/>
          </w:tcPr>
          <w:p w14:paraId="206941F2"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Food safety, employment, consumer protection, licensing and data protection</w:t>
            </w:r>
          </w:p>
        </w:tc>
        <w:tc>
          <w:tcPr>
            <w:tcW w:w="3006" w:type="dxa"/>
          </w:tcPr>
          <w:p w14:paraId="01139F42"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213BD" w14:paraId="676EF449" w14:textId="77777777" w:rsidTr="00B12DD9">
        <w:tc>
          <w:tcPr>
            <w:tcW w:w="3005" w:type="dxa"/>
          </w:tcPr>
          <w:p w14:paraId="433FDD89"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Environmental</w:t>
            </w:r>
          </w:p>
        </w:tc>
        <w:tc>
          <w:tcPr>
            <w:tcW w:w="3005" w:type="dxa"/>
          </w:tcPr>
          <w:p w14:paraId="0422BA6C" w14:textId="77777777" w:rsidR="00B12DD9" w:rsidRPr="00B12DD9"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Climate risks to coffee, packaging, waste, energy and resource use</w:t>
            </w:r>
          </w:p>
        </w:tc>
        <w:tc>
          <w:tcPr>
            <w:tcW w:w="3006" w:type="dxa"/>
          </w:tcPr>
          <w:p w14:paraId="4356790E" w14:textId="77777777" w:rsidR="00B12DD9" w:rsidRPr="00B213BD" w:rsidRDefault="00B12DD9" w:rsidP="0038379F">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bl>
    <w:p w14:paraId="0B210BC7" w14:textId="2CE3ECC4" w:rsidR="00B213BD" w:rsidRPr="00B213BD" w:rsidRDefault="00B213BD" w:rsidP="00B213BD">
      <w:pPr>
        <w:spacing w:before="240" w:line="360" w:lineRule="auto"/>
        <w:jc w:val="both"/>
        <w:rPr>
          <w:rFonts w:ascii="Arial" w:hAnsi="Arial" w:cs="Arial"/>
          <w:sz w:val="24"/>
          <w:szCs w:val="24"/>
          <w:lang w:val="en-GB" w:eastAsia="en-GB"/>
        </w:rPr>
      </w:pPr>
    </w:p>
    <w:p w14:paraId="481DD5A1" w14:textId="1E579871" w:rsidR="007B159C" w:rsidRPr="007B159C" w:rsidRDefault="007B159C" w:rsidP="007B159C">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Political</w:t>
      </w:r>
    </w:p>
    <w:p w14:paraId="052C18DF" w14:textId="79945202" w:rsidR="007B159C" w:rsidRPr="007B159C" w:rsidRDefault="00DB6657" w:rsidP="007B159C">
      <w:pPr>
        <w:spacing w:before="240" w:line="360" w:lineRule="auto"/>
        <w:jc w:val="both"/>
        <w:rPr>
          <w:rFonts w:ascii="Arial" w:hAnsi="Arial" w:cs="Arial"/>
          <w:sz w:val="24"/>
          <w:szCs w:val="24"/>
          <w:lang w:val="en-GB" w:eastAsia="en-GB"/>
        </w:rPr>
      </w:pPr>
      <w:r w:rsidRPr="00DB6657">
        <w:rPr>
          <w:rFonts w:ascii="Arial" w:hAnsi="Arial" w:cs="Arial"/>
          <w:sz w:val="24"/>
          <w:szCs w:val="24"/>
          <w:lang w:val="en-GB" w:eastAsia="en-GB"/>
        </w:rPr>
        <w:t>Political conditions may affect TEBC through taxation, employment policy, hospitality regulation and local-authority requirements. Although these factors are not sources of competitive differentiation, changes in policy may influence staffing costs and operating margins an</w:t>
      </w:r>
      <w:r>
        <w:rPr>
          <w:rFonts w:ascii="Arial" w:hAnsi="Arial" w:cs="Arial"/>
          <w:sz w:val="24"/>
          <w:szCs w:val="24"/>
          <w:lang w:val="en-GB" w:eastAsia="en-GB"/>
        </w:rPr>
        <w:t>d should therefore be monitored.</w:t>
      </w:r>
    </w:p>
    <w:p w14:paraId="5AE1919A" w14:textId="577CAAB9"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Economic</w:t>
      </w:r>
    </w:p>
    <w:p w14:paraId="495F9BE0" w14:textId="77777777" w:rsidR="0039036A" w:rsidRDefault="0039036A" w:rsidP="007B159C">
      <w:pPr>
        <w:spacing w:before="240" w:line="360" w:lineRule="auto"/>
        <w:jc w:val="both"/>
        <w:rPr>
          <w:rFonts w:ascii="Arial" w:hAnsi="Arial" w:cs="Arial"/>
          <w:sz w:val="24"/>
          <w:szCs w:val="24"/>
          <w:lang w:val="en-GB" w:eastAsia="en-GB"/>
        </w:rPr>
      </w:pPr>
      <w:r w:rsidRPr="0039036A">
        <w:rPr>
          <w:rFonts w:ascii="Arial" w:hAnsi="Arial" w:cs="Arial"/>
          <w:sz w:val="24"/>
          <w:szCs w:val="24"/>
          <w:lang w:val="en-GB" w:eastAsia="en-GB"/>
        </w:rPr>
        <w:t>Economic conditions represent an important external pressure. Although the UK branded coffee-shop market reached approximately £6.8 billion in 2026, operators face pressure from rent, wages, coffee, food and energy costs, alongside customer sensitivity to value for money (World Coffee Portal, 2026). Westminster recorded approximately 317 million visits in 2024, while transaction numbers declined and spend per transaction increased slightly (Westminster City Council, 2025). For TEBC, premium pricing therefore needs to be supported by visible product quality and customer value.</w:t>
      </w:r>
    </w:p>
    <w:p w14:paraId="5EE7CF4B" w14:textId="2EC7FDC8"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lastRenderedPageBreak/>
        <w:t>Social</w:t>
      </w:r>
    </w:p>
    <w:p w14:paraId="2A4F06B0" w14:textId="77777777" w:rsidR="009F734A" w:rsidRPr="009F734A" w:rsidRDefault="0039036A" w:rsidP="009F734A">
      <w:pPr>
        <w:spacing w:before="240" w:line="360" w:lineRule="auto"/>
        <w:jc w:val="both"/>
        <w:rPr>
          <w:rFonts w:ascii="Arial" w:hAnsi="Arial" w:cs="Arial"/>
          <w:sz w:val="24"/>
          <w:szCs w:val="24"/>
          <w:lang w:val="en-GB" w:eastAsia="en-GB"/>
        </w:rPr>
      </w:pPr>
      <w:r w:rsidRPr="0039036A">
        <w:rPr>
          <w:rFonts w:ascii="Arial" w:hAnsi="Arial" w:cs="Arial"/>
          <w:sz w:val="24"/>
          <w:szCs w:val="24"/>
          <w:lang w:val="en-GB" w:eastAsia="en-GB"/>
        </w:rPr>
        <w:t xml:space="preserve">Social trends provide supportive conditions for the proposed concept because specialty coffee, personalised hospitality and café ambience are relevant dimensions of independent coffee-shop consumption (World Coffee Portal, 2026). Covent Garden also has an established specialty-coffee culture and experience-led hospitality environment (Covent Garden London, 2026). </w:t>
      </w:r>
      <w:r w:rsidR="009F734A" w:rsidRPr="009F734A">
        <w:rPr>
          <w:rFonts w:ascii="Arial" w:hAnsi="Arial" w:cs="Arial"/>
          <w:sz w:val="24"/>
          <w:szCs w:val="24"/>
          <w:lang w:val="en-GB" w:eastAsia="en-GB"/>
        </w:rPr>
        <w:t>But it doesn't mean that sustainability will be enough to differentiate, as some competitor propositions are already taking ethical consumption into account.</w:t>
      </w:r>
    </w:p>
    <w:p w14:paraId="34C04BD4" w14:textId="77777777" w:rsidR="009F734A" w:rsidRPr="009F734A" w:rsidRDefault="009F734A" w:rsidP="009F734A">
      <w:pPr>
        <w:spacing w:before="240" w:line="360" w:lineRule="auto"/>
        <w:jc w:val="both"/>
        <w:rPr>
          <w:rFonts w:ascii="Arial" w:hAnsi="Arial" w:cs="Arial"/>
          <w:b/>
          <w:sz w:val="24"/>
          <w:szCs w:val="24"/>
          <w:lang w:val="en-GB" w:eastAsia="en-GB"/>
        </w:rPr>
      </w:pPr>
      <w:r w:rsidRPr="009F734A">
        <w:rPr>
          <w:rFonts w:ascii="Arial" w:hAnsi="Arial" w:cs="Arial"/>
          <w:b/>
          <w:sz w:val="24"/>
          <w:szCs w:val="24"/>
          <w:lang w:val="en-GB" w:eastAsia="en-GB"/>
        </w:rPr>
        <w:t>Technological</w:t>
      </w:r>
    </w:p>
    <w:p w14:paraId="5029DF34" w14:textId="77777777" w:rsidR="009F734A" w:rsidRPr="009F734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Digital technology can be used to assist customer discovery, payment, ordering, loyalty, communication and performance monitoring. In the coffee-shop industry, these tools can help reinforce the convenience and customer engagement (World Coffee Portal, 2026). The goal for TEBC is to augment the physical café experience with digital systems, not replace it.</w:t>
      </w:r>
    </w:p>
    <w:p w14:paraId="7164A9E6" w14:textId="77777777" w:rsidR="009F734A" w:rsidRPr="009F734A" w:rsidRDefault="009F734A" w:rsidP="009F734A">
      <w:pPr>
        <w:spacing w:before="240" w:line="360" w:lineRule="auto"/>
        <w:jc w:val="both"/>
        <w:rPr>
          <w:rFonts w:ascii="Arial" w:hAnsi="Arial" w:cs="Arial"/>
          <w:b/>
          <w:sz w:val="24"/>
          <w:szCs w:val="24"/>
          <w:lang w:val="en-GB" w:eastAsia="en-GB"/>
        </w:rPr>
      </w:pPr>
      <w:r w:rsidRPr="009F734A">
        <w:rPr>
          <w:rFonts w:ascii="Arial" w:hAnsi="Arial" w:cs="Arial"/>
          <w:b/>
          <w:sz w:val="24"/>
          <w:szCs w:val="24"/>
          <w:lang w:val="en-GB" w:eastAsia="en-GB"/>
        </w:rPr>
        <w:t>Legal</w:t>
      </w:r>
    </w:p>
    <w:p w14:paraId="3DD6DEDB" w14:textId="77777777" w:rsidR="009F734A" w:rsidRPr="009F734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Legal requirements are not a competitive differentiator, but are a minimum operating condition. Appropriate food-safety procedures, employment compliance, consumer protection, relevant licenses and responsible handling of customer information will all be required for TEBC. Thus, compliance is essential to minimize the financial, operational and reputation risks.</w:t>
      </w:r>
    </w:p>
    <w:p w14:paraId="77304C99" w14:textId="77777777" w:rsidR="009F734A" w:rsidRPr="009F734A" w:rsidRDefault="009F734A" w:rsidP="009F734A">
      <w:pPr>
        <w:spacing w:before="240" w:line="360" w:lineRule="auto"/>
        <w:jc w:val="both"/>
        <w:rPr>
          <w:rFonts w:ascii="Arial" w:hAnsi="Arial" w:cs="Arial"/>
          <w:b/>
          <w:sz w:val="24"/>
          <w:szCs w:val="24"/>
          <w:lang w:val="en-GB" w:eastAsia="en-GB"/>
        </w:rPr>
      </w:pPr>
      <w:r w:rsidRPr="009F734A">
        <w:rPr>
          <w:rFonts w:ascii="Arial" w:hAnsi="Arial" w:cs="Arial"/>
          <w:b/>
          <w:sz w:val="24"/>
          <w:szCs w:val="24"/>
          <w:lang w:val="en-GB" w:eastAsia="en-GB"/>
        </w:rPr>
        <w:t>Environmental</w:t>
      </w:r>
    </w:p>
    <w:p w14:paraId="12F79002" w14:textId="77777777" w:rsidR="009F734A" w:rsidRPr="009F734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Environmental factors are strategically relevant due to climate and sustainability challenges in coffee supply chain, the production of packaging waste, food waste and coffee-ground waste in cafés. The value proposition can be supported by sustainable sourcing, reduction of waste and efficient use of resources. But to prevent unsupported sustainability communication, environmental claims must be backed up with credible supplier evidence and measurable practices.</w:t>
      </w:r>
    </w:p>
    <w:p w14:paraId="3E5C4B1C" w14:textId="77777777" w:rsidR="009F734A" w:rsidRPr="009F734A" w:rsidRDefault="009F734A" w:rsidP="009F734A">
      <w:pPr>
        <w:pStyle w:val="Heading2"/>
        <w:rPr>
          <w:lang w:val="en-GB" w:eastAsia="en-GB"/>
        </w:rPr>
      </w:pPr>
      <w:bookmarkStart w:id="59" w:name="_Toc241167457"/>
      <w:r w:rsidRPr="009F734A">
        <w:rPr>
          <w:lang w:val="en-GB" w:eastAsia="en-GB"/>
        </w:rPr>
        <w:lastRenderedPageBreak/>
        <w:t>6.5 Evidence-Based Positioning Gap</w:t>
      </w:r>
      <w:bookmarkEnd w:id="59"/>
    </w:p>
    <w:p w14:paraId="75BA355B" w14:textId="77777777" w:rsidR="009F734A" w:rsidRPr="009F734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 xml:space="preserve">The competitor analysis does not suggest a market opportunity to offer “premium”, “specialty” or “ethical” coffee. Monmouth has proven expertise and responsible sourcing, </w:t>
      </w:r>
      <w:proofErr w:type="spellStart"/>
      <w:r w:rsidRPr="009F734A">
        <w:rPr>
          <w:rFonts w:ascii="Arial" w:hAnsi="Arial" w:cs="Arial"/>
          <w:sz w:val="24"/>
          <w:szCs w:val="24"/>
          <w:lang w:val="en-GB" w:eastAsia="en-GB"/>
        </w:rPr>
        <w:t>WatchHouse</w:t>
      </w:r>
      <w:proofErr w:type="spellEnd"/>
      <w:r w:rsidRPr="009F734A">
        <w:rPr>
          <w:rFonts w:ascii="Arial" w:hAnsi="Arial" w:cs="Arial"/>
          <w:sz w:val="24"/>
          <w:szCs w:val="24"/>
          <w:lang w:val="en-GB" w:eastAsia="en-GB"/>
        </w:rPr>
        <w:t xml:space="preserve"> specialty coffee and modern hospitality service and </w:t>
      </w:r>
      <w:proofErr w:type="spellStart"/>
      <w:r w:rsidRPr="009F734A">
        <w:rPr>
          <w:rFonts w:ascii="Arial" w:hAnsi="Arial" w:cs="Arial"/>
          <w:sz w:val="24"/>
          <w:szCs w:val="24"/>
          <w:lang w:val="en-GB" w:eastAsia="en-GB"/>
        </w:rPr>
        <w:t>Qima</w:t>
      </w:r>
      <w:proofErr w:type="spellEnd"/>
      <w:r w:rsidRPr="009F734A">
        <w:rPr>
          <w:rFonts w:ascii="Arial" w:hAnsi="Arial" w:cs="Arial"/>
          <w:sz w:val="24"/>
          <w:szCs w:val="24"/>
          <w:lang w:val="en-GB" w:eastAsia="en-GB"/>
        </w:rPr>
        <w:t xml:space="preserve"> a provenance-led proposition (Covent Garden London, 2026).</w:t>
      </w:r>
    </w:p>
    <w:p w14:paraId="039DC924" w14:textId="77777777" w:rsidR="009F734A" w:rsidRPr="009F734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The positioning opportunity is thus neither definitive nor categorical. TEBC can provide the combination of specialty quality, exposure to sourcing transparency, sustainability, personal service and accessible-premium value to seek differentiation. The ethical offer should be comprehensible, believable and related to consistent product quality and hospitality.</w:t>
      </w:r>
    </w:p>
    <w:p w14:paraId="573A1EE7" w14:textId="77777777" w:rsidR="009F734A" w:rsidRPr="009F734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Ethical sourcing isn't uncommon. The proposed differentiation would be based on the steady provision and presentation of multiple attributes, complemented over time through supplier ties, customer knowledge, operational learning and brand reputation.</w:t>
      </w:r>
    </w:p>
    <w:p w14:paraId="6BC05FED" w14:textId="77777777" w:rsidR="009F734A" w:rsidRPr="009F734A" w:rsidRDefault="009F734A" w:rsidP="009F734A">
      <w:pPr>
        <w:pStyle w:val="Heading2"/>
        <w:rPr>
          <w:lang w:val="en-GB" w:eastAsia="en-GB"/>
        </w:rPr>
      </w:pPr>
      <w:bookmarkStart w:id="60" w:name="_Toc241167458"/>
      <w:r w:rsidRPr="009F734A">
        <w:rPr>
          <w:lang w:val="en-GB" w:eastAsia="en-GB"/>
        </w:rPr>
        <w:t>6.6 Chapter Synthesis</w:t>
      </w:r>
      <w:bookmarkEnd w:id="60"/>
    </w:p>
    <w:p w14:paraId="4E2D0966" w14:textId="77777777" w:rsidR="009F734A" w:rsidRPr="009F734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 xml:space="preserve">The market environment is very competitive. There's significant activity around Covent Garden as well as a well-developed specialty-coffee culture, but buyers have plenty of options and not much switching cost. Five Forces therefore suggests that there is considerable competitive pressure and PESTLE sheds light on the economic, legal and environmental threats and opportunities, as well as on the social and technological factors that are </w:t>
      </w:r>
      <w:proofErr w:type="spellStart"/>
      <w:r w:rsidRPr="009F734A">
        <w:rPr>
          <w:rFonts w:ascii="Arial" w:hAnsi="Arial" w:cs="Arial"/>
          <w:sz w:val="24"/>
          <w:szCs w:val="24"/>
          <w:lang w:val="en-GB" w:eastAsia="en-GB"/>
        </w:rPr>
        <w:t>favorable</w:t>
      </w:r>
      <w:proofErr w:type="spellEnd"/>
      <w:r w:rsidRPr="009F734A">
        <w:rPr>
          <w:rFonts w:ascii="Arial" w:hAnsi="Arial" w:cs="Arial"/>
          <w:sz w:val="24"/>
          <w:szCs w:val="24"/>
          <w:lang w:val="en-GB" w:eastAsia="en-GB"/>
        </w:rPr>
        <w:t xml:space="preserve"> to the business.</w:t>
      </w:r>
    </w:p>
    <w:p w14:paraId="677D121E" w14:textId="0F06B439" w:rsidR="00572CAA" w:rsidRDefault="009F734A" w:rsidP="009F734A">
      <w:pPr>
        <w:spacing w:before="240" w:line="360" w:lineRule="auto"/>
        <w:jc w:val="both"/>
        <w:rPr>
          <w:rFonts w:ascii="Arial" w:hAnsi="Arial" w:cs="Arial"/>
          <w:sz w:val="24"/>
          <w:szCs w:val="24"/>
          <w:lang w:val="en-GB" w:eastAsia="en-GB"/>
        </w:rPr>
      </w:pPr>
      <w:r w:rsidRPr="009F734A">
        <w:rPr>
          <w:rFonts w:ascii="Arial" w:hAnsi="Arial" w:cs="Arial"/>
          <w:sz w:val="24"/>
          <w:szCs w:val="24"/>
          <w:lang w:val="en-GB" w:eastAsia="en-GB"/>
        </w:rPr>
        <w:t>The evidence backs up the strategy of focused staged differentiation outlined in Chapter 7. TEBC shouldn't lead the pack by offering lower prices or just copying successful niche operators. Rather it should be directed at the consumers of specialty coffee who have an ethical conscience and urban professionals, and selected visitors, with an integrated proposition of quality, ethical and credible sourcing, traceability, sustainability, personalised service, and value. Customer loyalty, supplier relationships, brand reputation and organisation learning will be the only ways to build any competitiv</w:t>
      </w:r>
      <w:r>
        <w:rPr>
          <w:rFonts w:ascii="Arial" w:hAnsi="Arial" w:cs="Arial"/>
          <w:sz w:val="24"/>
          <w:szCs w:val="24"/>
          <w:lang w:val="en-GB" w:eastAsia="en-GB"/>
        </w:rPr>
        <w:t>e advantage, not at launch time</w:t>
      </w:r>
      <w:r w:rsidR="007603EF" w:rsidRPr="007603EF">
        <w:rPr>
          <w:rFonts w:ascii="Arial" w:hAnsi="Arial" w:cs="Arial"/>
          <w:sz w:val="24"/>
          <w:szCs w:val="24"/>
          <w:lang w:val="en-GB" w:eastAsia="en-GB"/>
        </w:rPr>
        <w:t>.</w:t>
      </w:r>
    </w:p>
    <w:p w14:paraId="460D1EB8" w14:textId="1EB7E37C" w:rsidR="00572CAA" w:rsidRDefault="00572CAA" w:rsidP="00764905">
      <w:pPr>
        <w:spacing w:before="240" w:line="360" w:lineRule="auto"/>
        <w:jc w:val="both"/>
        <w:rPr>
          <w:rFonts w:ascii="Arial" w:hAnsi="Arial" w:cs="Arial"/>
          <w:sz w:val="24"/>
          <w:szCs w:val="24"/>
          <w:lang w:val="en-GB" w:eastAsia="en-GB"/>
        </w:rPr>
      </w:pPr>
    </w:p>
    <w:p w14:paraId="0DF20338" w14:textId="77777777" w:rsidR="00572CAA" w:rsidRPr="00E86635" w:rsidRDefault="00572CAA" w:rsidP="00E2542F">
      <w:pPr>
        <w:pStyle w:val="Heading1"/>
        <w:jc w:val="center"/>
        <w:rPr>
          <w:rFonts w:eastAsia="Times New Roman"/>
          <w:lang w:val="en-GB" w:eastAsia="en-GB"/>
        </w:rPr>
      </w:pPr>
      <w:bookmarkStart w:id="61" w:name="_Toc241167459"/>
      <w:r w:rsidRPr="00E86635">
        <w:rPr>
          <w:rFonts w:eastAsia="Times New Roman"/>
          <w:lang w:val="en-GB" w:eastAsia="en-GB"/>
        </w:rPr>
        <w:lastRenderedPageBreak/>
        <w:t>Chapter 7: Business Strategy</w:t>
      </w:r>
      <w:bookmarkEnd w:id="61"/>
    </w:p>
    <w:p w14:paraId="187239E9" w14:textId="77777777" w:rsidR="00572CAA" w:rsidRPr="00E86635" w:rsidRDefault="00572CAA" w:rsidP="00E2542F">
      <w:pPr>
        <w:pStyle w:val="Heading2"/>
        <w:rPr>
          <w:rFonts w:eastAsia="Times New Roman"/>
          <w:lang w:val="en-GB" w:eastAsia="en-GB"/>
        </w:rPr>
      </w:pPr>
      <w:bookmarkStart w:id="62" w:name="_Toc241167460"/>
      <w:r w:rsidRPr="00E86635">
        <w:rPr>
          <w:rFonts w:eastAsia="Times New Roman"/>
          <w:lang w:val="en-GB" w:eastAsia="en-GB"/>
        </w:rPr>
        <w:t>7.1 Strategic Situation and Frameworks</w:t>
      </w:r>
      <w:bookmarkEnd w:id="62"/>
    </w:p>
    <w:p w14:paraId="3BE62E7B" w14:textId="77777777" w:rsidR="007D55EC" w:rsidRPr="007D55EC" w:rsidRDefault="007D55EC" w:rsidP="007D55EC">
      <w:pPr>
        <w:spacing w:before="100" w:beforeAutospacing="1" w:after="100" w:afterAutospacing="1" w:line="360" w:lineRule="auto"/>
        <w:jc w:val="both"/>
        <w:rPr>
          <w:rFonts w:ascii="Arial" w:eastAsia="Times New Roman" w:hAnsi="Arial" w:cs="Arial"/>
          <w:sz w:val="24"/>
          <w:szCs w:val="24"/>
          <w:lang w:val="en-GB" w:eastAsia="en-GB"/>
        </w:rPr>
      </w:pPr>
      <w:r w:rsidRPr="007D55EC">
        <w:rPr>
          <w:rFonts w:ascii="Arial" w:eastAsia="Times New Roman" w:hAnsi="Arial" w:cs="Arial"/>
          <w:sz w:val="24"/>
          <w:szCs w:val="24"/>
          <w:lang w:val="en-GB" w:eastAsia="en-GB"/>
        </w:rPr>
        <w:t>As previously described in Chapters 5 and 6, the opening of The Ethical Bean Coffee House (TEBC) would be in a large but competitive coffee-shop environment. The UK brand coffee-shop market in 2026 was estimated at around £6.8 billion for a total of 12,313 outlets, which suggests that the market will continue to be active, but this does not necessarily mean that there will be demand for one particular new player (World Coffee Portal, 2026). Meanwhile, operators are grappling with increased input costs, operating costs, and customers are increasingly attuned to value for money (World Coffee Portal, 2025; World Coffee Portal, 2026).</w:t>
      </w:r>
    </w:p>
    <w:p w14:paraId="089200ED" w14:textId="3C45AACA" w:rsidR="007D55EC" w:rsidRPr="007D55EC" w:rsidRDefault="007D55EC" w:rsidP="007D55EC">
      <w:pPr>
        <w:spacing w:before="100" w:beforeAutospacing="1" w:after="100" w:afterAutospacing="1" w:line="360" w:lineRule="auto"/>
        <w:jc w:val="both"/>
        <w:rPr>
          <w:rFonts w:ascii="Arial" w:eastAsia="Times New Roman" w:hAnsi="Arial" w:cs="Arial"/>
          <w:sz w:val="24"/>
          <w:szCs w:val="24"/>
          <w:lang w:val="en-GB" w:eastAsia="en-GB"/>
        </w:rPr>
      </w:pPr>
      <w:r w:rsidRPr="007D55EC">
        <w:rPr>
          <w:rFonts w:ascii="Arial" w:eastAsia="Times New Roman" w:hAnsi="Arial" w:cs="Arial"/>
          <w:sz w:val="24"/>
          <w:szCs w:val="24"/>
          <w:lang w:val="en-GB" w:eastAsia="en-GB"/>
        </w:rPr>
        <w:t xml:space="preserve">The strategic question then is how to generate adequate value to customers in a market that is highly competitive, has high buyer switching costs and offers significant substitutes for TEBC products. Based in Chapters 5 and 6, four implications have </w:t>
      </w:r>
      <w:r w:rsidR="001C78C7" w:rsidRPr="007D55EC">
        <w:rPr>
          <w:rFonts w:ascii="Arial" w:eastAsia="Times New Roman" w:hAnsi="Arial" w:cs="Arial"/>
          <w:sz w:val="24"/>
          <w:szCs w:val="24"/>
          <w:lang w:val="en-GB" w:eastAsia="en-GB"/>
        </w:rPr>
        <w:t>arisen</w:t>
      </w:r>
      <w:r w:rsidRPr="007D55EC">
        <w:rPr>
          <w:rFonts w:ascii="Arial" w:eastAsia="Times New Roman" w:hAnsi="Arial" w:cs="Arial"/>
          <w:sz w:val="24"/>
          <w:szCs w:val="24"/>
          <w:lang w:val="en-GB" w:eastAsia="en-GB"/>
        </w:rPr>
        <w:t>. First, the overall demand for the product does not ensure adequate demand for a new outlet. Secondly, specialty quality and customer experience are key factors but already have a clear place within the local competition. Third, ethical sourcing and sustainability can help differentiate, but doesn't automatically merit a premium. Fourth, the price has to be set and the efficiency of operations has to be kept in order so that the ethical proposition can be fulfilled.</w:t>
      </w:r>
    </w:p>
    <w:p w14:paraId="1D6F9194" w14:textId="7615DBF8" w:rsidR="00572CAA" w:rsidRPr="00E86635" w:rsidRDefault="007D55EC" w:rsidP="007D55EC">
      <w:pPr>
        <w:spacing w:before="100" w:beforeAutospacing="1" w:after="100" w:afterAutospacing="1" w:line="360" w:lineRule="auto"/>
        <w:jc w:val="both"/>
        <w:rPr>
          <w:rFonts w:ascii="Arial" w:eastAsia="Times New Roman" w:hAnsi="Arial" w:cs="Arial"/>
          <w:sz w:val="24"/>
          <w:szCs w:val="24"/>
          <w:lang w:val="en-GB" w:eastAsia="en-GB"/>
        </w:rPr>
      </w:pPr>
      <w:r w:rsidRPr="007D55EC">
        <w:rPr>
          <w:rFonts w:ascii="Arial" w:eastAsia="Times New Roman" w:hAnsi="Arial" w:cs="Arial"/>
          <w:sz w:val="24"/>
          <w:szCs w:val="24"/>
          <w:lang w:val="en-GB" w:eastAsia="en-GB"/>
        </w:rPr>
        <w:t xml:space="preserve">These implications are brought together via VRIO, SWOT and strategic-option analysis. VRIO evaluates the potential of new resources and capabilities to create competitive advantage, and SWOT translates the internal and external evidence into strategic questions (Barney, 1991; Ferreira, Fernandez and Ferreira, 2022). The analysis then examines alternative strategic options, and determines the environment in which it would be possible to </w:t>
      </w:r>
      <w:r>
        <w:rPr>
          <w:rFonts w:ascii="Arial" w:eastAsia="Times New Roman" w:hAnsi="Arial" w:cs="Arial"/>
          <w:sz w:val="24"/>
          <w:szCs w:val="24"/>
          <w:lang w:val="en-GB" w:eastAsia="en-GB"/>
        </w:rPr>
        <w:t>implement the proposed strategy</w:t>
      </w:r>
      <w:r w:rsidR="00993C8B" w:rsidRPr="00993C8B">
        <w:rPr>
          <w:rFonts w:ascii="Arial" w:eastAsia="Times New Roman" w:hAnsi="Arial" w:cs="Arial"/>
          <w:sz w:val="24"/>
          <w:szCs w:val="24"/>
          <w:lang w:val="en-GB" w:eastAsia="en-GB"/>
        </w:rPr>
        <w:t>.</w:t>
      </w:r>
    </w:p>
    <w:p w14:paraId="5C3093C9" w14:textId="77777777" w:rsidR="00572CAA" w:rsidRPr="00E86635" w:rsidRDefault="00572CAA" w:rsidP="00E2542F">
      <w:pPr>
        <w:pStyle w:val="Heading2"/>
        <w:rPr>
          <w:rFonts w:eastAsia="Times New Roman"/>
          <w:lang w:val="en-GB" w:eastAsia="en-GB"/>
        </w:rPr>
      </w:pPr>
      <w:bookmarkStart w:id="63" w:name="_Toc241167461"/>
      <w:r w:rsidRPr="00E86635">
        <w:rPr>
          <w:rFonts w:eastAsia="Times New Roman"/>
          <w:lang w:val="en-GB" w:eastAsia="en-GB"/>
        </w:rPr>
        <w:t>7.2 Internal Analysis Using VRIO</w:t>
      </w:r>
      <w:bookmarkEnd w:id="63"/>
    </w:p>
    <w:p w14:paraId="48B2DD0E" w14:textId="10FD0FA8" w:rsidR="00304B5F" w:rsidRPr="00E86635" w:rsidRDefault="00036444" w:rsidP="00E86635">
      <w:pPr>
        <w:spacing w:before="100" w:beforeAutospacing="1" w:after="100" w:afterAutospacing="1" w:line="360" w:lineRule="auto"/>
        <w:jc w:val="both"/>
        <w:rPr>
          <w:rFonts w:ascii="Arial" w:eastAsia="Times New Roman" w:hAnsi="Arial" w:cs="Arial"/>
          <w:sz w:val="24"/>
          <w:szCs w:val="24"/>
          <w:lang w:val="en-GB" w:eastAsia="en-GB"/>
        </w:rPr>
      </w:pPr>
      <w:r w:rsidRPr="00036444">
        <w:rPr>
          <w:rFonts w:ascii="Arial" w:eastAsia="Times New Roman" w:hAnsi="Arial" w:cs="Arial"/>
          <w:sz w:val="24"/>
          <w:szCs w:val="24"/>
          <w:lang w:val="en-GB" w:eastAsia="en-GB"/>
        </w:rPr>
        <w:t xml:space="preserve">The most strategically relevant resources are not general assets such as premises or coffee-making equipment, which can be acquired by competitors. </w:t>
      </w:r>
      <w:r w:rsidR="001C78C7" w:rsidRPr="001C78C7">
        <w:rPr>
          <w:rFonts w:ascii="Arial" w:eastAsia="Times New Roman" w:hAnsi="Arial" w:cs="Arial"/>
          <w:sz w:val="24"/>
          <w:szCs w:val="24"/>
          <w:lang w:val="en-GB" w:eastAsia="en-GB"/>
        </w:rPr>
        <w:t>Rather, the focus is on proposed ethical sourcing relationships, sustainability and traceability, brand proposition, customer relationships and integrated service experience.</w:t>
      </w:r>
    </w:p>
    <w:p w14:paraId="09DED77B" w14:textId="4E45A2CA" w:rsidR="00304B5F" w:rsidRPr="00E86635" w:rsidRDefault="00304B5F" w:rsidP="00E86635">
      <w:pPr>
        <w:pStyle w:val="Caption"/>
        <w:keepNext/>
        <w:spacing w:line="360" w:lineRule="auto"/>
        <w:jc w:val="both"/>
        <w:rPr>
          <w:rFonts w:ascii="Arial" w:hAnsi="Arial" w:cs="Arial"/>
          <w:sz w:val="24"/>
          <w:szCs w:val="24"/>
        </w:rPr>
      </w:pPr>
      <w:bookmarkStart w:id="64" w:name="_Toc241170843"/>
      <w:r w:rsidRPr="00E86635">
        <w:rPr>
          <w:rFonts w:ascii="Arial" w:hAnsi="Arial" w:cs="Arial"/>
          <w:sz w:val="24"/>
          <w:szCs w:val="24"/>
        </w:rPr>
        <w:lastRenderedPageBreak/>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1815EA">
        <w:rPr>
          <w:rFonts w:ascii="Arial" w:hAnsi="Arial" w:cs="Arial"/>
          <w:noProof/>
          <w:sz w:val="24"/>
          <w:szCs w:val="24"/>
        </w:rPr>
        <w:t>7</w:t>
      </w:r>
      <w:r w:rsidRPr="00E86635">
        <w:rPr>
          <w:rFonts w:ascii="Arial" w:hAnsi="Arial" w:cs="Arial"/>
          <w:sz w:val="24"/>
          <w:szCs w:val="24"/>
        </w:rPr>
        <w:fldChar w:fldCharType="end"/>
      </w:r>
      <w:r w:rsidRPr="00E86635">
        <w:rPr>
          <w:rFonts w:ascii="Arial" w:hAnsi="Arial" w:cs="Arial"/>
          <w:sz w:val="24"/>
          <w:szCs w:val="24"/>
        </w:rPr>
        <w:t>.: VRIO Analysis of The Ethical Bean Coffee House</w:t>
      </w:r>
      <w:bookmarkEnd w:id="64"/>
    </w:p>
    <w:tbl>
      <w:tblPr>
        <w:tblStyle w:val="TableGrid"/>
        <w:tblW w:w="0" w:type="auto"/>
        <w:tblLook w:val="04A0" w:firstRow="1" w:lastRow="0" w:firstColumn="1" w:lastColumn="0" w:noHBand="0" w:noVBand="1"/>
      </w:tblPr>
      <w:tblGrid>
        <w:gridCol w:w="2421"/>
        <w:gridCol w:w="618"/>
        <w:gridCol w:w="1293"/>
        <w:gridCol w:w="1293"/>
        <w:gridCol w:w="1553"/>
        <w:gridCol w:w="1838"/>
      </w:tblGrid>
      <w:tr w:rsidR="00952067" w:rsidRPr="00952067" w14:paraId="2716DF2F" w14:textId="77777777" w:rsidTr="00952067">
        <w:tc>
          <w:tcPr>
            <w:tcW w:w="2122" w:type="dxa"/>
          </w:tcPr>
          <w:p w14:paraId="2A4DA4D1" w14:textId="77777777" w:rsidR="00952067" w:rsidRPr="00952067" w:rsidRDefault="00952067" w:rsidP="00140358">
            <w:pPr>
              <w:spacing w:before="100" w:beforeAutospacing="1" w:after="100" w:afterAutospacing="1" w:line="360" w:lineRule="auto"/>
              <w:jc w:val="both"/>
              <w:rPr>
                <w:rFonts w:ascii="Arial" w:eastAsia="Times New Roman" w:hAnsi="Arial" w:cs="Arial"/>
                <w:b/>
                <w:sz w:val="24"/>
                <w:szCs w:val="24"/>
                <w:lang w:val="en-GB" w:eastAsia="en-GB"/>
              </w:rPr>
            </w:pPr>
            <w:r w:rsidRPr="00952067">
              <w:rPr>
                <w:rFonts w:ascii="Arial" w:eastAsia="Times New Roman" w:hAnsi="Arial" w:cs="Arial"/>
                <w:b/>
                <w:sz w:val="24"/>
                <w:szCs w:val="24"/>
                <w:lang w:val="en-GB" w:eastAsia="en-GB"/>
              </w:rPr>
              <w:t>Resource/capability</w:t>
            </w:r>
          </w:p>
        </w:tc>
        <w:tc>
          <w:tcPr>
            <w:tcW w:w="917" w:type="dxa"/>
          </w:tcPr>
          <w:p w14:paraId="7FB8B5A5" w14:textId="77777777" w:rsidR="00952067" w:rsidRPr="00952067" w:rsidRDefault="00952067" w:rsidP="00140358">
            <w:pPr>
              <w:spacing w:before="100" w:beforeAutospacing="1" w:after="100" w:afterAutospacing="1" w:line="360" w:lineRule="auto"/>
              <w:jc w:val="both"/>
              <w:rPr>
                <w:rFonts w:ascii="Arial" w:eastAsia="Times New Roman" w:hAnsi="Arial" w:cs="Arial"/>
                <w:b/>
                <w:sz w:val="24"/>
                <w:szCs w:val="24"/>
                <w:lang w:val="en-GB" w:eastAsia="en-GB"/>
              </w:rPr>
            </w:pPr>
            <w:r w:rsidRPr="00952067">
              <w:rPr>
                <w:rFonts w:ascii="Arial" w:eastAsia="Times New Roman" w:hAnsi="Arial" w:cs="Arial"/>
                <w:b/>
                <w:sz w:val="24"/>
                <w:szCs w:val="24"/>
                <w:lang w:val="en-GB" w:eastAsia="en-GB"/>
              </w:rPr>
              <w:t>V</w:t>
            </w:r>
          </w:p>
        </w:tc>
        <w:tc>
          <w:tcPr>
            <w:tcW w:w="1293" w:type="dxa"/>
          </w:tcPr>
          <w:p w14:paraId="6C1D8555" w14:textId="77777777" w:rsidR="00952067" w:rsidRPr="00952067" w:rsidRDefault="00952067" w:rsidP="00140358">
            <w:pPr>
              <w:spacing w:before="100" w:beforeAutospacing="1" w:after="100" w:afterAutospacing="1" w:line="360" w:lineRule="auto"/>
              <w:jc w:val="both"/>
              <w:rPr>
                <w:rFonts w:ascii="Arial" w:eastAsia="Times New Roman" w:hAnsi="Arial" w:cs="Arial"/>
                <w:b/>
                <w:sz w:val="24"/>
                <w:szCs w:val="24"/>
                <w:lang w:val="en-GB" w:eastAsia="en-GB"/>
              </w:rPr>
            </w:pPr>
            <w:r w:rsidRPr="00952067">
              <w:rPr>
                <w:rFonts w:ascii="Arial" w:eastAsia="Times New Roman" w:hAnsi="Arial" w:cs="Arial"/>
                <w:b/>
                <w:sz w:val="24"/>
                <w:szCs w:val="24"/>
                <w:lang w:val="en-GB" w:eastAsia="en-GB"/>
              </w:rPr>
              <w:t>R</w:t>
            </w:r>
          </w:p>
        </w:tc>
        <w:tc>
          <w:tcPr>
            <w:tcW w:w="1293" w:type="dxa"/>
          </w:tcPr>
          <w:p w14:paraId="4390FA9A" w14:textId="77777777" w:rsidR="00952067" w:rsidRPr="00952067" w:rsidRDefault="00952067" w:rsidP="00140358">
            <w:pPr>
              <w:spacing w:before="100" w:beforeAutospacing="1" w:after="100" w:afterAutospacing="1" w:line="360" w:lineRule="auto"/>
              <w:jc w:val="both"/>
              <w:rPr>
                <w:rFonts w:ascii="Arial" w:eastAsia="Times New Roman" w:hAnsi="Arial" w:cs="Arial"/>
                <w:b/>
                <w:sz w:val="24"/>
                <w:szCs w:val="24"/>
                <w:lang w:val="en-GB" w:eastAsia="en-GB"/>
              </w:rPr>
            </w:pPr>
            <w:r w:rsidRPr="00952067">
              <w:rPr>
                <w:rFonts w:ascii="Arial" w:eastAsia="Times New Roman" w:hAnsi="Arial" w:cs="Arial"/>
                <w:b/>
                <w:sz w:val="24"/>
                <w:szCs w:val="24"/>
                <w:lang w:val="en-GB" w:eastAsia="en-GB"/>
              </w:rPr>
              <w:t>I</w:t>
            </w:r>
          </w:p>
        </w:tc>
        <w:tc>
          <w:tcPr>
            <w:tcW w:w="1553" w:type="dxa"/>
          </w:tcPr>
          <w:p w14:paraId="2BEAAF00" w14:textId="77777777" w:rsidR="00952067" w:rsidRPr="00952067" w:rsidRDefault="00952067" w:rsidP="00140358">
            <w:pPr>
              <w:spacing w:before="100" w:beforeAutospacing="1" w:after="100" w:afterAutospacing="1" w:line="360" w:lineRule="auto"/>
              <w:jc w:val="both"/>
              <w:rPr>
                <w:rFonts w:ascii="Arial" w:eastAsia="Times New Roman" w:hAnsi="Arial" w:cs="Arial"/>
                <w:b/>
                <w:sz w:val="24"/>
                <w:szCs w:val="24"/>
                <w:lang w:val="en-GB" w:eastAsia="en-GB"/>
              </w:rPr>
            </w:pPr>
            <w:r w:rsidRPr="00952067">
              <w:rPr>
                <w:rFonts w:ascii="Arial" w:eastAsia="Times New Roman" w:hAnsi="Arial" w:cs="Arial"/>
                <w:b/>
                <w:sz w:val="24"/>
                <w:szCs w:val="24"/>
                <w:lang w:val="en-GB" w:eastAsia="en-GB"/>
              </w:rPr>
              <w:t>O</w:t>
            </w:r>
          </w:p>
        </w:tc>
        <w:tc>
          <w:tcPr>
            <w:tcW w:w="1838" w:type="dxa"/>
          </w:tcPr>
          <w:p w14:paraId="654870A9" w14:textId="77777777" w:rsidR="00952067" w:rsidRPr="00952067" w:rsidRDefault="00952067" w:rsidP="00140358">
            <w:pPr>
              <w:spacing w:before="100" w:beforeAutospacing="1" w:after="100" w:afterAutospacing="1" w:line="360" w:lineRule="auto"/>
              <w:jc w:val="both"/>
              <w:rPr>
                <w:rFonts w:ascii="Arial" w:eastAsia="Times New Roman" w:hAnsi="Arial" w:cs="Arial"/>
                <w:b/>
                <w:sz w:val="24"/>
                <w:szCs w:val="24"/>
                <w:lang w:val="en-GB" w:eastAsia="en-GB"/>
              </w:rPr>
            </w:pPr>
            <w:r w:rsidRPr="00952067">
              <w:rPr>
                <w:rFonts w:ascii="Arial" w:eastAsia="Times New Roman" w:hAnsi="Arial" w:cs="Arial"/>
                <w:b/>
                <w:sz w:val="24"/>
                <w:szCs w:val="24"/>
                <w:lang w:val="en-GB" w:eastAsia="en-GB"/>
              </w:rPr>
              <w:t>Strategic implication</w:t>
            </w:r>
          </w:p>
        </w:tc>
      </w:tr>
      <w:tr w:rsidR="00952067" w:rsidRPr="00952067" w14:paraId="64F3D138" w14:textId="77777777" w:rsidTr="00952067">
        <w:tc>
          <w:tcPr>
            <w:tcW w:w="2122" w:type="dxa"/>
          </w:tcPr>
          <w:p w14:paraId="337CD51B"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Ethical and transparent sourcing</w:t>
            </w:r>
          </w:p>
        </w:tc>
        <w:tc>
          <w:tcPr>
            <w:tcW w:w="917" w:type="dxa"/>
          </w:tcPr>
          <w:p w14:paraId="57084E24"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Yes</w:t>
            </w:r>
          </w:p>
        </w:tc>
        <w:tc>
          <w:tcPr>
            <w:tcW w:w="1293" w:type="dxa"/>
          </w:tcPr>
          <w:p w14:paraId="74AA930B"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Partly</w:t>
            </w:r>
          </w:p>
        </w:tc>
        <w:tc>
          <w:tcPr>
            <w:tcW w:w="1293" w:type="dxa"/>
          </w:tcPr>
          <w:p w14:paraId="4ED7F047"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Partly</w:t>
            </w:r>
          </w:p>
        </w:tc>
        <w:tc>
          <w:tcPr>
            <w:tcW w:w="1553" w:type="dxa"/>
          </w:tcPr>
          <w:p w14:paraId="4D29A132"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Not yet fully</w:t>
            </w:r>
          </w:p>
        </w:tc>
        <w:tc>
          <w:tcPr>
            <w:tcW w:w="1838" w:type="dxa"/>
          </w:tcPr>
          <w:p w14:paraId="5119C6FE"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 temporary advantage if successfully developed and embedded</w:t>
            </w:r>
          </w:p>
        </w:tc>
      </w:tr>
      <w:tr w:rsidR="00952067" w:rsidRPr="00952067" w14:paraId="22208D3B" w14:textId="77777777" w:rsidTr="00952067">
        <w:tc>
          <w:tcPr>
            <w:tcW w:w="2122" w:type="dxa"/>
          </w:tcPr>
          <w:p w14:paraId="78AE2E1A"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Sustainability practices and traceability</w:t>
            </w:r>
          </w:p>
        </w:tc>
        <w:tc>
          <w:tcPr>
            <w:tcW w:w="917" w:type="dxa"/>
          </w:tcPr>
          <w:p w14:paraId="4D2B96B4"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Yes</w:t>
            </w:r>
          </w:p>
        </w:tc>
        <w:tc>
          <w:tcPr>
            <w:tcW w:w="1293" w:type="dxa"/>
          </w:tcPr>
          <w:p w14:paraId="1C414997"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Partly</w:t>
            </w:r>
          </w:p>
        </w:tc>
        <w:tc>
          <w:tcPr>
            <w:tcW w:w="1293" w:type="dxa"/>
          </w:tcPr>
          <w:p w14:paraId="0FB0E34D"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Partly</w:t>
            </w:r>
          </w:p>
        </w:tc>
        <w:tc>
          <w:tcPr>
            <w:tcW w:w="1553" w:type="dxa"/>
          </w:tcPr>
          <w:p w14:paraId="100CB25B"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Developable</w:t>
            </w:r>
          </w:p>
        </w:tc>
        <w:tc>
          <w:tcPr>
            <w:tcW w:w="1838" w:type="dxa"/>
          </w:tcPr>
          <w:p w14:paraId="5222F512"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 advantage if developed and organisationally embedded</w:t>
            </w:r>
          </w:p>
        </w:tc>
      </w:tr>
      <w:tr w:rsidR="00952067" w:rsidRPr="00952067" w14:paraId="43E6A547" w14:textId="77777777" w:rsidTr="00952067">
        <w:tc>
          <w:tcPr>
            <w:tcW w:w="2122" w:type="dxa"/>
          </w:tcPr>
          <w:p w14:paraId="55D6D42B"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Specialty coffee quality</w:t>
            </w:r>
          </w:p>
        </w:tc>
        <w:tc>
          <w:tcPr>
            <w:tcW w:w="917" w:type="dxa"/>
          </w:tcPr>
          <w:p w14:paraId="2D965741"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Yes</w:t>
            </w:r>
          </w:p>
        </w:tc>
        <w:tc>
          <w:tcPr>
            <w:tcW w:w="1293" w:type="dxa"/>
          </w:tcPr>
          <w:p w14:paraId="7B9E2616"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No</w:t>
            </w:r>
          </w:p>
        </w:tc>
        <w:tc>
          <w:tcPr>
            <w:tcW w:w="1293" w:type="dxa"/>
          </w:tcPr>
          <w:p w14:paraId="7D281326"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No</w:t>
            </w:r>
          </w:p>
        </w:tc>
        <w:tc>
          <w:tcPr>
            <w:tcW w:w="1553" w:type="dxa"/>
          </w:tcPr>
          <w:p w14:paraId="05738E12"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Yes</w:t>
            </w:r>
          </w:p>
        </w:tc>
        <w:tc>
          <w:tcPr>
            <w:tcW w:w="1838" w:type="dxa"/>
          </w:tcPr>
          <w:p w14:paraId="3D1E065B"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Competitive parity</w:t>
            </w:r>
          </w:p>
        </w:tc>
      </w:tr>
      <w:tr w:rsidR="00952067" w:rsidRPr="00952067" w14:paraId="5A85B15D" w14:textId="77777777" w:rsidTr="00952067">
        <w:tc>
          <w:tcPr>
            <w:tcW w:w="2122" w:type="dxa"/>
          </w:tcPr>
          <w:p w14:paraId="025F74EE"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Customer experience and personalised service</w:t>
            </w:r>
          </w:p>
        </w:tc>
        <w:tc>
          <w:tcPr>
            <w:tcW w:w="917" w:type="dxa"/>
          </w:tcPr>
          <w:p w14:paraId="231583AA"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Yes</w:t>
            </w:r>
          </w:p>
        </w:tc>
        <w:tc>
          <w:tcPr>
            <w:tcW w:w="1293" w:type="dxa"/>
          </w:tcPr>
          <w:p w14:paraId="0B68C2E4"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Partly</w:t>
            </w:r>
          </w:p>
        </w:tc>
        <w:tc>
          <w:tcPr>
            <w:tcW w:w="1293" w:type="dxa"/>
          </w:tcPr>
          <w:p w14:paraId="4D095CCD"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Partly</w:t>
            </w:r>
          </w:p>
        </w:tc>
        <w:tc>
          <w:tcPr>
            <w:tcW w:w="1553" w:type="dxa"/>
          </w:tcPr>
          <w:p w14:paraId="7B39F23F"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Developable</w:t>
            </w:r>
          </w:p>
        </w:tc>
        <w:tc>
          <w:tcPr>
            <w:tcW w:w="1838" w:type="dxa"/>
          </w:tcPr>
          <w:p w14:paraId="790F498D"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 temporary advantage if successfully developed</w:t>
            </w:r>
          </w:p>
        </w:tc>
      </w:tr>
      <w:tr w:rsidR="00952067" w:rsidRPr="00952067" w14:paraId="7AC7D646" w14:textId="77777777" w:rsidTr="00952067">
        <w:tc>
          <w:tcPr>
            <w:tcW w:w="2122" w:type="dxa"/>
          </w:tcPr>
          <w:p w14:paraId="55F22276"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Ethical Bean brand identity</w:t>
            </w:r>
          </w:p>
        </w:tc>
        <w:tc>
          <w:tcPr>
            <w:tcW w:w="917" w:type="dxa"/>
          </w:tcPr>
          <w:p w14:paraId="4520F55D"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Yes</w:t>
            </w:r>
          </w:p>
        </w:tc>
        <w:tc>
          <w:tcPr>
            <w:tcW w:w="1293" w:type="dxa"/>
          </w:tcPr>
          <w:p w14:paraId="1C71CB3A"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Potentially</w:t>
            </w:r>
          </w:p>
        </w:tc>
        <w:tc>
          <w:tcPr>
            <w:tcW w:w="1293" w:type="dxa"/>
          </w:tcPr>
          <w:p w14:paraId="548E2CC3"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Potentially</w:t>
            </w:r>
          </w:p>
        </w:tc>
        <w:tc>
          <w:tcPr>
            <w:tcW w:w="1553" w:type="dxa"/>
          </w:tcPr>
          <w:p w14:paraId="6D58139F"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Not yet established</w:t>
            </w:r>
          </w:p>
        </w:tc>
        <w:tc>
          <w:tcPr>
            <w:tcW w:w="1838" w:type="dxa"/>
          </w:tcPr>
          <w:p w14:paraId="66F5B258"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 future advantage</w:t>
            </w:r>
          </w:p>
        </w:tc>
      </w:tr>
      <w:tr w:rsidR="00952067" w:rsidRPr="00952067" w14:paraId="0C460CD5" w14:textId="77777777" w:rsidTr="00952067">
        <w:tc>
          <w:tcPr>
            <w:tcW w:w="2122" w:type="dxa"/>
          </w:tcPr>
          <w:p w14:paraId="5F742261"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Supplier/customer relationships</w:t>
            </w:r>
          </w:p>
        </w:tc>
        <w:tc>
          <w:tcPr>
            <w:tcW w:w="917" w:type="dxa"/>
          </w:tcPr>
          <w:p w14:paraId="0557D343"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Yes</w:t>
            </w:r>
          </w:p>
        </w:tc>
        <w:tc>
          <w:tcPr>
            <w:tcW w:w="1293" w:type="dxa"/>
          </w:tcPr>
          <w:p w14:paraId="155053A9"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Potentially</w:t>
            </w:r>
          </w:p>
        </w:tc>
        <w:tc>
          <w:tcPr>
            <w:tcW w:w="1293" w:type="dxa"/>
          </w:tcPr>
          <w:p w14:paraId="45A63537"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Potentially</w:t>
            </w:r>
          </w:p>
        </w:tc>
        <w:tc>
          <w:tcPr>
            <w:tcW w:w="1553" w:type="dxa"/>
          </w:tcPr>
          <w:p w14:paraId="14544903"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Dependent on development</w:t>
            </w:r>
          </w:p>
        </w:tc>
        <w:tc>
          <w:tcPr>
            <w:tcW w:w="1838" w:type="dxa"/>
          </w:tcPr>
          <w:p w14:paraId="0081BD41" w14:textId="77777777" w:rsidR="00952067" w:rsidRPr="00952067" w:rsidRDefault="00952067" w:rsidP="00140358">
            <w:pPr>
              <w:spacing w:before="100" w:beforeAutospacing="1" w:after="100" w:afterAutospacing="1" w:line="360" w:lineRule="auto"/>
              <w:jc w:val="both"/>
              <w:rPr>
                <w:rFonts w:ascii="Arial" w:eastAsia="Times New Roman" w:hAnsi="Arial" w:cs="Arial"/>
                <w:sz w:val="24"/>
                <w:szCs w:val="24"/>
                <w:lang w:val="en-GB" w:eastAsia="en-GB"/>
              </w:rPr>
            </w:pPr>
            <w:r w:rsidRPr="00952067">
              <w:rPr>
                <w:rFonts w:ascii="Arial" w:eastAsia="Times New Roman" w:hAnsi="Arial" w:cs="Arial"/>
                <w:sz w:val="24"/>
                <w:szCs w:val="24"/>
                <w:lang w:val="en-GB" w:eastAsia="en-GB"/>
              </w:rPr>
              <w:t>Potential future advantage, dependent on development</w:t>
            </w:r>
          </w:p>
        </w:tc>
      </w:tr>
    </w:tbl>
    <w:p w14:paraId="11F4A988" w14:textId="06993B63"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Source:</w:t>
      </w:r>
      <w:r w:rsidRPr="00E86635">
        <w:rPr>
          <w:rFonts w:ascii="Arial" w:eastAsia="Times New Roman" w:hAnsi="Arial" w:cs="Arial"/>
          <w:sz w:val="24"/>
          <w:szCs w:val="24"/>
          <w:lang w:val="en-GB" w:eastAsia="en-GB"/>
        </w:rPr>
        <w:t xml:space="preserve"> </w:t>
      </w:r>
      <w:r w:rsidR="00952067" w:rsidRPr="00952067">
        <w:rPr>
          <w:rFonts w:ascii="Arial" w:eastAsia="Times New Roman" w:hAnsi="Arial" w:cs="Arial"/>
          <w:sz w:val="24"/>
          <w:szCs w:val="24"/>
          <w:lang w:val="en-GB" w:eastAsia="en-GB"/>
        </w:rPr>
        <w:t>Researcher's analysis based on the findings of Chapters 5 and 6, informed by</w:t>
      </w:r>
      <w:r w:rsidR="00952067">
        <w:rPr>
          <w:rFonts w:ascii="Arial" w:eastAsia="Times New Roman" w:hAnsi="Arial" w:cs="Arial"/>
          <w:sz w:val="24"/>
          <w:szCs w:val="24"/>
          <w:lang w:val="en-GB" w:eastAsia="en-GB"/>
        </w:rPr>
        <w:t xml:space="preserve"> Barney's (1991) VRIO framework</w:t>
      </w:r>
      <w:r w:rsidRPr="00E86635">
        <w:rPr>
          <w:rFonts w:ascii="Arial" w:eastAsia="Times New Roman" w:hAnsi="Arial" w:cs="Arial"/>
          <w:sz w:val="24"/>
          <w:szCs w:val="24"/>
          <w:lang w:val="en-GB" w:eastAsia="en-GB"/>
        </w:rPr>
        <w:t>.</w:t>
      </w:r>
    </w:p>
    <w:p w14:paraId="343D8E7B" w14:textId="77777777" w:rsidR="009A06B6" w:rsidRPr="009A06B6" w:rsidRDefault="009A06B6" w:rsidP="009A06B6">
      <w:pPr>
        <w:spacing w:before="100" w:beforeAutospacing="1" w:after="100" w:afterAutospacing="1" w:line="360" w:lineRule="auto"/>
        <w:jc w:val="both"/>
        <w:rPr>
          <w:rFonts w:ascii="Arial" w:eastAsia="Times New Roman" w:hAnsi="Arial" w:cs="Arial"/>
          <w:sz w:val="24"/>
          <w:szCs w:val="24"/>
          <w:lang w:val="en-GB" w:eastAsia="en-GB"/>
        </w:rPr>
      </w:pPr>
      <w:r w:rsidRPr="009A06B6">
        <w:rPr>
          <w:rFonts w:ascii="Arial" w:eastAsia="Times New Roman" w:hAnsi="Arial" w:cs="Arial"/>
          <w:sz w:val="24"/>
          <w:szCs w:val="24"/>
          <w:lang w:val="en-GB" w:eastAsia="en-GB"/>
        </w:rPr>
        <w:t xml:space="preserve">What is special about specialty coffee quality is that its value is derived from the customers' expectation of product quality and experience—even though it is not uncommon in today's competitive environment. Product quality alone is not a </w:t>
      </w:r>
      <w:r w:rsidRPr="009A06B6">
        <w:rPr>
          <w:rFonts w:ascii="Arial" w:eastAsia="Times New Roman" w:hAnsi="Arial" w:cs="Arial"/>
          <w:sz w:val="24"/>
          <w:szCs w:val="24"/>
          <w:lang w:val="en-GB" w:eastAsia="en-GB"/>
        </w:rPr>
        <w:lastRenderedPageBreak/>
        <w:t xml:space="preserve">distinguishing factor for TEBC, since quality is already a competitive point between Monmouth Coffee Company and </w:t>
      </w:r>
      <w:proofErr w:type="spellStart"/>
      <w:r w:rsidRPr="009A06B6">
        <w:rPr>
          <w:rFonts w:ascii="Arial" w:eastAsia="Times New Roman" w:hAnsi="Arial" w:cs="Arial"/>
          <w:sz w:val="24"/>
          <w:szCs w:val="24"/>
          <w:lang w:val="en-GB" w:eastAsia="en-GB"/>
        </w:rPr>
        <w:t>WatchHouse</w:t>
      </w:r>
      <w:proofErr w:type="spellEnd"/>
      <w:r w:rsidRPr="009A06B6">
        <w:rPr>
          <w:rFonts w:ascii="Arial" w:eastAsia="Times New Roman" w:hAnsi="Arial" w:cs="Arial"/>
          <w:sz w:val="24"/>
          <w:szCs w:val="24"/>
          <w:lang w:val="en-GB" w:eastAsia="en-GB"/>
        </w:rPr>
        <w:t>. As well, sustainability is also growing in the coffee industry and doesn't have to be the rare thing.</w:t>
      </w:r>
    </w:p>
    <w:p w14:paraId="388FD1B6" w14:textId="77777777" w:rsidR="009A06B6" w:rsidRPr="009A06B6" w:rsidRDefault="009A06B6" w:rsidP="009A06B6">
      <w:pPr>
        <w:spacing w:before="100" w:beforeAutospacing="1" w:after="100" w:afterAutospacing="1" w:line="360" w:lineRule="auto"/>
        <w:jc w:val="both"/>
        <w:rPr>
          <w:rFonts w:ascii="Arial" w:eastAsia="Times New Roman" w:hAnsi="Arial" w:cs="Arial"/>
          <w:sz w:val="24"/>
          <w:szCs w:val="24"/>
          <w:lang w:val="en-GB" w:eastAsia="en-GB"/>
        </w:rPr>
      </w:pPr>
      <w:r w:rsidRPr="009A06B6">
        <w:rPr>
          <w:rFonts w:ascii="Arial" w:eastAsia="Times New Roman" w:hAnsi="Arial" w:cs="Arial"/>
          <w:sz w:val="24"/>
          <w:szCs w:val="24"/>
          <w:lang w:val="en-GB" w:eastAsia="en-GB"/>
        </w:rPr>
        <w:t>TEBC is a new enterprise with no brand, supplier network or operating history either. These capabilities are therefore suggested, not existing resources, and are not yet considered to be sources of sustained competitive advantage. The strategic value will be based on the ability of TEBC to develop, organize and integrate them effectively.</w:t>
      </w:r>
    </w:p>
    <w:p w14:paraId="69992D9F" w14:textId="5230FAC2" w:rsidR="00572CAA" w:rsidRPr="00E86635" w:rsidRDefault="009A06B6" w:rsidP="009A06B6">
      <w:pPr>
        <w:spacing w:before="100" w:beforeAutospacing="1" w:after="100" w:afterAutospacing="1" w:line="360" w:lineRule="auto"/>
        <w:jc w:val="both"/>
        <w:rPr>
          <w:rFonts w:ascii="Arial" w:eastAsia="Times New Roman" w:hAnsi="Arial" w:cs="Arial"/>
          <w:sz w:val="24"/>
          <w:szCs w:val="24"/>
          <w:lang w:val="en-GB" w:eastAsia="en-GB"/>
        </w:rPr>
      </w:pPr>
      <w:r w:rsidRPr="009A06B6">
        <w:rPr>
          <w:rFonts w:ascii="Arial" w:eastAsia="Times New Roman" w:hAnsi="Arial" w:cs="Arial"/>
          <w:sz w:val="24"/>
          <w:szCs w:val="24"/>
          <w:lang w:val="en-GB" w:eastAsia="en-GB"/>
        </w:rPr>
        <w:t>Organisational readiness is thus the chief VRIO constraint. However, before these capabilities can help to drive competitive advantage, TEBC will require credible ethical suppliers, traceability systems, trained baristas, service standards, sustainability procedures, digita</w:t>
      </w:r>
      <w:r>
        <w:rPr>
          <w:rFonts w:ascii="Arial" w:eastAsia="Times New Roman" w:hAnsi="Arial" w:cs="Arial"/>
          <w:sz w:val="24"/>
          <w:szCs w:val="24"/>
          <w:lang w:val="en-GB" w:eastAsia="en-GB"/>
        </w:rPr>
        <w:t>l systems, and adequate funding</w:t>
      </w:r>
      <w:r w:rsidR="001A0C2E" w:rsidRPr="00E86635">
        <w:rPr>
          <w:rFonts w:ascii="Arial" w:eastAsia="Times New Roman" w:hAnsi="Arial" w:cs="Arial"/>
          <w:sz w:val="24"/>
          <w:szCs w:val="24"/>
          <w:lang w:val="en-GB" w:eastAsia="en-GB"/>
        </w:rPr>
        <w:t xml:space="preserve">. </w:t>
      </w:r>
    </w:p>
    <w:p w14:paraId="34782818" w14:textId="77777777" w:rsidR="00572CAA" w:rsidRPr="00E86635" w:rsidRDefault="00572CAA" w:rsidP="00E2542F">
      <w:pPr>
        <w:pStyle w:val="Heading2"/>
        <w:rPr>
          <w:rFonts w:eastAsia="Times New Roman"/>
          <w:lang w:val="en-GB" w:eastAsia="en-GB"/>
        </w:rPr>
      </w:pPr>
      <w:bookmarkStart w:id="65" w:name="_Toc241167462"/>
      <w:r w:rsidRPr="00E86635">
        <w:rPr>
          <w:rFonts w:eastAsia="Times New Roman"/>
          <w:lang w:val="en-GB" w:eastAsia="en-GB"/>
        </w:rPr>
        <w:t>7.3 SWOT and Strategic Issues</w:t>
      </w:r>
      <w:bookmarkEnd w:id="65"/>
    </w:p>
    <w:p w14:paraId="4BC7DE10" w14:textId="7302266A" w:rsidR="00183A1B" w:rsidRPr="00E86635" w:rsidRDefault="00572CAA"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evidence produces a focused SWOT:</w:t>
      </w:r>
    </w:p>
    <w:p w14:paraId="3E574365" w14:textId="013BF043" w:rsidR="00183A1B" w:rsidRPr="00E86635" w:rsidRDefault="00183A1B" w:rsidP="00E86635">
      <w:pPr>
        <w:pStyle w:val="Caption"/>
        <w:keepNext/>
        <w:spacing w:line="360" w:lineRule="auto"/>
        <w:jc w:val="both"/>
        <w:rPr>
          <w:rFonts w:ascii="Arial" w:hAnsi="Arial" w:cs="Arial"/>
          <w:sz w:val="24"/>
          <w:szCs w:val="24"/>
        </w:rPr>
      </w:pPr>
      <w:bookmarkStart w:id="66" w:name="_Toc241170844"/>
      <w:r w:rsidRPr="00E86635">
        <w:rPr>
          <w:rFonts w:ascii="Arial" w:hAnsi="Arial" w:cs="Arial"/>
          <w:sz w:val="24"/>
          <w:szCs w:val="24"/>
        </w:rPr>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1815EA">
        <w:rPr>
          <w:rFonts w:ascii="Arial" w:hAnsi="Arial" w:cs="Arial"/>
          <w:noProof/>
          <w:sz w:val="24"/>
          <w:szCs w:val="24"/>
        </w:rPr>
        <w:t>8</w:t>
      </w:r>
      <w:r w:rsidRPr="00E86635">
        <w:rPr>
          <w:rFonts w:ascii="Arial" w:hAnsi="Arial" w:cs="Arial"/>
          <w:sz w:val="24"/>
          <w:szCs w:val="24"/>
        </w:rPr>
        <w:fldChar w:fldCharType="end"/>
      </w:r>
      <w:r w:rsidRPr="00E86635">
        <w:rPr>
          <w:rFonts w:ascii="Arial" w:hAnsi="Arial" w:cs="Arial"/>
          <w:sz w:val="24"/>
          <w:szCs w:val="24"/>
        </w:rPr>
        <w:t>: SWOT Analysis of The Ethical Bean Coffee House</w:t>
      </w:r>
      <w:bookmarkEnd w:id="66"/>
    </w:p>
    <w:tbl>
      <w:tblPr>
        <w:tblStyle w:val="TableGrid"/>
        <w:tblW w:w="0" w:type="auto"/>
        <w:tblLook w:val="04A0" w:firstRow="1" w:lastRow="0" w:firstColumn="1" w:lastColumn="0" w:noHBand="0" w:noVBand="1"/>
      </w:tblPr>
      <w:tblGrid>
        <w:gridCol w:w="4508"/>
        <w:gridCol w:w="4508"/>
      </w:tblGrid>
      <w:tr w:rsidR="00183A1B" w:rsidRPr="00E86635" w14:paraId="17E0737B" w14:textId="77777777" w:rsidTr="00183A1B">
        <w:tc>
          <w:tcPr>
            <w:tcW w:w="4508" w:type="dxa"/>
          </w:tcPr>
          <w:p w14:paraId="174AD846"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Strengths</w:t>
            </w:r>
          </w:p>
        </w:tc>
        <w:tc>
          <w:tcPr>
            <w:tcW w:w="4508" w:type="dxa"/>
          </w:tcPr>
          <w:p w14:paraId="2D57AEFA"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Weaknesses</w:t>
            </w:r>
          </w:p>
        </w:tc>
      </w:tr>
      <w:tr w:rsidR="00183A1B" w:rsidRPr="00E86635" w14:paraId="53BEB0FE" w14:textId="77777777" w:rsidTr="00183A1B">
        <w:tc>
          <w:tcPr>
            <w:tcW w:w="4508" w:type="dxa"/>
          </w:tcPr>
          <w:p w14:paraId="18BAF42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Clear ethical and sustainability orientation</w:t>
            </w:r>
          </w:p>
        </w:tc>
        <w:tc>
          <w:tcPr>
            <w:tcW w:w="4508" w:type="dxa"/>
          </w:tcPr>
          <w:p w14:paraId="5736288E"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New and unproven brand</w:t>
            </w:r>
          </w:p>
        </w:tc>
      </w:tr>
      <w:tr w:rsidR="00183A1B" w:rsidRPr="00E86635" w14:paraId="7B365735" w14:textId="77777777" w:rsidTr="00183A1B">
        <w:tc>
          <w:tcPr>
            <w:tcW w:w="4508" w:type="dxa"/>
          </w:tcPr>
          <w:p w14:paraId="5598DF35" w14:textId="218FBB66" w:rsidR="00183A1B" w:rsidRPr="00E86635" w:rsidRDefault="007212B5" w:rsidP="00E86635">
            <w:pPr>
              <w:spacing w:before="100" w:beforeAutospacing="1" w:after="100" w:afterAutospacing="1" w:line="360" w:lineRule="auto"/>
              <w:jc w:val="both"/>
              <w:rPr>
                <w:rFonts w:ascii="Arial" w:eastAsia="Times New Roman" w:hAnsi="Arial" w:cs="Arial"/>
                <w:sz w:val="24"/>
                <w:szCs w:val="24"/>
                <w:lang w:val="en-GB" w:eastAsia="en-GB"/>
              </w:rPr>
            </w:pPr>
            <w:r w:rsidRPr="007212B5">
              <w:rPr>
                <w:rFonts w:ascii="Arial" w:eastAsia="Times New Roman" w:hAnsi="Arial" w:cs="Arial"/>
                <w:sz w:val="24"/>
                <w:szCs w:val="24"/>
                <w:lang w:val="en-GB" w:eastAsia="en-GB"/>
              </w:rPr>
              <w:t>Potentially distinctive sourcing transparency</w:t>
            </w:r>
          </w:p>
        </w:tc>
        <w:tc>
          <w:tcPr>
            <w:tcW w:w="4508" w:type="dxa"/>
          </w:tcPr>
          <w:p w14:paraId="64B7D369"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Limited economies of scale</w:t>
            </w:r>
          </w:p>
        </w:tc>
      </w:tr>
      <w:tr w:rsidR="00183A1B" w:rsidRPr="00E86635" w14:paraId="33EAF391" w14:textId="77777777" w:rsidTr="00183A1B">
        <w:tc>
          <w:tcPr>
            <w:tcW w:w="4508" w:type="dxa"/>
          </w:tcPr>
          <w:p w14:paraId="6EBC73F4"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Specialty-quality coffee proposition</w:t>
            </w:r>
          </w:p>
        </w:tc>
        <w:tc>
          <w:tcPr>
            <w:tcW w:w="4508" w:type="dxa"/>
          </w:tcPr>
          <w:p w14:paraId="4EB94077"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 established customer loyalty</w:t>
            </w:r>
          </w:p>
        </w:tc>
      </w:tr>
      <w:tr w:rsidR="00183A1B" w:rsidRPr="00E86635" w14:paraId="0E42C31F" w14:textId="77777777" w:rsidTr="00183A1B">
        <w:tc>
          <w:tcPr>
            <w:tcW w:w="4508" w:type="dxa"/>
          </w:tcPr>
          <w:p w14:paraId="578ECF73"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Ability to design customer experience from inception</w:t>
            </w:r>
          </w:p>
        </w:tc>
        <w:tc>
          <w:tcPr>
            <w:tcW w:w="4508" w:type="dxa"/>
          </w:tcPr>
          <w:p w14:paraId="1CB95D73"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Dependence on external suppliers</w:t>
            </w:r>
          </w:p>
        </w:tc>
      </w:tr>
      <w:tr w:rsidR="00183A1B" w:rsidRPr="00E86635" w14:paraId="053A0A46" w14:textId="77777777" w:rsidTr="00183A1B">
        <w:tc>
          <w:tcPr>
            <w:tcW w:w="4508" w:type="dxa"/>
          </w:tcPr>
          <w:p w14:paraId="32443489"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Flexible independent operating model</w:t>
            </w:r>
          </w:p>
        </w:tc>
        <w:tc>
          <w:tcPr>
            <w:tcW w:w="4508" w:type="dxa"/>
          </w:tcPr>
          <w:p w14:paraId="7DA02F0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Limited financial and organisational resources</w:t>
            </w:r>
          </w:p>
        </w:tc>
      </w:tr>
      <w:tr w:rsidR="00183A1B" w:rsidRPr="00E86635" w14:paraId="70D816E1" w14:textId="77777777" w:rsidTr="00183A1B">
        <w:tc>
          <w:tcPr>
            <w:tcW w:w="4508" w:type="dxa"/>
          </w:tcPr>
          <w:p w14:paraId="1EA8DF59"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Opportunities</w:t>
            </w:r>
          </w:p>
        </w:tc>
        <w:tc>
          <w:tcPr>
            <w:tcW w:w="4508" w:type="dxa"/>
          </w:tcPr>
          <w:p w14:paraId="4F8D0A7C"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Threats</w:t>
            </w:r>
          </w:p>
        </w:tc>
      </w:tr>
      <w:tr w:rsidR="00183A1B" w:rsidRPr="00E86635" w14:paraId="6E8EB7FE" w14:textId="77777777" w:rsidTr="00183A1B">
        <w:tc>
          <w:tcPr>
            <w:tcW w:w="4508" w:type="dxa"/>
          </w:tcPr>
          <w:p w14:paraId="2CF29BCB"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Continuing UK coffee-shop market growth</w:t>
            </w:r>
          </w:p>
        </w:tc>
        <w:tc>
          <w:tcPr>
            <w:tcW w:w="4508" w:type="dxa"/>
          </w:tcPr>
          <w:p w14:paraId="724F7D81"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Strong local specialty competitors</w:t>
            </w:r>
          </w:p>
        </w:tc>
      </w:tr>
      <w:tr w:rsidR="00183A1B" w:rsidRPr="00E86635" w14:paraId="48E18D3C" w14:textId="77777777" w:rsidTr="00183A1B">
        <w:tc>
          <w:tcPr>
            <w:tcW w:w="4508" w:type="dxa"/>
          </w:tcPr>
          <w:p w14:paraId="74358E78"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Demand for quality, hospitality and experience</w:t>
            </w:r>
          </w:p>
        </w:tc>
        <w:tc>
          <w:tcPr>
            <w:tcW w:w="4508" w:type="dxa"/>
          </w:tcPr>
          <w:p w14:paraId="45A793E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 buyer switching power</w:t>
            </w:r>
          </w:p>
        </w:tc>
      </w:tr>
      <w:tr w:rsidR="00183A1B" w:rsidRPr="00E86635" w14:paraId="662F48C7" w14:textId="77777777" w:rsidTr="00183A1B">
        <w:tc>
          <w:tcPr>
            <w:tcW w:w="4508" w:type="dxa"/>
          </w:tcPr>
          <w:p w14:paraId="0FF416DC"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lastRenderedPageBreak/>
              <w:t>Consumer interest in ethical consumption</w:t>
            </w:r>
          </w:p>
        </w:tc>
        <w:tc>
          <w:tcPr>
            <w:tcW w:w="4508" w:type="dxa"/>
          </w:tcPr>
          <w:p w14:paraId="221DA428"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Strong substitutes, including home coffee</w:t>
            </w:r>
          </w:p>
        </w:tc>
      </w:tr>
      <w:tr w:rsidR="00183A1B" w:rsidRPr="00E86635" w14:paraId="0978C125" w14:textId="77777777" w:rsidTr="00183A1B">
        <w:tc>
          <w:tcPr>
            <w:tcW w:w="4508" w:type="dxa"/>
          </w:tcPr>
          <w:p w14:paraId="3F07E79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Growth of independent/specialty operators</w:t>
            </w:r>
          </w:p>
        </w:tc>
        <w:tc>
          <w:tcPr>
            <w:tcW w:w="4508" w:type="dxa"/>
          </w:tcPr>
          <w:p w14:paraId="2D4D4C66"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Inflation and operating-cost pressure</w:t>
            </w:r>
          </w:p>
        </w:tc>
      </w:tr>
      <w:tr w:rsidR="00183A1B" w:rsidRPr="00E86635" w14:paraId="505C443B" w14:textId="77777777" w:rsidTr="00183A1B">
        <w:tc>
          <w:tcPr>
            <w:tcW w:w="4508" w:type="dxa"/>
          </w:tcPr>
          <w:p w14:paraId="789664FB"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Digital ordering and customer engagement</w:t>
            </w:r>
          </w:p>
        </w:tc>
        <w:tc>
          <w:tcPr>
            <w:tcW w:w="4508" w:type="dxa"/>
          </w:tcPr>
          <w:p w14:paraId="3CACE86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Competitors can imitate visible sustainability features</w:t>
            </w:r>
          </w:p>
        </w:tc>
      </w:tr>
    </w:tbl>
    <w:p w14:paraId="63502AC1" w14:textId="77777777" w:rsidR="009A06B6" w:rsidRPr="009A06B6" w:rsidRDefault="009A06B6" w:rsidP="009A06B6">
      <w:pPr>
        <w:spacing w:before="100" w:beforeAutospacing="1" w:after="100" w:afterAutospacing="1" w:line="360" w:lineRule="auto"/>
        <w:jc w:val="both"/>
        <w:rPr>
          <w:rFonts w:ascii="Arial" w:eastAsia="Times New Roman" w:hAnsi="Arial" w:cs="Arial"/>
          <w:sz w:val="24"/>
          <w:szCs w:val="24"/>
          <w:lang w:val="en-GB" w:eastAsia="en-GB"/>
        </w:rPr>
      </w:pPr>
      <w:r w:rsidRPr="009A06B6">
        <w:rPr>
          <w:rFonts w:ascii="Arial" w:eastAsia="Times New Roman" w:hAnsi="Arial" w:cs="Arial"/>
          <w:sz w:val="24"/>
          <w:szCs w:val="24"/>
          <w:lang w:val="en-GB" w:eastAsia="en-GB"/>
        </w:rPr>
        <w:t>A strategic dilemma between taking advantage of market opportunities and dealing with the constraints of running a new, independent business is identified in the SWOT. Consumer interest in ethical consumption, specialty quality food and experience-led hospitality offer a potential opportunity for the benefit of TEBC, although this has yet to be realised by solid branding, customer loyalty and economies of scale that larger or more established operators can offer. Ethical differentiation will therefore only help to create competition if the sourcing claims are seen as credible and relevant to the overall value proposition of the customer.</w:t>
      </w:r>
    </w:p>
    <w:p w14:paraId="0D477EB0" w14:textId="375E6ED7" w:rsidR="00572CAA" w:rsidRPr="00E86635" w:rsidRDefault="009A06B6" w:rsidP="009A06B6">
      <w:pPr>
        <w:spacing w:before="100" w:beforeAutospacing="1" w:after="100" w:afterAutospacing="1" w:line="360" w:lineRule="auto"/>
        <w:jc w:val="both"/>
        <w:rPr>
          <w:rFonts w:ascii="Arial" w:eastAsia="Times New Roman" w:hAnsi="Arial" w:cs="Arial"/>
          <w:sz w:val="24"/>
          <w:szCs w:val="24"/>
          <w:lang w:val="en-GB" w:eastAsia="en-GB"/>
        </w:rPr>
      </w:pPr>
      <w:r w:rsidRPr="009A06B6">
        <w:rPr>
          <w:rFonts w:ascii="Arial" w:eastAsia="Times New Roman" w:hAnsi="Arial" w:cs="Arial"/>
          <w:sz w:val="24"/>
          <w:szCs w:val="24"/>
          <w:lang w:val="en-GB" w:eastAsia="en-GB"/>
        </w:rPr>
        <w:t xml:space="preserve">Four strategic questions emerge from the analysis. TEBC needs to provide more than just specialty coffee quality first. Second, ethical distinction should be expressed in the value that customers receive, in terms of transparency in sourcing, sustainability in business and communication. Third, the price should not only stay within the customers' value perception but also keep the extra expenses for ethical and sustainable practices under control. </w:t>
      </w:r>
    </w:p>
    <w:p w14:paraId="0AD3D49F" w14:textId="77777777" w:rsidR="00572CAA" w:rsidRPr="00E86635" w:rsidRDefault="00572CAA" w:rsidP="00E2542F">
      <w:pPr>
        <w:pStyle w:val="Heading2"/>
        <w:rPr>
          <w:rFonts w:eastAsia="Times New Roman"/>
          <w:lang w:val="en-GB" w:eastAsia="en-GB"/>
        </w:rPr>
      </w:pPr>
      <w:bookmarkStart w:id="67" w:name="_Toc241167463"/>
      <w:r w:rsidRPr="00E86635">
        <w:rPr>
          <w:rFonts w:eastAsia="Times New Roman"/>
          <w:lang w:val="en-GB" w:eastAsia="en-GB"/>
        </w:rPr>
        <w:t>7.4 Strategic Alternatives and Choice</w:t>
      </w:r>
      <w:bookmarkEnd w:id="67"/>
    </w:p>
    <w:p w14:paraId="7B909174" w14:textId="77777777" w:rsidR="00572CAA" w:rsidRPr="00E86635" w:rsidRDefault="00572CAA"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Three realistic alternatives are considered.</w:t>
      </w:r>
    </w:p>
    <w:p w14:paraId="74290A18" w14:textId="77777777" w:rsidR="00572CAA" w:rsidRPr="00E86635" w:rsidRDefault="00572CAA" w:rsidP="00E2542F">
      <w:pPr>
        <w:pStyle w:val="Heading3"/>
        <w:rPr>
          <w:rFonts w:eastAsia="Times New Roman"/>
          <w:lang w:val="en-GB" w:eastAsia="en-GB"/>
        </w:rPr>
      </w:pPr>
      <w:bookmarkStart w:id="68" w:name="_Toc241167464"/>
      <w:r w:rsidRPr="00E86635">
        <w:rPr>
          <w:rFonts w:eastAsia="Times New Roman"/>
          <w:lang w:val="en-GB" w:eastAsia="en-GB"/>
        </w:rPr>
        <w:t>Alternative 1: Premium Specialty Differentiation</w:t>
      </w:r>
      <w:bookmarkEnd w:id="68"/>
    </w:p>
    <w:p w14:paraId="508DDCAA" w14:textId="77777777" w:rsidR="009A06B6" w:rsidRPr="009A06B6" w:rsidRDefault="009A06B6" w:rsidP="009A06B6">
      <w:pPr>
        <w:spacing w:before="100" w:beforeAutospacing="1" w:after="100" w:afterAutospacing="1" w:line="360" w:lineRule="auto"/>
        <w:jc w:val="both"/>
        <w:rPr>
          <w:rFonts w:ascii="Arial" w:eastAsia="Times New Roman" w:hAnsi="Arial" w:cs="Arial"/>
          <w:sz w:val="24"/>
          <w:szCs w:val="24"/>
          <w:lang w:val="en-GB" w:eastAsia="en-GB"/>
        </w:rPr>
      </w:pPr>
      <w:r w:rsidRPr="009A06B6">
        <w:rPr>
          <w:rFonts w:ascii="Arial" w:eastAsia="Times New Roman" w:hAnsi="Arial" w:cs="Arial"/>
          <w:sz w:val="24"/>
          <w:szCs w:val="24"/>
          <w:lang w:val="en-GB" w:eastAsia="en-GB"/>
        </w:rPr>
        <w:t>The former would make TEBC a main player as a high quality specialty coffee shop, where the focus would be on the quality of the coffee, the special brewing methods, the food and the atmosphere of the café. This could be an interesting strategy for specialty-coffee enthusiasts who are looking for a better coffee experience.</w:t>
      </w:r>
    </w:p>
    <w:p w14:paraId="5DCF7C91" w14:textId="35611DF3" w:rsidR="00572CAA" w:rsidRPr="00E86635" w:rsidRDefault="009A06B6" w:rsidP="009A06B6">
      <w:pPr>
        <w:spacing w:before="100" w:beforeAutospacing="1" w:after="100" w:afterAutospacing="1" w:line="360" w:lineRule="auto"/>
        <w:jc w:val="both"/>
        <w:rPr>
          <w:rFonts w:ascii="Arial" w:eastAsia="Times New Roman" w:hAnsi="Arial" w:cs="Arial"/>
          <w:sz w:val="24"/>
          <w:szCs w:val="24"/>
          <w:lang w:val="en-GB" w:eastAsia="en-GB"/>
        </w:rPr>
      </w:pPr>
      <w:r w:rsidRPr="009A06B6">
        <w:rPr>
          <w:rFonts w:ascii="Arial" w:eastAsia="Times New Roman" w:hAnsi="Arial" w:cs="Arial"/>
          <w:sz w:val="24"/>
          <w:szCs w:val="24"/>
          <w:lang w:val="en-GB" w:eastAsia="en-GB"/>
        </w:rPr>
        <w:t xml:space="preserve">The primary benefit would be strategic clarity and the ability to benefit premium pricing. But its usefulness is limited by the competitive environment described in Chapter 6. </w:t>
      </w:r>
      <w:proofErr w:type="spellStart"/>
      <w:r w:rsidRPr="009A06B6">
        <w:rPr>
          <w:rFonts w:ascii="Arial" w:eastAsia="Times New Roman" w:hAnsi="Arial" w:cs="Arial"/>
          <w:sz w:val="24"/>
          <w:szCs w:val="24"/>
          <w:lang w:val="en-GB" w:eastAsia="en-GB"/>
        </w:rPr>
        <w:lastRenderedPageBreak/>
        <w:t>WatchHouse</w:t>
      </w:r>
      <w:proofErr w:type="spellEnd"/>
      <w:r w:rsidRPr="009A06B6">
        <w:rPr>
          <w:rFonts w:ascii="Arial" w:eastAsia="Times New Roman" w:hAnsi="Arial" w:cs="Arial"/>
          <w:sz w:val="24"/>
          <w:szCs w:val="24"/>
          <w:lang w:val="en-GB" w:eastAsia="en-GB"/>
        </w:rPr>
        <w:t xml:space="preserve"> and Monmouth Coffee Company already have brand recognition and reputation in their respective markets. This would lead to high credibility and brand building needs for a new initiative. The approach could also run counter to the price sensitivity found in Chapter 5: World Coffee Portal (2025); World Coffee Portal (2026).</w:t>
      </w:r>
    </w:p>
    <w:p w14:paraId="7BEAA3E2" w14:textId="6F3CC0ED" w:rsidR="00572CAA" w:rsidRPr="00E86635" w:rsidRDefault="00572CAA" w:rsidP="00E2542F">
      <w:pPr>
        <w:pStyle w:val="Heading3"/>
        <w:rPr>
          <w:rFonts w:eastAsia="Times New Roman"/>
          <w:lang w:val="en-GB" w:eastAsia="en-GB"/>
        </w:rPr>
      </w:pPr>
      <w:bookmarkStart w:id="69" w:name="_Toc241167465"/>
      <w:r w:rsidRPr="00E86635">
        <w:rPr>
          <w:rFonts w:eastAsia="Times New Roman"/>
          <w:lang w:val="en-GB" w:eastAsia="en-GB"/>
        </w:rPr>
        <w:t xml:space="preserve">Alternative 2: </w:t>
      </w:r>
      <w:r w:rsidR="00D935CC" w:rsidRPr="00D935CC">
        <w:rPr>
          <w:rFonts w:eastAsia="Times New Roman"/>
          <w:lang w:val="en-GB" w:eastAsia="en-GB"/>
        </w:rPr>
        <w:t>Ethical Differentiation</w:t>
      </w:r>
      <w:bookmarkEnd w:id="69"/>
    </w:p>
    <w:p w14:paraId="222B63BE" w14:textId="77777777" w:rsidR="0045322A" w:rsidRPr="0045322A" w:rsidRDefault="0045322A" w:rsidP="0045322A">
      <w:pPr>
        <w:spacing w:before="100" w:beforeAutospacing="1" w:after="100" w:afterAutospacing="1" w:line="360" w:lineRule="auto"/>
        <w:jc w:val="both"/>
        <w:rPr>
          <w:rFonts w:ascii="Arial" w:eastAsia="Times New Roman" w:hAnsi="Arial" w:cs="Arial"/>
          <w:sz w:val="24"/>
          <w:szCs w:val="24"/>
          <w:lang w:val="en-GB" w:eastAsia="en-GB"/>
        </w:rPr>
      </w:pPr>
      <w:r w:rsidRPr="0045322A">
        <w:rPr>
          <w:rFonts w:ascii="Arial" w:eastAsia="Times New Roman" w:hAnsi="Arial" w:cs="Arial"/>
          <w:sz w:val="24"/>
          <w:szCs w:val="24"/>
          <w:lang w:val="en-GB" w:eastAsia="en-GB"/>
        </w:rPr>
        <w:t>This option would separate TEBC by using coffee that is ethically sourced, traceable, sustainable and backed by specialty coffee quality and an authentic café experience. It is thus more about ethical distinction as the core of the value proposition.</w:t>
      </w:r>
    </w:p>
    <w:p w14:paraId="759E21FF" w14:textId="77777777" w:rsidR="0045322A" w:rsidRPr="0045322A" w:rsidRDefault="0045322A" w:rsidP="0045322A">
      <w:pPr>
        <w:spacing w:before="100" w:beforeAutospacing="1" w:after="100" w:afterAutospacing="1" w:line="360" w:lineRule="auto"/>
        <w:jc w:val="both"/>
        <w:rPr>
          <w:rFonts w:ascii="Arial" w:eastAsia="Times New Roman" w:hAnsi="Arial" w:cs="Arial"/>
          <w:sz w:val="24"/>
          <w:szCs w:val="24"/>
          <w:lang w:val="en-GB" w:eastAsia="en-GB"/>
        </w:rPr>
      </w:pPr>
      <w:r w:rsidRPr="0045322A">
        <w:rPr>
          <w:rFonts w:ascii="Arial" w:eastAsia="Times New Roman" w:hAnsi="Arial" w:cs="Arial"/>
          <w:sz w:val="24"/>
          <w:szCs w:val="24"/>
          <w:lang w:val="en-GB" w:eastAsia="en-GB"/>
        </w:rPr>
        <w:t>This is a way that directly addresses the positioning problem discussed in Chapter 6. Some of the activities that might be carried out include supplier disclosure, responsible sourcing, minimisation of packaging waste, and the use of incentives for reusable cups and the clear communication of relevant social and environmental practices.</w:t>
      </w:r>
    </w:p>
    <w:p w14:paraId="20627740" w14:textId="0F90DEC9" w:rsidR="00572CAA" w:rsidRPr="00E86635" w:rsidRDefault="0045322A" w:rsidP="0045322A">
      <w:pPr>
        <w:spacing w:before="100" w:beforeAutospacing="1" w:after="100" w:afterAutospacing="1" w:line="360" w:lineRule="auto"/>
        <w:jc w:val="both"/>
        <w:rPr>
          <w:rFonts w:ascii="Arial" w:eastAsia="Times New Roman" w:hAnsi="Arial" w:cs="Arial"/>
          <w:sz w:val="24"/>
          <w:szCs w:val="24"/>
          <w:lang w:val="en-GB" w:eastAsia="en-GB"/>
        </w:rPr>
      </w:pPr>
      <w:r w:rsidRPr="0045322A">
        <w:rPr>
          <w:rFonts w:ascii="Arial" w:eastAsia="Times New Roman" w:hAnsi="Arial" w:cs="Arial"/>
          <w:sz w:val="24"/>
          <w:szCs w:val="24"/>
          <w:lang w:val="en-GB" w:eastAsia="en-GB"/>
        </w:rPr>
        <w:t>There is, however, an important proviso to ethical differentiation – if customers do not think that there is any added value for a higher price, then ethical differentiation alone might not be enough. Ethical sourcing must, therefore, go hand in hand with product quality, service, convenience and value for money. This is in line with the overall market landscape where customers are still visiting coffee shops but are conscious of spending (World Coffee Portal, 2026).</w:t>
      </w:r>
    </w:p>
    <w:p w14:paraId="7C859BD4" w14:textId="77777777" w:rsidR="00572CAA" w:rsidRPr="00E86635" w:rsidRDefault="00572CAA" w:rsidP="00E2542F">
      <w:pPr>
        <w:pStyle w:val="Heading3"/>
        <w:rPr>
          <w:rFonts w:eastAsia="Times New Roman"/>
          <w:lang w:val="en-GB" w:eastAsia="en-GB"/>
        </w:rPr>
      </w:pPr>
      <w:bookmarkStart w:id="70" w:name="_Toc241167466"/>
      <w:r w:rsidRPr="00E86635">
        <w:rPr>
          <w:rFonts w:eastAsia="Times New Roman"/>
          <w:lang w:val="en-GB" w:eastAsia="en-GB"/>
        </w:rPr>
        <w:t>Alternative 3: Focused Entry Followed by Evidence-Led Expansion</w:t>
      </w:r>
      <w:bookmarkEnd w:id="70"/>
    </w:p>
    <w:p w14:paraId="1B2DB526" w14:textId="77777777" w:rsidR="008E24D2" w:rsidRPr="008E24D2" w:rsidRDefault="008E24D2" w:rsidP="008E24D2">
      <w:pPr>
        <w:spacing w:before="100" w:beforeAutospacing="1" w:after="100" w:afterAutospacing="1" w:line="360" w:lineRule="auto"/>
        <w:jc w:val="both"/>
        <w:rPr>
          <w:rFonts w:ascii="Arial" w:eastAsia="Times New Roman" w:hAnsi="Arial" w:cs="Arial"/>
          <w:sz w:val="24"/>
          <w:szCs w:val="24"/>
          <w:lang w:val="en-GB" w:eastAsia="en-GB"/>
        </w:rPr>
      </w:pPr>
      <w:r w:rsidRPr="008E24D2">
        <w:rPr>
          <w:rFonts w:ascii="Arial" w:eastAsia="Times New Roman" w:hAnsi="Arial" w:cs="Arial"/>
          <w:sz w:val="24"/>
          <w:szCs w:val="24"/>
          <w:lang w:val="en-GB" w:eastAsia="en-GB"/>
        </w:rPr>
        <w:t>The third option is based on ethical differentiation as the competitive basis and initially targets a specific customer segment and a single Covent Garden store. On subsequent visits, the evidence would be used by TEBC to assess further development or expansion is warranted based on average transaction value, customer satisfaction, operating performance and willingness to pay.</w:t>
      </w:r>
    </w:p>
    <w:p w14:paraId="294EE3BC" w14:textId="6DC7794B" w:rsidR="00572CAA" w:rsidRPr="00E86635" w:rsidRDefault="008E24D2" w:rsidP="008E24D2">
      <w:pPr>
        <w:spacing w:before="100" w:beforeAutospacing="1" w:after="100" w:afterAutospacing="1" w:line="360" w:lineRule="auto"/>
        <w:jc w:val="both"/>
        <w:rPr>
          <w:rFonts w:ascii="Arial" w:eastAsia="Times New Roman" w:hAnsi="Arial" w:cs="Arial"/>
          <w:sz w:val="24"/>
          <w:szCs w:val="24"/>
          <w:lang w:val="en-GB" w:eastAsia="en-GB"/>
        </w:rPr>
      </w:pPr>
      <w:r w:rsidRPr="008E24D2">
        <w:rPr>
          <w:rFonts w:ascii="Arial" w:eastAsia="Times New Roman" w:hAnsi="Arial" w:cs="Arial"/>
          <w:sz w:val="24"/>
          <w:szCs w:val="24"/>
          <w:lang w:val="en-GB" w:eastAsia="en-GB"/>
        </w:rPr>
        <w:t>This way, there is little risk of resources being exposed when the market is entered; and it provides a chance to establish customer relationships, test the ethical proposition and capacity building without committing to broader market expansion. To this end expansion would rely on evidence that demand, margins, service quality and operational capacity are strong enough (World Coffee Portal, 2026).</w:t>
      </w:r>
    </w:p>
    <w:p w14:paraId="49BBC5D0" w14:textId="67E1C1F1" w:rsidR="004774F6" w:rsidRPr="00E2542F" w:rsidRDefault="00572CAA"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lastRenderedPageBreak/>
        <w:t>The alternatives can therefore be assessed as follows:</w:t>
      </w:r>
    </w:p>
    <w:p w14:paraId="773C9D34" w14:textId="0DBA4DBA" w:rsidR="004774F6" w:rsidRPr="00E86635" w:rsidRDefault="004774F6" w:rsidP="00E86635">
      <w:pPr>
        <w:pStyle w:val="Caption"/>
        <w:keepNext/>
        <w:spacing w:line="360" w:lineRule="auto"/>
        <w:jc w:val="both"/>
        <w:rPr>
          <w:rFonts w:ascii="Arial" w:hAnsi="Arial" w:cs="Arial"/>
          <w:sz w:val="24"/>
          <w:szCs w:val="24"/>
        </w:rPr>
      </w:pPr>
      <w:bookmarkStart w:id="71" w:name="_Toc241170845"/>
      <w:r w:rsidRPr="00E86635">
        <w:rPr>
          <w:rFonts w:ascii="Arial" w:hAnsi="Arial" w:cs="Arial"/>
          <w:sz w:val="24"/>
          <w:szCs w:val="24"/>
        </w:rPr>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1815EA">
        <w:rPr>
          <w:rFonts w:ascii="Arial" w:hAnsi="Arial" w:cs="Arial"/>
          <w:noProof/>
          <w:sz w:val="24"/>
          <w:szCs w:val="24"/>
        </w:rPr>
        <w:t>9</w:t>
      </w:r>
      <w:r w:rsidRPr="00E86635">
        <w:rPr>
          <w:rFonts w:ascii="Arial" w:hAnsi="Arial" w:cs="Arial"/>
          <w:sz w:val="24"/>
          <w:szCs w:val="24"/>
        </w:rPr>
        <w:fldChar w:fldCharType="end"/>
      </w:r>
      <w:r w:rsidRPr="00E86635">
        <w:rPr>
          <w:rFonts w:ascii="Arial" w:hAnsi="Arial" w:cs="Arial"/>
          <w:sz w:val="24"/>
          <w:szCs w:val="24"/>
        </w:rPr>
        <w:t>: Evaluation of Strategic Alternatives</w:t>
      </w:r>
      <w:bookmarkEnd w:id="71"/>
    </w:p>
    <w:tbl>
      <w:tblPr>
        <w:tblStyle w:val="TableGrid"/>
        <w:tblW w:w="0" w:type="auto"/>
        <w:tblLook w:val="04A0" w:firstRow="1" w:lastRow="0" w:firstColumn="1" w:lastColumn="0" w:noHBand="0" w:noVBand="1"/>
      </w:tblPr>
      <w:tblGrid>
        <w:gridCol w:w="2254"/>
        <w:gridCol w:w="2254"/>
        <w:gridCol w:w="2254"/>
        <w:gridCol w:w="2254"/>
      </w:tblGrid>
      <w:tr w:rsidR="0024004B" w:rsidRPr="0024004B" w14:paraId="48B31CA3" w14:textId="77777777" w:rsidTr="0024004B">
        <w:tc>
          <w:tcPr>
            <w:tcW w:w="2254" w:type="dxa"/>
          </w:tcPr>
          <w:p w14:paraId="3D999309" w14:textId="77777777" w:rsidR="0024004B" w:rsidRPr="0024004B" w:rsidRDefault="0024004B" w:rsidP="009E2322">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Criterion</w:t>
            </w:r>
          </w:p>
        </w:tc>
        <w:tc>
          <w:tcPr>
            <w:tcW w:w="2254" w:type="dxa"/>
          </w:tcPr>
          <w:p w14:paraId="47AAA559" w14:textId="77777777" w:rsidR="0024004B" w:rsidRPr="0024004B" w:rsidRDefault="0024004B" w:rsidP="009E2322">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Premium specialty</w:t>
            </w:r>
          </w:p>
        </w:tc>
        <w:tc>
          <w:tcPr>
            <w:tcW w:w="2254" w:type="dxa"/>
          </w:tcPr>
          <w:p w14:paraId="78962271" w14:textId="77777777" w:rsidR="0024004B" w:rsidRPr="0024004B" w:rsidRDefault="0024004B" w:rsidP="009E2322">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Ethical differentiation</w:t>
            </w:r>
          </w:p>
        </w:tc>
        <w:tc>
          <w:tcPr>
            <w:tcW w:w="2254" w:type="dxa"/>
          </w:tcPr>
          <w:p w14:paraId="32B44475" w14:textId="77777777" w:rsidR="0024004B" w:rsidRPr="0024004B" w:rsidRDefault="0024004B" w:rsidP="009E2322">
            <w:pPr>
              <w:spacing w:before="100" w:beforeAutospacing="1" w:after="100" w:afterAutospacing="1" w:line="360" w:lineRule="auto"/>
              <w:jc w:val="both"/>
              <w:rPr>
                <w:rFonts w:ascii="Arial" w:eastAsia="Times New Roman" w:hAnsi="Arial" w:cs="Arial"/>
                <w:b/>
                <w:sz w:val="24"/>
                <w:szCs w:val="24"/>
                <w:lang w:val="en-GB" w:eastAsia="en-GB"/>
              </w:rPr>
            </w:pPr>
            <w:r w:rsidRPr="0024004B">
              <w:rPr>
                <w:rFonts w:ascii="Arial" w:eastAsia="Times New Roman" w:hAnsi="Arial" w:cs="Arial"/>
                <w:b/>
                <w:sz w:val="24"/>
                <w:szCs w:val="24"/>
                <w:lang w:val="en-GB" w:eastAsia="en-GB"/>
              </w:rPr>
              <w:t>Focused staged differentiation</w:t>
            </w:r>
          </w:p>
        </w:tc>
      </w:tr>
      <w:tr w:rsidR="0024004B" w:rsidRPr="0024004B" w14:paraId="78EE389C" w14:textId="77777777" w:rsidTr="0024004B">
        <w:tc>
          <w:tcPr>
            <w:tcW w:w="2254" w:type="dxa"/>
          </w:tcPr>
          <w:p w14:paraId="1A5E74C8"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Suitability</w:t>
            </w:r>
          </w:p>
        </w:tc>
        <w:tc>
          <w:tcPr>
            <w:tcW w:w="2254" w:type="dxa"/>
          </w:tcPr>
          <w:p w14:paraId="34B2CEC9"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w:t>
            </w:r>
          </w:p>
        </w:tc>
        <w:tc>
          <w:tcPr>
            <w:tcW w:w="2254" w:type="dxa"/>
          </w:tcPr>
          <w:p w14:paraId="4AB3BC5A"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c>
          <w:tcPr>
            <w:tcW w:w="2254" w:type="dxa"/>
          </w:tcPr>
          <w:p w14:paraId="6C4D9F89"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r>
      <w:tr w:rsidR="0024004B" w:rsidRPr="0024004B" w14:paraId="45F9F021" w14:textId="77777777" w:rsidTr="0024004B">
        <w:tc>
          <w:tcPr>
            <w:tcW w:w="2254" w:type="dxa"/>
          </w:tcPr>
          <w:p w14:paraId="65FEC3F6"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Acceptability</w:t>
            </w:r>
          </w:p>
        </w:tc>
        <w:tc>
          <w:tcPr>
            <w:tcW w:w="2254" w:type="dxa"/>
          </w:tcPr>
          <w:p w14:paraId="79B0A7FA"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w:t>
            </w:r>
          </w:p>
        </w:tc>
        <w:tc>
          <w:tcPr>
            <w:tcW w:w="2254" w:type="dxa"/>
          </w:tcPr>
          <w:p w14:paraId="09292C71"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c>
          <w:tcPr>
            <w:tcW w:w="2254" w:type="dxa"/>
          </w:tcPr>
          <w:p w14:paraId="0B9AA007"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r>
      <w:tr w:rsidR="0024004B" w:rsidRPr="0024004B" w14:paraId="7C7C3684" w14:textId="77777777" w:rsidTr="0024004B">
        <w:tc>
          <w:tcPr>
            <w:tcW w:w="2254" w:type="dxa"/>
          </w:tcPr>
          <w:p w14:paraId="207DF5AF"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Feasibility</w:t>
            </w:r>
          </w:p>
        </w:tc>
        <w:tc>
          <w:tcPr>
            <w:tcW w:w="2254" w:type="dxa"/>
          </w:tcPr>
          <w:p w14:paraId="1B47104B"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w:t>
            </w:r>
          </w:p>
        </w:tc>
        <w:tc>
          <w:tcPr>
            <w:tcW w:w="2254" w:type="dxa"/>
          </w:tcPr>
          <w:p w14:paraId="1048DF4C"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Moderate–High</w:t>
            </w:r>
          </w:p>
        </w:tc>
        <w:tc>
          <w:tcPr>
            <w:tcW w:w="2254" w:type="dxa"/>
          </w:tcPr>
          <w:p w14:paraId="56AB161D"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Moderate–High</w:t>
            </w:r>
          </w:p>
        </w:tc>
      </w:tr>
      <w:tr w:rsidR="0024004B" w:rsidRPr="0024004B" w14:paraId="41DCAC35" w14:textId="77777777" w:rsidTr="0024004B">
        <w:tc>
          <w:tcPr>
            <w:tcW w:w="2254" w:type="dxa"/>
          </w:tcPr>
          <w:p w14:paraId="444459F1"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Coherence</w:t>
            </w:r>
          </w:p>
        </w:tc>
        <w:tc>
          <w:tcPr>
            <w:tcW w:w="2254" w:type="dxa"/>
          </w:tcPr>
          <w:p w14:paraId="0D3B5349"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w:t>
            </w:r>
          </w:p>
        </w:tc>
        <w:tc>
          <w:tcPr>
            <w:tcW w:w="2254" w:type="dxa"/>
          </w:tcPr>
          <w:p w14:paraId="37F6DE1A"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Very high</w:t>
            </w:r>
          </w:p>
        </w:tc>
        <w:tc>
          <w:tcPr>
            <w:tcW w:w="2254" w:type="dxa"/>
          </w:tcPr>
          <w:p w14:paraId="14B36955"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Very high</w:t>
            </w:r>
          </w:p>
        </w:tc>
      </w:tr>
      <w:tr w:rsidR="0024004B" w:rsidRPr="0024004B" w14:paraId="34F3A496" w14:textId="77777777" w:rsidTr="0024004B">
        <w:tc>
          <w:tcPr>
            <w:tcW w:w="2254" w:type="dxa"/>
          </w:tcPr>
          <w:p w14:paraId="49C74E49"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Defensibility</w:t>
            </w:r>
          </w:p>
        </w:tc>
        <w:tc>
          <w:tcPr>
            <w:tcW w:w="2254" w:type="dxa"/>
          </w:tcPr>
          <w:p w14:paraId="7E1328F9"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Low–moderate</w:t>
            </w:r>
          </w:p>
        </w:tc>
        <w:tc>
          <w:tcPr>
            <w:tcW w:w="2254" w:type="dxa"/>
          </w:tcPr>
          <w:p w14:paraId="4017CC39"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Moderate–high</w:t>
            </w:r>
          </w:p>
        </w:tc>
        <w:tc>
          <w:tcPr>
            <w:tcW w:w="2254" w:type="dxa"/>
          </w:tcPr>
          <w:p w14:paraId="6C02729B" w14:textId="77777777" w:rsidR="0024004B" w:rsidRPr="0024004B" w:rsidRDefault="0024004B" w:rsidP="009E2322">
            <w:pPr>
              <w:spacing w:before="100" w:beforeAutospacing="1" w:after="100" w:afterAutospacing="1" w:line="360" w:lineRule="auto"/>
              <w:jc w:val="both"/>
              <w:rPr>
                <w:rFonts w:ascii="Arial" w:eastAsia="Times New Roman" w:hAnsi="Arial" w:cs="Arial"/>
                <w:sz w:val="24"/>
                <w:szCs w:val="24"/>
                <w:lang w:val="en-GB" w:eastAsia="en-GB"/>
              </w:rPr>
            </w:pPr>
            <w:r w:rsidRPr="0024004B">
              <w:rPr>
                <w:rFonts w:ascii="Arial" w:eastAsia="Times New Roman" w:hAnsi="Arial" w:cs="Arial"/>
                <w:sz w:val="24"/>
                <w:szCs w:val="24"/>
                <w:lang w:val="en-GB" w:eastAsia="en-GB"/>
              </w:rPr>
              <w:t>High over time</w:t>
            </w:r>
          </w:p>
        </w:tc>
      </w:tr>
    </w:tbl>
    <w:p w14:paraId="63B79D3C" w14:textId="246BD6DE"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Source:</w:t>
      </w:r>
      <w:r w:rsidRPr="00E86635">
        <w:rPr>
          <w:rFonts w:ascii="Arial" w:eastAsia="Times New Roman" w:hAnsi="Arial" w:cs="Arial"/>
          <w:sz w:val="24"/>
          <w:szCs w:val="24"/>
          <w:lang w:val="en-GB" w:eastAsia="en-GB"/>
        </w:rPr>
        <w:t xml:space="preserve"> Researcher’s analysis based on Chapters 5 and 6.</w:t>
      </w:r>
    </w:p>
    <w:p w14:paraId="76EBAADC" w14:textId="77777777" w:rsidR="00803AAA" w:rsidRPr="00803AAA" w:rsidRDefault="00803AAA" w:rsidP="00803AAA">
      <w:pPr>
        <w:spacing w:before="100" w:beforeAutospacing="1" w:after="100" w:afterAutospacing="1" w:line="360" w:lineRule="auto"/>
        <w:jc w:val="both"/>
        <w:rPr>
          <w:rFonts w:ascii="Arial" w:eastAsia="Times New Roman" w:hAnsi="Arial" w:cs="Arial"/>
          <w:sz w:val="24"/>
          <w:szCs w:val="24"/>
          <w:lang w:val="en-GB" w:eastAsia="en-GB"/>
        </w:rPr>
      </w:pPr>
      <w:r w:rsidRPr="00803AAA">
        <w:rPr>
          <w:rFonts w:ascii="Arial" w:eastAsia="Times New Roman" w:hAnsi="Arial" w:cs="Arial"/>
          <w:sz w:val="24"/>
          <w:szCs w:val="24"/>
          <w:lang w:val="en-GB" w:eastAsia="en-GB"/>
        </w:rPr>
        <w:t>From this analysis, the strategy advocated is to enter a concentrated market in a staged fashion with some ethical differentiation as the basis for competition. This match-up brings value proposition and market opportunity together, but keeps the initial resource exposure to a minimum. It also acknowledges that any possible benefits are contingent on cultivating good intentions, quality, customer experience, transparency and organisation skills rather than taking them for granted.</w:t>
      </w:r>
    </w:p>
    <w:p w14:paraId="78636172" w14:textId="00D334F6" w:rsidR="00572CAA" w:rsidRPr="00E86635" w:rsidRDefault="00803AAA" w:rsidP="00803AAA">
      <w:pPr>
        <w:spacing w:before="100" w:beforeAutospacing="1" w:after="100" w:afterAutospacing="1" w:line="360" w:lineRule="auto"/>
        <w:jc w:val="both"/>
        <w:rPr>
          <w:rFonts w:ascii="Arial" w:eastAsia="Times New Roman" w:hAnsi="Arial" w:cs="Arial"/>
          <w:sz w:val="24"/>
          <w:szCs w:val="24"/>
          <w:lang w:val="en-GB" w:eastAsia="en-GB"/>
        </w:rPr>
      </w:pPr>
      <w:r w:rsidRPr="00803AAA">
        <w:rPr>
          <w:rFonts w:ascii="Arial" w:eastAsia="Times New Roman" w:hAnsi="Arial" w:cs="Arial"/>
          <w:b/>
          <w:sz w:val="24"/>
          <w:szCs w:val="24"/>
          <w:lang w:val="en-GB" w:eastAsia="en-GB"/>
        </w:rPr>
        <w:t>Mission:</w:t>
      </w:r>
      <w:r w:rsidRPr="00803AAA">
        <w:rPr>
          <w:rFonts w:ascii="Arial" w:eastAsia="Times New Roman" w:hAnsi="Arial" w:cs="Arial"/>
          <w:sz w:val="24"/>
          <w:szCs w:val="24"/>
          <w:lang w:val="en-GB" w:eastAsia="en-GB"/>
        </w:rPr>
        <w:t xml:space="preserve"> To offer high quality specialty coffee backed by credible ethical sourcing, transparent practices and tailored customer service for ethically-conscious consumers, urban professionals and select visitors in the heart of Covent Garden. The responsible sourcing, sustainability and disciplined operations will be integrated into the business and will be supported by suitable digital engagement in a physical café. TEBC will initially be based from one focused location, growing its customer base and capabilities before thinking about expanding.</w:t>
      </w:r>
    </w:p>
    <w:p w14:paraId="179E4C7A" w14:textId="77777777" w:rsidR="00572CAA" w:rsidRPr="00E86635" w:rsidRDefault="00572CAA" w:rsidP="00E2542F">
      <w:pPr>
        <w:pStyle w:val="Heading2"/>
        <w:rPr>
          <w:rFonts w:eastAsia="Times New Roman"/>
          <w:lang w:val="en-GB" w:eastAsia="en-GB"/>
        </w:rPr>
      </w:pPr>
      <w:bookmarkStart w:id="72" w:name="_Toc241167467"/>
      <w:r w:rsidRPr="00E86635">
        <w:rPr>
          <w:rFonts w:eastAsia="Times New Roman"/>
          <w:lang w:val="en-GB" w:eastAsia="en-GB"/>
        </w:rPr>
        <w:t>7.5 USP, Value Proposition and Positioning</w:t>
      </w:r>
      <w:bookmarkEnd w:id="72"/>
    </w:p>
    <w:p w14:paraId="0F9ECDB4" w14:textId="77777777" w:rsidR="004605D6" w:rsidRPr="004605D6" w:rsidRDefault="004605D6" w:rsidP="004605D6">
      <w:pPr>
        <w:spacing w:line="360" w:lineRule="auto"/>
        <w:jc w:val="both"/>
        <w:rPr>
          <w:rFonts w:ascii="Arial" w:hAnsi="Arial" w:cs="Arial"/>
          <w:sz w:val="24"/>
          <w:szCs w:val="24"/>
          <w:lang w:val="en-GB" w:eastAsia="en-GB"/>
        </w:rPr>
      </w:pPr>
      <w:r w:rsidRPr="004605D6">
        <w:rPr>
          <w:rFonts w:ascii="Arial" w:hAnsi="Arial" w:cs="Arial"/>
          <w:sz w:val="24"/>
          <w:szCs w:val="24"/>
          <w:lang w:val="en-GB" w:eastAsia="en-GB"/>
        </w:rPr>
        <w:t>The USP needs to go beyond “ethical coffee” as sustainability and responsible sourcing can be conveyed by other competitors, too. The proposed USP for TEBC is a specialty-quality coffee, coupled with a credible ethical sourcing, sourcing transparency, sustainable sourcing and personalised café experience in an accessible-premium proposition.</w:t>
      </w:r>
    </w:p>
    <w:p w14:paraId="5A462CAF" w14:textId="77777777" w:rsidR="004605D6" w:rsidRPr="004605D6" w:rsidRDefault="004605D6" w:rsidP="004605D6">
      <w:pPr>
        <w:spacing w:line="360" w:lineRule="auto"/>
        <w:jc w:val="both"/>
        <w:rPr>
          <w:rFonts w:ascii="Arial" w:hAnsi="Arial" w:cs="Arial"/>
          <w:sz w:val="24"/>
          <w:szCs w:val="24"/>
          <w:lang w:val="en-GB" w:eastAsia="en-GB"/>
        </w:rPr>
      </w:pPr>
      <w:r w:rsidRPr="004605D6">
        <w:rPr>
          <w:rFonts w:ascii="Arial" w:hAnsi="Arial" w:cs="Arial"/>
          <w:sz w:val="24"/>
          <w:szCs w:val="24"/>
          <w:lang w:val="en-GB" w:eastAsia="en-GB"/>
        </w:rPr>
        <w:lastRenderedPageBreak/>
        <w:t>The new positioning is thus a middle-ground between mass market convenience and very premium specialty provision. TEBC will aim to demonstrate that it is an ethical and transparent specialty-coffee shop that integrates sustainable coffee into its daily service.</w:t>
      </w:r>
    </w:p>
    <w:p w14:paraId="512D1B8D" w14:textId="77777777" w:rsidR="004605D6" w:rsidRPr="00317588" w:rsidRDefault="004605D6" w:rsidP="004605D6">
      <w:pPr>
        <w:spacing w:line="360" w:lineRule="auto"/>
        <w:jc w:val="both"/>
        <w:rPr>
          <w:rFonts w:ascii="Arial" w:hAnsi="Arial" w:cs="Arial"/>
          <w:b/>
          <w:sz w:val="24"/>
          <w:szCs w:val="24"/>
          <w:lang w:val="en-GB" w:eastAsia="en-GB"/>
        </w:rPr>
      </w:pPr>
      <w:r w:rsidRPr="00317588">
        <w:rPr>
          <w:rFonts w:ascii="Arial" w:hAnsi="Arial" w:cs="Arial"/>
          <w:b/>
          <w:sz w:val="24"/>
          <w:szCs w:val="24"/>
          <w:lang w:val="en-GB" w:eastAsia="en-GB"/>
        </w:rPr>
        <w:t>Value Proposition:</w:t>
      </w:r>
    </w:p>
    <w:p w14:paraId="4A86D23B" w14:textId="77777777" w:rsidR="004605D6" w:rsidRPr="004605D6" w:rsidRDefault="004605D6" w:rsidP="004605D6">
      <w:pPr>
        <w:spacing w:line="360" w:lineRule="auto"/>
        <w:jc w:val="both"/>
        <w:rPr>
          <w:rFonts w:ascii="Arial" w:hAnsi="Arial" w:cs="Arial"/>
          <w:sz w:val="24"/>
          <w:szCs w:val="24"/>
          <w:lang w:val="en-GB" w:eastAsia="en-GB"/>
        </w:rPr>
      </w:pPr>
      <w:r w:rsidRPr="004605D6">
        <w:rPr>
          <w:rFonts w:ascii="Arial" w:hAnsi="Arial" w:cs="Arial"/>
          <w:sz w:val="24"/>
          <w:szCs w:val="24"/>
          <w:lang w:val="en-GB" w:eastAsia="en-GB"/>
        </w:rPr>
        <w:t>The Ethical Bean Coffee House is a specialty coffee shop with credible ethical sourcing, sourcing transparency and credible practical sustainability all in a space that allows for experience. TEBC is for the ethically minded coffee drinker, for the urban professional, and selected visitors in Covent Garden as it delivers an accessible-premium offering of quality coffee, responsible sourcing, with personal service. The business will strive to increase the visibility of sourcing and sustainability in the customer journey and ensure that product quality and service consistency are maintained but not compromised, whilst avoiding conventional mass-market options.</w:t>
      </w:r>
    </w:p>
    <w:p w14:paraId="313BEB64" w14:textId="77777777" w:rsidR="004605D6" w:rsidRPr="004605D6" w:rsidRDefault="004605D6" w:rsidP="004605D6">
      <w:pPr>
        <w:spacing w:line="360" w:lineRule="auto"/>
        <w:jc w:val="both"/>
        <w:rPr>
          <w:rFonts w:ascii="Arial" w:hAnsi="Arial" w:cs="Arial"/>
          <w:sz w:val="24"/>
          <w:szCs w:val="24"/>
          <w:lang w:val="en-GB" w:eastAsia="en-GB"/>
        </w:rPr>
      </w:pPr>
      <w:r w:rsidRPr="004605D6">
        <w:rPr>
          <w:rFonts w:ascii="Arial" w:hAnsi="Arial" w:cs="Arial"/>
          <w:sz w:val="24"/>
          <w:szCs w:val="24"/>
          <w:lang w:val="en-GB" w:eastAsia="en-GB"/>
        </w:rPr>
        <w:t>The evidence suggests that differentiation based on quality alone is unlikely to be enough, and that price sensitivity will limit the positioning of premium prices only. Specialty coffee, personalised hospitality and café ambience can be used to leverage independent operators, but this needs to be balanced against the increased stresses that come with being smaller businesses (World Coffee Portal, 2026).</w:t>
      </w:r>
    </w:p>
    <w:p w14:paraId="610C51C9" w14:textId="7D59F5D5" w:rsidR="002E4CF4" w:rsidRPr="00E2542F" w:rsidRDefault="004605D6" w:rsidP="004605D6">
      <w:pPr>
        <w:spacing w:line="360" w:lineRule="auto"/>
        <w:jc w:val="both"/>
        <w:rPr>
          <w:rFonts w:ascii="Arial" w:hAnsi="Arial" w:cs="Arial"/>
          <w:sz w:val="24"/>
          <w:szCs w:val="24"/>
          <w:lang w:val="en-GB" w:eastAsia="en-GB"/>
        </w:rPr>
      </w:pPr>
      <w:r w:rsidRPr="004605D6">
        <w:rPr>
          <w:rFonts w:ascii="Arial" w:hAnsi="Arial" w:cs="Arial"/>
          <w:sz w:val="24"/>
          <w:szCs w:val="24"/>
          <w:lang w:val="en-GB" w:eastAsia="en-GB"/>
        </w:rPr>
        <w:t>The advantage that TEBC is aiming to build is not taken for granted at launch time. Specialty coffee quality offers competitive parity, and the potential to combine ethical sourcing, traceability, sustainability, customer relationships and organisational learning could prove to be more of a difficult-to-replicate capability in time. With good implementation and ongoing customer acceptance, this pot</w:t>
      </w:r>
      <w:r>
        <w:rPr>
          <w:rFonts w:ascii="Arial" w:hAnsi="Arial" w:cs="Arial"/>
          <w:sz w:val="24"/>
          <w:szCs w:val="24"/>
          <w:lang w:val="en-GB" w:eastAsia="en-GB"/>
        </w:rPr>
        <w:t>ential benefit will be achieved</w:t>
      </w:r>
      <w:r w:rsidR="002E4CF4" w:rsidRPr="00E86635">
        <w:rPr>
          <w:rFonts w:ascii="Arial" w:hAnsi="Arial" w:cs="Arial"/>
          <w:sz w:val="24"/>
          <w:szCs w:val="24"/>
          <w:lang w:val="en-GB" w:eastAsia="en-GB"/>
        </w:rPr>
        <w:t>.</w:t>
      </w:r>
    </w:p>
    <w:p w14:paraId="19F25E08" w14:textId="0B15DEAD" w:rsidR="00572CAA" w:rsidRPr="00E86635" w:rsidRDefault="00572CAA" w:rsidP="00E2542F">
      <w:pPr>
        <w:pStyle w:val="Heading2"/>
        <w:rPr>
          <w:rFonts w:eastAsia="Times New Roman"/>
          <w:lang w:val="en-GB" w:eastAsia="en-GB"/>
        </w:rPr>
      </w:pPr>
      <w:bookmarkStart w:id="73" w:name="_Toc241167468"/>
      <w:r w:rsidRPr="00E86635">
        <w:rPr>
          <w:rFonts w:eastAsia="Times New Roman"/>
          <w:lang w:val="en-GB" w:eastAsia="en-GB"/>
        </w:rPr>
        <w:t>7.6 Competitive Advantage and Key Success Factors</w:t>
      </w:r>
      <w:bookmarkEnd w:id="73"/>
    </w:p>
    <w:p w14:paraId="3402A81D" w14:textId="680B114A" w:rsidR="00317588" w:rsidRPr="00317588" w:rsidRDefault="00346CF3" w:rsidP="00317588">
      <w:pPr>
        <w:spacing w:before="100" w:beforeAutospacing="1" w:after="100" w:afterAutospacing="1" w:line="360" w:lineRule="auto"/>
        <w:jc w:val="both"/>
        <w:rPr>
          <w:rFonts w:ascii="Arial" w:eastAsia="Times New Roman" w:hAnsi="Arial" w:cs="Arial"/>
          <w:sz w:val="24"/>
          <w:szCs w:val="24"/>
          <w:lang w:val="en-GB" w:eastAsia="en-GB"/>
        </w:rPr>
      </w:pPr>
      <w:r w:rsidRPr="00346CF3">
        <w:rPr>
          <w:rFonts w:ascii="Arial" w:eastAsia="Times New Roman" w:hAnsi="Arial" w:cs="Arial"/>
          <w:b/>
          <w:sz w:val="24"/>
          <w:szCs w:val="24"/>
          <w:lang w:val="en-GB" w:eastAsia="en-GB"/>
        </w:rPr>
        <w:t>First, credible ethical sourcing.</w:t>
      </w:r>
      <w:r w:rsidRPr="00346CF3">
        <w:rPr>
          <w:rFonts w:ascii="Arial" w:eastAsia="Times New Roman" w:hAnsi="Arial" w:cs="Arial"/>
          <w:sz w:val="24"/>
          <w:szCs w:val="24"/>
          <w:lang w:val="en-GB" w:eastAsia="en-GB"/>
        </w:rPr>
        <w:t xml:space="preserve"> </w:t>
      </w:r>
      <w:r w:rsidR="00317588" w:rsidRPr="00317588">
        <w:rPr>
          <w:rFonts w:ascii="Arial" w:eastAsia="Times New Roman" w:hAnsi="Arial" w:cs="Arial"/>
          <w:sz w:val="24"/>
          <w:szCs w:val="24"/>
          <w:lang w:val="en-GB" w:eastAsia="en-GB"/>
        </w:rPr>
        <w:t>TEBC should identify suppliers that can demonstrate the correct means of ethical and environmental practices. The ethical proposition should be supported by supplier documentation, traceability information and through periodic supplier reviews.</w:t>
      </w:r>
    </w:p>
    <w:p w14:paraId="64F83F2B" w14:textId="77777777" w:rsidR="00317588" w:rsidRPr="00317588" w:rsidRDefault="00317588" w:rsidP="00317588">
      <w:pPr>
        <w:spacing w:before="100" w:beforeAutospacing="1" w:after="100" w:afterAutospacing="1" w:line="360" w:lineRule="auto"/>
        <w:jc w:val="both"/>
        <w:rPr>
          <w:rFonts w:ascii="Arial" w:eastAsia="Times New Roman" w:hAnsi="Arial" w:cs="Arial"/>
          <w:sz w:val="24"/>
          <w:szCs w:val="24"/>
          <w:lang w:val="en-GB" w:eastAsia="en-GB"/>
        </w:rPr>
      </w:pPr>
      <w:r w:rsidRPr="00317588">
        <w:rPr>
          <w:rFonts w:ascii="Arial" w:eastAsia="Times New Roman" w:hAnsi="Arial" w:cs="Arial"/>
          <w:b/>
          <w:sz w:val="24"/>
          <w:szCs w:val="24"/>
          <w:lang w:val="en-GB" w:eastAsia="en-GB"/>
        </w:rPr>
        <w:lastRenderedPageBreak/>
        <w:t>Secondly consistency of products and services.</w:t>
      </w:r>
      <w:r w:rsidRPr="00317588">
        <w:rPr>
          <w:rFonts w:ascii="Arial" w:eastAsia="Times New Roman" w:hAnsi="Arial" w:cs="Arial"/>
          <w:sz w:val="24"/>
          <w:szCs w:val="24"/>
          <w:lang w:val="en-GB" w:eastAsia="en-GB"/>
        </w:rPr>
        <w:t xml:space="preserve"> Training of the barista, recipes, quality-control processes and customer-service standards should be standardised prior to launch. Operational indicators to be monitored include measures of customer satisfaction, repeat purchase rate, complaint rate and product consistency.</w:t>
      </w:r>
    </w:p>
    <w:p w14:paraId="229C3E46" w14:textId="77777777" w:rsidR="00317588" w:rsidRPr="00317588" w:rsidRDefault="00317588" w:rsidP="00317588">
      <w:pPr>
        <w:spacing w:before="100" w:beforeAutospacing="1" w:after="100" w:afterAutospacing="1" w:line="360" w:lineRule="auto"/>
        <w:jc w:val="both"/>
        <w:rPr>
          <w:rFonts w:ascii="Arial" w:eastAsia="Times New Roman" w:hAnsi="Arial" w:cs="Arial"/>
          <w:sz w:val="24"/>
          <w:szCs w:val="24"/>
          <w:lang w:val="en-GB" w:eastAsia="en-GB"/>
        </w:rPr>
      </w:pPr>
      <w:r w:rsidRPr="00317588">
        <w:rPr>
          <w:rFonts w:ascii="Arial" w:eastAsia="Times New Roman" w:hAnsi="Arial" w:cs="Arial"/>
          <w:b/>
          <w:sz w:val="24"/>
          <w:szCs w:val="24"/>
          <w:lang w:val="en-GB" w:eastAsia="en-GB"/>
        </w:rPr>
        <w:t>Third, value-based affordability.</w:t>
      </w:r>
      <w:r w:rsidRPr="00317588">
        <w:rPr>
          <w:rFonts w:ascii="Arial" w:eastAsia="Times New Roman" w:hAnsi="Arial" w:cs="Arial"/>
          <w:sz w:val="24"/>
          <w:szCs w:val="24"/>
          <w:lang w:val="en-GB" w:eastAsia="en-GB"/>
        </w:rPr>
        <w:t xml:space="preserve"> The additional sustainability costs should not be borne solely by the customer, and should be avoided by TEBC. Menu engineering, selective product range, reduction in waste and negotiation with suppliers are all ways of protecting contribution margins. Prior to any expansion, management needs to track average transaction value, contribution margin, repeat visits and customers' willingness to purchase.</w:t>
      </w:r>
    </w:p>
    <w:p w14:paraId="5F0DBB40" w14:textId="77777777" w:rsidR="00317588" w:rsidRPr="00317588" w:rsidRDefault="00317588" w:rsidP="00317588">
      <w:pPr>
        <w:spacing w:before="100" w:beforeAutospacing="1" w:after="100" w:afterAutospacing="1" w:line="360" w:lineRule="auto"/>
        <w:jc w:val="both"/>
        <w:rPr>
          <w:rFonts w:ascii="Arial" w:eastAsia="Times New Roman" w:hAnsi="Arial" w:cs="Arial"/>
          <w:sz w:val="24"/>
          <w:szCs w:val="24"/>
          <w:lang w:val="en-GB" w:eastAsia="en-GB"/>
        </w:rPr>
      </w:pPr>
      <w:r w:rsidRPr="00317588">
        <w:rPr>
          <w:rFonts w:ascii="Arial" w:eastAsia="Times New Roman" w:hAnsi="Arial" w:cs="Arial"/>
          <w:b/>
          <w:sz w:val="24"/>
          <w:szCs w:val="24"/>
          <w:lang w:val="en-GB" w:eastAsia="en-GB"/>
        </w:rPr>
        <w:t>Fourth, complementary digital engagement.</w:t>
      </w:r>
      <w:r w:rsidRPr="00317588">
        <w:rPr>
          <w:rFonts w:ascii="Arial" w:eastAsia="Times New Roman" w:hAnsi="Arial" w:cs="Arial"/>
          <w:sz w:val="24"/>
          <w:szCs w:val="24"/>
          <w:lang w:val="en-GB" w:eastAsia="en-GB"/>
        </w:rPr>
        <w:t xml:space="preserve"> Digital systems can be used for loyalty, pre-ordering, engaging with customer feedback and communication about sourcing. Technology should be used to complement, not replace, the human touch that is integral to the proposed customer experience, however.</w:t>
      </w:r>
    </w:p>
    <w:p w14:paraId="43482474" w14:textId="5AE6694C" w:rsidR="00572CAA" w:rsidRPr="00E86635" w:rsidRDefault="00317588" w:rsidP="00317588">
      <w:pPr>
        <w:spacing w:before="100" w:beforeAutospacing="1" w:after="100" w:afterAutospacing="1" w:line="360" w:lineRule="auto"/>
        <w:jc w:val="both"/>
        <w:rPr>
          <w:rFonts w:ascii="Arial" w:eastAsia="Times New Roman" w:hAnsi="Arial" w:cs="Arial"/>
          <w:sz w:val="24"/>
          <w:szCs w:val="24"/>
          <w:lang w:val="en-GB" w:eastAsia="en-GB"/>
        </w:rPr>
      </w:pPr>
      <w:r w:rsidRPr="00317588">
        <w:rPr>
          <w:rFonts w:ascii="Arial" w:eastAsia="Times New Roman" w:hAnsi="Arial" w:cs="Arial"/>
          <w:sz w:val="24"/>
          <w:szCs w:val="24"/>
          <w:lang w:val="en-GB" w:eastAsia="en-GB"/>
        </w:rPr>
        <w:t xml:space="preserve">The potential benefit can build up over time due to learning within the organisation. As the business grows, valuable assets such as customer knowledge, supplier relationships, operating procedures, brand trust and community relationships can become more valuable. But, if there are something visible like the reusable cups, or ethical statements or sustainability messaging, then it can be replicated by the competitor. </w:t>
      </w:r>
    </w:p>
    <w:p w14:paraId="41AB5A05" w14:textId="77777777" w:rsidR="00572CAA" w:rsidRPr="00E86635" w:rsidRDefault="00572CAA" w:rsidP="00E2542F">
      <w:pPr>
        <w:pStyle w:val="Heading2"/>
        <w:rPr>
          <w:rFonts w:eastAsia="Times New Roman"/>
          <w:lang w:val="en-GB" w:eastAsia="en-GB"/>
        </w:rPr>
      </w:pPr>
      <w:bookmarkStart w:id="74" w:name="_Toc241167469"/>
      <w:r w:rsidRPr="00E86635">
        <w:rPr>
          <w:rFonts w:eastAsia="Times New Roman"/>
          <w:lang w:val="en-GB" w:eastAsia="en-GB"/>
        </w:rPr>
        <w:lastRenderedPageBreak/>
        <w:t>7.7 Strategic Synthesis</w:t>
      </w:r>
      <w:bookmarkEnd w:id="74"/>
    </w:p>
    <w:p w14:paraId="0E7CBD91" w14:textId="77777777" w:rsidR="003916FE" w:rsidRPr="00E86635" w:rsidRDefault="003916FE" w:rsidP="00E2542F">
      <w:pPr>
        <w:keepNext/>
        <w:spacing w:before="100" w:beforeAutospacing="1" w:after="100" w:afterAutospacing="1" w:line="360" w:lineRule="auto"/>
        <w:jc w:val="center"/>
        <w:rPr>
          <w:rFonts w:ascii="Arial" w:hAnsi="Arial" w:cs="Arial"/>
          <w:sz w:val="24"/>
          <w:szCs w:val="24"/>
        </w:rPr>
      </w:pPr>
      <w:r w:rsidRPr="00E86635">
        <w:rPr>
          <w:rFonts w:ascii="Arial" w:eastAsia="Times New Roman" w:hAnsi="Arial" w:cs="Arial"/>
          <w:noProof/>
          <w:sz w:val="24"/>
          <w:szCs w:val="24"/>
          <w:lang w:val="en-GB" w:eastAsia="en-GB"/>
          <w14:ligatures w14:val="standardContextual"/>
        </w:rPr>
        <w:drawing>
          <wp:inline distT="0" distB="0" distL="0" distR="0" wp14:anchorId="1883D4D2" wp14:editId="6208EF1E">
            <wp:extent cx="3162184" cy="48196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831_17491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85625" cy="4855377"/>
                    </a:xfrm>
                    <a:prstGeom prst="rect">
                      <a:avLst/>
                    </a:prstGeom>
                  </pic:spPr>
                </pic:pic>
              </a:graphicData>
            </a:graphic>
          </wp:inline>
        </w:drawing>
      </w:r>
    </w:p>
    <w:p w14:paraId="34CCF7D6" w14:textId="34613DEE" w:rsidR="003916FE" w:rsidRPr="00E86635" w:rsidRDefault="003916FE" w:rsidP="00E86635">
      <w:pPr>
        <w:pStyle w:val="Caption"/>
        <w:spacing w:line="360" w:lineRule="auto"/>
        <w:jc w:val="both"/>
        <w:rPr>
          <w:rFonts w:ascii="Arial" w:eastAsia="Times New Roman" w:hAnsi="Arial" w:cs="Arial"/>
          <w:sz w:val="24"/>
          <w:szCs w:val="24"/>
          <w:lang w:val="en-GB" w:eastAsia="en-GB"/>
        </w:rPr>
      </w:pPr>
      <w:bookmarkStart w:id="75" w:name="_Toc241170867"/>
      <w:r w:rsidRPr="00E86635">
        <w:rPr>
          <w:rFonts w:ascii="Arial" w:hAnsi="Arial" w:cs="Arial"/>
          <w:sz w:val="24"/>
          <w:szCs w:val="24"/>
        </w:rPr>
        <w:t xml:space="preserve">Figure </w:t>
      </w:r>
      <w:r w:rsidRPr="00E86635">
        <w:rPr>
          <w:rFonts w:ascii="Arial" w:hAnsi="Arial" w:cs="Arial"/>
          <w:sz w:val="24"/>
          <w:szCs w:val="24"/>
        </w:rPr>
        <w:fldChar w:fldCharType="begin"/>
      </w:r>
      <w:r w:rsidRPr="00E86635">
        <w:rPr>
          <w:rFonts w:ascii="Arial" w:hAnsi="Arial" w:cs="Arial"/>
          <w:sz w:val="24"/>
          <w:szCs w:val="24"/>
        </w:rPr>
        <w:instrText xml:space="preserve"> SEQ Figure \* ARABIC </w:instrText>
      </w:r>
      <w:r w:rsidRPr="00E86635">
        <w:rPr>
          <w:rFonts w:ascii="Arial" w:hAnsi="Arial" w:cs="Arial"/>
          <w:sz w:val="24"/>
          <w:szCs w:val="24"/>
        </w:rPr>
        <w:fldChar w:fldCharType="separate"/>
      </w:r>
      <w:r w:rsidRPr="00E86635">
        <w:rPr>
          <w:rFonts w:ascii="Arial" w:hAnsi="Arial" w:cs="Arial"/>
          <w:noProof/>
          <w:sz w:val="24"/>
          <w:szCs w:val="24"/>
        </w:rPr>
        <w:t>1</w:t>
      </w:r>
      <w:r w:rsidRPr="00E86635">
        <w:rPr>
          <w:rFonts w:ascii="Arial" w:hAnsi="Arial" w:cs="Arial"/>
          <w:sz w:val="24"/>
          <w:szCs w:val="24"/>
        </w:rPr>
        <w:fldChar w:fldCharType="end"/>
      </w:r>
      <w:r w:rsidRPr="00E86635">
        <w:rPr>
          <w:rFonts w:ascii="Arial" w:hAnsi="Arial" w:cs="Arial"/>
          <w:sz w:val="24"/>
          <w:szCs w:val="24"/>
        </w:rPr>
        <w:t>.: Strategic Logic for The Ethical Bean Coffee House</w:t>
      </w:r>
      <w:bookmarkEnd w:id="75"/>
    </w:p>
    <w:p w14:paraId="7672ED05" w14:textId="5D202233" w:rsidR="00572CAA" w:rsidRPr="00E86635" w:rsidRDefault="00572CAA"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i/>
          <w:iCs/>
          <w:sz w:val="24"/>
          <w:szCs w:val="24"/>
          <w:lang w:val="en-GB" w:eastAsia="en-GB"/>
        </w:rPr>
        <w:t>Source: Researcher's synthesis based on Chapters 5 and 6.</w:t>
      </w:r>
    </w:p>
    <w:p w14:paraId="12A35962" w14:textId="1BE8C425" w:rsidR="00764905" w:rsidRDefault="00317588" w:rsidP="00E2542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17588">
        <w:rPr>
          <w:rFonts w:ascii="Arial" w:eastAsia="Times New Roman" w:hAnsi="Arial" w:cs="Arial"/>
          <w:sz w:val="24"/>
          <w:szCs w:val="24"/>
          <w:lang w:val="en-GB" w:eastAsia="en-GB"/>
        </w:rPr>
        <w:t>The strategy thus establishes a clear link between evidence and ethical differentiation as the basis for competition and then implementation in a targeted manner and in stages. Chapter 8 should map the chosen strategy into the Business Model Canvas, whereas later marketing, operations and financial and risk planning would be used to determine if the required capabilities and assu</w:t>
      </w:r>
      <w:r>
        <w:rPr>
          <w:rFonts w:ascii="Arial" w:eastAsia="Times New Roman" w:hAnsi="Arial" w:cs="Arial"/>
          <w:sz w:val="24"/>
          <w:szCs w:val="24"/>
          <w:lang w:val="en-GB" w:eastAsia="en-GB"/>
        </w:rPr>
        <w:t>mptions are commercially viable</w:t>
      </w:r>
      <w:r w:rsidR="00572CAA" w:rsidRPr="00E86635">
        <w:rPr>
          <w:rFonts w:ascii="Arial" w:eastAsia="Times New Roman" w:hAnsi="Arial" w:cs="Arial"/>
          <w:sz w:val="24"/>
          <w:szCs w:val="24"/>
          <w:lang w:val="en-GB" w:eastAsia="en-GB"/>
        </w:rPr>
        <w:t xml:space="preserve">. </w:t>
      </w:r>
    </w:p>
    <w:p w14:paraId="07647EA6" w14:textId="77777777" w:rsidR="0057579E" w:rsidRPr="00C7150E" w:rsidRDefault="0057579E" w:rsidP="00996042">
      <w:pPr>
        <w:pStyle w:val="Heading1"/>
        <w:jc w:val="center"/>
        <w:rPr>
          <w:rFonts w:eastAsia="Times New Roman"/>
          <w:lang w:val="en-GB" w:eastAsia="en-GB"/>
        </w:rPr>
      </w:pPr>
      <w:bookmarkStart w:id="76" w:name="_Toc241167470"/>
      <w:r w:rsidRPr="00C7150E">
        <w:rPr>
          <w:rFonts w:eastAsia="Times New Roman"/>
          <w:lang w:val="en-GB" w:eastAsia="en-GB"/>
        </w:rPr>
        <w:lastRenderedPageBreak/>
        <w:t>Chapter 8: Business Model Canvas</w:t>
      </w:r>
      <w:bookmarkEnd w:id="76"/>
    </w:p>
    <w:p w14:paraId="0DCF30FA" w14:textId="107B8F70" w:rsidR="0057579E" w:rsidRPr="00C7150E" w:rsidRDefault="0057579E" w:rsidP="00996042">
      <w:pPr>
        <w:pStyle w:val="Heading2"/>
        <w:rPr>
          <w:rFonts w:eastAsia="Times New Roman"/>
          <w:lang w:val="en-GB" w:eastAsia="en-GB"/>
        </w:rPr>
      </w:pPr>
      <w:bookmarkStart w:id="77" w:name="_Toc241167471"/>
      <w:r w:rsidRPr="00C7150E">
        <w:rPr>
          <w:rFonts w:eastAsia="Times New Roman"/>
          <w:lang w:val="en-GB" w:eastAsia="en-GB"/>
        </w:rPr>
        <w:t>8</w:t>
      </w:r>
      <w:r w:rsidR="00996042">
        <w:rPr>
          <w:rFonts w:eastAsia="Times New Roman"/>
          <w:lang w:val="en-GB" w:eastAsia="en-GB"/>
        </w:rPr>
        <w:t>.1 Model Overview and Alignment</w:t>
      </w:r>
      <w:bookmarkEnd w:id="77"/>
    </w:p>
    <w:p w14:paraId="0D090304" w14:textId="79A0886E" w:rsidR="0057579E" w:rsidRPr="00C7150E" w:rsidRDefault="004B66F2" w:rsidP="00C7150E">
      <w:pPr>
        <w:spacing w:before="100" w:beforeAutospacing="1" w:after="100" w:afterAutospacing="1" w:line="360" w:lineRule="auto"/>
        <w:jc w:val="both"/>
        <w:rPr>
          <w:rFonts w:ascii="Arial" w:eastAsia="Times New Roman" w:hAnsi="Arial" w:cs="Arial"/>
          <w:sz w:val="24"/>
          <w:szCs w:val="24"/>
          <w:lang w:val="en-GB" w:eastAsia="en-GB"/>
        </w:rPr>
      </w:pPr>
      <w:r w:rsidRPr="004B66F2">
        <w:rPr>
          <w:rFonts w:ascii="Arial" w:eastAsia="Times New Roman" w:hAnsi="Arial" w:cs="Arial"/>
          <w:sz w:val="24"/>
          <w:szCs w:val="24"/>
          <w:lang w:val="en-GB" w:eastAsia="en-GB"/>
        </w:rPr>
        <w:t>The Business Model Canvas (BMC) provides a description of nine interconnected elements, which describe how a business creates, delivers and captures value: Customer Segments, Value Proposition, Channels, Customer Relationships, Revenue Streams, Key Resources, Key Activities, Key Partnerships and Cost Structure (</w:t>
      </w:r>
      <w:proofErr w:type="spellStart"/>
      <w:r w:rsidRPr="004B66F2">
        <w:rPr>
          <w:rFonts w:ascii="Arial" w:eastAsia="Times New Roman" w:hAnsi="Arial" w:cs="Arial"/>
          <w:sz w:val="24"/>
          <w:szCs w:val="24"/>
          <w:lang w:val="en-GB" w:eastAsia="en-GB"/>
        </w:rPr>
        <w:t>Osterwalder</w:t>
      </w:r>
      <w:proofErr w:type="spellEnd"/>
      <w:r w:rsidRPr="004B66F2">
        <w:rPr>
          <w:rFonts w:ascii="Arial" w:eastAsia="Times New Roman" w:hAnsi="Arial" w:cs="Arial"/>
          <w:sz w:val="24"/>
          <w:szCs w:val="24"/>
          <w:lang w:val="en-GB" w:eastAsia="en-GB"/>
        </w:rPr>
        <w:t xml:space="preserve"> and </w:t>
      </w:r>
      <w:proofErr w:type="spellStart"/>
      <w:r w:rsidRPr="004B66F2">
        <w:rPr>
          <w:rFonts w:ascii="Arial" w:eastAsia="Times New Roman" w:hAnsi="Arial" w:cs="Arial"/>
          <w:sz w:val="24"/>
          <w:szCs w:val="24"/>
          <w:lang w:val="en-GB" w:eastAsia="en-GB"/>
        </w:rPr>
        <w:t>Pigneur</w:t>
      </w:r>
      <w:proofErr w:type="spellEnd"/>
      <w:r w:rsidRPr="004B66F2">
        <w:rPr>
          <w:rFonts w:ascii="Arial" w:eastAsia="Times New Roman" w:hAnsi="Arial" w:cs="Arial"/>
          <w:sz w:val="24"/>
          <w:szCs w:val="24"/>
          <w:lang w:val="en-GB" w:eastAsia="en-GB"/>
        </w:rPr>
        <w:t>, 2010). The BMC is the translation of The Ethical Bean Coffee House (TEBC) of the focused staged differentiation strategy from Chapter 7 into an integrated business model. The final version of the visual Business Mode</w:t>
      </w:r>
      <w:r>
        <w:rPr>
          <w:rFonts w:ascii="Arial" w:eastAsia="Times New Roman" w:hAnsi="Arial" w:cs="Arial"/>
          <w:sz w:val="24"/>
          <w:szCs w:val="24"/>
          <w:lang w:val="en-GB" w:eastAsia="en-GB"/>
        </w:rPr>
        <w:t>l Canvas is shown in Appendix 8</w:t>
      </w:r>
      <w:r w:rsidR="00B93C09">
        <w:rPr>
          <w:rFonts w:ascii="Arial" w:eastAsia="Times New Roman" w:hAnsi="Arial" w:cs="Arial"/>
          <w:sz w:val="24"/>
          <w:szCs w:val="24"/>
          <w:lang w:val="en-GB" w:eastAsia="en-GB"/>
        </w:rPr>
        <w:t>.</w:t>
      </w:r>
    </w:p>
    <w:p w14:paraId="0B23F5C8" w14:textId="4E8B859F" w:rsidR="0057579E" w:rsidRPr="007C5C09" w:rsidRDefault="0057579E" w:rsidP="007C5C09">
      <w:pPr>
        <w:pStyle w:val="Heading2"/>
        <w:rPr>
          <w:rFonts w:eastAsia="Times New Roman"/>
          <w:lang w:val="en-GB" w:eastAsia="en-GB"/>
        </w:rPr>
      </w:pPr>
      <w:bookmarkStart w:id="78" w:name="_Toc241167472"/>
      <w:r w:rsidRPr="00C7150E">
        <w:rPr>
          <w:rFonts w:eastAsia="Times New Roman"/>
          <w:lang w:val="en-GB" w:eastAsia="en-GB"/>
        </w:rPr>
        <w:t>8.2 Customer Segments and Value Proposition</w:t>
      </w:r>
      <w:bookmarkEnd w:id="78"/>
    </w:p>
    <w:p w14:paraId="730BA71F" w14:textId="77777777" w:rsidR="00761279" w:rsidRPr="00761279" w:rsidRDefault="00761279" w:rsidP="00761279">
      <w:pPr>
        <w:spacing w:before="100" w:beforeAutospacing="1" w:after="100" w:afterAutospacing="1" w:line="360" w:lineRule="auto"/>
        <w:jc w:val="both"/>
        <w:rPr>
          <w:rFonts w:ascii="Arial" w:eastAsia="Times New Roman" w:hAnsi="Arial" w:cs="Arial"/>
          <w:sz w:val="24"/>
          <w:szCs w:val="24"/>
          <w:lang w:val="en-GB" w:eastAsia="en-GB"/>
        </w:rPr>
      </w:pPr>
      <w:r w:rsidRPr="00761279">
        <w:rPr>
          <w:rFonts w:ascii="Arial" w:eastAsia="Times New Roman" w:hAnsi="Arial" w:cs="Arial"/>
          <w:sz w:val="24"/>
          <w:szCs w:val="24"/>
          <w:lang w:val="en-GB" w:eastAsia="en-GB"/>
        </w:rPr>
        <w:t>Customers include top-end coffee drinkers who consider themselves ethical and work in urban areas around the Monmouth Street end of Oxford. Such customers may appreciate the quality of the coffee, ease of access, customised service or ethical coffee. A secondary market is made up of visitors who select to go to the selected locations in Covent Garden, including those who are interested in high quality coffee and café experience. This prioritisation is aligned with findings that specialty coffee and customised hospitality and café atmosphere are still relevant in the independent coffee-shop market in the UK (World Coffee Portal, 2026).</w:t>
      </w:r>
    </w:p>
    <w:p w14:paraId="3EF073F9" w14:textId="6C80310E" w:rsidR="0057579E" w:rsidRPr="00C7150E" w:rsidRDefault="00761279" w:rsidP="00761279">
      <w:pPr>
        <w:spacing w:before="100" w:beforeAutospacing="1" w:after="100" w:afterAutospacing="1" w:line="360" w:lineRule="auto"/>
        <w:jc w:val="both"/>
        <w:rPr>
          <w:rFonts w:ascii="Arial" w:eastAsia="Times New Roman" w:hAnsi="Arial" w:cs="Arial"/>
          <w:sz w:val="24"/>
          <w:szCs w:val="24"/>
          <w:lang w:val="en-GB" w:eastAsia="en-GB"/>
        </w:rPr>
      </w:pPr>
      <w:r w:rsidRPr="00761279">
        <w:rPr>
          <w:rFonts w:ascii="Arial" w:eastAsia="Times New Roman" w:hAnsi="Arial" w:cs="Arial"/>
          <w:sz w:val="24"/>
          <w:szCs w:val="24"/>
          <w:lang w:val="en-GB" w:eastAsia="en-GB"/>
        </w:rPr>
        <w:t xml:space="preserve">The value proposition brings together specialty quality coffee, ethical sourcing, transparency in sourcing, sustainable practices and personalised service. There is some evidence that consumers are willing to pay more for sustainability features of coffee, but some segments are more willing to pay than others and willingness to pay is dependent on context (Fuller and </w:t>
      </w:r>
      <w:proofErr w:type="spellStart"/>
      <w:r w:rsidRPr="00761279">
        <w:rPr>
          <w:rFonts w:ascii="Arial" w:eastAsia="Times New Roman" w:hAnsi="Arial" w:cs="Arial"/>
          <w:sz w:val="24"/>
          <w:szCs w:val="24"/>
          <w:lang w:val="en-GB" w:eastAsia="en-GB"/>
        </w:rPr>
        <w:t>Grebitus</w:t>
      </w:r>
      <w:proofErr w:type="spellEnd"/>
      <w:r w:rsidRPr="00761279">
        <w:rPr>
          <w:rFonts w:ascii="Arial" w:eastAsia="Times New Roman" w:hAnsi="Arial" w:cs="Arial"/>
          <w:sz w:val="24"/>
          <w:szCs w:val="24"/>
          <w:lang w:val="en-GB" w:eastAsia="en-GB"/>
        </w:rPr>
        <w:t xml:space="preserve">, 2023; Abdu and </w:t>
      </w:r>
      <w:proofErr w:type="spellStart"/>
      <w:r w:rsidRPr="00761279">
        <w:rPr>
          <w:rFonts w:ascii="Arial" w:eastAsia="Times New Roman" w:hAnsi="Arial" w:cs="Arial"/>
          <w:sz w:val="24"/>
          <w:szCs w:val="24"/>
          <w:lang w:val="en-GB" w:eastAsia="en-GB"/>
        </w:rPr>
        <w:t>Mutuku</w:t>
      </w:r>
      <w:proofErr w:type="spellEnd"/>
      <w:r w:rsidRPr="00761279">
        <w:rPr>
          <w:rFonts w:ascii="Arial" w:eastAsia="Times New Roman" w:hAnsi="Arial" w:cs="Arial"/>
          <w:sz w:val="24"/>
          <w:szCs w:val="24"/>
          <w:lang w:val="en-GB" w:eastAsia="en-GB"/>
        </w:rPr>
        <w:t xml:space="preserve">, 2021). The proposition thus takes care of both functional (quality, convenience and service) and ethical/experiential issues. TEBC will aim to drive responsible sourcing and sustainability to be part of the customer journey and to promote a more ethical offering than the traditional mass market product. But, establishing a specialty and showing this through the ethical position is not enough to make a difference, as other specialty operators also communicate responsible sourcing. Therefore, the proposed </w:t>
      </w:r>
      <w:r w:rsidRPr="00761279">
        <w:rPr>
          <w:rFonts w:ascii="Arial" w:eastAsia="Times New Roman" w:hAnsi="Arial" w:cs="Arial"/>
          <w:sz w:val="24"/>
          <w:szCs w:val="24"/>
          <w:lang w:val="en-GB" w:eastAsia="en-GB"/>
        </w:rPr>
        <w:lastRenderedPageBreak/>
        <w:t>differentiation is based on integrated combination of quality, traceability, sustainabili</w:t>
      </w:r>
      <w:r>
        <w:rPr>
          <w:rFonts w:ascii="Arial" w:eastAsia="Times New Roman" w:hAnsi="Arial" w:cs="Arial"/>
          <w:sz w:val="24"/>
          <w:szCs w:val="24"/>
          <w:lang w:val="en-GB" w:eastAsia="en-GB"/>
        </w:rPr>
        <w:t>ty and personalised hospitality</w:t>
      </w:r>
      <w:r w:rsidR="007C5C09" w:rsidRPr="007C5C09">
        <w:rPr>
          <w:rFonts w:ascii="Arial" w:eastAsia="Times New Roman" w:hAnsi="Arial" w:cs="Arial"/>
          <w:sz w:val="24"/>
          <w:szCs w:val="24"/>
          <w:lang w:val="en-GB" w:eastAsia="en-GB"/>
        </w:rPr>
        <w:t>.</w:t>
      </w:r>
    </w:p>
    <w:p w14:paraId="2C2A77AE" w14:textId="21A4AA67" w:rsidR="0057579E" w:rsidRPr="007C5C09" w:rsidRDefault="0057579E" w:rsidP="007C5C09">
      <w:pPr>
        <w:pStyle w:val="Heading2"/>
        <w:rPr>
          <w:rFonts w:eastAsia="Times New Roman"/>
          <w:lang w:val="en-GB" w:eastAsia="en-GB"/>
        </w:rPr>
      </w:pPr>
      <w:bookmarkStart w:id="79" w:name="_Toc241167473"/>
      <w:r w:rsidRPr="00C7150E">
        <w:rPr>
          <w:rFonts w:eastAsia="Times New Roman"/>
          <w:lang w:val="en-GB" w:eastAsia="en-GB"/>
        </w:rPr>
        <w:t>8.3 Channels and Customer Relationships</w:t>
      </w:r>
      <w:bookmarkEnd w:id="79"/>
    </w:p>
    <w:p w14:paraId="27C30D70" w14:textId="77777777" w:rsidR="00761279" w:rsidRPr="00761279" w:rsidRDefault="00761279" w:rsidP="00761279">
      <w:pPr>
        <w:spacing w:before="100" w:beforeAutospacing="1" w:after="100" w:afterAutospacing="1" w:line="360" w:lineRule="auto"/>
        <w:jc w:val="both"/>
        <w:rPr>
          <w:rFonts w:ascii="Arial" w:eastAsia="Times New Roman" w:hAnsi="Arial" w:cs="Arial"/>
          <w:sz w:val="24"/>
          <w:szCs w:val="24"/>
          <w:lang w:val="en-GB" w:eastAsia="en-GB"/>
        </w:rPr>
      </w:pPr>
      <w:r w:rsidRPr="00761279">
        <w:rPr>
          <w:rFonts w:ascii="Arial" w:eastAsia="Times New Roman" w:hAnsi="Arial" w:cs="Arial"/>
          <w:sz w:val="24"/>
          <w:szCs w:val="24"/>
          <w:lang w:val="en-GB" w:eastAsia="en-GB"/>
        </w:rPr>
        <w:t>The physical café will be the principal channel where the customer experiences the product, service and brand. The website and social media will be used to support awareness and menu discovery, location information and customer engagement. Direct digital ordering can be convenient and repeat purchasing where it is commercially feasible.</w:t>
      </w:r>
    </w:p>
    <w:p w14:paraId="6037566F" w14:textId="1889783C" w:rsidR="0057579E" w:rsidRPr="00C7150E" w:rsidRDefault="00761279" w:rsidP="00761279">
      <w:pPr>
        <w:spacing w:before="100" w:beforeAutospacing="1" w:after="100" w:afterAutospacing="1" w:line="360" w:lineRule="auto"/>
        <w:jc w:val="both"/>
        <w:rPr>
          <w:rFonts w:ascii="Arial" w:eastAsia="Times New Roman" w:hAnsi="Arial" w:cs="Arial"/>
          <w:sz w:val="24"/>
          <w:szCs w:val="24"/>
          <w:lang w:val="en-GB" w:eastAsia="en-GB"/>
        </w:rPr>
      </w:pPr>
      <w:r w:rsidRPr="00761279">
        <w:rPr>
          <w:rFonts w:ascii="Arial" w:eastAsia="Times New Roman" w:hAnsi="Arial" w:cs="Arial"/>
          <w:sz w:val="24"/>
          <w:szCs w:val="24"/>
          <w:lang w:val="en-GB" w:eastAsia="en-GB"/>
        </w:rPr>
        <w:t>Personal service and self-service, and digital interaction, will all be part of customer relationships. The employees will be trained to give personalized service and product indications and loyalty activity, feedback mechanisms and social-media communication will help to retain customers. Record and analyse customer comments and complaints to recommend services that could be improved and to create repeat sales. Any customer information gathered as a result of digital or loyalty initiatives ought to be treated acc</w:t>
      </w:r>
      <w:r>
        <w:rPr>
          <w:rFonts w:ascii="Arial" w:eastAsia="Times New Roman" w:hAnsi="Arial" w:cs="Arial"/>
          <w:sz w:val="24"/>
          <w:szCs w:val="24"/>
          <w:lang w:val="en-GB" w:eastAsia="en-GB"/>
        </w:rPr>
        <w:t>ording to relevant privacy laws</w:t>
      </w:r>
      <w:r w:rsidR="007C5C09" w:rsidRPr="007C5C09">
        <w:rPr>
          <w:rFonts w:ascii="Arial" w:eastAsia="Times New Roman" w:hAnsi="Arial" w:cs="Arial"/>
          <w:sz w:val="24"/>
          <w:szCs w:val="24"/>
          <w:lang w:val="en-GB" w:eastAsia="en-GB"/>
        </w:rPr>
        <w:t>.</w:t>
      </w:r>
    </w:p>
    <w:p w14:paraId="64F970BD" w14:textId="12CBF997" w:rsidR="0057579E" w:rsidRPr="00C7150E" w:rsidRDefault="0057579E" w:rsidP="00C04AA0">
      <w:pPr>
        <w:pStyle w:val="Heading2"/>
        <w:rPr>
          <w:rFonts w:eastAsia="Times New Roman"/>
          <w:lang w:val="en-GB" w:eastAsia="en-GB"/>
        </w:rPr>
      </w:pPr>
      <w:bookmarkStart w:id="80" w:name="_Toc241167474"/>
      <w:r w:rsidRPr="00C7150E">
        <w:rPr>
          <w:rFonts w:eastAsia="Times New Roman"/>
          <w:lang w:val="en-GB" w:eastAsia="en-GB"/>
        </w:rPr>
        <w:t>8.4 Revenue Streams and Cost Structu</w:t>
      </w:r>
      <w:r w:rsidR="00741EE0">
        <w:rPr>
          <w:rFonts w:eastAsia="Times New Roman"/>
          <w:lang w:val="en-GB" w:eastAsia="en-GB"/>
        </w:rPr>
        <w:t>re</w:t>
      </w:r>
      <w:bookmarkEnd w:id="80"/>
    </w:p>
    <w:p w14:paraId="79B71105" w14:textId="77777777" w:rsidR="00436403" w:rsidRPr="00436403" w:rsidRDefault="00436403" w:rsidP="00436403">
      <w:pPr>
        <w:spacing w:before="100" w:beforeAutospacing="1" w:after="100" w:afterAutospacing="1" w:line="360" w:lineRule="auto"/>
        <w:jc w:val="both"/>
        <w:rPr>
          <w:rFonts w:ascii="Arial" w:eastAsia="Times New Roman" w:hAnsi="Arial" w:cs="Arial"/>
          <w:sz w:val="24"/>
          <w:szCs w:val="24"/>
          <w:lang w:val="en-GB" w:eastAsia="en-GB"/>
        </w:rPr>
      </w:pPr>
      <w:r w:rsidRPr="00436403">
        <w:rPr>
          <w:rFonts w:ascii="Arial" w:eastAsia="Times New Roman" w:hAnsi="Arial" w:cs="Arial"/>
          <w:sz w:val="24"/>
          <w:szCs w:val="24"/>
          <w:lang w:val="en-GB" w:eastAsia="en-GB"/>
        </w:rPr>
        <w:t>Specialty coffee and other beverage sales in store will generate the majority of sales with food products, and selected retail coffee products, generating secondary sales. The revenue will then largely be based on the number of transactions and the average transaction value. The price should be in an accessible-premium range and should be benchmarked against relevant local competitors or contribution requirements of the financial model, not just be assumed by customers to be a higher price.</w:t>
      </w:r>
    </w:p>
    <w:p w14:paraId="14539A28" w14:textId="1643B9E7" w:rsidR="00532D9A" w:rsidRDefault="00436403" w:rsidP="00436403">
      <w:pPr>
        <w:spacing w:before="100" w:beforeAutospacing="1" w:after="100" w:afterAutospacing="1" w:line="360" w:lineRule="auto"/>
        <w:jc w:val="both"/>
        <w:rPr>
          <w:rFonts w:ascii="Arial" w:eastAsia="Times New Roman" w:hAnsi="Arial" w:cs="Arial"/>
          <w:sz w:val="24"/>
          <w:szCs w:val="24"/>
          <w:lang w:val="en-GB" w:eastAsia="en-GB"/>
        </w:rPr>
      </w:pPr>
      <w:r w:rsidRPr="00436403">
        <w:rPr>
          <w:rFonts w:ascii="Arial" w:eastAsia="Times New Roman" w:hAnsi="Arial" w:cs="Arial"/>
          <w:sz w:val="24"/>
          <w:szCs w:val="24"/>
          <w:lang w:val="en-GB" w:eastAsia="en-GB"/>
        </w:rPr>
        <w:t>Fixed costs will include premises, staff, insurance, professional services, software and baseline marketing. The variable costs will include packaging cost &amp; payment costs, coffee, milk, food ingredients. Other costs would include equipment, training, marketing, sustainability related activities. Independent coffee shops are likely to experience higher cost pressure than coffee chains, in terms of economies of scale (World Coffee Portal, 2026).</w:t>
      </w:r>
    </w:p>
    <w:p w14:paraId="7A2DF3ED" w14:textId="1598FD89" w:rsidR="0057579E" w:rsidRPr="00532D9A" w:rsidRDefault="0057579E" w:rsidP="00532D9A">
      <w:pPr>
        <w:pStyle w:val="Heading2"/>
        <w:rPr>
          <w:rFonts w:eastAsia="Times New Roman" w:cs="Arial"/>
          <w:sz w:val="24"/>
          <w:szCs w:val="24"/>
          <w:lang w:val="en-GB" w:eastAsia="en-GB"/>
        </w:rPr>
      </w:pPr>
      <w:bookmarkStart w:id="81" w:name="_Toc241167475"/>
      <w:r w:rsidRPr="00C7150E">
        <w:rPr>
          <w:rFonts w:eastAsia="Times New Roman"/>
          <w:lang w:val="en-GB" w:eastAsia="en-GB"/>
        </w:rPr>
        <w:lastRenderedPageBreak/>
        <w:t>8.5 Key Resources, Activities and Partnerships</w:t>
      </w:r>
      <w:bookmarkEnd w:id="81"/>
    </w:p>
    <w:p w14:paraId="0EB5CD9C" w14:textId="77777777" w:rsidR="002563BD" w:rsidRPr="002563BD" w:rsidRDefault="002563BD" w:rsidP="002563BD">
      <w:pPr>
        <w:spacing w:before="100" w:beforeAutospacing="1" w:after="100" w:afterAutospacing="1" w:line="360" w:lineRule="auto"/>
        <w:jc w:val="both"/>
        <w:rPr>
          <w:rFonts w:ascii="Arial" w:eastAsia="Times New Roman" w:hAnsi="Arial" w:cs="Arial"/>
          <w:sz w:val="24"/>
          <w:szCs w:val="24"/>
          <w:lang w:val="en-GB" w:eastAsia="en-GB"/>
        </w:rPr>
      </w:pPr>
      <w:r w:rsidRPr="002563BD">
        <w:rPr>
          <w:rFonts w:ascii="Arial" w:eastAsia="Times New Roman" w:hAnsi="Arial" w:cs="Arial"/>
          <w:sz w:val="24"/>
          <w:szCs w:val="24"/>
          <w:lang w:val="en-GB" w:eastAsia="en-GB"/>
        </w:rPr>
        <w:t>Key resources will be the Covent Garden location, trained staff, digital/POS systems, working capital, professional coffee equipment and once established, credible relationships with ethical suppliers. The trained staff and premises are significant features as the strategy is based on a proposition derived from experience. Good supplier relationships will be reflected in the evidence for sourcing claims and working capital will be needed to pay for rent, wages, inventory and other operating expenses in the initial trading period. Many of these resources will require to be purchased, or created, prior to launch.</w:t>
      </w:r>
    </w:p>
    <w:p w14:paraId="25769AFC" w14:textId="769DF98E" w:rsidR="0057579E" w:rsidRPr="00C7150E" w:rsidRDefault="002563BD" w:rsidP="002563BD">
      <w:pPr>
        <w:spacing w:before="100" w:beforeAutospacing="1" w:after="100" w:afterAutospacing="1" w:line="360" w:lineRule="auto"/>
        <w:jc w:val="both"/>
        <w:rPr>
          <w:rFonts w:ascii="Arial" w:eastAsia="Times New Roman" w:hAnsi="Arial" w:cs="Arial"/>
          <w:sz w:val="24"/>
          <w:szCs w:val="24"/>
          <w:lang w:val="en-GB" w:eastAsia="en-GB"/>
        </w:rPr>
      </w:pPr>
      <w:r w:rsidRPr="002563BD">
        <w:rPr>
          <w:rFonts w:ascii="Arial" w:eastAsia="Times New Roman" w:hAnsi="Arial" w:cs="Arial"/>
          <w:sz w:val="24"/>
          <w:szCs w:val="24"/>
          <w:lang w:val="en-GB" w:eastAsia="en-GB"/>
        </w:rPr>
        <w:t>Ethical sourcing and supplier verification, coffee preparation and quality control, customer service, inventory management, waste reduction, and digital engagement and performance monitoring will be key activities. These activities are directly related to the proposed value proposition and revenue model. The preparation of coffee needs to be standardised with staff training and a quality control system, and ethical positioning will need to be supported by suitable sourcing documentation and accurate customer communication. Selected coffee roasters or producers, food suppliers, sustainability and waste-management providers, as well as payment or technology providers, are examples of key partners. Supplier diversification can minimize reliance on one supplier, and aid to control availability, quality, and price risks.</w:t>
      </w:r>
      <w:r w:rsidR="00D44CCC" w:rsidRPr="00D44CCC">
        <w:rPr>
          <w:rFonts w:ascii="Arial" w:eastAsia="Times New Roman" w:hAnsi="Arial" w:cs="Arial"/>
          <w:sz w:val="24"/>
          <w:szCs w:val="24"/>
          <w:lang w:val="en-GB" w:eastAsia="en-GB"/>
        </w:rPr>
        <w:t xml:space="preserve"> </w:t>
      </w:r>
    </w:p>
    <w:p w14:paraId="5F55BDDE" w14:textId="2D861778" w:rsidR="0057579E" w:rsidRPr="00C7150E" w:rsidRDefault="0057579E" w:rsidP="00BE3014">
      <w:pPr>
        <w:pStyle w:val="Heading2"/>
        <w:rPr>
          <w:rFonts w:eastAsia="Times New Roman"/>
          <w:lang w:val="en-GB" w:eastAsia="en-GB"/>
        </w:rPr>
      </w:pPr>
      <w:bookmarkStart w:id="82" w:name="_Toc241167476"/>
      <w:r w:rsidRPr="00C7150E">
        <w:rPr>
          <w:rFonts w:eastAsia="Times New Roman"/>
          <w:lang w:val="en-GB" w:eastAsia="en-GB"/>
        </w:rPr>
        <w:t>8.6 Integrat</w:t>
      </w:r>
      <w:r w:rsidR="00573EAA">
        <w:rPr>
          <w:rFonts w:eastAsia="Times New Roman"/>
          <w:lang w:val="en-GB" w:eastAsia="en-GB"/>
        </w:rPr>
        <w:t>ion, Assumptions and Conclusion</w:t>
      </w:r>
      <w:bookmarkEnd w:id="82"/>
    </w:p>
    <w:p w14:paraId="5F060488" w14:textId="77777777" w:rsidR="000B1A01" w:rsidRDefault="000B1A01" w:rsidP="00A8463F">
      <w:pPr>
        <w:spacing w:before="100" w:beforeAutospacing="1" w:after="100" w:afterAutospacing="1" w:line="360" w:lineRule="auto"/>
        <w:jc w:val="both"/>
        <w:rPr>
          <w:rFonts w:ascii="Arial" w:eastAsia="Times New Roman" w:hAnsi="Arial" w:cs="Arial"/>
          <w:sz w:val="24"/>
          <w:szCs w:val="24"/>
          <w:lang w:val="en-GB" w:eastAsia="en-GB"/>
        </w:rPr>
      </w:pPr>
      <w:r w:rsidRPr="000B1A01">
        <w:rPr>
          <w:rFonts w:ascii="Arial" w:eastAsia="Times New Roman" w:hAnsi="Arial" w:cs="Arial"/>
          <w:sz w:val="24"/>
          <w:szCs w:val="24"/>
          <w:lang w:val="en-GB" w:eastAsia="en-GB"/>
        </w:rPr>
        <w:t>The nine BMC components are interdependent. The value proposition dictates the channels, customer relationships, resources and activities needed to deliver the product, partnerships help operational capability, and beverages, food and retail products help the cost structure. This means that where it has been identified that there is alignment with the focused staged differentiation strategy developed in Chapter 7.</w:t>
      </w:r>
    </w:p>
    <w:p w14:paraId="531E98BD" w14:textId="0322899D" w:rsidR="0057579E" w:rsidRDefault="00A8463F" w:rsidP="00A8463F">
      <w:pPr>
        <w:spacing w:before="100" w:beforeAutospacing="1" w:after="100" w:afterAutospacing="1" w:line="360" w:lineRule="auto"/>
        <w:jc w:val="both"/>
        <w:rPr>
          <w:rFonts w:ascii="Arial" w:eastAsia="Times New Roman" w:hAnsi="Arial" w:cs="Arial"/>
          <w:sz w:val="24"/>
          <w:szCs w:val="24"/>
          <w:lang w:val="en-GB" w:eastAsia="en-GB"/>
        </w:rPr>
      </w:pPr>
      <w:r w:rsidRPr="00A8463F">
        <w:rPr>
          <w:rFonts w:ascii="Arial" w:eastAsia="Times New Roman" w:hAnsi="Arial" w:cs="Arial"/>
          <w:sz w:val="24"/>
          <w:szCs w:val="24"/>
          <w:lang w:val="en-GB" w:eastAsia="en-GB"/>
        </w:rPr>
        <w:t xml:space="preserve">However, the model contains assumptions that require validation. These include whether customers in Covent Garden are willing to pay an accessible-premium price for ethical and specialty attributes and whether responsible sourcing can be maintained without creating unsustainable cost increases. These assumptions should </w:t>
      </w:r>
      <w:r w:rsidRPr="00A8463F">
        <w:rPr>
          <w:rFonts w:ascii="Arial" w:eastAsia="Times New Roman" w:hAnsi="Arial" w:cs="Arial"/>
          <w:sz w:val="24"/>
          <w:szCs w:val="24"/>
          <w:lang w:val="en-GB" w:eastAsia="en-GB"/>
        </w:rPr>
        <w:lastRenderedPageBreak/>
        <w:t>be tested through supplier quotations, competitor price benchmarking, early trading data, repeat-purchase behaviour and contribution-margin monitoring. The BMC should therefore be treated as a testable business model rather than a fixed plan, with the subsequent marketing, operational and financial chapters translating its assumptions into measura</w:t>
      </w:r>
      <w:r>
        <w:rPr>
          <w:rFonts w:ascii="Arial" w:eastAsia="Times New Roman" w:hAnsi="Arial" w:cs="Arial"/>
          <w:sz w:val="24"/>
          <w:szCs w:val="24"/>
          <w:lang w:val="en-GB" w:eastAsia="en-GB"/>
        </w:rPr>
        <w:t>ble implementation requirements</w:t>
      </w:r>
      <w:r w:rsidR="0057579E" w:rsidRPr="00C7150E">
        <w:rPr>
          <w:rFonts w:ascii="Arial" w:eastAsia="Times New Roman" w:hAnsi="Arial" w:cs="Arial"/>
          <w:sz w:val="24"/>
          <w:szCs w:val="24"/>
          <w:lang w:val="en-GB" w:eastAsia="en-GB"/>
        </w:rPr>
        <w:t>.</w:t>
      </w:r>
    </w:p>
    <w:p w14:paraId="0BB973FF" w14:textId="35D814D8" w:rsidR="00A1593B" w:rsidRDefault="00A1593B" w:rsidP="00BE3014">
      <w:pPr>
        <w:spacing w:before="100" w:beforeAutospacing="1" w:after="100" w:afterAutospacing="1" w:line="360" w:lineRule="auto"/>
        <w:jc w:val="both"/>
        <w:rPr>
          <w:rFonts w:ascii="Arial" w:eastAsia="Times New Roman" w:hAnsi="Arial" w:cs="Arial"/>
          <w:sz w:val="24"/>
          <w:szCs w:val="24"/>
          <w:lang w:val="en-GB" w:eastAsia="en-GB"/>
        </w:rPr>
      </w:pPr>
    </w:p>
    <w:p w14:paraId="3DA47CC2" w14:textId="78A8E1D1"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01EC0F6F" w14:textId="70F0A749"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5B4E99EC" w14:textId="15CF4353"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4B56735C" w14:textId="606F6612"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2CABA94A" w14:textId="0B573210"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2B285533" w14:textId="2C99A561"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1D6A4000" w14:textId="78A9C0C4"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2355294C" w14:textId="69E8DC44"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255708FA" w14:textId="79E57E39"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74284598" w14:textId="5F0C0DFE"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6C81C1D5" w14:textId="7E135116"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461AAC15" w14:textId="13E58A83"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67FF7318" w14:textId="673EC3CB"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6DEA37A2" w14:textId="77777777" w:rsidR="00532D9A" w:rsidRDefault="00532D9A" w:rsidP="00BE3014">
      <w:pPr>
        <w:spacing w:before="100" w:beforeAutospacing="1" w:after="100" w:afterAutospacing="1" w:line="360" w:lineRule="auto"/>
        <w:jc w:val="both"/>
        <w:rPr>
          <w:rFonts w:ascii="Arial" w:eastAsia="Times New Roman" w:hAnsi="Arial" w:cs="Arial"/>
          <w:sz w:val="24"/>
          <w:szCs w:val="24"/>
          <w:lang w:val="en-GB" w:eastAsia="en-GB"/>
        </w:rPr>
      </w:pPr>
    </w:p>
    <w:p w14:paraId="0D6354EB" w14:textId="77777777" w:rsidR="00B2409B" w:rsidRPr="00B2409B" w:rsidRDefault="00B2409B" w:rsidP="00C35696">
      <w:pPr>
        <w:pStyle w:val="Heading1"/>
        <w:jc w:val="center"/>
        <w:rPr>
          <w:rFonts w:eastAsia="Times New Roman"/>
          <w:lang w:val="en-GB" w:eastAsia="en-GB"/>
        </w:rPr>
      </w:pPr>
      <w:bookmarkStart w:id="83" w:name="_Toc241167477"/>
      <w:r w:rsidRPr="00B2409B">
        <w:rPr>
          <w:rFonts w:eastAsia="Times New Roman"/>
          <w:lang w:val="en-GB" w:eastAsia="en-GB"/>
        </w:rPr>
        <w:lastRenderedPageBreak/>
        <w:t>Chapter 9: Financial, Marketing and Sales, and Human Capital Management Plan</w:t>
      </w:r>
      <w:bookmarkEnd w:id="83"/>
    </w:p>
    <w:p w14:paraId="1DA57D3F" w14:textId="53E038CD" w:rsidR="00B2409B" w:rsidRPr="00B2409B" w:rsidRDefault="0038379F" w:rsidP="00C35696">
      <w:pPr>
        <w:pStyle w:val="Heading2"/>
        <w:rPr>
          <w:rFonts w:eastAsia="Times New Roman"/>
          <w:lang w:val="en-GB" w:eastAsia="en-GB"/>
        </w:rPr>
      </w:pPr>
      <w:bookmarkStart w:id="84" w:name="_Toc241167478"/>
      <w:r>
        <w:rPr>
          <w:rFonts w:eastAsia="Times New Roman"/>
          <w:lang w:val="en-GB" w:eastAsia="en-GB"/>
        </w:rPr>
        <w:t>9.1 Integrated Plan Overview</w:t>
      </w:r>
      <w:bookmarkEnd w:id="84"/>
    </w:p>
    <w:p w14:paraId="5E5B2F5E" w14:textId="47834614" w:rsidR="00C35696" w:rsidRPr="00C35696" w:rsidRDefault="003009C6" w:rsidP="00C35696">
      <w:pPr>
        <w:spacing w:before="100" w:beforeAutospacing="1" w:after="100" w:afterAutospacing="1" w:line="360" w:lineRule="auto"/>
        <w:jc w:val="both"/>
        <w:rPr>
          <w:rFonts w:ascii="Arial" w:eastAsia="Times New Roman" w:hAnsi="Arial" w:cs="Arial"/>
          <w:sz w:val="24"/>
          <w:szCs w:val="24"/>
          <w:lang w:val="en-GB" w:eastAsia="en-GB"/>
        </w:rPr>
      </w:pPr>
      <w:r w:rsidRPr="003009C6">
        <w:rPr>
          <w:rFonts w:ascii="Arial" w:eastAsia="Times New Roman" w:hAnsi="Arial" w:cs="Arial"/>
          <w:sz w:val="24"/>
          <w:szCs w:val="24"/>
          <w:lang w:val="en-GB" w:eastAsia="en-GB"/>
        </w:rPr>
        <w:t>This chapter translates the market opportunity, competitive environment, focused staged differentiation strategy and Business Model Canvas developed in Chapters 5–8 into an integrated functional plan for The Ethical Bean Coffee House (TEBC). Financial, marketing, sales and human-capital decisions are treated as an integrated system rather than separate activities. The model targets ethically conscious specialty-coffee consumers and urban professionals in and around Monmouth Street, Covent Garden, with selected visitors representing an additional segment. TEBC will differentiate through specialty coffee quality, credible sourcing transparency, sustainability and personalised service within an acc</w:t>
      </w:r>
      <w:r w:rsidR="00B20E22">
        <w:rPr>
          <w:rFonts w:ascii="Arial" w:eastAsia="Times New Roman" w:hAnsi="Arial" w:cs="Arial"/>
          <w:sz w:val="24"/>
          <w:szCs w:val="24"/>
          <w:lang w:val="en-GB" w:eastAsia="en-GB"/>
        </w:rPr>
        <w:t xml:space="preserve">essible-premium price position </w:t>
      </w:r>
      <w:r w:rsidRPr="003009C6">
        <w:rPr>
          <w:rFonts w:ascii="Arial" w:eastAsia="Times New Roman" w:hAnsi="Arial" w:cs="Arial"/>
          <w:sz w:val="24"/>
          <w:szCs w:val="24"/>
          <w:lang w:val="en-GB" w:eastAsia="en-GB"/>
        </w:rPr>
        <w:t>(</w:t>
      </w:r>
      <w:proofErr w:type="spellStart"/>
      <w:r w:rsidRPr="003009C6">
        <w:rPr>
          <w:rFonts w:ascii="Arial" w:eastAsia="Times New Roman" w:hAnsi="Arial" w:cs="Arial"/>
          <w:sz w:val="24"/>
          <w:szCs w:val="24"/>
          <w:lang w:val="en-GB" w:eastAsia="en-GB"/>
        </w:rPr>
        <w:t>Osterwalder</w:t>
      </w:r>
      <w:proofErr w:type="spellEnd"/>
      <w:r w:rsidRPr="003009C6">
        <w:rPr>
          <w:rFonts w:ascii="Arial" w:eastAsia="Times New Roman" w:hAnsi="Arial" w:cs="Arial"/>
          <w:sz w:val="24"/>
          <w:szCs w:val="24"/>
          <w:lang w:val="en-GB" w:eastAsia="en-GB"/>
        </w:rPr>
        <w:t xml:space="preserve"> and </w:t>
      </w:r>
      <w:proofErr w:type="spellStart"/>
      <w:r w:rsidRPr="003009C6">
        <w:rPr>
          <w:rFonts w:ascii="Arial" w:eastAsia="Times New Roman" w:hAnsi="Arial" w:cs="Arial"/>
          <w:sz w:val="24"/>
          <w:szCs w:val="24"/>
          <w:lang w:val="en-GB" w:eastAsia="en-GB"/>
        </w:rPr>
        <w:t>Pi</w:t>
      </w:r>
      <w:r>
        <w:rPr>
          <w:rFonts w:ascii="Arial" w:eastAsia="Times New Roman" w:hAnsi="Arial" w:cs="Arial"/>
          <w:sz w:val="24"/>
          <w:szCs w:val="24"/>
          <w:lang w:val="en-GB" w:eastAsia="en-GB"/>
        </w:rPr>
        <w:t>gneur</w:t>
      </w:r>
      <w:proofErr w:type="spellEnd"/>
      <w:r>
        <w:rPr>
          <w:rFonts w:ascii="Arial" w:eastAsia="Times New Roman" w:hAnsi="Arial" w:cs="Arial"/>
          <w:sz w:val="24"/>
          <w:szCs w:val="24"/>
          <w:lang w:val="en-GB" w:eastAsia="en-GB"/>
        </w:rPr>
        <w:t>, 2010)</w:t>
      </w:r>
      <w:r w:rsidR="00C35696" w:rsidRPr="00C35696">
        <w:rPr>
          <w:rFonts w:ascii="Arial" w:eastAsia="Times New Roman" w:hAnsi="Arial" w:cs="Arial"/>
          <w:sz w:val="24"/>
          <w:szCs w:val="24"/>
          <w:lang w:val="en-GB" w:eastAsia="en-GB"/>
        </w:rPr>
        <w:t xml:space="preserve">. </w:t>
      </w:r>
    </w:p>
    <w:p w14:paraId="6B350E60" w14:textId="77777777" w:rsidR="00C35696" w:rsidRPr="00C35696" w:rsidRDefault="00C35696" w:rsidP="00C35696">
      <w:pPr>
        <w:pStyle w:val="Heading2"/>
        <w:rPr>
          <w:rFonts w:eastAsia="Times New Roman"/>
          <w:lang w:val="en-GB" w:eastAsia="en-GB"/>
        </w:rPr>
      </w:pPr>
      <w:bookmarkStart w:id="85" w:name="_Toc241167479"/>
      <w:r w:rsidRPr="00C35696">
        <w:rPr>
          <w:rFonts w:eastAsia="Times New Roman"/>
          <w:lang w:val="en-GB" w:eastAsia="en-GB"/>
        </w:rPr>
        <w:t>9.2 Financial Plan</w:t>
      </w:r>
      <w:bookmarkEnd w:id="85"/>
    </w:p>
    <w:p w14:paraId="6D7561EC" w14:textId="0149C3EF" w:rsidR="00C35696" w:rsidRPr="00C35696" w:rsidRDefault="00665C21" w:rsidP="00665C21">
      <w:pPr>
        <w:pStyle w:val="Heading3"/>
        <w:rPr>
          <w:rFonts w:eastAsia="Times New Roman"/>
          <w:lang w:val="en-GB" w:eastAsia="en-GB"/>
        </w:rPr>
      </w:pPr>
      <w:bookmarkStart w:id="86" w:name="_Toc241167480"/>
      <w:r>
        <w:rPr>
          <w:rFonts w:eastAsia="Times New Roman"/>
          <w:lang w:val="en-GB" w:eastAsia="en-GB"/>
        </w:rPr>
        <w:t>9.2.1 Economic</w:t>
      </w:r>
      <w:r w:rsidR="00C35696" w:rsidRPr="00C35696">
        <w:rPr>
          <w:rFonts w:eastAsia="Times New Roman"/>
          <w:lang w:val="en-GB" w:eastAsia="en-GB"/>
        </w:rPr>
        <w:t xml:space="preserve"> assumptions and business model</w:t>
      </w:r>
      <w:bookmarkEnd w:id="86"/>
    </w:p>
    <w:p w14:paraId="4C8B3DB9" w14:textId="14EFB071" w:rsidR="00B2409B" w:rsidRPr="00B2409B" w:rsidRDefault="00C35696" w:rsidP="00C35696">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The financial model is bottom up, rather than based on an unbacked percentage of the broader Covent Garden market. This corresponds to a revenue that is based on customers, transactions</w:t>
      </w:r>
      <w:r w:rsidR="00B20E22">
        <w:rPr>
          <w:rFonts w:ascii="Arial" w:eastAsia="Times New Roman" w:hAnsi="Arial" w:cs="Arial"/>
          <w:sz w:val="24"/>
          <w:szCs w:val="24"/>
          <w:lang w:val="en-GB" w:eastAsia="en-GB"/>
        </w:rPr>
        <w:t xml:space="preserve">, prices, capacity and timing. </w:t>
      </w:r>
    </w:p>
    <w:p w14:paraId="3198F995" w14:textId="76125CBC" w:rsidR="00C35696" w:rsidRPr="00C35696" w:rsidRDefault="00C35696" w:rsidP="00C35696">
      <w:pPr>
        <w:pStyle w:val="Caption"/>
        <w:keepNext/>
        <w:jc w:val="both"/>
        <w:rPr>
          <w:rFonts w:ascii="Arial" w:hAnsi="Arial" w:cs="Arial"/>
          <w:sz w:val="24"/>
        </w:rPr>
      </w:pPr>
      <w:bookmarkStart w:id="87" w:name="_Toc241170846"/>
      <w:r w:rsidRPr="00C35696">
        <w:rPr>
          <w:rFonts w:ascii="Arial" w:hAnsi="Arial" w:cs="Arial"/>
          <w:sz w:val="24"/>
        </w:rPr>
        <w:t xml:space="preserve">Table </w:t>
      </w:r>
      <w:r w:rsidRPr="00C35696">
        <w:rPr>
          <w:rFonts w:ascii="Arial" w:hAnsi="Arial" w:cs="Arial"/>
          <w:sz w:val="24"/>
        </w:rPr>
        <w:fldChar w:fldCharType="begin"/>
      </w:r>
      <w:r w:rsidRPr="00C35696">
        <w:rPr>
          <w:rFonts w:ascii="Arial" w:hAnsi="Arial" w:cs="Arial"/>
          <w:sz w:val="24"/>
        </w:rPr>
        <w:instrText xml:space="preserve"> SEQ Table \* ARABIC </w:instrText>
      </w:r>
      <w:r w:rsidRPr="00C35696">
        <w:rPr>
          <w:rFonts w:ascii="Arial" w:hAnsi="Arial" w:cs="Arial"/>
          <w:sz w:val="24"/>
        </w:rPr>
        <w:fldChar w:fldCharType="separate"/>
      </w:r>
      <w:r w:rsidR="001815EA">
        <w:rPr>
          <w:rFonts w:ascii="Arial" w:hAnsi="Arial" w:cs="Arial"/>
          <w:noProof/>
          <w:sz w:val="24"/>
        </w:rPr>
        <w:t>10</w:t>
      </w:r>
      <w:r w:rsidRPr="00C35696">
        <w:rPr>
          <w:rFonts w:ascii="Arial" w:hAnsi="Arial" w:cs="Arial"/>
          <w:sz w:val="24"/>
        </w:rPr>
        <w:fldChar w:fldCharType="end"/>
      </w:r>
      <w:r w:rsidRPr="00C35696">
        <w:rPr>
          <w:rFonts w:ascii="Arial" w:hAnsi="Arial" w:cs="Arial"/>
          <w:sz w:val="24"/>
        </w:rPr>
        <w:t>.Economic assumptions and business model</w:t>
      </w:r>
      <w:bookmarkEnd w:id="87"/>
    </w:p>
    <w:tbl>
      <w:tblPr>
        <w:tblStyle w:val="TableGrid"/>
        <w:tblW w:w="0" w:type="auto"/>
        <w:tblLook w:val="04A0" w:firstRow="1" w:lastRow="0" w:firstColumn="1" w:lastColumn="0" w:noHBand="0" w:noVBand="1"/>
      </w:tblPr>
      <w:tblGrid>
        <w:gridCol w:w="4508"/>
        <w:gridCol w:w="4508"/>
      </w:tblGrid>
      <w:tr w:rsidR="00C35696" w:rsidRPr="00C35696" w14:paraId="00C440AA" w14:textId="77777777" w:rsidTr="00C35696">
        <w:tc>
          <w:tcPr>
            <w:tcW w:w="4508" w:type="dxa"/>
          </w:tcPr>
          <w:p w14:paraId="59F2D1AB" w14:textId="77777777" w:rsidR="00C35696" w:rsidRPr="00C35696" w:rsidRDefault="00C35696" w:rsidP="009E2322">
            <w:pPr>
              <w:spacing w:before="100" w:beforeAutospacing="1" w:after="100" w:afterAutospacing="1" w:line="360" w:lineRule="auto"/>
              <w:jc w:val="both"/>
              <w:rPr>
                <w:rFonts w:ascii="Arial" w:eastAsia="Times New Roman" w:hAnsi="Arial" w:cs="Arial"/>
                <w:b/>
                <w:sz w:val="24"/>
                <w:szCs w:val="24"/>
                <w:lang w:val="en-GB" w:eastAsia="en-GB"/>
              </w:rPr>
            </w:pPr>
            <w:r w:rsidRPr="00C35696">
              <w:rPr>
                <w:rFonts w:ascii="Arial" w:eastAsia="Times New Roman" w:hAnsi="Arial" w:cs="Arial"/>
                <w:b/>
                <w:sz w:val="24"/>
                <w:szCs w:val="24"/>
                <w:lang w:val="en-GB" w:eastAsia="en-GB"/>
              </w:rPr>
              <w:t>Assumption</w:t>
            </w:r>
          </w:p>
        </w:tc>
        <w:tc>
          <w:tcPr>
            <w:tcW w:w="4508" w:type="dxa"/>
          </w:tcPr>
          <w:p w14:paraId="536264DC" w14:textId="77777777" w:rsidR="00C35696" w:rsidRPr="00C35696" w:rsidRDefault="00C35696" w:rsidP="009E2322">
            <w:pPr>
              <w:spacing w:before="100" w:beforeAutospacing="1" w:after="100" w:afterAutospacing="1" w:line="360" w:lineRule="auto"/>
              <w:jc w:val="both"/>
              <w:rPr>
                <w:rFonts w:ascii="Arial" w:eastAsia="Times New Roman" w:hAnsi="Arial" w:cs="Arial"/>
                <w:b/>
                <w:sz w:val="24"/>
                <w:szCs w:val="24"/>
                <w:lang w:val="en-GB" w:eastAsia="en-GB"/>
              </w:rPr>
            </w:pPr>
            <w:r w:rsidRPr="00C35696">
              <w:rPr>
                <w:rFonts w:ascii="Arial" w:eastAsia="Times New Roman" w:hAnsi="Arial" w:cs="Arial"/>
                <w:b/>
                <w:sz w:val="24"/>
                <w:szCs w:val="24"/>
                <w:lang w:val="en-GB" w:eastAsia="en-GB"/>
              </w:rPr>
              <w:t>Base-case planning assumption</w:t>
            </w:r>
          </w:p>
        </w:tc>
      </w:tr>
      <w:tr w:rsidR="00C35696" w:rsidRPr="00C35696" w14:paraId="7B3FD4B2" w14:textId="77777777" w:rsidTr="00C35696">
        <w:tc>
          <w:tcPr>
            <w:tcW w:w="4508" w:type="dxa"/>
          </w:tcPr>
          <w:p w14:paraId="03F16D16"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Average transaction value</w:t>
            </w:r>
          </w:p>
        </w:tc>
        <w:tc>
          <w:tcPr>
            <w:tcW w:w="4508" w:type="dxa"/>
          </w:tcPr>
          <w:p w14:paraId="5FF2A8BA"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£7.00</w:t>
            </w:r>
          </w:p>
        </w:tc>
      </w:tr>
      <w:tr w:rsidR="00C35696" w:rsidRPr="00C35696" w14:paraId="2E94F2F1" w14:textId="77777777" w:rsidTr="00C35696">
        <w:tc>
          <w:tcPr>
            <w:tcW w:w="4508" w:type="dxa"/>
          </w:tcPr>
          <w:p w14:paraId="5ACFAB8C"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Trading days</w:t>
            </w:r>
          </w:p>
        </w:tc>
        <w:tc>
          <w:tcPr>
            <w:tcW w:w="4508" w:type="dxa"/>
          </w:tcPr>
          <w:p w14:paraId="6BF4EF80"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310 days per year</w:t>
            </w:r>
          </w:p>
        </w:tc>
      </w:tr>
      <w:tr w:rsidR="00C35696" w:rsidRPr="00C35696" w14:paraId="5299FFF4" w14:textId="77777777" w:rsidTr="00C35696">
        <w:tc>
          <w:tcPr>
            <w:tcW w:w="4508" w:type="dxa"/>
          </w:tcPr>
          <w:p w14:paraId="2338E1B1"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1 average transactions/day</w:t>
            </w:r>
          </w:p>
        </w:tc>
        <w:tc>
          <w:tcPr>
            <w:tcW w:w="4508" w:type="dxa"/>
          </w:tcPr>
          <w:p w14:paraId="58370A7B"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135</w:t>
            </w:r>
          </w:p>
        </w:tc>
      </w:tr>
      <w:tr w:rsidR="00C35696" w:rsidRPr="00C35696" w14:paraId="761B1A48" w14:textId="77777777" w:rsidTr="00C35696">
        <w:tc>
          <w:tcPr>
            <w:tcW w:w="4508" w:type="dxa"/>
          </w:tcPr>
          <w:p w14:paraId="78FD035C"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2 average transactions/day</w:t>
            </w:r>
          </w:p>
        </w:tc>
        <w:tc>
          <w:tcPr>
            <w:tcW w:w="4508" w:type="dxa"/>
          </w:tcPr>
          <w:p w14:paraId="1D76EAD1"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145</w:t>
            </w:r>
          </w:p>
        </w:tc>
      </w:tr>
      <w:tr w:rsidR="00C35696" w:rsidRPr="00C35696" w14:paraId="6F868B73" w14:textId="77777777" w:rsidTr="00C35696">
        <w:tc>
          <w:tcPr>
            <w:tcW w:w="4508" w:type="dxa"/>
          </w:tcPr>
          <w:p w14:paraId="08CC2B81"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3 average transactions/day</w:t>
            </w:r>
          </w:p>
        </w:tc>
        <w:tc>
          <w:tcPr>
            <w:tcW w:w="4508" w:type="dxa"/>
          </w:tcPr>
          <w:p w14:paraId="1BADA458"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165</w:t>
            </w:r>
          </w:p>
        </w:tc>
      </w:tr>
      <w:tr w:rsidR="00C35696" w:rsidRPr="00C35696" w14:paraId="4CAF26D6" w14:textId="77777777" w:rsidTr="00C35696">
        <w:tc>
          <w:tcPr>
            <w:tcW w:w="4508" w:type="dxa"/>
          </w:tcPr>
          <w:p w14:paraId="17A09F8F"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4 average transactions/day</w:t>
            </w:r>
          </w:p>
        </w:tc>
        <w:tc>
          <w:tcPr>
            <w:tcW w:w="4508" w:type="dxa"/>
          </w:tcPr>
          <w:p w14:paraId="0815F044"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185</w:t>
            </w:r>
          </w:p>
        </w:tc>
      </w:tr>
      <w:tr w:rsidR="00C35696" w:rsidRPr="00C35696" w14:paraId="1C809324" w14:textId="77777777" w:rsidTr="00C35696">
        <w:tc>
          <w:tcPr>
            <w:tcW w:w="4508" w:type="dxa"/>
          </w:tcPr>
          <w:p w14:paraId="7671BA2D"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Year 5 average transactions/day</w:t>
            </w:r>
          </w:p>
        </w:tc>
        <w:tc>
          <w:tcPr>
            <w:tcW w:w="4508" w:type="dxa"/>
          </w:tcPr>
          <w:p w14:paraId="040059C5"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205</w:t>
            </w:r>
          </w:p>
        </w:tc>
      </w:tr>
      <w:tr w:rsidR="00C35696" w:rsidRPr="00C35696" w14:paraId="4AFEE79A" w14:textId="77777777" w:rsidTr="00C35696">
        <w:tc>
          <w:tcPr>
            <w:tcW w:w="4508" w:type="dxa"/>
          </w:tcPr>
          <w:p w14:paraId="0B9984E1"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Variable cost ratio</w:t>
            </w:r>
          </w:p>
        </w:tc>
        <w:tc>
          <w:tcPr>
            <w:tcW w:w="4508" w:type="dxa"/>
          </w:tcPr>
          <w:p w14:paraId="1B8B5314"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30% of revenue</w:t>
            </w:r>
          </w:p>
        </w:tc>
      </w:tr>
      <w:tr w:rsidR="00C35696" w:rsidRPr="00C35696" w14:paraId="2903E1D3" w14:textId="77777777" w:rsidTr="00C35696">
        <w:tc>
          <w:tcPr>
            <w:tcW w:w="4508" w:type="dxa"/>
          </w:tcPr>
          <w:p w14:paraId="3007E7C5"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Initial marketing budget</w:t>
            </w:r>
          </w:p>
        </w:tc>
        <w:tc>
          <w:tcPr>
            <w:tcW w:w="4508" w:type="dxa"/>
          </w:tcPr>
          <w:p w14:paraId="3A534ED4"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£12,000</w:t>
            </w:r>
          </w:p>
        </w:tc>
      </w:tr>
      <w:tr w:rsidR="00C35696" w:rsidRPr="00C35696" w14:paraId="09558861" w14:textId="77777777" w:rsidTr="00C35696">
        <w:tc>
          <w:tcPr>
            <w:tcW w:w="4508" w:type="dxa"/>
          </w:tcPr>
          <w:p w14:paraId="14FB2815"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Initial funding requirement</w:t>
            </w:r>
          </w:p>
        </w:tc>
        <w:tc>
          <w:tcPr>
            <w:tcW w:w="4508" w:type="dxa"/>
          </w:tcPr>
          <w:p w14:paraId="023D6B99" w14:textId="77777777" w:rsidR="00C35696" w:rsidRPr="00C35696"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C35696">
              <w:rPr>
                <w:rFonts w:ascii="Arial" w:eastAsia="Times New Roman" w:hAnsi="Arial" w:cs="Arial"/>
                <w:sz w:val="24"/>
                <w:szCs w:val="24"/>
                <w:lang w:val="en-GB" w:eastAsia="en-GB"/>
              </w:rPr>
              <w:t>approximately £200,000</w:t>
            </w:r>
          </w:p>
        </w:tc>
      </w:tr>
    </w:tbl>
    <w:p w14:paraId="7F2E99DE" w14:textId="77777777" w:rsidR="003C5276" w:rsidRPr="003C5276" w:rsidRDefault="00032031" w:rsidP="003C5276">
      <w:pPr>
        <w:spacing w:before="100" w:beforeAutospacing="1" w:after="100" w:afterAutospacing="1" w:line="360" w:lineRule="auto"/>
        <w:jc w:val="both"/>
        <w:rPr>
          <w:rFonts w:ascii="Arial" w:eastAsia="Times New Roman" w:hAnsi="Arial" w:cs="Arial"/>
          <w:sz w:val="24"/>
          <w:szCs w:val="24"/>
          <w:lang w:val="en-GB" w:eastAsia="en-GB"/>
        </w:rPr>
      </w:pPr>
      <w:r w:rsidRPr="00032031">
        <w:rPr>
          <w:rFonts w:ascii="Arial" w:eastAsia="Times New Roman" w:hAnsi="Arial" w:cs="Arial"/>
          <w:sz w:val="24"/>
          <w:szCs w:val="24"/>
          <w:lang w:val="en-GB" w:eastAsia="en-GB"/>
        </w:rPr>
        <w:lastRenderedPageBreak/>
        <w:t xml:space="preserve">The £7 average transaction value is a planning assumption rather than a precise price forecast. It is carried forward from the illustrative demand analysis in Chapter 5 and reflects an assumed combination of beverage and limited food purchases. </w:t>
      </w:r>
      <w:r w:rsidR="003C5276" w:rsidRPr="003C5276">
        <w:rPr>
          <w:rFonts w:ascii="Arial" w:eastAsia="Times New Roman" w:hAnsi="Arial" w:cs="Arial"/>
          <w:sz w:val="24"/>
          <w:szCs w:val="24"/>
          <w:lang w:val="en-GB" w:eastAsia="en-GB"/>
        </w:rPr>
        <w:t>The assumption should be substantiated by competitor price benchmarking, supplier quotations and, when trading starts, actual trading data.</w:t>
      </w:r>
    </w:p>
    <w:p w14:paraId="707B1526" w14:textId="63E02098" w:rsidR="00B2409B" w:rsidRPr="00B2409B" w:rsidRDefault="003C5276" w:rsidP="003C5276">
      <w:pPr>
        <w:spacing w:before="100" w:beforeAutospacing="1" w:after="100" w:afterAutospacing="1" w:line="360" w:lineRule="auto"/>
        <w:jc w:val="both"/>
        <w:rPr>
          <w:rFonts w:ascii="Arial" w:eastAsia="Times New Roman" w:hAnsi="Arial" w:cs="Arial"/>
          <w:sz w:val="24"/>
          <w:szCs w:val="24"/>
          <w:lang w:val="en-GB" w:eastAsia="en-GB"/>
        </w:rPr>
      </w:pPr>
      <w:r w:rsidRPr="003C5276">
        <w:rPr>
          <w:rFonts w:ascii="Arial" w:eastAsia="Times New Roman" w:hAnsi="Arial" w:cs="Arial"/>
          <w:sz w:val="24"/>
          <w:szCs w:val="24"/>
          <w:lang w:val="en-GB" w:eastAsia="en-GB"/>
        </w:rPr>
        <w:t>Revenue will come mainly from the customers transacting business, the coffee and other beverages will be the primary, while the short food range and selected retail coffee products are secondary revenue earners. This is similar to the Business Model Canvas outlined in Chapter 8 and the broader UK coffee-shop market cont</w:t>
      </w:r>
      <w:r>
        <w:rPr>
          <w:rFonts w:ascii="Arial" w:eastAsia="Times New Roman" w:hAnsi="Arial" w:cs="Arial"/>
          <w:sz w:val="24"/>
          <w:szCs w:val="24"/>
          <w:lang w:val="en-GB" w:eastAsia="en-GB"/>
        </w:rPr>
        <w:t>ext (World Coffee Portal, 2026</w:t>
      </w:r>
      <w:r w:rsidR="00665665" w:rsidRPr="00665665">
        <w:rPr>
          <w:rFonts w:ascii="Arial" w:eastAsia="Times New Roman" w:hAnsi="Arial" w:cs="Arial"/>
          <w:sz w:val="24"/>
          <w:szCs w:val="24"/>
          <w:lang w:val="en-GB" w:eastAsia="en-GB"/>
        </w:rPr>
        <w:t>).</w:t>
      </w:r>
    </w:p>
    <w:p w14:paraId="11D58090" w14:textId="361FF768" w:rsidR="00B2409B" w:rsidRPr="00665C21" w:rsidRDefault="00665C21" w:rsidP="00665C21">
      <w:pPr>
        <w:pStyle w:val="Heading3"/>
        <w:rPr>
          <w:rFonts w:eastAsia="Times New Roman"/>
          <w:lang w:val="en-GB" w:eastAsia="en-GB"/>
        </w:rPr>
      </w:pPr>
      <w:bookmarkStart w:id="88" w:name="_Toc241167481"/>
      <w:r>
        <w:rPr>
          <w:rFonts w:eastAsia="Times New Roman"/>
          <w:lang w:val="en-GB" w:eastAsia="en-GB"/>
        </w:rPr>
        <w:t xml:space="preserve">9.2.2 </w:t>
      </w:r>
      <w:r w:rsidR="00B2409B" w:rsidRPr="00665C21">
        <w:rPr>
          <w:rFonts w:eastAsia="Times New Roman"/>
          <w:lang w:val="en-GB" w:eastAsia="en-GB"/>
        </w:rPr>
        <w:t>Start-up investment and funding</w:t>
      </w:r>
      <w:bookmarkEnd w:id="88"/>
    </w:p>
    <w:p w14:paraId="507A6EA8" w14:textId="1AADEEC5" w:rsidR="00552EAB" w:rsidRDefault="00CB2519" w:rsidP="00665C21">
      <w:pPr>
        <w:spacing w:before="100" w:beforeAutospacing="1" w:after="100" w:afterAutospacing="1" w:line="360" w:lineRule="auto"/>
        <w:jc w:val="both"/>
        <w:rPr>
          <w:rFonts w:ascii="Arial" w:eastAsia="Times New Roman" w:hAnsi="Arial" w:cs="Arial"/>
          <w:sz w:val="24"/>
          <w:szCs w:val="24"/>
          <w:lang w:val="en-GB" w:eastAsia="en-GB"/>
        </w:rPr>
      </w:pPr>
      <w:r w:rsidRPr="00CB2519">
        <w:rPr>
          <w:rFonts w:ascii="Arial" w:eastAsia="Times New Roman" w:hAnsi="Arial" w:cs="Arial"/>
          <w:sz w:val="24"/>
          <w:szCs w:val="24"/>
          <w:lang w:val="en-GB" w:eastAsia="en-GB"/>
        </w:rPr>
        <w:t>The initial funding requirement for TEBC is estimated to be around £200,000. This is a planning estimate and not a supplier quoted investment requirement and should be validated against supplier quotations prior to launch. Premises deposit, fit out &amp; installation £80,000, coffee equipment, refrigeration, furniture and POS technology £55,000, initial stock, packaging and operating materials £15,000, registration, insurance, branding, website and professional services £10,000, recruitment, training and pre-opening wages £8,000, launch marketing £12,000 and working capital and contingencies £20,000. This yields a net-u</w:t>
      </w:r>
      <w:r>
        <w:rPr>
          <w:rFonts w:ascii="Arial" w:eastAsia="Times New Roman" w:hAnsi="Arial" w:cs="Arial"/>
          <w:sz w:val="24"/>
          <w:szCs w:val="24"/>
          <w:lang w:val="en-GB" w:eastAsia="en-GB"/>
        </w:rPr>
        <w:t>p-front requirement of £200,000</w:t>
      </w:r>
      <w:r w:rsidR="00665C21">
        <w:rPr>
          <w:rFonts w:ascii="Arial" w:eastAsia="Times New Roman" w:hAnsi="Arial" w:cs="Arial"/>
          <w:sz w:val="24"/>
          <w:szCs w:val="24"/>
          <w:lang w:val="en-GB" w:eastAsia="en-GB"/>
        </w:rPr>
        <w:t>.</w:t>
      </w:r>
    </w:p>
    <w:p w14:paraId="42F048B8" w14:textId="6F32B848" w:rsidR="001815EA" w:rsidRPr="001815EA" w:rsidRDefault="001815EA" w:rsidP="001815EA">
      <w:pPr>
        <w:pStyle w:val="Caption"/>
        <w:keepNext/>
        <w:rPr>
          <w:rFonts w:ascii="Arial" w:hAnsi="Arial" w:cs="Arial"/>
          <w:sz w:val="24"/>
        </w:rPr>
      </w:pPr>
      <w:bookmarkStart w:id="89" w:name="_Toc241170847"/>
      <w:r w:rsidRPr="001815EA">
        <w:rPr>
          <w:rFonts w:ascii="Arial" w:hAnsi="Arial" w:cs="Arial"/>
          <w:sz w:val="24"/>
        </w:rPr>
        <w:t xml:space="preserve">Table </w:t>
      </w:r>
      <w:r w:rsidRPr="001815EA">
        <w:rPr>
          <w:rFonts w:ascii="Arial" w:hAnsi="Arial" w:cs="Arial"/>
          <w:sz w:val="24"/>
        </w:rPr>
        <w:fldChar w:fldCharType="begin"/>
      </w:r>
      <w:r w:rsidRPr="001815EA">
        <w:rPr>
          <w:rFonts w:ascii="Arial" w:hAnsi="Arial" w:cs="Arial"/>
          <w:sz w:val="24"/>
        </w:rPr>
        <w:instrText xml:space="preserve"> SEQ Table \* ARABIC </w:instrText>
      </w:r>
      <w:r w:rsidRPr="001815EA">
        <w:rPr>
          <w:rFonts w:ascii="Arial" w:hAnsi="Arial" w:cs="Arial"/>
          <w:sz w:val="24"/>
        </w:rPr>
        <w:fldChar w:fldCharType="separate"/>
      </w:r>
      <w:r w:rsidRPr="001815EA">
        <w:rPr>
          <w:rFonts w:ascii="Arial" w:hAnsi="Arial" w:cs="Arial"/>
          <w:noProof/>
          <w:sz w:val="24"/>
        </w:rPr>
        <w:t>11</w:t>
      </w:r>
      <w:r w:rsidRPr="001815EA">
        <w:rPr>
          <w:rFonts w:ascii="Arial" w:hAnsi="Arial" w:cs="Arial"/>
          <w:sz w:val="24"/>
        </w:rPr>
        <w:fldChar w:fldCharType="end"/>
      </w:r>
      <w:r w:rsidRPr="001815EA">
        <w:rPr>
          <w:rFonts w:ascii="Arial" w:hAnsi="Arial" w:cs="Arial"/>
          <w:sz w:val="24"/>
        </w:rPr>
        <w:t>.Start-up investment and funding</w:t>
      </w:r>
      <w:bookmarkEnd w:id="89"/>
    </w:p>
    <w:tbl>
      <w:tblPr>
        <w:tblStyle w:val="TableGrid"/>
        <w:tblW w:w="0" w:type="auto"/>
        <w:tblLook w:val="04A0" w:firstRow="1" w:lastRow="0" w:firstColumn="1" w:lastColumn="0" w:noHBand="0" w:noVBand="1"/>
      </w:tblPr>
      <w:tblGrid>
        <w:gridCol w:w="4508"/>
        <w:gridCol w:w="4508"/>
      </w:tblGrid>
      <w:tr w:rsidR="00552EAB" w:rsidRPr="00552EAB" w14:paraId="10A051CD" w14:textId="77777777" w:rsidTr="00552EAB">
        <w:tc>
          <w:tcPr>
            <w:tcW w:w="4508" w:type="dxa"/>
          </w:tcPr>
          <w:p w14:paraId="6C0B2A3A" w14:textId="77777777" w:rsidR="00552EAB" w:rsidRPr="00C563FA" w:rsidRDefault="00552EAB" w:rsidP="00351CD2">
            <w:pPr>
              <w:spacing w:before="100" w:beforeAutospacing="1" w:after="100" w:afterAutospacing="1" w:line="360" w:lineRule="auto"/>
              <w:jc w:val="both"/>
              <w:rPr>
                <w:rFonts w:ascii="Arial" w:eastAsia="Times New Roman" w:hAnsi="Arial" w:cs="Arial"/>
                <w:b/>
                <w:sz w:val="24"/>
                <w:szCs w:val="24"/>
                <w:lang w:val="en-GB" w:eastAsia="en-GB"/>
              </w:rPr>
            </w:pPr>
            <w:r w:rsidRPr="00C563FA">
              <w:rPr>
                <w:rFonts w:ascii="Arial" w:eastAsia="Times New Roman" w:hAnsi="Arial" w:cs="Arial"/>
                <w:b/>
                <w:sz w:val="24"/>
                <w:szCs w:val="24"/>
                <w:lang w:val="en-GB" w:eastAsia="en-GB"/>
              </w:rPr>
              <w:t>Start-up item</w:t>
            </w:r>
          </w:p>
        </w:tc>
        <w:tc>
          <w:tcPr>
            <w:tcW w:w="4508" w:type="dxa"/>
          </w:tcPr>
          <w:p w14:paraId="035FE351" w14:textId="77777777" w:rsidR="00552EAB" w:rsidRPr="00C563FA" w:rsidRDefault="00552EAB" w:rsidP="00351CD2">
            <w:pPr>
              <w:spacing w:before="100" w:beforeAutospacing="1" w:after="100" w:afterAutospacing="1" w:line="360" w:lineRule="auto"/>
              <w:jc w:val="both"/>
              <w:rPr>
                <w:rFonts w:ascii="Arial" w:eastAsia="Times New Roman" w:hAnsi="Arial" w:cs="Arial"/>
                <w:b/>
                <w:sz w:val="24"/>
                <w:szCs w:val="24"/>
                <w:lang w:val="en-GB" w:eastAsia="en-GB"/>
              </w:rPr>
            </w:pPr>
            <w:r w:rsidRPr="00C563FA">
              <w:rPr>
                <w:rFonts w:ascii="Arial" w:eastAsia="Times New Roman" w:hAnsi="Arial" w:cs="Arial"/>
                <w:b/>
                <w:sz w:val="24"/>
                <w:szCs w:val="24"/>
                <w:lang w:val="en-GB" w:eastAsia="en-GB"/>
              </w:rPr>
              <w:t>Amount</w:t>
            </w:r>
          </w:p>
        </w:tc>
      </w:tr>
      <w:tr w:rsidR="00552EAB" w:rsidRPr="00552EAB" w14:paraId="1B1083BC" w14:textId="77777777" w:rsidTr="00552EAB">
        <w:tc>
          <w:tcPr>
            <w:tcW w:w="4508" w:type="dxa"/>
          </w:tcPr>
          <w:p w14:paraId="716EE1DD"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Premises deposit, fit-out and installation</w:t>
            </w:r>
          </w:p>
        </w:tc>
        <w:tc>
          <w:tcPr>
            <w:tcW w:w="4508" w:type="dxa"/>
          </w:tcPr>
          <w:p w14:paraId="45DBC48F"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£80,000</w:t>
            </w:r>
          </w:p>
        </w:tc>
      </w:tr>
      <w:tr w:rsidR="00552EAB" w:rsidRPr="00552EAB" w14:paraId="1B4CAC0B" w14:textId="77777777" w:rsidTr="00552EAB">
        <w:tc>
          <w:tcPr>
            <w:tcW w:w="4508" w:type="dxa"/>
          </w:tcPr>
          <w:p w14:paraId="639A7858"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Coffee equipment, refrigeration, furniture and POS</w:t>
            </w:r>
          </w:p>
        </w:tc>
        <w:tc>
          <w:tcPr>
            <w:tcW w:w="4508" w:type="dxa"/>
          </w:tcPr>
          <w:p w14:paraId="3807B8E3"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£55,000</w:t>
            </w:r>
          </w:p>
        </w:tc>
      </w:tr>
      <w:tr w:rsidR="00552EAB" w:rsidRPr="00552EAB" w14:paraId="738CCF57" w14:textId="77777777" w:rsidTr="00552EAB">
        <w:tc>
          <w:tcPr>
            <w:tcW w:w="4508" w:type="dxa"/>
          </w:tcPr>
          <w:p w14:paraId="6770D1B9"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Initial stock, packaging and operating materials</w:t>
            </w:r>
          </w:p>
        </w:tc>
        <w:tc>
          <w:tcPr>
            <w:tcW w:w="4508" w:type="dxa"/>
          </w:tcPr>
          <w:p w14:paraId="6E2A9B18"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£15,000</w:t>
            </w:r>
          </w:p>
        </w:tc>
      </w:tr>
      <w:tr w:rsidR="00552EAB" w:rsidRPr="00552EAB" w14:paraId="1924AA8B" w14:textId="77777777" w:rsidTr="00552EAB">
        <w:tc>
          <w:tcPr>
            <w:tcW w:w="4508" w:type="dxa"/>
          </w:tcPr>
          <w:p w14:paraId="7BFB44E6"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Registration, insurance, branding, website and professional services</w:t>
            </w:r>
          </w:p>
        </w:tc>
        <w:tc>
          <w:tcPr>
            <w:tcW w:w="4508" w:type="dxa"/>
          </w:tcPr>
          <w:p w14:paraId="718F14FA"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£10,000</w:t>
            </w:r>
          </w:p>
        </w:tc>
      </w:tr>
      <w:tr w:rsidR="00552EAB" w:rsidRPr="00552EAB" w14:paraId="0CA51001" w14:textId="77777777" w:rsidTr="00552EAB">
        <w:tc>
          <w:tcPr>
            <w:tcW w:w="4508" w:type="dxa"/>
          </w:tcPr>
          <w:p w14:paraId="2EAF4361"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Recruitment, training and pre-opening wages</w:t>
            </w:r>
          </w:p>
        </w:tc>
        <w:tc>
          <w:tcPr>
            <w:tcW w:w="4508" w:type="dxa"/>
          </w:tcPr>
          <w:p w14:paraId="14B8B283"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£8,000</w:t>
            </w:r>
          </w:p>
        </w:tc>
      </w:tr>
      <w:tr w:rsidR="00552EAB" w:rsidRPr="00552EAB" w14:paraId="6D0D4CC1" w14:textId="77777777" w:rsidTr="00552EAB">
        <w:tc>
          <w:tcPr>
            <w:tcW w:w="4508" w:type="dxa"/>
          </w:tcPr>
          <w:p w14:paraId="3363A39F"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lastRenderedPageBreak/>
              <w:t>Launch marketing</w:t>
            </w:r>
          </w:p>
        </w:tc>
        <w:tc>
          <w:tcPr>
            <w:tcW w:w="4508" w:type="dxa"/>
          </w:tcPr>
          <w:p w14:paraId="1088D984"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£12,000</w:t>
            </w:r>
          </w:p>
        </w:tc>
      </w:tr>
      <w:tr w:rsidR="00552EAB" w:rsidRPr="00552EAB" w14:paraId="2F5743AF" w14:textId="77777777" w:rsidTr="00552EAB">
        <w:tc>
          <w:tcPr>
            <w:tcW w:w="4508" w:type="dxa"/>
          </w:tcPr>
          <w:p w14:paraId="324683F9"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Working capital and contingency</w:t>
            </w:r>
          </w:p>
        </w:tc>
        <w:tc>
          <w:tcPr>
            <w:tcW w:w="4508" w:type="dxa"/>
          </w:tcPr>
          <w:p w14:paraId="5641A4AC"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£20,000</w:t>
            </w:r>
          </w:p>
        </w:tc>
      </w:tr>
      <w:tr w:rsidR="00552EAB" w:rsidRPr="00552EAB" w14:paraId="0C4752CB" w14:textId="77777777" w:rsidTr="00552EAB">
        <w:tc>
          <w:tcPr>
            <w:tcW w:w="4508" w:type="dxa"/>
          </w:tcPr>
          <w:p w14:paraId="41CC6B50"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Total initial funding requirement</w:t>
            </w:r>
          </w:p>
        </w:tc>
        <w:tc>
          <w:tcPr>
            <w:tcW w:w="4508" w:type="dxa"/>
          </w:tcPr>
          <w:p w14:paraId="5A3DB4A0" w14:textId="77777777" w:rsidR="00552EAB" w:rsidRPr="00552EAB" w:rsidRDefault="00552EAB" w:rsidP="00351CD2">
            <w:pPr>
              <w:spacing w:before="100" w:beforeAutospacing="1" w:after="100" w:afterAutospacing="1" w:line="360" w:lineRule="auto"/>
              <w:jc w:val="both"/>
              <w:rPr>
                <w:rFonts w:ascii="Arial" w:eastAsia="Times New Roman" w:hAnsi="Arial" w:cs="Arial"/>
                <w:sz w:val="24"/>
                <w:szCs w:val="24"/>
                <w:lang w:val="en-GB" w:eastAsia="en-GB"/>
              </w:rPr>
            </w:pPr>
            <w:r w:rsidRPr="00552EAB">
              <w:rPr>
                <w:rFonts w:ascii="Arial" w:eastAsia="Times New Roman" w:hAnsi="Arial" w:cs="Arial"/>
                <w:sz w:val="24"/>
                <w:szCs w:val="24"/>
                <w:lang w:val="en-GB" w:eastAsia="en-GB"/>
              </w:rPr>
              <w:t>£200,000</w:t>
            </w:r>
          </w:p>
        </w:tc>
      </w:tr>
    </w:tbl>
    <w:p w14:paraId="462E9595" w14:textId="32AE0101" w:rsidR="00665C21" w:rsidRPr="00665C21" w:rsidRDefault="000D3408" w:rsidP="00665C21">
      <w:pPr>
        <w:spacing w:before="100" w:beforeAutospacing="1" w:after="100" w:afterAutospacing="1" w:line="360" w:lineRule="auto"/>
        <w:jc w:val="both"/>
        <w:rPr>
          <w:rFonts w:ascii="Arial" w:eastAsia="Times New Roman" w:hAnsi="Arial" w:cs="Arial"/>
          <w:sz w:val="24"/>
          <w:szCs w:val="24"/>
          <w:lang w:val="en-GB" w:eastAsia="en-GB"/>
        </w:rPr>
      </w:pPr>
      <w:r w:rsidRPr="000D3408">
        <w:rPr>
          <w:rFonts w:ascii="Arial" w:eastAsia="Times New Roman" w:hAnsi="Arial" w:cs="Arial"/>
          <w:sz w:val="24"/>
          <w:szCs w:val="24"/>
          <w:lang w:val="en-GB" w:eastAsia="en-GB"/>
        </w:rPr>
        <w:t>The working-capital allowance is crucial as the café may not reach its intended transactions levels right after opening. A staged launch can help reduce risk of initial operation and provide management with time to evaluate customer response, product mix and staffing. Food-business registration also applies prior to trading, as the Food Standards Agency (FSA) has stated that food businesses need to be registered with the relevant local authority at least 28 days before operating food activities (Food Standards Agency 2026).</w:t>
      </w:r>
    </w:p>
    <w:p w14:paraId="5A636472" w14:textId="6EC91C35" w:rsidR="00665C21" w:rsidRPr="00665C21" w:rsidRDefault="00665C21" w:rsidP="00665C21">
      <w:pPr>
        <w:pStyle w:val="Heading3"/>
        <w:rPr>
          <w:rFonts w:eastAsia="Times New Roman"/>
          <w:lang w:val="en-GB" w:eastAsia="en-GB"/>
        </w:rPr>
      </w:pPr>
      <w:bookmarkStart w:id="90" w:name="_Toc241167482"/>
      <w:r>
        <w:rPr>
          <w:rFonts w:eastAsia="Times New Roman"/>
          <w:lang w:val="en-GB" w:eastAsia="en-GB"/>
        </w:rPr>
        <w:t>9.2.3</w:t>
      </w:r>
      <w:r w:rsidRPr="00665C21">
        <w:rPr>
          <w:rFonts w:eastAsia="Times New Roman"/>
          <w:lang w:val="en-GB" w:eastAsia="en-GB"/>
        </w:rPr>
        <w:t xml:space="preserve"> Operating cost structure</w:t>
      </w:r>
      <w:bookmarkEnd w:id="90"/>
    </w:p>
    <w:p w14:paraId="3EC406AF" w14:textId="168D9791" w:rsidR="00B2409B" w:rsidRPr="00B2409B" w:rsidRDefault="00AF0A56" w:rsidP="00AF0A56">
      <w:pPr>
        <w:spacing w:before="100" w:beforeAutospacing="1" w:after="100" w:afterAutospacing="1" w:line="360" w:lineRule="auto"/>
        <w:jc w:val="both"/>
        <w:rPr>
          <w:rFonts w:ascii="Arial" w:eastAsia="Times New Roman" w:hAnsi="Arial" w:cs="Arial"/>
          <w:sz w:val="24"/>
          <w:szCs w:val="24"/>
          <w:lang w:val="en-GB" w:eastAsia="en-GB"/>
        </w:rPr>
      </w:pPr>
      <w:r w:rsidRPr="00AF0A56">
        <w:rPr>
          <w:rFonts w:ascii="Arial" w:eastAsia="Times New Roman" w:hAnsi="Arial" w:cs="Arial"/>
          <w:sz w:val="24"/>
          <w:szCs w:val="24"/>
          <w:lang w:val="en-GB" w:eastAsia="en-GB"/>
        </w:rPr>
        <w:t>Fixed costs will consist of the basic team members, office rent, insurance, accounting, software and basic marketing while Variable costs will be the ones related to buying coffee beans, milk, food ingredients, packaging and payment charges. The cost of utilities, maintenance and any extra labour can become semi-variable or stepped costs a</w:t>
      </w:r>
      <w:r w:rsidR="00B20E22">
        <w:rPr>
          <w:rFonts w:ascii="Arial" w:eastAsia="Times New Roman" w:hAnsi="Arial" w:cs="Arial"/>
          <w:sz w:val="24"/>
          <w:szCs w:val="24"/>
          <w:lang w:val="en-GB" w:eastAsia="en-GB"/>
        </w:rPr>
        <w:t xml:space="preserve">s operating activity increases (World Coffee Portal, 2026). </w:t>
      </w:r>
      <w:r w:rsidRPr="00AF0A56">
        <w:rPr>
          <w:rFonts w:ascii="Arial" w:eastAsia="Times New Roman" w:hAnsi="Arial" w:cs="Arial"/>
          <w:sz w:val="24"/>
          <w:szCs w:val="24"/>
          <w:lang w:val="en-GB" w:eastAsia="en-GB"/>
        </w:rPr>
        <w:t>The financial model is based on an assumption of 30% variable-cost ratio which gives an indicative contribution margin of 70%. This is a planning assumption which should be compared to supplier quotations and final product mix and actual trading perfo</w:t>
      </w:r>
      <w:r>
        <w:rPr>
          <w:rFonts w:ascii="Arial" w:eastAsia="Times New Roman" w:hAnsi="Arial" w:cs="Arial"/>
          <w:sz w:val="24"/>
          <w:szCs w:val="24"/>
          <w:lang w:val="en-GB" w:eastAsia="en-GB"/>
        </w:rPr>
        <w:t>rmance</w:t>
      </w:r>
      <w:r w:rsidR="00DF0DAA">
        <w:rPr>
          <w:rFonts w:ascii="Arial" w:eastAsia="Times New Roman" w:hAnsi="Arial" w:cs="Arial"/>
          <w:sz w:val="24"/>
          <w:szCs w:val="24"/>
          <w:lang w:val="en-GB" w:eastAsia="en-GB"/>
        </w:rPr>
        <w:t>.</w:t>
      </w:r>
    </w:p>
    <w:p w14:paraId="3F40B3A3" w14:textId="43869F83" w:rsidR="00B2409B" w:rsidRPr="00B2409B" w:rsidRDefault="00665C21" w:rsidP="00665C21">
      <w:pPr>
        <w:pStyle w:val="Heading3"/>
        <w:rPr>
          <w:rFonts w:eastAsia="Times New Roman"/>
          <w:lang w:val="en-GB" w:eastAsia="en-GB"/>
        </w:rPr>
      </w:pPr>
      <w:bookmarkStart w:id="91" w:name="_Toc241167483"/>
      <w:r>
        <w:rPr>
          <w:rFonts w:eastAsia="Times New Roman"/>
          <w:lang w:val="en-GB" w:eastAsia="en-GB"/>
        </w:rPr>
        <w:t>9.2.4 Revenue and profitability projection</w:t>
      </w:r>
      <w:bookmarkEnd w:id="91"/>
    </w:p>
    <w:p w14:paraId="7B426A47" w14:textId="2ECD9526"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The base-case projection is based on 310 trading days annually and the assumed average transaction</w:t>
      </w:r>
      <w:r w:rsidR="00665C21">
        <w:rPr>
          <w:rFonts w:ascii="Arial" w:eastAsia="Times New Roman" w:hAnsi="Arial" w:cs="Arial"/>
          <w:sz w:val="24"/>
          <w:szCs w:val="24"/>
          <w:lang w:val="en-GB" w:eastAsia="en-GB"/>
        </w:rPr>
        <w:t xml:space="preserve"> value of £7.</w:t>
      </w:r>
    </w:p>
    <w:p w14:paraId="46A7DD48" w14:textId="778618C3" w:rsidR="00665C21" w:rsidRPr="00665C21" w:rsidRDefault="00665C21" w:rsidP="00665C21">
      <w:pPr>
        <w:pStyle w:val="Caption"/>
        <w:keepNext/>
        <w:rPr>
          <w:rFonts w:ascii="Arial" w:hAnsi="Arial" w:cs="Arial"/>
          <w:sz w:val="24"/>
        </w:rPr>
      </w:pPr>
      <w:bookmarkStart w:id="92" w:name="_Toc241170848"/>
      <w:r w:rsidRPr="00665C21">
        <w:rPr>
          <w:rFonts w:ascii="Arial" w:hAnsi="Arial" w:cs="Arial"/>
          <w:sz w:val="24"/>
        </w:rPr>
        <w:t xml:space="preserve">Table </w:t>
      </w:r>
      <w:r w:rsidRPr="00665C21">
        <w:rPr>
          <w:rFonts w:ascii="Arial" w:hAnsi="Arial" w:cs="Arial"/>
          <w:sz w:val="24"/>
        </w:rPr>
        <w:fldChar w:fldCharType="begin"/>
      </w:r>
      <w:r w:rsidRPr="00665C21">
        <w:rPr>
          <w:rFonts w:ascii="Arial" w:hAnsi="Arial" w:cs="Arial"/>
          <w:sz w:val="24"/>
        </w:rPr>
        <w:instrText xml:space="preserve"> SEQ Table \* ARABIC </w:instrText>
      </w:r>
      <w:r w:rsidRPr="00665C21">
        <w:rPr>
          <w:rFonts w:ascii="Arial" w:hAnsi="Arial" w:cs="Arial"/>
          <w:sz w:val="24"/>
        </w:rPr>
        <w:fldChar w:fldCharType="separate"/>
      </w:r>
      <w:r w:rsidR="001815EA">
        <w:rPr>
          <w:rFonts w:ascii="Arial" w:hAnsi="Arial" w:cs="Arial"/>
          <w:noProof/>
          <w:sz w:val="24"/>
        </w:rPr>
        <w:t>12</w:t>
      </w:r>
      <w:r w:rsidRPr="00665C21">
        <w:rPr>
          <w:rFonts w:ascii="Arial" w:hAnsi="Arial" w:cs="Arial"/>
          <w:sz w:val="24"/>
        </w:rPr>
        <w:fldChar w:fldCharType="end"/>
      </w:r>
      <w:r w:rsidRPr="00665C21">
        <w:rPr>
          <w:rFonts w:ascii="Arial" w:hAnsi="Arial" w:cs="Arial"/>
          <w:sz w:val="24"/>
        </w:rPr>
        <w:t>.Revenue and profitability projection</w:t>
      </w:r>
      <w:bookmarkEnd w:id="92"/>
    </w:p>
    <w:tbl>
      <w:tblPr>
        <w:tblStyle w:val="TableGrid"/>
        <w:tblW w:w="0" w:type="auto"/>
        <w:tblLook w:val="04A0" w:firstRow="1" w:lastRow="0" w:firstColumn="1" w:lastColumn="0" w:noHBand="0" w:noVBand="1"/>
      </w:tblPr>
      <w:tblGrid>
        <w:gridCol w:w="610"/>
        <w:gridCol w:w="1661"/>
        <w:gridCol w:w="1297"/>
        <w:gridCol w:w="975"/>
        <w:gridCol w:w="975"/>
        <w:gridCol w:w="1307"/>
        <w:gridCol w:w="975"/>
        <w:gridCol w:w="1206"/>
      </w:tblGrid>
      <w:tr w:rsidR="00840199" w:rsidRPr="00840199" w14:paraId="7DB5558C" w14:textId="77777777" w:rsidTr="00840199">
        <w:tc>
          <w:tcPr>
            <w:tcW w:w="610" w:type="dxa"/>
          </w:tcPr>
          <w:p w14:paraId="13FC7FCB"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Year</w:t>
            </w:r>
          </w:p>
        </w:tc>
        <w:tc>
          <w:tcPr>
            <w:tcW w:w="1661" w:type="dxa"/>
          </w:tcPr>
          <w:p w14:paraId="58BF5733"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Average transactions/day</w:t>
            </w:r>
          </w:p>
        </w:tc>
        <w:tc>
          <w:tcPr>
            <w:tcW w:w="1297" w:type="dxa"/>
          </w:tcPr>
          <w:p w14:paraId="3F81322B"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Annual transactions</w:t>
            </w:r>
          </w:p>
        </w:tc>
        <w:tc>
          <w:tcPr>
            <w:tcW w:w="975" w:type="dxa"/>
          </w:tcPr>
          <w:p w14:paraId="5A6E7203"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Revenue</w:t>
            </w:r>
          </w:p>
        </w:tc>
        <w:tc>
          <w:tcPr>
            <w:tcW w:w="975" w:type="dxa"/>
          </w:tcPr>
          <w:p w14:paraId="5A18C77D"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Variable costs (30%)</w:t>
            </w:r>
          </w:p>
        </w:tc>
        <w:tc>
          <w:tcPr>
            <w:tcW w:w="1307" w:type="dxa"/>
          </w:tcPr>
          <w:p w14:paraId="03A9DD8E"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Contribution</w:t>
            </w:r>
          </w:p>
        </w:tc>
        <w:tc>
          <w:tcPr>
            <w:tcW w:w="975" w:type="dxa"/>
          </w:tcPr>
          <w:p w14:paraId="26A54D94"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Fixed costs</w:t>
            </w:r>
          </w:p>
        </w:tc>
        <w:tc>
          <w:tcPr>
            <w:tcW w:w="1206" w:type="dxa"/>
          </w:tcPr>
          <w:p w14:paraId="2E9DFB10" w14:textId="77777777" w:rsidR="00840199" w:rsidRPr="00840199" w:rsidRDefault="00840199" w:rsidP="00351CD2">
            <w:pPr>
              <w:spacing w:before="100" w:beforeAutospacing="1" w:after="100" w:afterAutospacing="1" w:line="360" w:lineRule="auto"/>
              <w:jc w:val="both"/>
              <w:rPr>
                <w:rFonts w:ascii="Arial" w:eastAsia="Times New Roman" w:hAnsi="Arial" w:cs="Arial"/>
                <w:b/>
                <w:sz w:val="18"/>
                <w:szCs w:val="18"/>
                <w:lang w:val="en-GB" w:eastAsia="en-GB"/>
              </w:rPr>
            </w:pPr>
            <w:r w:rsidRPr="00840199">
              <w:rPr>
                <w:rFonts w:ascii="Arial" w:eastAsia="Times New Roman" w:hAnsi="Arial" w:cs="Arial"/>
                <w:b/>
                <w:sz w:val="18"/>
                <w:szCs w:val="18"/>
                <w:lang w:val="en-GB" w:eastAsia="en-GB"/>
              </w:rPr>
              <w:t>Operating profit/(loss)</w:t>
            </w:r>
          </w:p>
        </w:tc>
      </w:tr>
      <w:tr w:rsidR="00840199" w:rsidRPr="00840199" w14:paraId="261123B2" w14:textId="77777777" w:rsidTr="00840199">
        <w:tc>
          <w:tcPr>
            <w:tcW w:w="610" w:type="dxa"/>
          </w:tcPr>
          <w:p w14:paraId="309FD9AA"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Year 1</w:t>
            </w:r>
          </w:p>
        </w:tc>
        <w:tc>
          <w:tcPr>
            <w:tcW w:w="1661" w:type="dxa"/>
          </w:tcPr>
          <w:p w14:paraId="7F6E27B2"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135</w:t>
            </w:r>
          </w:p>
        </w:tc>
        <w:tc>
          <w:tcPr>
            <w:tcW w:w="1297" w:type="dxa"/>
          </w:tcPr>
          <w:p w14:paraId="3FF5C8CE"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41,850</w:t>
            </w:r>
          </w:p>
        </w:tc>
        <w:tc>
          <w:tcPr>
            <w:tcW w:w="975" w:type="dxa"/>
          </w:tcPr>
          <w:p w14:paraId="53256B77"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£292,950</w:t>
            </w:r>
          </w:p>
        </w:tc>
        <w:tc>
          <w:tcPr>
            <w:tcW w:w="975" w:type="dxa"/>
          </w:tcPr>
          <w:p w14:paraId="5D988BE5"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£87,885</w:t>
            </w:r>
          </w:p>
        </w:tc>
        <w:tc>
          <w:tcPr>
            <w:tcW w:w="1307" w:type="dxa"/>
          </w:tcPr>
          <w:p w14:paraId="403BBDF6"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£205,065</w:t>
            </w:r>
          </w:p>
        </w:tc>
        <w:tc>
          <w:tcPr>
            <w:tcW w:w="975" w:type="dxa"/>
          </w:tcPr>
          <w:p w14:paraId="4EF3642D"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£205,000</w:t>
            </w:r>
          </w:p>
        </w:tc>
        <w:tc>
          <w:tcPr>
            <w:tcW w:w="1206" w:type="dxa"/>
          </w:tcPr>
          <w:p w14:paraId="6A56FC12"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£65</w:t>
            </w:r>
          </w:p>
        </w:tc>
      </w:tr>
      <w:tr w:rsidR="00840199" w:rsidRPr="00840199" w14:paraId="47E7B2BB" w14:textId="77777777" w:rsidTr="00840199">
        <w:tc>
          <w:tcPr>
            <w:tcW w:w="610" w:type="dxa"/>
          </w:tcPr>
          <w:p w14:paraId="7A931F61"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Year 2</w:t>
            </w:r>
          </w:p>
        </w:tc>
        <w:tc>
          <w:tcPr>
            <w:tcW w:w="1661" w:type="dxa"/>
          </w:tcPr>
          <w:p w14:paraId="7927C385"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145</w:t>
            </w:r>
          </w:p>
        </w:tc>
        <w:tc>
          <w:tcPr>
            <w:tcW w:w="1297" w:type="dxa"/>
          </w:tcPr>
          <w:p w14:paraId="0584CC1E"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44,950</w:t>
            </w:r>
          </w:p>
        </w:tc>
        <w:tc>
          <w:tcPr>
            <w:tcW w:w="975" w:type="dxa"/>
          </w:tcPr>
          <w:p w14:paraId="529745AF"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£314,650</w:t>
            </w:r>
          </w:p>
        </w:tc>
        <w:tc>
          <w:tcPr>
            <w:tcW w:w="975" w:type="dxa"/>
          </w:tcPr>
          <w:p w14:paraId="1059198D"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£94,395</w:t>
            </w:r>
          </w:p>
        </w:tc>
        <w:tc>
          <w:tcPr>
            <w:tcW w:w="1307" w:type="dxa"/>
          </w:tcPr>
          <w:p w14:paraId="4535FAEF"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£220,255</w:t>
            </w:r>
          </w:p>
        </w:tc>
        <w:tc>
          <w:tcPr>
            <w:tcW w:w="975" w:type="dxa"/>
          </w:tcPr>
          <w:p w14:paraId="42E86BF4"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£205,000</w:t>
            </w:r>
          </w:p>
        </w:tc>
        <w:tc>
          <w:tcPr>
            <w:tcW w:w="1206" w:type="dxa"/>
          </w:tcPr>
          <w:p w14:paraId="69825444"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£15,255</w:t>
            </w:r>
          </w:p>
        </w:tc>
      </w:tr>
      <w:tr w:rsidR="00840199" w:rsidRPr="00840199" w14:paraId="69BD402B" w14:textId="77777777" w:rsidTr="00840199">
        <w:tc>
          <w:tcPr>
            <w:tcW w:w="610" w:type="dxa"/>
          </w:tcPr>
          <w:p w14:paraId="1EC09DB5"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Year 3</w:t>
            </w:r>
          </w:p>
        </w:tc>
        <w:tc>
          <w:tcPr>
            <w:tcW w:w="1661" w:type="dxa"/>
          </w:tcPr>
          <w:p w14:paraId="5E6EE033"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165</w:t>
            </w:r>
          </w:p>
        </w:tc>
        <w:tc>
          <w:tcPr>
            <w:tcW w:w="1297" w:type="dxa"/>
          </w:tcPr>
          <w:p w14:paraId="5E9BEE40"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51,150</w:t>
            </w:r>
          </w:p>
        </w:tc>
        <w:tc>
          <w:tcPr>
            <w:tcW w:w="975" w:type="dxa"/>
          </w:tcPr>
          <w:p w14:paraId="1F0FF268"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£358,050</w:t>
            </w:r>
          </w:p>
        </w:tc>
        <w:tc>
          <w:tcPr>
            <w:tcW w:w="975" w:type="dxa"/>
          </w:tcPr>
          <w:p w14:paraId="41D33B80"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£107,415</w:t>
            </w:r>
          </w:p>
        </w:tc>
        <w:tc>
          <w:tcPr>
            <w:tcW w:w="1307" w:type="dxa"/>
          </w:tcPr>
          <w:p w14:paraId="5F9E6E6C"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£250,635</w:t>
            </w:r>
          </w:p>
        </w:tc>
        <w:tc>
          <w:tcPr>
            <w:tcW w:w="975" w:type="dxa"/>
          </w:tcPr>
          <w:p w14:paraId="5BFF05AA"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£205,000</w:t>
            </w:r>
          </w:p>
        </w:tc>
        <w:tc>
          <w:tcPr>
            <w:tcW w:w="1206" w:type="dxa"/>
          </w:tcPr>
          <w:p w14:paraId="61894231"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£45,635</w:t>
            </w:r>
          </w:p>
        </w:tc>
      </w:tr>
      <w:tr w:rsidR="00840199" w:rsidRPr="00840199" w14:paraId="0FF947E9" w14:textId="77777777" w:rsidTr="00840199">
        <w:tc>
          <w:tcPr>
            <w:tcW w:w="610" w:type="dxa"/>
          </w:tcPr>
          <w:p w14:paraId="1C53A0D1"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lastRenderedPageBreak/>
              <w:t>Year 4</w:t>
            </w:r>
          </w:p>
        </w:tc>
        <w:tc>
          <w:tcPr>
            <w:tcW w:w="1661" w:type="dxa"/>
          </w:tcPr>
          <w:p w14:paraId="4F4D3AAE"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185</w:t>
            </w:r>
          </w:p>
        </w:tc>
        <w:tc>
          <w:tcPr>
            <w:tcW w:w="1297" w:type="dxa"/>
          </w:tcPr>
          <w:p w14:paraId="60D10D5C"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57,350</w:t>
            </w:r>
          </w:p>
        </w:tc>
        <w:tc>
          <w:tcPr>
            <w:tcW w:w="975" w:type="dxa"/>
          </w:tcPr>
          <w:p w14:paraId="4EFA6EB1"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£401,450</w:t>
            </w:r>
          </w:p>
        </w:tc>
        <w:tc>
          <w:tcPr>
            <w:tcW w:w="975" w:type="dxa"/>
          </w:tcPr>
          <w:p w14:paraId="78756832"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£120,435</w:t>
            </w:r>
          </w:p>
        </w:tc>
        <w:tc>
          <w:tcPr>
            <w:tcW w:w="1307" w:type="dxa"/>
          </w:tcPr>
          <w:p w14:paraId="4B2B3595"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£281,015</w:t>
            </w:r>
          </w:p>
        </w:tc>
        <w:tc>
          <w:tcPr>
            <w:tcW w:w="975" w:type="dxa"/>
          </w:tcPr>
          <w:p w14:paraId="53B372DD"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£205,000</w:t>
            </w:r>
          </w:p>
        </w:tc>
        <w:tc>
          <w:tcPr>
            <w:tcW w:w="1206" w:type="dxa"/>
          </w:tcPr>
          <w:p w14:paraId="264A6B0B"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£76,015</w:t>
            </w:r>
          </w:p>
        </w:tc>
      </w:tr>
      <w:tr w:rsidR="00840199" w:rsidRPr="00840199" w14:paraId="082849B2" w14:textId="77777777" w:rsidTr="00840199">
        <w:tc>
          <w:tcPr>
            <w:tcW w:w="610" w:type="dxa"/>
          </w:tcPr>
          <w:p w14:paraId="694870FC"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Year 5</w:t>
            </w:r>
          </w:p>
        </w:tc>
        <w:tc>
          <w:tcPr>
            <w:tcW w:w="1661" w:type="dxa"/>
          </w:tcPr>
          <w:p w14:paraId="1B236E5B"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205</w:t>
            </w:r>
          </w:p>
        </w:tc>
        <w:tc>
          <w:tcPr>
            <w:tcW w:w="1297" w:type="dxa"/>
          </w:tcPr>
          <w:p w14:paraId="394D67BC"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63,550</w:t>
            </w:r>
          </w:p>
        </w:tc>
        <w:tc>
          <w:tcPr>
            <w:tcW w:w="975" w:type="dxa"/>
          </w:tcPr>
          <w:p w14:paraId="6991667E"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£444,850</w:t>
            </w:r>
          </w:p>
        </w:tc>
        <w:tc>
          <w:tcPr>
            <w:tcW w:w="975" w:type="dxa"/>
          </w:tcPr>
          <w:p w14:paraId="0A15EFC1"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£133,455</w:t>
            </w:r>
          </w:p>
        </w:tc>
        <w:tc>
          <w:tcPr>
            <w:tcW w:w="1307" w:type="dxa"/>
          </w:tcPr>
          <w:p w14:paraId="069B7BE2"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£311,395</w:t>
            </w:r>
          </w:p>
        </w:tc>
        <w:tc>
          <w:tcPr>
            <w:tcW w:w="975" w:type="dxa"/>
          </w:tcPr>
          <w:p w14:paraId="15EC4C7E"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£205,000</w:t>
            </w:r>
          </w:p>
        </w:tc>
        <w:tc>
          <w:tcPr>
            <w:tcW w:w="1206" w:type="dxa"/>
          </w:tcPr>
          <w:p w14:paraId="253F4AE0" w14:textId="77777777" w:rsidR="00840199" w:rsidRPr="00840199" w:rsidRDefault="00840199" w:rsidP="00351CD2">
            <w:pPr>
              <w:spacing w:before="100" w:beforeAutospacing="1" w:after="100" w:afterAutospacing="1" w:line="360" w:lineRule="auto"/>
              <w:jc w:val="both"/>
              <w:rPr>
                <w:rFonts w:ascii="Arial" w:eastAsia="Times New Roman" w:hAnsi="Arial" w:cs="Arial"/>
                <w:sz w:val="18"/>
                <w:szCs w:val="18"/>
                <w:lang w:val="en-GB" w:eastAsia="en-GB"/>
              </w:rPr>
            </w:pPr>
            <w:r w:rsidRPr="00840199">
              <w:rPr>
                <w:rFonts w:ascii="Arial" w:eastAsia="Times New Roman" w:hAnsi="Arial" w:cs="Arial"/>
                <w:sz w:val="18"/>
                <w:szCs w:val="18"/>
                <w:lang w:val="en-GB" w:eastAsia="en-GB"/>
              </w:rPr>
              <w:t>£106,395</w:t>
            </w:r>
          </w:p>
        </w:tc>
      </w:tr>
    </w:tbl>
    <w:p w14:paraId="0E912E72" w14:textId="145FEB3A" w:rsidR="00840199" w:rsidRDefault="00840199" w:rsidP="000A65E5">
      <w:pPr>
        <w:spacing w:before="100" w:beforeAutospacing="1" w:after="100" w:afterAutospacing="1" w:line="360" w:lineRule="auto"/>
        <w:jc w:val="both"/>
        <w:rPr>
          <w:rFonts w:ascii="Arial" w:eastAsia="Times New Roman" w:hAnsi="Arial" w:cs="Arial"/>
          <w:sz w:val="24"/>
          <w:szCs w:val="24"/>
          <w:lang w:val="en-GB" w:eastAsia="en-GB"/>
        </w:rPr>
      </w:pPr>
      <w:r w:rsidRPr="00840199">
        <w:rPr>
          <w:rFonts w:ascii="Arial" w:eastAsia="Times New Roman" w:hAnsi="Arial" w:cs="Arial"/>
          <w:b/>
          <w:sz w:val="24"/>
          <w:szCs w:val="24"/>
          <w:lang w:val="en-GB" w:eastAsia="en-GB"/>
        </w:rPr>
        <w:t>Source:</w:t>
      </w:r>
      <w:r w:rsidRPr="00840199">
        <w:rPr>
          <w:rFonts w:ascii="Arial" w:eastAsia="Times New Roman" w:hAnsi="Arial" w:cs="Arial"/>
          <w:sz w:val="24"/>
          <w:szCs w:val="24"/>
          <w:lang w:val="en-GB" w:eastAsia="en-GB"/>
        </w:rPr>
        <w:t xml:space="preserve"> Researcher's calculations based on stated planning assumptions.</w:t>
      </w:r>
    </w:p>
    <w:p w14:paraId="4A650F6D" w14:textId="77777777" w:rsidR="00D6283B" w:rsidRPr="00D6283B" w:rsidRDefault="00D6283B" w:rsidP="00D6283B">
      <w:pPr>
        <w:spacing w:before="100" w:beforeAutospacing="1" w:after="100" w:afterAutospacing="1" w:line="360" w:lineRule="auto"/>
        <w:jc w:val="both"/>
        <w:rPr>
          <w:rFonts w:ascii="Arial" w:eastAsia="Times New Roman" w:hAnsi="Arial" w:cs="Arial"/>
          <w:sz w:val="24"/>
          <w:szCs w:val="24"/>
          <w:lang w:val="en-GB" w:eastAsia="en-GB"/>
        </w:rPr>
      </w:pPr>
      <w:r w:rsidRPr="00D6283B">
        <w:rPr>
          <w:rFonts w:ascii="Arial" w:eastAsia="Times New Roman" w:hAnsi="Arial" w:cs="Arial"/>
          <w:sz w:val="24"/>
          <w:szCs w:val="24"/>
          <w:lang w:val="en-GB" w:eastAsia="en-GB"/>
        </w:rPr>
        <w:t>The base case assumes that the Year 1 operating surplus is in the region of £65, following contribution of £205,065 and fixed operating costs of £205,000. Under those assumptions, as transaction volume increases, operating profit increases, to around £106,395 in Year 5. They are based on scenario outputs and are subject to change depending on transaction levels, average transaction value, variable costs and changes in fixed operating costs.</w:t>
      </w:r>
    </w:p>
    <w:p w14:paraId="2D5BA082" w14:textId="30B9C644" w:rsidR="00B2409B" w:rsidRPr="00B2409B" w:rsidRDefault="00D6283B" w:rsidP="00D6283B">
      <w:pPr>
        <w:spacing w:before="100" w:beforeAutospacing="1" w:after="100" w:afterAutospacing="1" w:line="360" w:lineRule="auto"/>
        <w:jc w:val="both"/>
        <w:rPr>
          <w:rFonts w:ascii="Arial" w:eastAsia="Times New Roman" w:hAnsi="Arial" w:cs="Arial"/>
          <w:sz w:val="24"/>
          <w:szCs w:val="24"/>
          <w:lang w:val="en-GB" w:eastAsia="en-GB"/>
        </w:rPr>
      </w:pPr>
      <w:r w:rsidRPr="00D6283B">
        <w:rPr>
          <w:rFonts w:ascii="Arial" w:eastAsia="Times New Roman" w:hAnsi="Arial" w:cs="Arial"/>
          <w:sz w:val="24"/>
          <w:szCs w:val="24"/>
          <w:lang w:val="en-GB" w:eastAsia="en-GB"/>
        </w:rPr>
        <w:t>A financial projection should be completed on a vat consistent basis. Customer prices should be subject to the appropriate VAT treatment and accounting revenue should be shown net of VAT as appropriate, when VAT registration is relevant. The final model should therefore validate the VAT treatment and VAT registration position prior to launch (HMRC, 2026).</w:t>
      </w:r>
    </w:p>
    <w:p w14:paraId="6032D040" w14:textId="51E36E40" w:rsidR="00B2409B" w:rsidRPr="000A65E5" w:rsidRDefault="000A65E5" w:rsidP="000A65E5">
      <w:pPr>
        <w:pStyle w:val="Heading3"/>
        <w:rPr>
          <w:rFonts w:eastAsia="Times New Roman"/>
          <w:lang w:val="en-GB" w:eastAsia="en-GB"/>
        </w:rPr>
      </w:pPr>
      <w:bookmarkStart w:id="93" w:name="_Toc241167484"/>
      <w:r>
        <w:rPr>
          <w:rFonts w:eastAsia="Times New Roman"/>
          <w:lang w:val="en-GB" w:eastAsia="en-GB"/>
        </w:rPr>
        <w:t>9.2.5 Break</w:t>
      </w:r>
      <w:r w:rsidR="00B2409B" w:rsidRPr="00B2409B">
        <w:rPr>
          <w:rFonts w:eastAsia="Times New Roman"/>
          <w:lang w:val="en-GB" w:eastAsia="en-GB"/>
        </w:rPr>
        <w:t>-even and sensitivity</w:t>
      </w:r>
      <w:bookmarkEnd w:id="93"/>
    </w:p>
    <w:p w14:paraId="02951F7B" w14:textId="27E0092C"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Using the planning assumptions, contribution pe</w:t>
      </w:r>
      <w:r w:rsidR="000A65E5">
        <w:rPr>
          <w:rFonts w:ascii="Arial" w:eastAsia="Times New Roman" w:hAnsi="Arial" w:cs="Arial"/>
          <w:sz w:val="24"/>
          <w:szCs w:val="24"/>
          <w:lang w:val="en-GB" w:eastAsia="en-GB"/>
        </w:rPr>
        <w:t>r transaction is approximately</w:t>
      </w:r>
    </w:p>
    <w:p w14:paraId="52ABFB7C" w14:textId="5329E4EC" w:rsidR="00B2409B" w:rsidRPr="00B2409B" w:rsidRDefault="000A65E5" w:rsidP="00B2409B">
      <w:pPr>
        <w:spacing w:before="100" w:beforeAutospacing="1" w:after="100" w:afterAutospacing="1"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£7.00 − (£7.00 × 30%) = £4.90</w:t>
      </w:r>
    </w:p>
    <w:p w14:paraId="47057679" w14:textId="71339255"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If annual fixed co</w:t>
      </w:r>
      <w:r w:rsidR="000A65E5">
        <w:rPr>
          <w:rFonts w:ascii="Arial" w:eastAsia="Times New Roman" w:hAnsi="Arial" w:cs="Arial"/>
          <w:sz w:val="24"/>
          <w:szCs w:val="24"/>
          <w:lang w:val="en-GB" w:eastAsia="en-GB"/>
        </w:rPr>
        <w:t>sts are approximately £205,000:</w:t>
      </w:r>
    </w:p>
    <w:p w14:paraId="62E2A69E" w14:textId="26B7D58A" w:rsidR="00B2409B" w:rsidRPr="000A65E5" w:rsidRDefault="00B2409B" w:rsidP="00B2409B">
      <w:pPr>
        <w:spacing w:before="100" w:beforeAutospacing="1" w:after="100" w:afterAutospacing="1" w:line="360" w:lineRule="auto"/>
        <w:jc w:val="both"/>
        <w:rPr>
          <w:rFonts w:ascii="Arial" w:eastAsia="Times New Roman" w:hAnsi="Arial" w:cs="Arial"/>
          <w:b/>
          <w:sz w:val="24"/>
          <w:szCs w:val="24"/>
          <w:lang w:val="en-GB" w:eastAsia="en-GB"/>
        </w:rPr>
      </w:pPr>
      <w:r w:rsidRPr="000A65E5">
        <w:rPr>
          <w:rFonts w:ascii="Arial" w:eastAsia="Times New Roman" w:hAnsi="Arial" w:cs="Arial"/>
          <w:b/>
          <w:sz w:val="24"/>
          <w:szCs w:val="24"/>
          <w:lang w:val="en-GB" w:eastAsia="en-GB"/>
        </w:rPr>
        <w:t>Break-even transactions = £205,000 ÷ £4.90 = approximatel</w:t>
      </w:r>
      <w:r w:rsidR="000A65E5" w:rsidRPr="000A65E5">
        <w:rPr>
          <w:rFonts w:ascii="Arial" w:eastAsia="Times New Roman" w:hAnsi="Arial" w:cs="Arial"/>
          <w:b/>
          <w:sz w:val="24"/>
          <w:szCs w:val="24"/>
          <w:lang w:val="en-GB" w:eastAsia="en-GB"/>
        </w:rPr>
        <w:t>y 41,837 transactions per year.</w:t>
      </w:r>
    </w:p>
    <w:p w14:paraId="074D045F" w14:textId="77777777" w:rsidR="00D6283B" w:rsidRPr="00D6283B" w:rsidRDefault="00D6283B" w:rsidP="00D6283B">
      <w:pPr>
        <w:spacing w:before="100" w:beforeAutospacing="1" w:after="100" w:afterAutospacing="1" w:line="360" w:lineRule="auto"/>
        <w:jc w:val="both"/>
        <w:rPr>
          <w:rFonts w:ascii="Arial" w:eastAsia="Times New Roman" w:hAnsi="Arial" w:cs="Arial"/>
          <w:sz w:val="24"/>
          <w:szCs w:val="24"/>
          <w:lang w:val="en-GB" w:eastAsia="en-GB"/>
        </w:rPr>
      </w:pPr>
      <w:r w:rsidRPr="00D6283B">
        <w:rPr>
          <w:rFonts w:ascii="Arial" w:eastAsia="Times New Roman" w:hAnsi="Arial" w:cs="Arial"/>
          <w:sz w:val="24"/>
          <w:szCs w:val="24"/>
          <w:lang w:val="en-GB" w:eastAsia="en-GB"/>
        </w:rPr>
        <w:t xml:space="preserve">More than 310 trading days, or approximately 135 trades a day. The annual fixed operating costs are £205,000 and the contribution per transaction is £4.90, giving a break-even volume of about 41,837 transactions per year. This is about 135 trades a day over the course of more than 310 trading days. That only makes the Year 1 forecast of 41,850 transactions about 13 transactions shy of the annual break-even volume. This means that there is very little room for error at the beginning, and </w:t>
      </w:r>
      <w:r w:rsidRPr="00D6283B">
        <w:rPr>
          <w:rFonts w:ascii="Arial" w:eastAsia="Times New Roman" w:hAnsi="Arial" w:cs="Arial"/>
          <w:sz w:val="24"/>
          <w:szCs w:val="24"/>
          <w:lang w:val="en-GB" w:eastAsia="en-GB"/>
        </w:rPr>
        <w:lastRenderedPageBreak/>
        <w:t>transaction volume, contribution-margin protection and working-capital management are very important.</w:t>
      </w:r>
    </w:p>
    <w:p w14:paraId="15476FE1" w14:textId="751F3C97" w:rsidR="00B2409B" w:rsidRPr="00B2409B" w:rsidRDefault="00D6283B" w:rsidP="00D6283B">
      <w:pPr>
        <w:spacing w:before="100" w:beforeAutospacing="1" w:after="100" w:afterAutospacing="1" w:line="360" w:lineRule="auto"/>
        <w:jc w:val="both"/>
        <w:rPr>
          <w:rFonts w:ascii="Arial" w:eastAsia="Times New Roman" w:hAnsi="Arial" w:cs="Arial"/>
          <w:sz w:val="24"/>
          <w:szCs w:val="24"/>
          <w:lang w:val="en-GB" w:eastAsia="en-GB"/>
        </w:rPr>
      </w:pPr>
      <w:r w:rsidRPr="00D6283B">
        <w:rPr>
          <w:rFonts w:ascii="Arial" w:eastAsia="Times New Roman" w:hAnsi="Arial" w:cs="Arial"/>
          <w:sz w:val="24"/>
          <w:szCs w:val="24"/>
          <w:lang w:val="en-GB" w:eastAsia="en-GB"/>
        </w:rPr>
        <w:t xml:space="preserve">Assumptions that are most likely to impact financial viability should be the basis of the sensitivity analysis. If the number of transactions in Year 1 were reduced by 20%, then the number of transactions would be around 108 per day and the revenue would be around £234,360. If the variable cost ratio is 30% the contribution would be around £164,052 with an operating loss of around £40,948, with the fixed costs of £205,000. A positive outcome that would have a positive impact on revenue and contribution would be a 10% growth in transactions with a 10% growth in average transaction value. </w:t>
      </w:r>
    </w:p>
    <w:p w14:paraId="709BBCB6" w14:textId="77777777" w:rsidR="00B2409B" w:rsidRPr="00B2409B" w:rsidRDefault="00B2409B" w:rsidP="007C175A">
      <w:pPr>
        <w:pStyle w:val="Heading2"/>
        <w:rPr>
          <w:rFonts w:eastAsia="Times New Roman"/>
          <w:lang w:val="en-GB" w:eastAsia="en-GB"/>
        </w:rPr>
      </w:pPr>
      <w:bookmarkStart w:id="94" w:name="_Toc241167485"/>
      <w:r w:rsidRPr="00B2409B">
        <w:rPr>
          <w:rFonts w:eastAsia="Times New Roman"/>
          <w:lang w:val="en-GB" w:eastAsia="en-GB"/>
        </w:rPr>
        <w:t>9.3 Marketing and Sales Plan</w:t>
      </w:r>
      <w:bookmarkEnd w:id="94"/>
    </w:p>
    <w:p w14:paraId="1C143B66" w14:textId="01FC3A4F" w:rsidR="00B2409B" w:rsidRPr="00B2409B" w:rsidRDefault="004E1586" w:rsidP="007C175A">
      <w:pPr>
        <w:pStyle w:val="Heading3"/>
        <w:rPr>
          <w:rFonts w:eastAsia="Times New Roman"/>
          <w:lang w:val="en-GB" w:eastAsia="en-GB"/>
        </w:rPr>
      </w:pPr>
      <w:bookmarkStart w:id="95" w:name="_Toc241167486"/>
      <w:r>
        <w:rPr>
          <w:rFonts w:eastAsia="Times New Roman"/>
          <w:lang w:val="en-GB" w:eastAsia="en-GB"/>
        </w:rPr>
        <w:t xml:space="preserve">9.3.1 </w:t>
      </w:r>
      <w:r w:rsidR="00B2409B" w:rsidRPr="00B2409B">
        <w:rPr>
          <w:rFonts w:eastAsia="Times New Roman"/>
          <w:lang w:val="en-GB" w:eastAsia="en-GB"/>
        </w:rPr>
        <w:t>Segmenta</w:t>
      </w:r>
      <w:r w:rsidR="00E010BA">
        <w:rPr>
          <w:rFonts w:eastAsia="Times New Roman"/>
          <w:lang w:val="en-GB" w:eastAsia="en-GB"/>
        </w:rPr>
        <w:t>tion, targeting and positioning</w:t>
      </w:r>
      <w:bookmarkEnd w:id="95"/>
    </w:p>
    <w:p w14:paraId="0EDCC957" w14:textId="77777777" w:rsidR="00286E94" w:rsidRPr="00286E94" w:rsidRDefault="00286E94" w:rsidP="00286E94">
      <w:pPr>
        <w:spacing w:before="100" w:beforeAutospacing="1" w:after="100" w:afterAutospacing="1" w:line="360" w:lineRule="auto"/>
        <w:jc w:val="both"/>
        <w:rPr>
          <w:rFonts w:ascii="Arial" w:eastAsia="Times New Roman" w:hAnsi="Arial" w:cs="Arial"/>
          <w:sz w:val="24"/>
          <w:szCs w:val="24"/>
          <w:lang w:val="en-GB" w:eastAsia="en-GB"/>
        </w:rPr>
      </w:pPr>
      <w:r w:rsidRPr="00286E94">
        <w:rPr>
          <w:rFonts w:ascii="Arial" w:eastAsia="Times New Roman" w:hAnsi="Arial" w:cs="Arial"/>
          <w:sz w:val="24"/>
          <w:szCs w:val="24"/>
          <w:lang w:val="en-GB" w:eastAsia="en-GB"/>
        </w:rPr>
        <w:t xml:space="preserve">The marketing plan is based on segmentation, targeting and positioning ideas that were introduced in the previous chapters. Geographic segmentation targets people who reside, work or spend time within a walking distance of Monmouth Street and the broader Covent Garden and West End community. Psychographic segmentation includes consumers who are interested in specialty coffee and quality and ethical consumption, and behavioural segmentation identifies regular local consumers, regular worker consumers and occasional consumers. There is some evidence suggesting that people might be willing to pay for the sustainability attributes of their coffee, but this evidence is not specific to the UK and should be used to guide TEBC's pricing decisions rather than to dictate them. (Fuller and </w:t>
      </w:r>
      <w:proofErr w:type="spellStart"/>
      <w:r w:rsidRPr="00286E94">
        <w:rPr>
          <w:rFonts w:ascii="Arial" w:eastAsia="Times New Roman" w:hAnsi="Arial" w:cs="Arial"/>
          <w:sz w:val="24"/>
          <w:szCs w:val="24"/>
          <w:lang w:val="en-GB" w:eastAsia="en-GB"/>
        </w:rPr>
        <w:t>Grebitus</w:t>
      </w:r>
      <w:proofErr w:type="spellEnd"/>
      <w:r w:rsidRPr="00286E94">
        <w:rPr>
          <w:rFonts w:ascii="Arial" w:eastAsia="Times New Roman" w:hAnsi="Arial" w:cs="Arial"/>
          <w:sz w:val="24"/>
          <w:szCs w:val="24"/>
          <w:lang w:val="en-GB" w:eastAsia="en-GB"/>
        </w:rPr>
        <w:t>, 2023)</w:t>
      </w:r>
    </w:p>
    <w:p w14:paraId="4724BEDC" w14:textId="77777777" w:rsidR="00286E94" w:rsidRPr="00286E94" w:rsidRDefault="00286E94" w:rsidP="00286E94">
      <w:pPr>
        <w:spacing w:before="100" w:beforeAutospacing="1" w:after="100" w:afterAutospacing="1" w:line="360" w:lineRule="auto"/>
        <w:jc w:val="both"/>
        <w:rPr>
          <w:rFonts w:ascii="Arial" w:eastAsia="Times New Roman" w:hAnsi="Arial" w:cs="Arial"/>
          <w:b/>
          <w:sz w:val="24"/>
          <w:szCs w:val="24"/>
          <w:lang w:val="en-GB" w:eastAsia="en-GB"/>
        </w:rPr>
      </w:pPr>
      <w:r w:rsidRPr="00286E94">
        <w:rPr>
          <w:rFonts w:ascii="Arial" w:eastAsia="Times New Roman" w:hAnsi="Arial" w:cs="Arial"/>
          <w:b/>
          <w:sz w:val="24"/>
          <w:szCs w:val="24"/>
          <w:lang w:val="en-GB" w:eastAsia="en-GB"/>
        </w:rPr>
        <w:t>It is recommended to be installed in:</w:t>
      </w:r>
    </w:p>
    <w:p w14:paraId="67BAD6DC" w14:textId="77777777" w:rsidR="00286E94" w:rsidRPr="00286E94" w:rsidRDefault="00286E94" w:rsidP="00286E94">
      <w:pPr>
        <w:spacing w:before="100" w:beforeAutospacing="1" w:after="100" w:afterAutospacing="1" w:line="360" w:lineRule="auto"/>
        <w:jc w:val="both"/>
        <w:rPr>
          <w:rFonts w:ascii="Arial" w:eastAsia="Times New Roman" w:hAnsi="Arial" w:cs="Arial"/>
          <w:sz w:val="24"/>
          <w:szCs w:val="24"/>
          <w:lang w:val="en-GB" w:eastAsia="en-GB"/>
        </w:rPr>
      </w:pPr>
      <w:r w:rsidRPr="00286E94">
        <w:rPr>
          <w:rFonts w:ascii="Arial" w:eastAsia="Times New Roman" w:hAnsi="Arial" w:cs="Arial"/>
          <w:sz w:val="24"/>
          <w:szCs w:val="24"/>
          <w:lang w:val="en-GB" w:eastAsia="en-GB"/>
        </w:rPr>
        <w:t xml:space="preserve">Ethical Bean Coffee House is an accessible-premium specialty coffee house for ethically conscious coffee consumers and urban professionals and selected visitors in the </w:t>
      </w:r>
      <w:proofErr w:type="spellStart"/>
      <w:r w:rsidRPr="00286E94">
        <w:rPr>
          <w:rFonts w:ascii="Arial" w:eastAsia="Times New Roman" w:hAnsi="Arial" w:cs="Arial"/>
          <w:sz w:val="24"/>
          <w:szCs w:val="24"/>
          <w:lang w:val="en-GB" w:eastAsia="en-GB"/>
        </w:rPr>
        <w:t>covent</w:t>
      </w:r>
      <w:proofErr w:type="spellEnd"/>
      <w:r w:rsidRPr="00286E94">
        <w:rPr>
          <w:rFonts w:ascii="Arial" w:eastAsia="Times New Roman" w:hAnsi="Arial" w:cs="Arial"/>
          <w:sz w:val="24"/>
          <w:szCs w:val="24"/>
          <w:lang w:val="en-GB" w:eastAsia="en-GB"/>
        </w:rPr>
        <w:t xml:space="preserve"> garden area who seek a high-quality coffee experience, which is backed by credible sourcing transparency, sustainability and personalised service.</w:t>
      </w:r>
    </w:p>
    <w:p w14:paraId="28599E77" w14:textId="49899F5E" w:rsidR="00B2409B" w:rsidRPr="00B2409B" w:rsidRDefault="00286E94" w:rsidP="00286E94">
      <w:pPr>
        <w:spacing w:before="100" w:beforeAutospacing="1" w:after="100" w:afterAutospacing="1" w:line="360" w:lineRule="auto"/>
        <w:jc w:val="both"/>
        <w:rPr>
          <w:rFonts w:ascii="Arial" w:eastAsia="Times New Roman" w:hAnsi="Arial" w:cs="Arial"/>
          <w:sz w:val="24"/>
          <w:szCs w:val="24"/>
          <w:lang w:val="en-GB" w:eastAsia="en-GB"/>
        </w:rPr>
      </w:pPr>
      <w:r w:rsidRPr="00286E94">
        <w:rPr>
          <w:rFonts w:ascii="Arial" w:eastAsia="Times New Roman" w:hAnsi="Arial" w:cs="Arial"/>
          <w:sz w:val="24"/>
          <w:szCs w:val="24"/>
          <w:lang w:val="en-GB" w:eastAsia="en-GB"/>
        </w:rPr>
        <w:t>The positioning doesn't mean that ethical coffee is rare. Rather, differentiation is made based on the integrated combination of quality, transparency, sustain</w:t>
      </w:r>
      <w:r>
        <w:rPr>
          <w:rFonts w:ascii="Arial" w:eastAsia="Times New Roman" w:hAnsi="Arial" w:cs="Arial"/>
          <w:sz w:val="24"/>
          <w:szCs w:val="24"/>
          <w:lang w:val="en-GB" w:eastAsia="en-GB"/>
        </w:rPr>
        <w:t>ability and customer experience</w:t>
      </w:r>
      <w:r w:rsidR="004E1586">
        <w:rPr>
          <w:rFonts w:ascii="Arial" w:eastAsia="Times New Roman" w:hAnsi="Arial" w:cs="Arial"/>
          <w:sz w:val="24"/>
          <w:szCs w:val="24"/>
          <w:lang w:val="en-GB" w:eastAsia="en-GB"/>
        </w:rPr>
        <w:t>.</w:t>
      </w:r>
    </w:p>
    <w:p w14:paraId="388C1AC1" w14:textId="3BAD0C9D" w:rsidR="00B2409B" w:rsidRPr="00B2409B" w:rsidRDefault="004E1586" w:rsidP="007C175A">
      <w:pPr>
        <w:pStyle w:val="Heading2"/>
        <w:rPr>
          <w:rFonts w:eastAsia="Times New Roman"/>
          <w:lang w:val="en-GB" w:eastAsia="en-GB"/>
        </w:rPr>
      </w:pPr>
      <w:bookmarkStart w:id="96" w:name="_Toc241167487"/>
      <w:r>
        <w:rPr>
          <w:rFonts w:eastAsia="Times New Roman"/>
          <w:lang w:val="en-GB" w:eastAsia="en-GB"/>
        </w:rPr>
        <w:lastRenderedPageBreak/>
        <w:t>9.3.2 Marketing mix: 7Ps</w:t>
      </w:r>
      <w:bookmarkEnd w:id="96"/>
    </w:p>
    <w:p w14:paraId="64B50101" w14:textId="4FC79F73" w:rsidR="00B2409B" w:rsidRPr="00B2409B" w:rsidRDefault="00B2409B" w:rsidP="00B2409B">
      <w:pPr>
        <w:spacing w:before="100" w:beforeAutospacing="1" w:after="100" w:afterAutospacing="1" w:line="360" w:lineRule="auto"/>
        <w:jc w:val="both"/>
        <w:rPr>
          <w:rFonts w:ascii="Arial" w:eastAsia="Times New Roman" w:hAnsi="Arial" w:cs="Arial"/>
          <w:sz w:val="24"/>
          <w:szCs w:val="24"/>
          <w:lang w:val="en-GB" w:eastAsia="en-GB"/>
        </w:rPr>
      </w:pPr>
      <w:r w:rsidRPr="00B2409B">
        <w:rPr>
          <w:rFonts w:ascii="Arial" w:eastAsia="Times New Roman" w:hAnsi="Arial" w:cs="Arial"/>
          <w:sz w:val="24"/>
          <w:szCs w:val="24"/>
          <w:lang w:val="en-GB" w:eastAsia="en-GB"/>
        </w:rPr>
        <w:t xml:space="preserve">The 7Ps framework is appropriate because service quality and employee interaction are </w:t>
      </w:r>
      <w:r w:rsidR="004E1586">
        <w:rPr>
          <w:rFonts w:ascii="Arial" w:eastAsia="Times New Roman" w:hAnsi="Arial" w:cs="Arial"/>
          <w:sz w:val="24"/>
          <w:szCs w:val="24"/>
          <w:lang w:val="en-GB" w:eastAsia="en-GB"/>
        </w:rPr>
        <w:t>central to the café experience.</w:t>
      </w:r>
    </w:p>
    <w:p w14:paraId="4BB45BA0" w14:textId="21C2850F" w:rsidR="007C175A" w:rsidRPr="007C175A" w:rsidRDefault="007C175A" w:rsidP="007C175A">
      <w:pPr>
        <w:pStyle w:val="Caption"/>
        <w:keepNext/>
        <w:jc w:val="both"/>
        <w:rPr>
          <w:rFonts w:ascii="Arial" w:hAnsi="Arial" w:cs="Arial"/>
          <w:sz w:val="24"/>
        </w:rPr>
      </w:pPr>
      <w:bookmarkStart w:id="97" w:name="_Toc241170849"/>
      <w:r w:rsidRPr="007C175A">
        <w:rPr>
          <w:rFonts w:ascii="Arial" w:hAnsi="Arial" w:cs="Arial"/>
          <w:sz w:val="24"/>
        </w:rPr>
        <w:t xml:space="preserve">Table </w:t>
      </w:r>
      <w:r w:rsidRPr="007C175A">
        <w:rPr>
          <w:rFonts w:ascii="Arial" w:hAnsi="Arial" w:cs="Arial"/>
          <w:sz w:val="24"/>
        </w:rPr>
        <w:fldChar w:fldCharType="begin"/>
      </w:r>
      <w:r w:rsidRPr="007C175A">
        <w:rPr>
          <w:rFonts w:ascii="Arial" w:hAnsi="Arial" w:cs="Arial"/>
          <w:sz w:val="24"/>
        </w:rPr>
        <w:instrText xml:space="preserve"> SEQ Table \* ARABIC </w:instrText>
      </w:r>
      <w:r w:rsidRPr="007C175A">
        <w:rPr>
          <w:rFonts w:ascii="Arial" w:hAnsi="Arial" w:cs="Arial"/>
          <w:sz w:val="24"/>
        </w:rPr>
        <w:fldChar w:fldCharType="separate"/>
      </w:r>
      <w:r w:rsidR="001815EA">
        <w:rPr>
          <w:rFonts w:ascii="Arial" w:hAnsi="Arial" w:cs="Arial"/>
          <w:noProof/>
          <w:sz w:val="24"/>
        </w:rPr>
        <w:t>13</w:t>
      </w:r>
      <w:r w:rsidRPr="007C175A">
        <w:rPr>
          <w:rFonts w:ascii="Arial" w:hAnsi="Arial" w:cs="Arial"/>
          <w:sz w:val="24"/>
        </w:rPr>
        <w:fldChar w:fldCharType="end"/>
      </w:r>
      <w:r w:rsidRPr="007C175A">
        <w:rPr>
          <w:rFonts w:ascii="Arial" w:hAnsi="Arial" w:cs="Arial"/>
          <w:sz w:val="24"/>
        </w:rPr>
        <w:t>.Marketing mix</w:t>
      </w:r>
      <w:bookmarkEnd w:id="97"/>
    </w:p>
    <w:tbl>
      <w:tblPr>
        <w:tblStyle w:val="TableGrid"/>
        <w:tblW w:w="0" w:type="auto"/>
        <w:tblLook w:val="04A0" w:firstRow="1" w:lastRow="0" w:firstColumn="1" w:lastColumn="0" w:noHBand="0" w:noVBand="1"/>
      </w:tblPr>
      <w:tblGrid>
        <w:gridCol w:w="4508"/>
        <w:gridCol w:w="4508"/>
      </w:tblGrid>
      <w:tr w:rsidR="00C35696" w:rsidRPr="00C35696" w14:paraId="47C5D14C" w14:textId="77777777" w:rsidTr="00C35696">
        <w:tc>
          <w:tcPr>
            <w:tcW w:w="4508" w:type="dxa"/>
          </w:tcPr>
          <w:p w14:paraId="03B0DE69" w14:textId="77777777" w:rsidR="00C35696" w:rsidRPr="00532D9A" w:rsidRDefault="00C35696" w:rsidP="009E2322">
            <w:pPr>
              <w:spacing w:before="100" w:beforeAutospacing="1" w:after="100" w:afterAutospacing="1" w:line="360" w:lineRule="auto"/>
              <w:jc w:val="both"/>
              <w:rPr>
                <w:rFonts w:ascii="Arial" w:eastAsia="Times New Roman" w:hAnsi="Arial" w:cs="Arial"/>
                <w:b/>
                <w:sz w:val="24"/>
                <w:szCs w:val="24"/>
                <w:lang w:val="en-GB" w:eastAsia="en-GB"/>
              </w:rPr>
            </w:pPr>
            <w:r w:rsidRPr="00532D9A">
              <w:rPr>
                <w:rFonts w:ascii="Arial" w:eastAsia="Times New Roman" w:hAnsi="Arial" w:cs="Arial"/>
                <w:b/>
                <w:sz w:val="24"/>
                <w:szCs w:val="24"/>
                <w:lang w:val="en-GB" w:eastAsia="en-GB"/>
              </w:rPr>
              <w:t>Element</w:t>
            </w:r>
          </w:p>
        </w:tc>
        <w:tc>
          <w:tcPr>
            <w:tcW w:w="4508" w:type="dxa"/>
          </w:tcPr>
          <w:p w14:paraId="33510F54" w14:textId="77777777" w:rsidR="00C35696" w:rsidRPr="00532D9A" w:rsidRDefault="00C35696" w:rsidP="009E2322">
            <w:pPr>
              <w:spacing w:before="100" w:beforeAutospacing="1" w:after="100" w:afterAutospacing="1" w:line="360" w:lineRule="auto"/>
              <w:jc w:val="both"/>
              <w:rPr>
                <w:rFonts w:ascii="Arial" w:eastAsia="Times New Roman" w:hAnsi="Arial" w:cs="Arial"/>
                <w:b/>
                <w:sz w:val="24"/>
                <w:szCs w:val="24"/>
                <w:lang w:val="en-GB" w:eastAsia="en-GB"/>
              </w:rPr>
            </w:pPr>
            <w:r w:rsidRPr="00532D9A">
              <w:rPr>
                <w:rFonts w:ascii="Arial" w:eastAsia="Times New Roman" w:hAnsi="Arial" w:cs="Arial"/>
                <w:b/>
                <w:sz w:val="24"/>
                <w:szCs w:val="24"/>
                <w:lang w:val="en-GB" w:eastAsia="en-GB"/>
              </w:rPr>
              <w:t>TEBC decision</w:t>
            </w:r>
          </w:p>
        </w:tc>
      </w:tr>
      <w:tr w:rsidR="00C35696" w:rsidRPr="00C35696" w14:paraId="63D34382" w14:textId="77777777" w:rsidTr="00C35696">
        <w:tc>
          <w:tcPr>
            <w:tcW w:w="4508" w:type="dxa"/>
          </w:tcPr>
          <w:p w14:paraId="0AFB2AE7"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Product</w:t>
            </w:r>
          </w:p>
        </w:tc>
        <w:tc>
          <w:tcPr>
            <w:tcW w:w="4508" w:type="dxa"/>
          </w:tcPr>
          <w:p w14:paraId="60A98EAC"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Specialty coffee, hot/cold beverages, concise food range and selected retail beans</w:t>
            </w:r>
          </w:p>
        </w:tc>
      </w:tr>
      <w:tr w:rsidR="00C35696" w:rsidRPr="00C35696" w14:paraId="3A9E46E9" w14:textId="77777777" w:rsidTr="00C35696">
        <w:tc>
          <w:tcPr>
            <w:tcW w:w="4508" w:type="dxa"/>
          </w:tcPr>
          <w:p w14:paraId="3AD1C910"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Price</w:t>
            </w:r>
          </w:p>
        </w:tc>
        <w:tc>
          <w:tcPr>
            <w:tcW w:w="4508" w:type="dxa"/>
          </w:tcPr>
          <w:p w14:paraId="1D1B47CD"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Accessible-premium pricing, benchmarked against local competitors and contribution requirements</w:t>
            </w:r>
          </w:p>
        </w:tc>
      </w:tr>
      <w:tr w:rsidR="00C35696" w:rsidRPr="00C35696" w14:paraId="02F9E18A" w14:textId="77777777" w:rsidTr="00C35696">
        <w:tc>
          <w:tcPr>
            <w:tcW w:w="4508" w:type="dxa"/>
          </w:tcPr>
          <w:p w14:paraId="65131E67"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Place</w:t>
            </w:r>
          </w:p>
        </w:tc>
        <w:tc>
          <w:tcPr>
            <w:tcW w:w="4508" w:type="dxa"/>
          </w:tcPr>
          <w:p w14:paraId="29823361" w14:textId="2354DDF7" w:rsidR="00C35696" w:rsidRPr="00532D9A" w:rsidRDefault="006E03B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Monmouth Street, Covent Garden, supported by digital discovery and, where commercially feasible, direct ordering</w:t>
            </w:r>
          </w:p>
        </w:tc>
      </w:tr>
      <w:tr w:rsidR="00C35696" w:rsidRPr="00C35696" w14:paraId="0A6ECDE2" w14:textId="77777777" w:rsidTr="00C35696">
        <w:tc>
          <w:tcPr>
            <w:tcW w:w="4508" w:type="dxa"/>
          </w:tcPr>
          <w:p w14:paraId="474E21AE"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Promotion</w:t>
            </w:r>
          </w:p>
        </w:tc>
        <w:tc>
          <w:tcPr>
            <w:tcW w:w="4508" w:type="dxa"/>
          </w:tcPr>
          <w:p w14:paraId="1B6EF30C"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Social media, local partnerships, launch activity, content marketing, reviews and loyalty communications</w:t>
            </w:r>
          </w:p>
        </w:tc>
      </w:tr>
      <w:tr w:rsidR="00C35696" w:rsidRPr="00C35696" w14:paraId="3615C0D7" w14:textId="77777777" w:rsidTr="00C35696">
        <w:tc>
          <w:tcPr>
            <w:tcW w:w="4508" w:type="dxa"/>
          </w:tcPr>
          <w:p w14:paraId="57DD0542"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People</w:t>
            </w:r>
          </w:p>
        </w:tc>
        <w:tc>
          <w:tcPr>
            <w:tcW w:w="4508" w:type="dxa"/>
          </w:tcPr>
          <w:p w14:paraId="551F8A9E"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Trained baristas and customer-facing staff able to communicate product and sourcing value</w:t>
            </w:r>
          </w:p>
        </w:tc>
      </w:tr>
      <w:tr w:rsidR="00C35696" w:rsidRPr="00C35696" w14:paraId="38FEE1AA" w14:textId="77777777" w:rsidTr="00C35696">
        <w:tc>
          <w:tcPr>
            <w:tcW w:w="4508" w:type="dxa"/>
          </w:tcPr>
          <w:p w14:paraId="7B93D217"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Process</w:t>
            </w:r>
          </w:p>
        </w:tc>
        <w:tc>
          <w:tcPr>
            <w:tcW w:w="4508" w:type="dxa"/>
          </w:tcPr>
          <w:p w14:paraId="70EFC253"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Fast ordering, consistent preparation, quality control, service recovery and loyalty registration</w:t>
            </w:r>
          </w:p>
        </w:tc>
      </w:tr>
      <w:tr w:rsidR="00C35696" w:rsidRPr="00C35696" w14:paraId="76F1F9BF" w14:textId="77777777" w:rsidTr="00C35696">
        <w:tc>
          <w:tcPr>
            <w:tcW w:w="4508" w:type="dxa"/>
          </w:tcPr>
          <w:p w14:paraId="252405CF"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Physical evidence</w:t>
            </w:r>
          </w:p>
        </w:tc>
        <w:tc>
          <w:tcPr>
            <w:tcW w:w="4508" w:type="dxa"/>
          </w:tcPr>
          <w:p w14:paraId="71FFA1E0" w14:textId="77777777" w:rsidR="00C35696" w:rsidRPr="00532D9A" w:rsidRDefault="00C35696" w:rsidP="009E2322">
            <w:pPr>
              <w:spacing w:before="100" w:beforeAutospacing="1" w:after="100" w:afterAutospacing="1" w:line="360" w:lineRule="auto"/>
              <w:jc w:val="both"/>
              <w:rPr>
                <w:rFonts w:ascii="Arial" w:eastAsia="Times New Roman" w:hAnsi="Arial" w:cs="Arial"/>
                <w:sz w:val="24"/>
                <w:szCs w:val="24"/>
                <w:lang w:val="en-GB" w:eastAsia="en-GB"/>
              </w:rPr>
            </w:pPr>
            <w:r w:rsidRPr="00532D9A">
              <w:rPr>
                <w:rFonts w:ascii="Arial" w:eastAsia="Times New Roman" w:hAnsi="Arial" w:cs="Arial"/>
                <w:sz w:val="24"/>
                <w:szCs w:val="24"/>
                <w:lang w:val="en-GB" w:eastAsia="en-GB"/>
              </w:rPr>
              <w:t>Café environment, packaging, sourcing information, reviews, staff presentation and traceability communication</w:t>
            </w:r>
          </w:p>
        </w:tc>
      </w:tr>
    </w:tbl>
    <w:p w14:paraId="447EC750" w14:textId="242B4EE0" w:rsidR="00EB59AF" w:rsidRPr="00B2409B" w:rsidRDefault="00AE453F" w:rsidP="00B2409B">
      <w:pPr>
        <w:spacing w:before="100" w:beforeAutospacing="1" w:after="100" w:afterAutospacing="1" w:line="360" w:lineRule="auto"/>
        <w:jc w:val="both"/>
        <w:rPr>
          <w:rFonts w:ascii="Arial" w:eastAsia="Times New Roman" w:hAnsi="Arial" w:cs="Arial"/>
          <w:sz w:val="24"/>
          <w:szCs w:val="24"/>
          <w:lang w:val="en-GB" w:eastAsia="en-GB"/>
        </w:rPr>
      </w:pPr>
      <w:r w:rsidRPr="00AE453F">
        <w:rPr>
          <w:rFonts w:ascii="Arial" w:eastAsia="Times New Roman" w:hAnsi="Arial" w:cs="Arial"/>
          <w:sz w:val="24"/>
          <w:szCs w:val="24"/>
          <w:lang w:val="en-GB" w:eastAsia="en-GB"/>
        </w:rPr>
        <w:t xml:space="preserve">This strategy is aligned with the proposed strategy and helps to create customer value by offering transparency on their coffee sourcing as well as café atmosphere, service quality and </w:t>
      </w:r>
      <w:r>
        <w:rPr>
          <w:rFonts w:ascii="Arial" w:eastAsia="Times New Roman" w:hAnsi="Arial" w:cs="Arial"/>
          <w:sz w:val="24"/>
          <w:szCs w:val="24"/>
          <w:lang w:val="en-GB" w:eastAsia="en-GB"/>
        </w:rPr>
        <w:t>the overall customer experience</w:t>
      </w:r>
      <w:r w:rsidR="004E1586">
        <w:rPr>
          <w:rFonts w:ascii="Arial" w:eastAsia="Times New Roman" w:hAnsi="Arial" w:cs="Arial"/>
          <w:sz w:val="24"/>
          <w:szCs w:val="24"/>
          <w:lang w:val="en-GB" w:eastAsia="en-GB"/>
        </w:rPr>
        <w:t>.</w:t>
      </w:r>
    </w:p>
    <w:p w14:paraId="0AC87244" w14:textId="22BA3376" w:rsidR="00B2409B" w:rsidRPr="00EB59AF" w:rsidRDefault="004E1586" w:rsidP="00EB59AF">
      <w:pPr>
        <w:pStyle w:val="Heading3"/>
        <w:rPr>
          <w:rFonts w:eastAsia="Times New Roman"/>
          <w:lang w:val="en-GB" w:eastAsia="en-GB"/>
        </w:rPr>
      </w:pPr>
      <w:bookmarkStart w:id="98" w:name="_Toc241167488"/>
      <w:r>
        <w:rPr>
          <w:rFonts w:eastAsia="Times New Roman"/>
          <w:lang w:val="en-GB" w:eastAsia="en-GB"/>
        </w:rPr>
        <w:lastRenderedPageBreak/>
        <w:t>9.3.3 Customer</w:t>
      </w:r>
      <w:r w:rsidR="00B2409B" w:rsidRPr="00B2409B">
        <w:rPr>
          <w:rFonts w:eastAsia="Times New Roman"/>
          <w:lang w:val="en-GB" w:eastAsia="en-GB"/>
        </w:rPr>
        <w:t xml:space="preserve"> acquisition and sales process</w:t>
      </w:r>
      <w:bookmarkEnd w:id="98"/>
    </w:p>
    <w:p w14:paraId="03AF47C7" w14:textId="52DC66D6" w:rsidR="00070B55" w:rsidRPr="00070B55" w:rsidRDefault="00070B55" w:rsidP="00070B55">
      <w:pPr>
        <w:spacing w:before="100" w:beforeAutospacing="1" w:after="100" w:afterAutospacing="1" w:line="360" w:lineRule="auto"/>
        <w:jc w:val="both"/>
        <w:rPr>
          <w:rFonts w:ascii="Arial" w:eastAsia="Times New Roman" w:hAnsi="Arial" w:cs="Arial"/>
          <w:sz w:val="24"/>
          <w:szCs w:val="24"/>
          <w:lang w:val="en-GB" w:eastAsia="en-GB"/>
        </w:rPr>
      </w:pPr>
      <w:r w:rsidRPr="00070B55">
        <w:rPr>
          <w:rFonts w:ascii="Arial" w:eastAsia="Times New Roman" w:hAnsi="Arial" w:cs="Arial"/>
          <w:sz w:val="24"/>
          <w:szCs w:val="24"/>
          <w:lang w:val="en-GB" w:eastAsia="en-GB"/>
        </w:rPr>
        <w:t>Customer acquisiti</w:t>
      </w:r>
      <w:r>
        <w:rPr>
          <w:rFonts w:ascii="Arial" w:eastAsia="Times New Roman" w:hAnsi="Arial" w:cs="Arial"/>
          <w:sz w:val="24"/>
          <w:szCs w:val="24"/>
          <w:lang w:val="en-GB" w:eastAsia="en-GB"/>
        </w:rPr>
        <w:t>on will follow a staged funnel:</w:t>
      </w:r>
    </w:p>
    <w:p w14:paraId="0D2275BA" w14:textId="035B6F72" w:rsidR="00070B55" w:rsidRPr="00070B55" w:rsidRDefault="00070B55" w:rsidP="00070B55">
      <w:pPr>
        <w:spacing w:before="100" w:beforeAutospacing="1" w:after="100" w:afterAutospacing="1" w:line="360" w:lineRule="auto"/>
        <w:jc w:val="both"/>
        <w:rPr>
          <w:rFonts w:ascii="Arial" w:eastAsia="Times New Roman" w:hAnsi="Arial" w:cs="Arial"/>
          <w:b/>
          <w:sz w:val="24"/>
          <w:szCs w:val="24"/>
          <w:lang w:val="en-GB" w:eastAsia="en-GB"/>
        </w:rPr>
      </w:pPr>
      <w:r w:rsidRPr="00070B55">
        <w:rPr>
          <w:rFonts w:ascii="Arial" w:eastAsia="Times New Roman" w:hAnsi="Arial" w:cs="Arial"/>
          <w:b/>
          <w:sz w:val="24"/>
          <w:szCs w:val="24"/>
          <w:lang w:val="en-GB" w:eastAsia="en-GB"/>
        </w:rPr>
        <w:t>Awareness → Engagement → First purchase → Repeat purchase → Loyalty → Advocacy</w:t>
      </w:r>
    </w:p>
    <w:p w14:paraId="3AAA34CC" w14:textId="068F7268" w:rsidR="002B4CB9" w:rsidRPr="002B4CB9" w:rsidRDefault="002B4CB9" w:rsidP="002B4CB9">
      <w:pPr>
        <w:spacing w:before="100" w:beforeAutospacing="1" w:after="100" w:afterAutospacing="1" w:line="360" w:lineRule="auto"/>
        <w:jc w:val="both"/>
        <w:rPr>
          <w:rFonts w:ascii="Arial" w:eastAsia="Times New Roman" w:hAnsi="Arial" w:cs="Arial"/>
          <w:sz w:val="24"/>
          <w:szCs w:val="24"/>
          <w:lang w:val="en-GB" w:eastAsia="en-GB"/>
        </w:rPr>
      </w:pPr>
      <w:r w:rsidRPr="002B4CB9">
        <w:rPr>
          <w:rFonts w:ascii="Arial" w:eastAsia="Times New Roman" w:hAnsi="Arial" w:cs="Arial"/>
          <w:sz w:val="24"/>
          <w:szCs w:val="24"/>
          <w:lang w:val="en-GB" w:eastAsia="en-GB"/>
        </w:rPr>
        <w:t xml:space="preserve">Instagram and other social-media platforms, local partnership and visually stimulating content on coffee awareness and quality, and Google/local search will complement awareness. The use of coffee education, producer stories and evidence of sustainability practices can help engage the audience. The conversion will be facilitated with a controlled launch offer and not simply with the permanent discounting, thus maintaining the accessible-premium positioning. </w:t>
      </w:r>
    </w:p>
    <w:p w14:paraId="46F63830" w14:textId="6E81A461" w:rsidR="00B2409B" w:rsidRPr="00B2409B" w:rsidRDefault="002B4CB9" w:rsidP="002B4CB9">
      <w:pPr>
        <w:spacing w:before="100" w:beforeAutospacing="1" w:after="100" w:afterAutospacing="1" w:line="360" w:lineRule="auto"/>
        <w:jc w:val="both"/>
        <w:rPr>
          <w:rFonts w:ascii="Arial" w:eastAsia="Times New Roman" w:hAnsi="Arial" w:cs="Arial"/>
          <w:sz w:val="24"/>
          <w:szCs w:val="24"/>
          <w:lang w:val="en-GB" w:eastAsia="en-GB"/>
        </w:rPr>
      </w:pPr>
      <w:r w:rsidRPr="002B4CB9">
        <w:rPr>
          <w:rFonts w:ascii="Arial" w:eastAsia="Times New Roman" w:hAnsi="Arial" w:cs="Arial"/>
          <w:sz w:val="24"/>
          <w:szCs w:val="24"/>
          <w:lang w:val="en-GB" w:eastAsia="en-GB"/>
        </w:rPr>
        <w:t>The marketing budget available for the Year 1 is £12,000, which includes about £3,000 for website, photography and launch assets, £4,000 for digital and targeted marketing, £2,000 for local partnerships and events and £3,000 for loyalty activity, review generation and promotions. Marketing spending should be tracked and measured and not just allocated as a set amount of</w:t>
      </w:r>
      <w:r>
        <w:rPr>
          <w:rFonts w:ascii="Arial" w:eastAsia="Times New Roman" w:hAnsi="Arial" w:cs="Arial"/>
          <w:sz w:val="24"/>
          <w:szCs w:val="24"/>
          <w:lang w:val="en-GB" w:eastAsia="en-GB"/>
        </w:rPr>
        <w:t xml:space="preserve"> money for a set period of time</w:t>
      </w:r>
      <w:r w:rsidR="00DF0DAA">
        <w:rPr>
          <w:rFonts w:ascii="Arial" w:eastAsia="Times New Roman" w:hAnsi="Arial" w:cs="Arial"/>
          <w:sz w:val="24"/>
          <w:szCs w:val="24"/>
          <w:lang w:val="en-GB" w:eastAsia="en-GB"/>
        </w:rPr>
        <w:t>.</w:t>
      </w:r>
    </w:p>
    <w:p w14:paraId="6ED653B0" w14:textId="77777777" w:rsidR="00B2409B" w:rsidRPr="00B2409B" w:rsidRDefault="00B2409B" w:rsidP="00CA31B4">
      <w:pPr>
        <w:pStyle w:val="Heading2"/>
        <w:rPr>
          <w:rFonts w:eastAsia="Times New Roman"/>
          <w:lang w:val="en-GB" w:eastAsia="en-GB"/>
        </w:rPr>
      </w:pPr>
      <w:bookmarkStart w:id="99" w:name="_Toc241167489"/>
      <w:r w:rsidRPr="00B2409B">
        <w:rPr>
          <w:rFonts w:eastAsia="Times New Roman"/>
          <w:lang w:val="en-GB" w:eastAsia="en-GB"/>
        </w:rPr>
        <w:t>9.4 Human Capital Management Plan</w:t>
      </w:r>
      <w:bookmarkEnd w:id="99"/>
    </w:p>
    <w:p w14:paraId="7F36E182" w14:textId="30F7DF21" w:rsidR="00B2409B" w:rsidRPr="00CA31B4" w:rsidRDefault="004E1586" w:rsidP="00CA31B4">
      <w:pPr>
        <w:pStyle w:val="Heading3"/>
        <w:rPr>
          <w:rFonts w:eastAsia="Times New Roman"/>
          <w:lang w:val="en-GB" w:eastAsia="en-GB"/>
        </w:rPr>
      </w:pPr>
      <w:bookmarkStart w:id="100" w:name="_Toc241167490"/>
      <w:r w:rsidRPr="004E1586">
        <w:rPr>
          <w:rFonts w:eastAsia="Times New Roman"/>
          <w:lang w:val="en-GB" w:eastAsia="en-GB"/>
        </w:rPr>
        <w:t>9.4</w:t>
      </w:r>
      <w:r>
        <w:rPr>
          <w:rFonts w:eastAsia="Times New Roman"/>
          <w:lang w:val="en-GB" w:eastAsia="en-GB"/>
        </w:rPr>
        <w:t>.1</w:t>
      </w:r>
      <w:r w:rsidRPr="004E1586">
        <w:rPr>
          <w:rFonts w:eastAsia="Times New Roman"/>
          <w:lang w:val="en-GB" w:eastAsia="en-GB"/>
        </w:rPr>
        <w:t xml:space="preserve"> </w:t>
      </w:r>
      <w:r w:rsidR="00B2409B" w:rsidRPr="00B2409B">
        <w:rPr>
          <w:rFonts w:eastAsia="Times New Roman"/>
          <w:lang w:val="en-GB" w:eastAsia="en-GB"/>
        </w:rPr>
        <w:t>Organisational structure and staffing</w:t>
      </w:r>
      <w:bookmarkEnd w:id="100"/>
    </w:p>
    <w:p w14:paraId="4BFAA233" w14:textId="77777777" w:rsidR="002E4865" w:rsidRPr="002E4865" w:rsidRDefault="002E4865" w:rsidP="002E4865">
      <w:pPr>
        <w:spacing w:before="100" w:beforeAutospacing="1" w:after="100" w:afterAutospacing="1" w:line="360" w:lineRule="auto"/>
        <w:jc w:val="both"/>
        <w:rPr>
          <w:rFonts w:ascii="Arial" w:eastAsia="Times New Roman" w:hAnsi="Arial" w:cs="Arial"/>
          <w:sz w:val="24"/>
          <w:szCs w:val="24"/>
          <w:lang w:val="en-GB" w:eastAsia="en-GB"/>
        </w:rPr>
      </w:pPr>
      <w:r w:rsidRPr="002E4865">
        <w:rPr>
          <w:rFonts w:ascii="Arial" w:eastAsia="Times New Roman" w:hAnsi="Arial" w:cs="Arial"/>
          <w:sz w:val="24"/>
          <w:szCs w:val="24"/>
          <w:lang w:val="en-GB" w:eastAsia="en-GB"/>
        </w:rPr>
        <w:t xml:space="preserve">TEBC will start with a small organisational team of just the founder, an Operations/Café Lead and a flexible group of trained baristas and customer-service team. Some accounting, marketing duties, legal advice and specialist technology assistance may be outsourced and this may be more cost effective than employing dedicated internal personnel. </w:t>
      </w:r>
    </w:p>
    <w:p w14:paraId="5E8EE560" w14:textId="1CA00D52" w:rsidR="00B2409B" w:rsidRPr="00B2409B" w:rsidRDefault="002E4865" w:rsidP="002E4865">
      <w:pPr>
        <w:spacing w:before="100" w:beforeAutospacing="1" w:after="100" w:afterAutospacing="1" w:line="360" w:lineRule="auto"/>
        <w:jc w:val="both"/>
        <w:rPr>
          <w:rFonts w:ascii="Arial" w:eastAsia="Times New Roman" w:hAnsi="Arial" w:cs="Arial"/>
          <w:sz w:val="24"/>
          <w:szCs w:val="24"/>
          <w:lang w:val="en-GB" w:eastAsia="en-GB"/>
        </w:rPr>
      </w:pPr>
      <w:r w:rsidRPr="002E4865">
        <w:rPr>
          <w:rFonts w:ascii="Arial" w:eastAsia="Times New Roman" w:hAnsi="Arial" w:cs="Arial"/>
          <w:sz w:val="24"/>
          <w:szCs w:val="24"/>
          <w:lang w:val="en-GB" w:eastAsia="en-GB"/>
        </w:rPr>
        <w:t xml:space="preserve">The number of staff required depends upon the volume of transactions, opening times and peak periods. The starting assumption is that an initial planning structure is provided by about 3-4 FTE employees, with flexible part-time employees, with participation of the founder/manager. Staffing levels to be used should be confirmed with the premises capacity, opening times and service needs and actual trading volumes. The National Living Wage for those aged 21 and above is £12.71 an hour from April 2026 (GOV.UK, 2026). </w:t>
      </w:r>
    </w:p>
    <w:p w14:paraId="1B87A57E" w14:textId="783AA7BC" w:rsidR="00B2409B" w:rsidRPr="009D48DB" w:rsidRDefault="004E1586" w:rsidP="009D48DB">
      <w:pPr>
        <w:pStyle w:val="Heading3"/>
        <w:rPr>
          <w:rFonts w:eastAsia="Times New Roman"/>
          <w:lang w:val="en-GB" w:eastAsia="en-GB"/>
        </w:rPr>
      </w:pPr>
      <w:bookmarkStart w:id="101" w:name="_Toc241167491"/>
      <w:r w:rsidRPr="004E1586">
        <w:rPr>
          <w:rFonts w:eastAsia="Times New Roman"/>
          <w:lang w:val="en-GB" w:eastAsia="en-GB"/>
        </w:rPr>
        <w:lastRenderedPageBreak/>
        <w:t>9.4</w:t>
      </w:r>
      <w:r>
        <w:rPr>
          <w:rFonts w:eastAsia="Times New Roman"/>
          <w:lang w:val="en-GB" w:eastAsia="en-GB"/>
        </w:rPr>
        <w:t>.2</w:t>
      </w:r>
      <w:r w:rsidRPr="004E1586">
        <w:rPr>
          <w:rFonts w:eastAsia="Times New Roman"/>
          <w:lang w:val="en-GB" w:eastAsia="en-GB"/>
        </w:rPr>
        <w:t xml:space="preserve"> </w:t>
      </w:r>
      <w:r w:rsidR="00B2409B" w:rsidRPr="00B2409B">
        <w:rPr>
          <w:rFonts w:eastAsia="Times New Roman"/>
          <w:lang w:val="en-GB" w:eastAsia="en-GB"/>
        </w:rPr>
        <w:t>Recruitment, development and retention</w:t>
      </w:r>
      <w:bookmarkEnd w:id="101"/>
    </w:p>
    <w:p w14:paraId="545F766C" w14:textId="77777777" w:rsidR="00C93FA1" w:rsidRPr="00C93FA1" w:rsidRDefault="00C93FA1" w:rsidP="00C93FA1">
      <w:pPr>
        <w:spacing w:before="100" w:beforeAutospacing="1" w:after="100" w:afterAutospacing="1" w:line="360" w:lineRule="auto"/>
        <w:jc w:val="both"/>
        <w:rPr>
          <w:rFonts w:ascii="Arial" w:eastAsia="Times New Roman" w:hAnsi="Arial" w:cs="Arial"/>
          <w:sz w:val="24"/>
          <w:szCs w:val="24"/>
          <w:lang w:val="en-GB" w:eastAsia="en-GB"/>
        </w:rPr>
      </w:pPr>
      <w:r w:rsidRPr="00C93FA1">
        <w:rPr>
          <w:rFonts w:ascii="Arial" w:eastAsia="Times New Roman" w:hAnsi="Arial" w:cs="Arial"/>
          <w:sz w:val="24"/>
          <w:szCs w:val="24"/>
          <w:lang w:val="en-GB" w:eastAsia="en-GB"/>
        </w:rPr>
        <w:t>Job requirements should be related to coffee making, customer service, reliability, communication and understanding of ethical sourcing. Application screening, structured interviews and practical coffee or service evaluations may be used in recruitment. Food Safety, Allergen Awareness, Health and Safety, Customer Service and POS procedures and associated sustainability training for all staff.</w:t>
      </w:r>
    </w:p>
    <w:p w14:paraId="6D4EDEAE" w14:textId="77777777" w:rsidR="00C93FA1" w:rsidRPr="00C93FA1" w:rsidRDefault="00C93FA1" w:rsidP="00C93FA1">
      <w:pPr>
        <w:spacing w:before="100" w:beforeAutospacing="1" w:after="100" w:afterAutospacing="1" w:line="360" w:lineRule="auto"/>
        <w:jc w:val="both"/>
        <w:rPr>
          <w:rFonts w:ascii="Arial" w:eastAsia="Times New Roman" w:hAnsi="Arial" w:cs="Arial"/>
          <w:sz w:val="24"/>
          <w:szCs w:val="24"/>
          <w:lang w:val="en-GB" w:eastAsia="en-GB"/>
        </w:rPr>
      </w:pPr>
      <w:r w:rsidRPr="00C93FA1">
        <w:rPr>
          <w:rFonts w:ascii="Arial" w:eastAsia="Times New Roman" w:hAnsi="Arial" w:cs="Arial"/>
          <w:sz w:val="24"/>
          <w:szCs w:val="24"/>
          <w:lang w:val="en-GB" w:eastAsia="en-GB"/>
        </w:rPr>
        <w:t>Specialist training should include: preparing espresso, milk handling, product knowledge and responsible sourcing communication, quality control. Staff should also be familiar with how to communicate with credibility, and avoid unsubstantiated sustainability claims. This is especially significant in that the proposed differentiation requires part of the employees' ability to communicate the proposition both consistently and credibly.</w:t>
      </w:r>
    </w:p>
    <w:p w14:paraId="630208E3" w14:textId="31610B5C" w:rsidR="00B2409B" w:rsidRPr="00B2409B" w:rsidRDefault="00C93FA1" w:rsidP="00C93FA1">
      <w:pPr>
        <w:spacing w:before="100" w:beforeAutospacing="1" w:after="100" w:afterAutospacing="1" w:line="360" w:lineRule="auto"/>
        <w:jc w:val="both"/>
        <w:rPr>
          <w:rFonts w:ascii="Arial" w:eastAsia="Times New Roman" w:hAnsi="Arial" w:cs="Arial"/>
          <w:sz w:val="24"/>
          <w:szCs w:val="24"/>
          <w:lang w:val="en-GB" w:eastAsia="en-GB"/>
        </w:rPr>
      </w:pPr>
      <w:r w:rsidRPr="00C93FA1">
        <w:rPr>
          <w:rFonts w:ascii="Arial" w:eastAsia="Times New Roman" w:hAnsi="Arial" w:cs="Arial"/>
          <w:sz w:val="24"/>
          <w:szCs w:val="24"/>
          <w:lang w:val="en-GB" w:eastAsia="en-GB"/>
        </w:rPr>
        <w:t>Fair remuneration, recognition, regular hours and training and progression should be used to help retain staff. When assessing performance, the customer indicators (reviews, service quality and repeat sales) can be taken into account with the operational indicators (productivity and waste). This makes human-capital practices more in line with the customer-exper</w:t>
      </w:r>
      <w:r>
        <w:rPr>
          <w:rFonts w:ascii="Arial" w:eastAsia="Times New Roman" w:hAnsi="Arial" w:cs="Arial"/>
          <w:sz w:val="24"/>
          <w:szCs w:val="24"/>
          <w:lang w:val="en-GB" w:eastAsia="en-GB"/>
        </w:rPr>
        <w:t>ience component of the strategy</w:t>
      </w:r>
      <w:r w:rsidR="009D48DB">
        <w:rPr>
          <w:rFonts w:ascii="Arial" w:eastAsia="Times New Roman" w:hAnsi="Arial" w:cs="Arial"/>
          <w:sz w:val="24"/>
          <w:szCs w:val="24"/>
          <w:lang w:val="en-GB" w:eastAsia="en-GB"/>
        </w:rPr>
        <w:t>.</w:t>
      </w:r>
    </w:p>
    <w:p w14:paraId="28424597" w14:textId="75662F8E" w:rsidR="00B2409B" w:rsidRPr="00332C7B" w:rsidRDefault="004E1586" w:rsidP="00332C7B">
      <w:pPr>
        <w:pStyle w:val="Heading3"/>
        <w:rPr>
          <w:rFonts w:eastAsia="Times New Roman"/>
          <w:lang w:val="en-GB" w:eastAsia="en-GB"/>
        </w:rPr>
      </w:pPr>
      <w:bookmarkStart w:id="102" w:name="_Toc241167492"/>
      <w:r>
        <w:rPr>
          <w:rFonts w:eastAsia="Times New Roman"/>
          <w:lang w:val="en-GB" w:eastAsia="en-GB"/>
        </w:rPr>
        <w:t xml:space="preserve">9.4.3 </w:t>
      </w:r>
      <w:r w:rsidR="00B2409B" w:rsidRPr="00B2409B">
        <w:rPr>
          <w:rFonts w:eastAsia="Times New Roman"/>
          <w:lang w:val="en-GB" w:eastAsia="en-GB"/>
        </w:rPr>
        <w:t>Employment and operational compliance</w:t>
      </w:r>
      <w:bookmarkEnd w:id="102"/>
    </w:p>
    <w:p w14:paraId="3DB5CDA2" w14:textId="58ABB116" w:rsidR="00B2409B" w:rsidRPr="00B2409B" w:rsidRDefault="00C93FA1" w:rsidP="00B2409B">
      <w:pPr>
        <w:spacing w:before="100" w:beforeAutospacing="1" w:after="100" w:afterAutospacing="1" w:line="360" w:lineRule="auto"/>
        <w:jc w:val="both"/>
        <w:rPr>
          <w:rFonts w:ascii="Arial" w:eastAsia="Times New Roman" w:hAnsi="Arial" w:cs="Arial"/>
          <w:sz w:val="24"/>
          <w:szCs w:val="24"/>
          <w:lang w:val="en-GB" w:eastAsia="en-GB"/>
        </w:rPr>
      </w:pPr>
      <w:r w:rsidRPr="00C93FA1">
        <w:rPr>
          <w:rFonts w:ascii="Arial" w:eastAsia="Times New Roman" w:hAnsi="Arial" w:cs="Arial"/>
          <w:sz w:val="24"/>
          <w:szCs w:val="24"/>
          <w:lang w:val="en-GB" w:eastAsia="en-GB"/>
        </w:rPr>
        <w:t>TEBC needs to integrate the elements of employment, food-safety and customer-protection in their operating system. Food businesses must register with the appropriate local authority at least 28 days before they trade and put in place suitable food-safety procedures (Food Standards Agency, 2026). In addition to the above, employment practices should also include contracts, right-to-work checks, working time, minimum pay, pension obligations, equality and health and safety. These compliance obligations do not represent a source of market differentiation, but if not fulfilled may lead to financial, ope</w:t>
      </w:r>
      <w:r>
        <w:rPr>
          <w:rFonts w:ascii="Arial" w:eastAsia="Times New Roman" w:hAnsi="Arial" w:cs="Arial"/>
          <w:sz w:val="24"/>
          <w:szCs w:val="24"/>
          <w:lang w:val="en-GB" w:eastAsia="en-GB"/>
        </w:rPr>
        <w:t>rational and reputational risks</w:t>
      </w:r>
      <w:r w:rsidR="00332C7B">
        <w:rPr>
          <w:rFonts w:ascii="Arial" w:eastAsia="Times New Roman" w:hAnsi="Arial" w:cs="Arial"/>
          <w:sz w:val="24"/>
          <w:szCs w:val="24"/>
          <w:lang w:val="en-GB" w:eastAsia="en-GB"/>
        </w:rPr>
        <w:t>.</w:t>
      </w:r>
    </w:p>
    <w:p w14:paraId="16BD8C88" w14:textId="58A842D2" w:rsidR="00B2409B" w:rsidRPr="00B2409B" w:rsidRDefault="00B2409B" w:rsidP="00332C7B">
      <w:pPr>
        <w:pStyle w:val="Heading2"/>
        <w:rPr>
          <w:rFonts w:eastAsia="Times New Roman"/>
          <w:lang w:val="en-GB" w:eastAsia="en-GB"/>
        </w:rPr>
      </w:pPr>
      <w:bookmarkStart w:id="103" w:name="_Toc241167493"/>
      <w:r w:rsidRPr="00B2409B">
        <w:rPr>
          <w:rFonts w:eastAsia="Times New Roman"/>
          <w:lang w:val="en-GB" w:eastAsia="en-GB"/>
        </w:rPr>
        <w:t>9.5 Integrat</w:t>
      </w:r>
      <w:r w:rsidR="00332C7B">
        <w:rPr>
          <w:rFonts w:eastAsia="Times New Roman"/>
          <w:lang w:val="en-GB" w:eastAsia="en-GB"/>
        </w:rPr>
        <w:t>ion, Scalability and Conclusion</w:t>
      </w:r>
      <w:bookmarkEnd w:id="103"/>
    </w:p>
    <w:p w14:paraId="39BC31EA" w14:textId="77777777" w:rsidR="00CA1CE2" w:rsidRPr="00CA1CE2" w:rsidRDefault="00CA1CE2" w:rsidP="00CA1CE2">
      <w:pPr>
        <w:spacing w:before="100" w:beforeAutospacing="1" w:after="100" w:afterAutospacing="1" w:line="360" w:lineRule="auto"/>
        <w:jc w:val="both"/>
        <w:rPr>
          <w:rFonts w:ascii="Arial" w:eastAsia="Times New Roman" w:hAnsi="Arial" w:cs="Arial"/>
          <w:sz w:val="24"/>
          <w:szCs w:val="24"/>
          <w:lang w:val="en-GB" w:eastAsia="en-GB"/>
        </w:rPr>
      </w:pPr>
      <w:r w:rsidRPr="00CA1CE2">
        <w:rPr>
          <w:rFonts w:ascii="Arial" w:eastAsia="Times New Roman" w:hAnsi="Arial" w:cs="Arial"/>
          <w:sz w:val="24"/>
          <w:szCs w:val="24"/>
          <w:lang w:val="en-GB" w:eastAsia="en-GB"/>
        </w:rPr>
        <w:t xml:space="preserve">The financial, marketing and sales and human-capital plans should be executed as a single plan, and not as separate activities. The target customer segments set the marketing channels and messages; the marketing drives customer acquisition; the </w:t>
      </w:r>
      <w:r w:rsidRPr="00CA1CE2">
        <w:rPr>
          <w:rFonts w:ascii="Arial" w:eastAsia="Times New Roman" w:hAnsi="Arial" w:cs="Arial"/>
          <w:sz w:val="24"/>
          <w:szCs w:val="24"/>
          <w:lang w:val="en-GB" w:eastAsia="en-GB"/>
        </w:rPr>
        <w:lastRenderedPageBreak/>
        <w:t>customer acquisition translates into sales; and sales drives the number of staff, stock and service capacity.</w:t>
      </w:r>
    </w:p>
    <w:p w14:paraId="04F2F28C" w14:textId="54090050" w:rsidR="00AA5615" w:rsidRDefault="00CA1CE2" w:rsidP="00CA1CE2">
      <w:pPr>
        <w:spacing w:before="100" w:beforeAutospacing="1" w:after="100" w:afterAutospacing="1" w:line="360" w:lineRule="auto"/>
        <w:jc w:val="both"/>
        <w:rPr>
          <w:rFonts w:ascii="Arial" w:eastAsia="Times New Roman" w:hAnsi="Arial" w:cs="Arial"/>
          <w:sz w:val="24"/>
          <w:szCs w:val="24"/>
          <w:lang w:val="en-GB" w:eastAsia="en-GB"/>
        </w:rPr>
      </w:pPr>
      <w:r w:rsidRPr="00CA1CE2">
        <w:rPr>
          <w:rFonts w:ascii="Arial" w:eastAsia="Times New Roman" w:hAnsi="Arial" w:cs="Arial"/>
          <w:sz w:val="24"/>
          <w:szCs w:val="24"/>
          <w:lang w:val="en-GB" w:eastAsia="en-GB"/>
        </w:rPr>
        <w:t xml:space="preserve">Based on base-case assumptions, TEBC is at break-even around 135 transactions per day. This demands efficient acquisition of customers, repeat sales and maintaining the contribution margin. Management needs to concentrate on enhancing the utilisation of resources, the retention of customers and the efficiency of operations before expansion. If the number of transactions regularly exceeds practical level of service, then the capacity of the staff, equipment or premises may need to be increased. On the other hand, if transactions continue to fall short of the breakeven level, the management should examine the effectiveness of the marketing mix, product mix, </w:t>
      </w:r>
      <w:proofErr w:type="spellStart"/>
      <w:r w:rsidRPr="00CA1CE2">
        <w:rPr>
          <w:rFonts w:ascii="Arial" w:eastAsia="Times New Roman" w:hAnsi="Arial" w:cs="Arial"/>
          <w:sz w:val="24"/>
          <w:szCs w:val="24"/>
          <w:lang w:val="en-GB" w:eastAsia="en-GB"/>
        </w:rPr>
        <w:t>labor</w:t>
      </w:r>
      <w:proofErr w:type="spellEnd"/>
      <w:r w:rsidRPr="00CA1CE2">
        <w:rPr>
          <w:rFonts w:ascii="Arial" w:eastAsia="Times New Roman" w:hAnsi="Arial" w:cs="Arial"/>
          <w:sz w:val="24"/>
          <w:szCs w:val="24"/>
          <w:lang w:val="en-GB" w:eastAsia="en-GB"/>
        </w:rPr>
        <w:t xml:space="preserve"> requirements, and the price and supplier </w:t>
      </w:r>
      <w:r>
        <w:rPr>
          <w:rFonts w:ascii="Arial" w:eastAsia="Times New Roman" w:hAnsi="Arial" w:cs="Arial"/>
          <w:sz w:val="24"/>
          <w:szCs w:val="24"/>
          <w:lang w:val="en-GB" w:eastAsia="en-GB"/>
        </w:rPr>
        <w:t>costs before deciding to expand</w:t>
      </w:r>
      <w:r w:rsidR="00332C7B" w:rsidRPr="00332C7B">
        <w:rPr>
          <w:rFonts w:ascii="Arial" w:eastAsia="Times New Roman" w:hAnsi="Arial" w:cs="Arial"/>
          <w:sz w:val="24"/>
          <w:szCs w:val="24"/>
          <w:lang w:val="en-GB" w:eastAsia="en-GB"/>
        </w:rPr>
        <w:t>.</w:t>
      </w:r>
    </w:p>
    <w:p w14:paraId="785DD014" w14:textId="3B47E242"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4FBFE441" w14:textId="2CDD3DDD"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3E9B0314" w14:textId="5DF48491"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088E9B40" w14:textId="3D10FB16"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4F7D48C4" w14:textId="074B6065"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71BDBF15" w14:textId="3641B00C"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110B96E0" w14:textId="20B4B3E4"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4F660419" w14:textId="624540BA"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15D10E8B" w14:textId="081184F6"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23268EF6" w14:textId="3761821D"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32C9670F" w14:textId="77777777" w:rsidR="00FC016B" w:rsidRDefault="00FC016B" w:rsidP="00CA1CE2">
      <w:pPr>
        <w:spacing w:before="100" w:beforeAutospacing="1" w:after="100" w:afterAutospacing="1" w:line="360" w:lineRule="auto"/>
        <w:jc w:val="both"/>
        <w:rPr>
          <w:rFonts w:ascii="Arial" w:eastAsia="Times New Roman" w:hAnsi="Arial" w:cs="Arial"/>
          <w:sz w:val="24"/>
          <w:szCs w:val="24"/>
          <w:lang w:val="en-GB" w:eastAsia="en-GB"/>
        </w:rPr>
      </w:pPr>
    </w:p>
    <w:p w14:paraId="0A363C4E" w14:textId="77777777" w:rsidR="00AA5615" w:rsidRPr="00AA5615" w:rsidRDefault="00AA5615" w:rsidP="002E019E">
      <w:pPr>
        <w:pStyle w:val="Heading1"/>
        <w:jc w:val="center"/>
        <w:rPr>
          <w:rFonts w:eastAsia="Times New Roman"/>
          <w:lang w:val="en-GB" w:eastAsia="en-GB"/>
        </w:rPr>
      </w:pPr>
      <w:bookmarkStart w:id="104" w:name="_Toc241167494"/>
      <w:r w:rsidRPr="00AA5615">
        <w:rPr>
          <w:rFonts w:eastAsia="Times New Roman"/>
          <w:lang w:val="en-GB" w:eastAsia="en-GB"/>
        </w:rPr>
        <w:lastRenderedPageBreak/>
        <w:t>Chapter 10: Operations Plan</w:t>
      </w:r>
      <w:bookmarkEnd w:id="104"/>
    </w:p>
    <w:p w14:paraId="65F400B7" w14:textId="18FF54A2" w:rsidR="00AA5615" w:rsidRPr="00AA5615" w:rsidRDefault="002E019E" w:rsidP="002E019E">
      <w:pPr>
        <w:pStyle w:val="Heading2"/>
        <w:rPr>
          <w:rFonts w:eastAsia="Times New Roman"/>
          <w:lang w:val="en-GB" w:eastAsia="en-GB"/>
        </w:rPr>
      </w:pPr>
      <w:bookmarkStart w:id="105" w:name="_Toc241167495"/>
      <w:r>
        <w:rPr>
          <w:rFonts w:eastAsia="Times New Roman"/>
          <w:lang w:val="en-GB" w:eastAsia="en-GB"/>
        </w:rPr>
        <w:t>10.1 Operating Model</w:t>
      </w:r>
      <w:bookmarkEnd w:id="105"/>
    </w:p>
    <w:p w14:paraId="2F985557" w14:textId="378B8F57" w:rsidR="00AA5615" w:rsidRPr="00AA5615" w:rsidRDefault="0078792F" w:rsidP="0078792F">
      <w:pPr>
        <w:spacing w:before="100" w:beforeAutospacing="1" w:after="100" w:afterAutospacing="1" w:line="360" w:lineRule="auto"/>
        <w:jc w:val="both"/>
        <w:rPr>
          <w:rFonts w:ascii="Arial" w:eastAsia="Times New Roman" w:hAnsi="Arial" w:cs="Arial"/>
          <w:sz w:val="24"/>
          <w:szCs w:val="24"/>
          <w:lang w:val="en-GB" w:eastAsia="en-GB"/>
        </w:rPr>
      </w:pPr>
      <w:r w:rsidRPr="0078792F">
        <w:rPr>
          <w:rFonts w:ascii="Arial" w:eastAsia="Times New Roman" w:hAnsi="Arial" w:cs="Arial"/>
          <w:sz w:val="24"/>
          <w:szCs w:val="24"/>
          <w:lang w:val="en-GB" w:eastAsia="en-GB"/>
        </w:rPr>
        <w:t xml:space="preserve">Ethical Bean Coffee House (TEBC) is an intended specialty coffee shop in Monmouth street, Covent Garden, London. It blends specialty coffee quality, responsible sourcing, personalised customer experience and sustainability with a disciplined day-to-day café business. The business shall be established as a physical café, which shall also be connected with digital payment, customer-engagement and stock-management systems. </w:t>
      </w:r>
      <w:r w:rsidR="003B2EA6">
        <w:rPr>
          <w:rFonts w:ascii="Arial" w:eastAsia="Times New Roman" w:hAnsi="Arial" w:cs="Arial"/>
          <w:sz w:val="24"/>
          <w:szCs w:val="24"/>
          <w:lang w:val="en-GB" w:eastAsia="en-GB"/>
        </w:rPr>
        <w:t xml:space="preserve">(World Coffee Portal, 2026). </w:t>
      </w:r>
      <w:r w:rsidRPr="0078792F">
        <w:rPr>
          <w:rFonts w:ascii="Arial" w:eastAsia="Times New Roman" w:hAnsi="Arial" w:cs="Arial"/>
          <w:sz w:val="24"/>
          <w:szCs w:val="24"/>
          <w:lang w:val="en-GB" w:eastAsia="en-GB"/>
        </w:rPr>
        <w:t>Operating processes will be clearly defined and product availability will be supported by inventory and supply chain controls, while the customer journey from arrival to purchase and feedback will be supported. The operating model will therefore aim to achieve a balance between the quality of the service, its speed, cost c</w:t>
      </w:r>
      <w:r>
        <w:rPr>
          <w:rFonts w:ascii="Arial" w:eastAsia="Times New Roman" w:hAnsi="Arial" w:cs="Arial"/>
          <w:sz w:val="24"/>
          <w:szCs w:val="24"/>
          <w:lang w:val="en-GB" w:eastAsia="en-GB"/>
        </w:rPr>
        <w:t>ontrol and responsible sourcing</w:t>
      </w:r>
      <w:r w:rsidR="005D16B3" w:rsidRPr="005D16B3">
        <w:rPr>
          <w:rFonts w:ascii="Arial" w:eastAsia="Times New Roman" w:hAnsi="Arial" w:cs="Arial"/>
          <w:sz w:val="24"/>
          <w:szCs w:val="24"/>
          <w:lang w:val="en-GB" w:eastAsia="en-GB"/>
        </w:rPr>
        <w:t>.</w:t>
      </w:r>
    </w:p>
    <w:p w14:paraId="0BD2583F" w14:textId="4D549D0E" w:rsidR="00AA5615" w:rsidRPr="002E019E" w:rsidRDefault="00AA5615" w:rsidP="002E019E">
      <w:pPr>
        <w:pStyle w:val="Heading2"/>
        <w:rPr>
          <w:rFonts w:eastAsia="Times New Roman"/>
          <w:lang w:val="en-GB" w:eastAsia="en-GB"/>
        </w:rPr>
      </w:pPr>
      <w:bookmarkStart w:id="106" w:name="_Toc241167496"/>
      <w:r w:rsidRPr="00AA5615">
        <w:rPr>
          <w:rFonts w:eastAsia="Times New Roman"/>
          <w:lang w:val="en-GB" w:eastAsia="en-GB"/>
        </w:rPr>
        <w:t>10.2 Operational Workflow and Capacity</w:t>
      </w:r>
      <w:bookmarkEnd w:id="106"/>
    </w:p>
    <w:p w14:paraId="74751D47" w14:textId="5A6A9A8E" w:rsidR="00AA5615" w:rsidRPr="002E019E" w:rsidRDefault="00AA5615" w:rsidP="00AA5615">
      <w:pPr>
        <w:spacing w:before="100" w:beforeAutospacing="1" w:after="100" w:afterAutospacing="1" w:line="360" w:lineRule="auto"/>
        <w:jc w:val="both"/>
        <w:rPr>
          <w:rFonts w:ascii="Arial" w:eastAsia="Times New Roman" w:hAnsi="Arial" w:cs="Arial"/>
          <w:b/>
          <w:sz w:val="24"/>
          <w:szCs w:val="24"/>
          <w:lang w:val="en-GB" w:eastAsia="en-GB"/>
        </w:rPr>
      </w:pPr>
      <w:r w:rsidRPr="002E019E">
        <w:rPr>
          <w:rFonts w:ascii="Arial" w:eastAsia="Times New Roman" w:hAnsi="Arial" w:cs="Arial"/>
          <w:b/>
          <w:sz w:val="24"/>
          <w:szCs w:val="24"/>
          <w:lang w:val="en-GB" w:eastAsia="en-GB"/>
        </w:rPr>
        <w:t>The c</w:t>
      </w:r>
      <w:r w:rsidR="002E019E" w:rsidRPr="002E019E">
        <w:rPr>
          <w:rFonts w:ascii="Arial" w:eastAsia="Times New Roman" w:hAnsi="Arial" w:cs="Arial"/>
          <w:b/>
          <w:sz w:val="24"/>
          <w:szCs w:val="24"/>
          <w:lang w:val="en-GB" w:eastAsia="en-GB"/>
        </w:rPr>
        <w:t>ore operating workflow will be:</w:t>
      </w:r>
    </w:p>
    <w:p w14:paraId="3E3BB9DF" w14:textId="77777777" w:rsidR="002E019E" w:rsidRDefault="00AA5615" w:rsidP="002E019E">
      <w:pPr>
        <w:spacing w:before="100" w:beforeAutospacing="1" w:after="100" w:afterAutospacing="1" w:line="360" w:lineRule="auto"/>
        <w:jc w:val="both"/>
        <w:rPr>
          <w:rFonts w:ascii="Arial" w:eastAsia="Times New Roman" w:hAnsi="Arial" w:cs="Arial"/>
          <w:b/>
          <w:sz w:val="24"/>
          <w:szCs w:val="24"/>
          <w:lang w:val="en-GB" w:eastAsia="en-GB"/>
        </w:rPr>
      </w:pPr>
      <w:r w:rsidRPr="002E019E">
        <w:rPr>
          <w:rFonts w:ascii="Arial" w:eastAsia="Times New Roman" w:hAnsi="Arial" w:cs="Arial"/>
          <w:b/>
          <w:sz w:val="24"/>
          <w:szCs w:val="24"/>
          <w:lang w:val="en-GB" w:eastAsia="en-GB"/>
        </w:rPr>
        <w:t xml:space="preserve">Customer arrival/order → Product selection → POS order → Stock and preparation check → Coffee/food preparation → Quality check → Customer fulfilment → Payment/record → </w:t>
      </w:r>
      <w:r w:rsidR="002E019E">
        <w:rPr>
          <w:rFonts w:ascii="Arial" w:eastAsia="Times New Roman" w:hAnsi="Arial" w:cs="Arial"/>
          <w:b/>
          <w:sz w:val="24"/>
          <w:szCs w:val="24"/>
          <w:lang w:val="en-GB" w:eastAsia="en-GB"/>
        </w:rPr>
        <w:t>Feedback/loyalty → Stock update</w:t>
      </w:r>
    </w:p>
    <w:p w14:paraId="21597CB3" w14:textId="00190FE7" w:rsidR="00311667" w:rsidRPr="00311667" w:rsidRDefault="00311667" w:rsidP="00311667">
      <w:pPr>
        <w:spacing w:before="100" w:beforeAutospacing="1" w:after="100" w:afterAutospacing="1" w:line="360" w:lineRule="auto"/>
        <w:jc w:val="both"/>
        <w:rPr>
          <w:rFonts w:ascii="Arial" w:eastAsia="Times New Roman" w:hAnsi="Arial" w:cs="Arial"/>
          <w:sz w:val="24"/>
          <w:szCs w:val="24"/>
          <w:lang w:val="en-GB" w:eastAsia="en-GB"/>
        </w:rPr>
      </w:pPr>
      <w:r w:rsidRPr="00311667">
        <w:rPr>
          <w:rFonts w:ascii="Arial" w:eastAsia="Times New Roman" w:hAnsi="Arial" w:cs="Arial"/>
          <w:sz w:val="24"/>
          <w:szCs w:val="24"/>
          <w:lang w:val="en-GB" w:eastAsia="en-GB"/>
        </w:rPr>
        <w:t>The customer journey begins with the customer making his/her way to the café or, if the café is equipped with a digital order system, places an order via that system. The front-of-house staff member takes the order and confirms stock via the point of sale (POS) system. The barista then follows standard recipes and preparation procedures to prepare the beverage. Appropriate food safety requirements are met when preparing or assembling food products. An order is reviewed for accuracy, presentation and quality prior to fulfilment.</w:t>
      </w:r>
    </w:p>
    <w:p w14:paraId="0B4C3966" w14:textId="67CD2C1A" w:rsidR="00AA5615" w:rsidRPr="00AA5615" w:rsidRDefault="00311667" w:rsidP="00311667">
      <w:pPr>
        <w:spacing w:before="100" w:beforeAutospacing="1" w:after="100" w:afterAutospacing="1" w:line="360" w:lineRule="auto"/>
        <w:jc w:val="both"/>
        <w:rPr>
          <w:rFonts w:ascii="Arial" w:eastAsia="Times New Roman" w:hAnsi="Arial" w:cs="Arial"/>
          <w:sz w:val="24"/>
          <w:szCs w:val="24"/>
          <w:lang w:val="en-GB" w:eastAsia="en-GB"/>
        </w:rPr>
      </w:pPr>
      <w:r w:rsidRPr="00311667">
        <w:rPr>
          <w:rFonts w:ascii="Arial" w:eastAsia="Times New Roman" w:hAnsi="Arial" w:cs="Arial"/>
          <w:sz w:val="24"/>
          <w:szCs w:val="24"/>
          <w:lang w:val="en-GB" w:eastAsia="en-GB"/>
        </w:rPr>
        <w:t xml:space="preserve">The Year 1 financial model is based on the assumption that there will be approximately 135 transactions per trading day, or some 41,850 transactions over 310 trading days. This is a planning assumption only and does not guarantee the operational capacity. Bottlenecks could be high-pressure times for the barista, long lines of customers, equipment availability, seating capacity, and supplier delays. Therefore, transaction </w:t>
      </w:r>
      <w:r w:rsidRPr="00311667">
        <w:rPr>
          <w:rFonts w:ascii="Arial" w:eastAsia="Times New Roman" w:hAnsi="Arial" w:cs="Arial"/>
          <w:sz w:val="24"/>
          <w:szCs w:val="24"/>
          <w:lang w:val="en-GB" w:eastAsia="en-GB"/>
        </w:rPr>
        <w:lastRenderedPageBreak/>
        <w:t xml:space="preserve">per hour, average service time, queue length, stock-outs and customer complaints should be monitored by TEBC. </w:t>
      </w:r>
    </w:p>
    <w:p w14:paraId="0642C04C" w14:textId="77777777" w:rsidR="00AA5615" w:rsidRPr="00AA5615" w:rsidRDefault="00AA5615" w:rsidP="000B4733">
      <w:pPr>
        <w:pStyle w:val="Heading2"/>
        <w:rPr>
          <w:rFonts w:eastAsia="Times New Roman"/>
          <w:lang w:val="en-GB" w:eastAsia="en-GB"/>
        </w:rPr>
      </w:pPr>
      <w:bookmarkStart w:id="107" w:name="_Toc241167497"/>
      <w:r w:rsidRPr="00AA5615">
        <w:rPr>
          <w:rFonts w:eastAsia="Times New Roman"/>
          <w:lang w:val="en-GB" w:eastAsia="en-GB"/>
        </w:rPr>
        <w:t>10.3 Location, Facilities, Equipment and Technology</w:t>
      </w:r>
      <w:bookmarkEnd w:id="107"/>
    </w:p>
    <w:p w14:paraId="2CACC7AC" w14:textId="77777777" w:rsidR="008E02DF" w:rsidRPr="008E02DF" w:rsidRDefault="008E02DF" w:rsidP="008E02DF">
      <w:pPr>
        <w:spacing w:before="100" w:beforeAutospacing="1" w:after="100" w:afterAutospacing="1" w:line="360" w:lineRule="auto"/>
        <w:jc w:val="both"/>
        <w:rPr>
          <w:rFonts w:ascii="Arial" w:eastAsia="Times New Roman" w:hAnsi="Arial" w:cs="Arial"/>
          <w:sz w:val="24"/>
          <w:szCs w:val="24"/>
          <w:lang w:val="en-GB" w:eastAsia="en-GB"/>
        </w:rPr>
      </w:pPr>
      <w:r w:rsidRPr="008E02DF">
        <w:rPr>
          <w:rFonts w:ascii="Arial" w:eastAsia="Times New Roman" w:hAnsi="Arial" w:cs="Arial"/>
          <w:sz w:val="24"/>
          <w:szCs w:val="24"/>
          <w:lang w:val="en-GB" w:eastAsia="en-GB"/>
        </w:rPr>
        <w:t>The site of Monmouth Street in Covent Garden would welcome urban professionals and visitors, as well as specialty-coffee consumers. It has high pedestrian demand and accessibility, at the same time it creates high cost and competitive pressures. Visitor counts were high at Westminster in 2024, which illustrates the significance of visitor flows in the broader location context (Westminster City Council, 2025). But the activity of visitors must be used as a background factor and not as proof of the actual demand of TEBC customers.</w:t>
      </w:r>
    </w:p>
    <w:p w14:paraId="7B74CEB3" w14:textId="77777777" w:rsidR="008E02DF" w:rsidRPr="008E02DF" w:rsidRDefault="008E02DF" w:rsidP="008E02DF">
      <w:pPr>
        <w:spacing w:before="100" w:beforeAutospacing="1" w:after="100" w:afterAutospacing="1" w:line="360" w:lineRule="auto"/>
        <w:jc w:val="both"/>
        <w:rPr>
          <w:rFonts w:ascii="Arial" w:eastAsia="Times New Roman" w:hAnsi="Arial" w:cs="Arial"/>
          <w:sz w:val="24"/>
          <w:szCs w:val="24"/>
          <w:lang w:val="en-GB" w:eastAsia="en-GB"/>
        </w:rPr>
      </w:pPr>
      <w:r w:rsidRPr="008E02DF">
        <w:rPr>
          <w:rFonts w:ascii="Arial" w:eastAsia="Times New Roman" w:hAnsi="Arial" w:cs="Arial"/>
          <w:sz w:val="24"/>
          <w:szCs w:val="24"/>
          <w:lang w:val="en-GB" w:eastAsia="en-GB"/>
        </w:rPr>
        <w:t>The premises should have a seating area for the customers, a service counter, an area for preparing coffee, an area for preparing food, a dry storage area, a chilled storage area, facilities for staff and appropriate waste storage facilities. Professional espresso machines, grinders, water filtration equipment, refrigeration, food preparation equipment, display and cleaning equipment will be considered core equipment.</w:t>
      </w:r>
    </w:p>
    <w:p w14:paraId="448E179E" w14:textId="7F850313" w:rsidR="00AA5615" w:rsidRPr="00AA5615" w:rsidRDefault="008E02DF" w:rsidP="008E02DF">
      <w:pPr>
        <w:spacing w:before="100" w:beforeAutospacing="1" w:after="100" w:afterAutospacing="1" w:line="360" w:lineRule="auto"/>
        <w:jc w:val="both"/>
        <w:rPr>
          <w:rFonts w:ascii="Arial" w:eastAsia="Times New Roman" w:hAnsi="Arial" w:cs="Arial"/>
          <w:sz w:val="24"/>
          <w:szCs w:val="24"/>
          <w:lang w:val="en-GB" w:eastAsia="en-GB"/>
        </w:rPr>
      </w:pPr>
      <w:r w:rsidRPr="008E02DF">
        <w:rPr>
          <w:rFonts w:ascii="Arial" w:eastAsia="Times New Roman" w:hAnsi="Arial" w:cs="Arial"/>
          <w:sz w:val="24"/>
          <w:szCs w:val="24"/>
          <w:lang w:val="en-GB" w:eastAsia="en-GB"/>
        </w:rPr>
        <w:t xml:space="preserve">Technology will encompass point of sale and payment options, inventory accounting and management software, </w:t>
      </w:r>
      <w:proofErr w:type="spellStart"/>
      <w:r w:rsidRPr="008E02DF">
        <w:rPr>
          <w:rFonts w:ascii="Arial" w:eastAsia="Times New Roman" w:hAnsi="Arial" w:cs="Arial"/>
          <w:sz w:val="24"/>
          <w:szCs w:val="24"/>
          <w:lang w:val="en-GB" w:eastAsia="en-GB"/>
        </w:rPr>
        <w:t>labor</w:t>
      </w:r>
      <w:proofErr w:type="spellEnd"/>
      <w:r w:rsidRPr="008E02DF">
        <w:rPr>
          <w:rFonts w:ascii="Arial" w:eastAsia="Times New Roman" w:hAnsi="Arial" w:cs="Arial"/>
          <w:sz w:val="24"/>
          <w:szCs w:val="24"/>
          <w:lang w:val="en-GB" w:eastAsia="en-GB"/>
        </w:rPr>
        <w:t xml:space="preserve"> scheduling and the ri</w:t>
      </w:r>
      <w:r w:rsidR="003B2EA6">
        <w:rPr>
          <w:rFonts w:ascii="Arial" w:eastAsia="Times New Roman" w:hAnsi="Arial" w:cs="Arial"/>
          <w:sz w:val="24"/>
          <w:szCs w:val="24"/>
          <w:lang w:val="en-GB" w:eastAsia="en-GB"/>
        </w:rPr>
        <w:t>ght customer engagement systems</w:t>
      </w:r>
      <w:r w:rsidRPr="008E02DF">
        <w:rPr>
          <w:rFonts w:ascii="Arial" w:eastAsia="Times New Roman" w:hAnsi="Arial" w:cs="Arial"/>
          <w:sz w:val="24"/>
          <w:szCs w:val="24"/>
          <w:lang w:val="en-GB" w:eastAsia="en-GB"/>
        </w:rPr>
        <w:t>. The ICO offer guidance relating to small businesses who process customer and employee personal data (ICO, 2026).</w:t>
      </w:r>
    </w:p>
    <w:p w14:paraId="457A60A5" w14:textId="5DD4428D" w:rsidR="00AA5615" w:rsidRPr="000B4733" w:rsidRDefault="00AA5615" w:rsidP="000B4733">
      <w:pPr>
        <w:pStyle w:val="Heading2"/>
        <w:rPr>
          <w:rFonts w:eastAsia="Times New Roman"/>
          <w:lang w:val="en-GB" w:eastAsia="en-GB"/>
        </w:rPr>
      </w:pPr>
      <w:bookmarkStart w:id="108" w:name="_Toc241167498"/>
      <w:r w:rsidRPr="00AA5615">
        <w:rPr>
          <w:rFonts w:eastAsia="Times New Roman"/>
          <w:lang w:val="en-GB" w:eastAsia="en-GB"/>
        </w:rPr>
        <w:t>10.4 Supply Chain, Proc</w:t>
      </w:r>
      <w:r w:rsidR="000B4733">
        <w:rPr>
          <w:rFonts w:eastAsia="Times New Roman"/>
          <w:lang w:val="en-GB" w:eastAsia="en-GB"/>
        </w:rPr>
        <w:t>urement, Inventory and Logistic</w:t>
      </w:r>
      <w:bookmarkEnd w:id="108"/>
    </w:p>
    <w:p w14:paraId="288EDEFC" w14:textId="77777777" w:rsidR="00334DD7" w:rsidRPr="00334DD7" w:rsidRDefault="00334DD7" w:rsidP="00334DD7">
      <w:pPr>
        <w:spacing w:before="100" w:beforeAutospacing="1" w:after="100" w:afterAutospacing="1" w:line="360" w:lineRule="auto"/>
        <w:jc w:val="both"/>
        <w:rPr>
          <w:rFonts w:ascii="Arial" w:eastAsia="Times New Roman" w:hAnsi="Arial" w:cs="Arial"/>
          <w:sz w:val="24"/>
          <w:szCs w:val="24"/>
          <w:lang w:val="en-GB" w:eastAsia="en-GB"/>
        </w:rPr>
      </w:pPr>
      <w:r w:rsidRPr="00334DD7">
        <w:rPr>
          <w:rFonts w:ascii="Arial" w:eastAsia="Times New Roman" w:hAnsi="Arial" w:cs="Arial"/>
          <w:sz w:val="24"/>
          <w:szCs w:val="24"/>
          <w:lang w:val="en-GB" w:eastAsia="en-GB"/>
        </w:rPr>
        <w:t>Ethical sourcing should become part of the business processes and not just a marketing statement. Coffee suppliers should be evaluated based on product quality, source traceability, evidence of ethical sourcing, reliability, lead time, minimum order requirements, capacity and price. TEBC should not rely solely on one supplier by having two suppliers, one of which is the approved primary supplier and the other supplier is capable of fulfilling essential requirements.</w:t>
      </w:r>
    </w:p>
    <w:p w14:paraId="0C0D2DA9" w14:textId="77777777" w:rsidR="00334DD7" w:rsidRPr="00334DD7" w:rsidRDefault="00334DD7" w:rsidP="00334DD7">
      <w:pPr>
        <w:spacing w:before="100" w:beforeAutospacing="1" w:after="100" w:afterAutospacing="1" w:line="360" w:lineRule="auto"/>
        <w:jc w:val="both"/>
        <w:rPr>
          <w:rFonts w:ascii="Arial" w:eastAsia="Times New Roman" w:hAnsi="Arial" w:cs="Arial"/>
          <w:sz w:val="24"/>
          <w:szCs w:val="24"/>
          <w:lang w:val="en-GB" w:eastAsia="en-GB"/>
        </w:rPr>
      </w:pPr>
      <w:r w:rsidRPr="00334DD7">
        <w:rPr>
          <w:rFonts w:ascii="Arial" w:eastAsia="Times New Roman" w:hAnsi="Arial" w:cs="Arial"/>
          <w:sz w:val="24"/>
          <w:szCs w:val="24"/>
          <w:lang w:val="en-GB" w:eastAsia="en-GB"/>
        </w:rPr>
        <w:t xml:space="preserve">Commercial sustainability and ethical and quality requirements should be taken into account when making procurement decisions. Supplier documents should be checked </w:t>
      </w:r>
      <w:r w:rsidRPr="00334DD7">
        <w:rPr>
          <w:rFonts w:ascii="Arial" w:eastAsia="Times New Roman" w:hAnsi="Arial" w:cs="Arial"/>
          <w:sz w:val="24"/>
          <w:szCs w:val="24"/>
          <w:lang w:val="en-GB" w:eastAsia="en-GB"/>
        </w:rPr>
        <w:lastRenderedPageBreak/>
        <w:t>regularly to verify that there is adequate supporting evidence in relation to their claims about responsible sourcing. This is especially important as there is not a consistently agreed upon definition or method for responsibly sourced coffee (World Coffee Portal, 2026).</w:t>
      </w:r>
    </w:p>
    <w:p w14:paraId="57C2461B" w14:textId="4BD71B47" w:rsidR="000B4733" w:rsidRPr="000B4733" w:rsidRDefault="00334DD7" w:rsidP="00334DD7">
      <w:pPr>
        <w:spacing w:before="100" w:beforeAutospacing="1" w:after="100" w:afterAutospacing="1" w:line="360" w:lineRule="auto"/>
        <w:jc w:val="both"/>
        <w:rPr>
          <w:rFonts w:ascii="Arial" w:eastAsia="Times New Roman" w:hAnsi="Arial" w:cs="Arial"/>
          <w:sz w:val="24"/>
          <w:szCs w:val="24"/>
          <w:lang w:val="en-GB" w:eastAsia="en-GB"/>
        </w:rPr>
      </w:pPr>
      <w:r w:rsidRPr="00334DD7">
        <w:rPr>
          <w:rFonts w:ascii="Arial" w:eastAsia="Times New Roman" w:hAnsi="Arial" w:cs="Arial"/>
          <w:sz w:val="24"/>
          <w:szCs w:val="24"/>
          <w:lang w:val="en-GB" w:eastAsia="en-GB"/>
        </w:rPr>
        <w:t xml:space="preserve">Reorder points and safety-stocks should be determined for coffee beans, milk, food ingredients and food packaging. Daily monitoring of stocks should be facilitated by the use of the POS and stocks system, and for stocks with relevant food products, the first-expiry-first-out system should be implemented. Deliveries should be arranged to minimise disruption and unnecessary holding of stock. </w:t>
      </w:r>
    </w:p>
    <w:p w14:paraId="01D6F4F9" w14:textId="62753E4C" w:rsidR="000B4733" w:rsidRPr="000B4733" w:rsidRDefault="000B4733" w:rsidP="000B4733">
      <w:pPr>
        <w:pStyle w:val="Heading2"/>
        <w:rPr>
          <w:rFonts w:eastAsia="Times New Roman"/>
          <w:lang w:val="en-GB" w:eastAsia="en-GB"/>
        </w:rPr>
      </w:pPr>
      <w:bookmarkStart w:id="109" w:name="_Toc241167499"/>
      <w:r w:rsidRPr="000B4733">
        <w:rPr>
          <w:rFonts w:eastAsia="Times New Roman"/>
          <w:lang w:val="en-GB" w:eastAsia="en-GB"/>
        </w:rPr>
        <w:t>10.5 Quality, Compliance and Operational Controls</w:t>
      </w:r>
      <w:bookmarkEnd w:id="109"/>
    </w:p>
    <w:p w14:paraId="6A37171E" w14:textId="77777777" w:rsidR="006A46D9" w:rsidRPr="006A46D9" w:rsidRDefault="006A46D9" w:rsidP="006A46D9">
      <w:pPr>
        <w:spacing w:before="100" w:beforeAutospacing="1" w:after="100" w:afterAutospacing="1" w:line="360" w:lineRule="auto"/>
        <w:jc w:val="both"/>
        <w:rPr>
          <w:rFonts w:ascii="Arial" w:eastAsia="Times New Roman" w:hAnsi="Arial" w:cs="Arial"/>
          <w:sz w:val="24"/>
          <w:szCs w:val="24"/>
          <w:lang w:val="en-GB" w:eastAsia="en-GB"/>
        </w:rPr>
      </w:pPr>
      <w:r w:rsidRPr="006A46D9">
        <w:rPr>
          <w:rFonts w:ascii="Arial" w:eastAsia="Times New Roman" w:hAnsi="Arial" w:cs="Arial"/>
          <w:sz w:val="24"/>
          <w:szCs w:val="24"/>
          <w:lang w:val="en-GB" w:eastAsia="en-GB"/>
        </w:rPr>
        <w:t>TEBC will be putting in place standard operating procedures (SOPs) for: Opening, preparation, serving, cleaning and closing, and stock management. To consistently produce a quality coffee, regular equipment cleaning is needed, as well as grinder adjustment and recipe calibration. Requirements for the accuracy of orders, courtesy and waiting times and complaints handling should all be included in the standards for customer service.</w:t>
      </w:r>
    </w:p>
    <w:p w14:paraId="5E7ED9A6" w14:textId="77777777" w:rsidR="006A46D9" w:rsidRPr="006A46D9" w:rsidRDefault="006A46D9" w:rsidP="006A46D9">
      <w:pPr>
        <w:spacing w:before="100" w:beforeAutospacing="1" w:after="100" w:afterAutospacing="1" w:line="360" w:lineRule="auto"/>
        <w:jc w:val="both"/>
        <w:rPr>
          <w:rFonts w:ascii="Arial" w:eastAsia="Times New Roman" w:hAnsi="Arial" w:cs="Arial"/>
          <w:sz w:val="24"/>
          <w:szCs w:val="24"/>
          <w:lang w:val="en-GB" w:eastAsia="en-GB"/>
        </w:rPr>
      </w:pPr>
      <w:r w:rsidRPr="006A46D9">
        <w:rPr>
          <w:rFonts w:ascii="Arial" w:eastAsia="Times New Roman" w:hAnsi="Arial" w:cs="Arial"/>
          <w:sz w:val="24"/>
          <w:szCs w:val="24"/>
          <w:lang w:val="en-GB" w:eastAsia="en-GB"/>
        </w:rPr>
        <w:t>Appropriate hygiene procedures, allergen controls, temperature monitoring, cleaning procedures and staff training will be required for food safety. Food businesses are required to be registered with the local authority before they trade, usually at least 28 days before they open (Food Standards Agency, 2026). TEBC should also keep suitable documentation of food-safety controls and supplier controls.</w:t>
      </w:r>
    </w:p>
    <w:p w14:paraId="2FD962E4" w14:textId="111419A9" w:rsidR="000B4733" w:rsidRPr="000B4733" w:rsidRDefault="006A46D9" w:rsidP="006A46D9">
      <w:pPr>
        <w:spacing w:before="100" w:beforeAutospacing="1" w:after="100" w:afterAutospacing="1" w:line="360" w:lineRule="auto"/>
        <w:jc w:val="both"/>
        <w:rPr>
          <w:rFonts w:ascii="Arial" w:eastAsia="Times New Roman" w:hAnsi="Arial" w:cs="Arial"/>
          <w:sz w:val="24"/>
          <w:szCs w:val="24"/>
          <w:lang w:val="en-GB" w:eastAsia="en-GB"/>
        </w:rPr>
      </w:pPr>
      <w:r w:rsidRPr="006A46D9">
        <w:rPr>
          <w:rFonts w:ascii="Arial" w:eastAsia="Times New Roman" w:hAnsi="Arial" w:cs="Arial"/>
          <w:sz w:val="24"/>
          <w:szCs w:val="24"/>
          <w:lang w:val="en-GB" w:eastAsia="en-GB"/>
        </w:rPr>
        <w:t xml:space="preserve">The same will be true for employment and workplace health and safety, insurance, data protection and taxation. Waste sorting, reducing unnecessary food waste, handling and disposing of the coffee grounds and responsible packaging, should be part of environmental controls. </w:t>
      </w:r>
    </w:p>
    <w:p w14:paraId="1FC17B7D" w14:textId="0255C0A1" w:rsidR="000B4733" w:rsidRPr="000B4733" w:rsidRDefault="000B4733" w:rsidP="000B4733">
      <w:pPr>
        <w:pStyle w:val="Heading2"/>
        <w:rPr>
          <w:rFonts w:eastAsia="Times New Roman"/>
          <w:lang w:val="en-GB" w:eastAsia="en-GB"/>
        </w:rPr>
      </w:pPr>
      <w:bookmarkStart w:id="110" w:name="_Toc241167500"/>
      <w:r w:rsidRPr="000B4733">
        <w:rPr>
          <w:rFonts w:eastAsia="Times New Roman"/>
          <w:lang w:val="en-GB" w:eastAsia="en-GB"/>
        </w:rPr>
        <w:t>10.6 Operational Synthesis</w:t>
      </w:r>
      <w:bookmarkEnd w:id="110"/>
    </w:p>
    <w:p w14:paraId="01D4595D" w14:textId="68A5B386" w:rsidR="00AA5615" w:rsidRDefault="00991CF9" w:rsidP="000B4733">
      <w:pPr>
        <w:spacing w:before="100" w:beforeAutospacing="1" w:after="100" w:afterAutospacing="1" w:line="360" w:lineRule="auto"/>
        <w:jc w:val="both"/>
        <w:rPr>
          <w:rFonts w:ascii="Arial" w:eastAsia="Times New Roman" w:hAnsi="Arial" w:cs="Arial"/>
          <w:sz w:val="24"/>
          <w:szCs w:val="24"/>
          <w:lang w:val="en-GB" w:eastAsia="en-GB"/>
        </w:rPr>
      </w:pPr>
      <w:r w:rsidRPr="00991CF9">
        <w:rPr>
          <w:rFonts w:ascii="Arial" w:eastAsia="Times New Roman" w:hAnsi="Arial" w:cs="Arial"/>
          <w:sz w:val="24"/>
          <w:szCs w:val="24"/>
          <w:lang w:val="en-GB" w:eastAsia="en-GB"/>
        </w:rPr>
        <w:t xml:space="preserve">The operating model is an expression of TEBC's differentiation strategy in terms of action items. Reliable suppliers, trained staff, suitable equipment, SOPs, inventory and digital systems will be essential to ensuring consistent customer service and ethical </w:t>
      </w:r>
      <w:r w:rsidRPr="00991CF9">
        <w:rPr>
          <w:rFonts w:ascii="Arial" w:eastAsia="Times New Roman" w:hAnsi="Arial" w:cs="Arial"/>
          <w:sz w:val="24"/>
          <w:szCs w:val="24"/>
          <w:lang w:val="en-GB" w:eastAsia="en-GB"/>
        </w:rPr>
        <w:lastRenderedPageBreak/>
        <w:t xml:space="preserve">sourcing. Operational risks that can impact the business are peak period demand, reliance on suppliers, waste of food, equipment failures and rising input costs. Staff training, supplier diversification, preventive maintenance, and safety-stock policies and continuous performance monitoring can all help manage these risks. The first single site installation should then be evaluated to determine customer demand and operational capacity, prior </w:t>
      </w:r>
      <w:r>
        <w:rPr>
          <w:rFonts w:ascii="Arial" w:eastAsia="Times New Roman" w:hAnsi="Arial" w:cs="Arial"/>
          <w:sz w:val="24"/>
          <w:szCs w:val="24"/>
          <w:lang w:val="en-GB" w:eastAsia="en-GB"/>
        </w:rPr>
        <w:t>to any expansion to other sites</w:t>
      </w:r>
      <w:r w:rsidR="000B4733" w:rsidRPr="000B4733">
        <w:rPr>
          <w:rFonts w:ascii="Arial" w:eastAsia="Times New Roman" w:hAnsi="Arial" w:cs="Arial"/>
          <w:sz w:val="24"/>
          <w:szCs w:val="24"/>
          <w:lang w:val="en-GB" w:eastAsia="en-GB"/>
        </w:rPr>
        <w:t>.</w:t>
      </w:r>
    </w:p>
    <w:p w14:paraId="00EB5EBA" w14:textId="7AA086C0"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7B5E6E2E" w14:textId="7089F53B"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7791C17B" w14:textId="01EB9C3F"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46D5DD06" w14:textId="1EEEBB29"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478EC4F9" w14:textId="3E627CD8"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635C43A2" w14:textId="24891495"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0ECAA8AC" w14:textId="1BB39410" w:rsidR="00877D14" w:rsidRDefault="00877D14" w:rsidP="000B4733">
      <w:pPr>
        <w:spacing w:before="100" w:beforeAutospacing="1" w:after="100" w:afterAutospacing="1" w:line="360" w:lineRule="auto"/>
        <w:jc w:val="both"/>
        <w:rPr>
          <w:rFonts w:ascii="Arial" w:eastAsia="Times New Roman" w:hAnsi="Arial" w:cs="Arial"/>
          <w:sz w:val="24"/>
          <w:szCs w:val="24"/>
          <w:lang w:val="en-GB" w:eastAsia="en-GB"/>
        </w:rPr>
      </w:pPr>
    </w:p>
    <w:p w14:paraId="302D87D2" w14:textId="65D87965" w:rsidR="000B4733" w:rsidRDefault="000B4733" w:rsidP="00BE3014">
      <w:pPr>
        <w:spacing w:before="100" w:beforeAutospacing="1" w:after="100" w:afterAutospacing="1" w:line="360" w:lineRule="auto"/>
        <w:jc w:val="both"/>
        <w:rPr>
          <w:rFonts w:ascii="Arial" w:eastAsia="Times New Roman" w:hAnsi="Arial" w:cs="Arial"/>
          <w:sz w:val="24"/>
          <w:szCs w:val="24"/>
          <w:lang w:val="en-GB" w:eastAsia="en-GB"/>
        </w:rPr>
      </w:pPr>
    </w:p>
    <w:p w14:paraId="76805BF5" w14:textId="1A16B8D2" w:rsidR="000B4733" w:rsidRDefault="000B4733" w:rsidP="00BE3014">
      <w:pPr>
        <w:spacing w:before="100" w:beforeAutospacing="1" w:after="100" w:afterAutospacing="1" w:line="360" w:lineRule="auto"/>
        <w:jc w:val="both"/>
        <w:rPr>
          <w:rFonts w:ascii="Arial" w:eastAsia="Times New Roman" w:hAnsi="Arial" w:cs="Arial"/>
          <w:sz w:val="24"/>
          <w:szCs w:val="24"/>
          <w:lang w:val="en-GB" w:eastAsia="en-GB"/>
        </w:rPr>
      </w:pPr>
    </w:p>
    <w:p w14:paraId="74BD20AF" w14:textId="45E5F804" w:rsidR="000D1D98" w:rsidRDefault="000D1D98" w:rsidP="00BE3014">
      <w:pPr>
        <w:spacing w:before="100" w:beforeAutospacing="1" w:after="100" w:afterAutospacing="1" w:line="360" w:lineRule="auto"/>
        <w:jc w:val="both"/>
        <w:rPr>
          <w:rFonts w:ascii="Arial" w:eastAsia="Times New Roman" w:hAnsi="Arial" w:cs="Arial"/>
          <w:sz w:val="24"/>
          <w:szCs w:val="24"/>
          <w:lang w:val="en-GB" w:eastAsia="en-GB"/>
        </w:rPr>
      </w:pPr>
    </w:p>
    <w:p w14:paraId="226888E6" w14:textId="360A2205" w:rsidR="003B2EA6" w:rsidRDefault="003B2EA6" w:rsidP="00BE3014">
      <w:pPr>
        <w:spacing w:before="100" w:beforeAutospacing="1" w:after="100" w:afterAutospacing="1" w:line="360" w:lineRule="auto"/>
        <w:jc w:val="both"/>
        <w:rPr>
          <w:rFonts w:ascii="Arial" w:eastAsia="Times New Roman" w:hAnsi="Arial" w:cs="Arial"/>
          <w:sz w:val="24"/>
          <w:szCs w:val="24"/>
          <w:lang w:val="en-GB" w:eastAsia="en-GB"/>
        </w:rPr>
      </w:pPr>
    </w:p>
    <w:p w14:paraId="3DC7ED10" w14:textId="2B623899" w:rsidR="003B2EA6" w:rsidRDefault="003B2EA6" w:rsidP="00BE3014">
      <w:pPr>
        <w:spacing w:before="100" w:beforeAutospacing="1" w:after="100" w:afterAutospacing="1" w:line="360" w:lineRule="auto"/>
        <w:jc w:val="both"/>
        <w:rPr>
          <w:rFonts w:ascii="Arial" w:eastAsia="Times New Roman" w:hAnsi="Arial" w:cs="Arial"/>
          <w:sz w:val="24"/>
          <w:szCs w:val="24"/>
          <w:lang w:val="en-GB" w:eastAsia="en-GB"/>
        </w:rPr>
      </w:pPr>
    </w:p>
    <w:p w14:paraId="722214A1" w14:textId="4631640D" w:rsidR="003B2EA6" w:rsidRDefault="003B2EA6" w:rsidP="00BE3014">
      <w:pPr>
        <w:spacing w:before="100" w:beforeAutospacing="1" w:after="100" w:afterAutospacing="1" w:line="360" w:lineRule="auto"/>
        <w:jc w:val="both"/>
        <w:rPr>
          <w:rFonts w:ascii="Arial" w:eastAsia="Times New Roman" w:hAnsi="Arial" w:cs="Arial"/>
          <w:sz w:val="24"/>
          <w:szCs w:val="24"/>
          <w:lang w:val="en-GB" w:eastAsia="en-GB"/>
        </w:rPr>
      </w:pPr>
    </w:p>
    <w:p w14:paraId="6FD813F9" w14:textId="77777777" w:rsidR="003B2EA6" w:rsidRDefault="003B2EA6" w:rsidP="00BE3014">
      <w:pPr>
        <w:spacing w:before="100" w:beforeAutospacing="1" w:after="100" w:afterAutospacing="1" w:line="360" w:lineRule="auto"/>
        <w:jc w:val="both"/>
        <w:rPr>
          <w:rFonts w:ascii="Arial" w:eastAsia="Times New Roman" w:hAnsi="Arial" w:cs="Arial"/>
          <w:sz w:val="24"/>
          <w:szCs w:val="24"/>
          <w:lang w:val="en-GB" w:eastAsia="en-GB"/>
        </w:rPr>
      </w:pPr>
    </w:p>
    <w:p w14:paraId="161E0C81" w14:textId="77777777" w:rsidR="00877D14" w:rsidRPr="0081009F" w:rsidRDefault="00877D14" w:rsidP="0081009F">
      <w:pPr>
        <w:pStyle w:val="Heading1"/>
        <w:jc w:val="center"/>
        <w:rPr>
          <w:rFonts w:eastAsia="Times New Roman"/>
          <w:lang w:val="en-GB" w:eastAsia="en-GB"/>
        </w:rPr>
      </w:pPr>
      <w:bookmarkStart w:id="111" w:name="_Toc241167501"/>
      <w:r w:rsidRPr="0081009F">
        <w:rPr>
          <w:rFonts w:eastAsia="Times New Roman"/>
          <w:lang w:val="en-GB" w:eastAsia="en-GB"/>
        </w:rPr>
        <w:lastRenderedPageBreak/>
        <w:t>Chapter 11: Feasibility Analysis</w:t>
      </w:r>
      <w:bookmarkEnd w:id="111"/>
    </w:p>
    <w:p w14:paraId="19D277F9" w14:textId="77777777" w:rsidR="00877D14" w:rsidRPr="0081009F" w:rsidRDefault="00877D14" w:rsidP="0081009F">
      <w:pPr>
        <w:pStyle w:val="Heading2"/>
        <w:rPr>
          <w:rFonts w:eastAsia="Times New Roman"/>
          <w:lang w:val="en-GB" w:eastAsia="en-GB"/>
        </w:rPr>
      </w:pPr>
      <w:bookmarkStart w:id="112" w:name="_Toc241167502"/>
      <w:r w:rsidRPr="0081009F">
        <w:rPr>
          <w:rFonts w:eastAsia="Times New Roman"/>
          <w:lang w:val="en-GB" w:eastAsia="en-GB"/>
        </w:rPr>
        <w:t>11.1 Feasibility Basis and Decision Criteria</w:t>
      </w:r>
      <w:bookmarkEnd w:id="112"/>
    </w:p>
    <w:p w14:paraId="3A514D65" w14:textId="43C87491" w:rsidR="00877D14" w:rsidRPr="0081009F" w:rsidRDefault="009D7571" w:rsidP="0081009F">
      <w:pPr>
        <w:spacing w:before="240" w:line="360" w:lineRule="auto"/>
        <w:jc w:val="both"/>
        <w:rPr>
          <w:rFonts w:ascii="Arial" w:hAnsi="Arial" w:cs="Arial"/>
          <w:sz w:val="24"/>
          <w:szCs w:val="24"/>
          <w:lang w:val="en-GB" w:eastAsia="en-GB"/>
        </w:rPr>
      </w:pPr>
      <w:r w:rsidRPr="009D7571">
        <w:rPr>
          <w:rFonts w:ascii="Arial" w:hAnsi="Arial" w:cs="Arial"/>
          <w:sz w:val="24"/>
          <w:szCs w:val="24"/>
          <w:lang w:val="en-GB" w:eastAsia="en-GB"/>
        </w:rPr>
        <w:t>This chapter brings together market, competitive, strategic, business-model, financial and operational evidence from the previous chapters to determine the feasibility of The Ethical Bean Coffee House (TEBC). The assessment takes into account the ethical, market, operational, financial and strategic feasibility. Hence, feasibility is not a judgement of success but is taken as a given.</w:t>
      </w:r>
      <w:r w:rsidR="0077435E">
        <w:rPr>
          <w:rFonts w:ascii="Arial" w:hAnsi="Arial" w:cs="Arial"/>
          <w:sz w:val="24"/>
          <w:szCs w:val="24"/>
          <w:lang w:val="en-GB" w:eastAsia="en-GB"/>
        </w:rPr>
        <w:t xml:space="preserve"> </w:t>
      </w:r>
    </w:p>
    <w:p w14:paraId="5C12EF89" w14:textId="77777777" w:rsidR="00877D14" w:rsidRPr="0081009F" w:rsidRDefault="00877D14" w:rsidP="0081009F">
      <w:pPr>
        <w:pStyle w:val="Heading2"/>
        <w:rPr>
          <w:rFonts w:eastAsia="Times New Roman"/>
          <w:lang w:val="en-GB" w:eastAsia="en-GB"/>
        </w:rPr>
      </w:pPr>
      <w:bookmarkStart w:id="113" w:name="_Toc241167503"/>
      <w:r w:rsidRPr="0081009F">
        <w:rPr>
          <w:rFonts w:eastAsia="Times New Roman"/>
          <w:lang w:val="en-GB" w:eastAsia="en-GB"/>
        </w:rPr>
        <w:t>11.2 Ethical and Market Feasibility</w:t>
      </w:r>
      <w:bookmarkEnd w:id="113"/>
    </w:p>
    <w:p w14:paraId="3AED0C2C" w14:textId="77777777" w:rsidR="00F11686" w:rsidRPr="00F11686" w:rsidRDefault="00F11686" w:rsidP="00F11686">
      <w:pPr>
        <w:spacing w:before="240" w:line="360" w:lineRule="auto"/>
        <w:jc w:val="both"/>
        <w:rPr>
          <w:rFonts w:ascii="Arial" w:hAnsi="Arial" w:cs="Arial"/>
          <w:sz w:val="24"/>
          <w:szCs w:val="24"/>
          <w:lang w:val="en-GB" w:eastAsia="en-GB"/>
        </w:rPr>
      </w:pPr>
      <w:r w:rsidRPr="00F11686">
        <w:rPr>
          <w:rFonts w:ascii="Arial" w:hAnsi="Arial" w:cs="Arial"/>
          <w:sz w:val="24"/>
          <w:szCs w:val="24"/>
          <w:lang w:val="en-GB" w:eastAsia="en-GB"/>
        </w:rPr>
        <w:t>Ethical feasibility is an important factor due to the fact that responsible sourcing is one of TEBC's proposed differentiations. The business needs to give legitimate coffee origin information, not just general ethical statements, such as about how the business treats its suppliers and its sustainability policies. This is especially relevant as terms like “responsibly sourced” can have different definitions and methodologies, and can lead to potential misinterpretation and unsupported sustainability communication (World Coffee Portal, 2026). TEBC should therefore have suitable evidence of suppliers, sourcing and accurate evidence of customer communication.</w:t>
      </w:r>
    </w:p>
    <w:p w14:paraId="0273A568" w14:textId="3C351862" w:rsidR="00877D14" w:rsidRPr="0081009F" w:rsidRDefault="00F11686" w:rsidP="00F11686">
      <w:pPr>
        <w:spacing w:before="240" w:line="360" w:lineRule="auto"/>
        <w:jc w:val="both"/>
        <w:rPr>
          <w:rFonts w:ascii="Arial" w:hAnsi="Arial" w:cs="Arial"/>
          <w:sz w:val="24"/>
          <w:szCs w:val="24"/>
          <w:lang w:val="en-GB" w:eastAsia="en-GB"/>
        </w:rPr>
      </w:pPr>
      <w:r w:rsidRPr="00F11686">
        <w:rPr>
          <w:rFonts w:ascii="Arial" w:hAnsi="Arial" w:cs="Arial"/>
          <w:sz w:val="24"/>
          <w:szCs w:val="24"/>
          <w:lang w:val="en-GB" w:eastAsia="en-GB"/>
        </w:rPr>
        <w:t xml:space="preserve">Market potential is good but subject to conditions. Aside from the ability to access workers and residents, there is significant activity from visitors to </w:t>
      </w:r>
      <w:proofErr w:type="spellStart"/>
      <w:r w:rsidRPr="00F11686">
        <w:rPr>
          <w:rFonts w:ascii="Arial" w:hAnsi="Arial" w:cs="Arial"/>
          <w:sz w:val="24"/>
          <w:szCs w:val="24"/>
          <w:lang w:val="en-GB" w:eastAsia="en-GB"/>
        </w:rPr>
        <w:t>Cowent</w:t>
      </w:r>
      <w:proofErr w:type="spellEnd"/>
      <w:r w:rsidRPr="00F11686">
        <w:rPr>
          <w:rFonts w:ascii="Arial" w:hAnsi="Arial" w:cs="Arial"/>
          <w:sz w:val="24"/>
          <w:szCs w:val="24"/>
          <w:lang w:val="en-GB" w:eastAsia="en-GB"/>
        </w:rPr>
        <w:t xml:space="preserve"> Garden, and the UK coffee-shop market remains fully entrenched in the specialty and experience-led consumption model (Westminster City Council, 2025; World Coffee Portal, 2026). The local competitive analysis also revealed existing specialty operators, and TEBC cannot assume that a general market demand will inevitably lead to sales. The Year 1 forecast calls for 41,850 transactions, an average of 135 transactions per trading day for 310 trading days. This is the smallest turnover that has to be gauged against the potential size of the local market, the level of competition and the willingness of their customers to pay. Respondents vary in their willingness to pay for sustainability attributes, thus evidence of willingness to pay for sustainability attributes is supportive, but not conclusive evidence (Fuller and </w:t>
      </w:r>
      <w:proofErr w:type="spellStart"/>
      <w:r w:rsidRPr="00F11686">
        <w:rPr>
          <w:rFonts w:ascii="Arial" w:hAnsi="Arial" w:cs="Arial"/>
          <w:sz w:val="24"/>
          <w:szCs w:val="24"/>
          <w:lang w:val="en-GB" w:eastAsia="en-GB"/>
        </w:rPr>
        <w:t>Grebitus</w:t>
      </w:r>
      <w:proofErr w:type="spellEnd"/>
      <w:r w:rsidRPr="00F11686">
        <w:rPr>
          <w:rFonts w:ascii="Arial" w:hAnsi="Arial" w:cs="Arial"/>
          <w:sz w:val="24"/>
          <w:szCs w:val="24"/>
          <w:lang w:val="en-GB" w:eastAsia="en-GB"/>
        </w:rPr>
        <w:t>, 2023). As a result, the £7 average transactions level is still a planning assumption which needs to be t</w:t>
      </w:r>
      <w:r>
        <w:rPr>
          <w:rFonts w:ascii="Arial" w:hAnsi="Arial" w:cs="Arial"/>
          <w:sz w:val="24"/>
          <w:szCs w:val="24"/>
          <w:lang w:val="en-GB" w:eastAsia="en-GB"/>
        </w:rPr>
        <w:t>ested early with trading levels</w:t>
      </w:r>
      <w:r w:rsidR="006748BB" w:rsidRPr="0081009F">
        <w:rPr>
          <w:rFonts w:ascii="Arial" w:hAnsi="Arial" w:cs="Arial"/>
          <w:sz w:val="24"/>
          <w:szCs w:val="24"/>
          <w:lang w:val="en-GB" w:eastAsia="en-GB"/>
        </w:rPr>
        <w:t>.</w:t>
      </w:r>
    </w:p>
    <w:p w14:paraId="299D3709" w14:textId="77777777" w:rsidR="00877D14" w:rsidRPr="0081009F" w:rsidRDefault="00877D14" w:rsidP="0081009F">
      <w:pPr>
        <w:pStyle w:val="Heading2"/>
        <w:rPr>
          <w:rFonts w:eastAsia="Times New Roman"/>
          <w:lang w:val="en-GB" w:eastAsia="en-GB"/>
        </w:rPr>
      </w:pPr>
      <w:bookmarkStart w:id="114" w:name="_Toc241167504"/>
      <w:r w:rsidRPr="0081009F">
        <w:rPr>
          <w:rFonts w:eastAsia="Times New Roman"/>
          <w:lang w:val="en-GB" w:eastAsia="en-GB"/>
        </w:rPr>
        <w:lastRenderedPageBreak/>
        <w:t>11.3 Technical and Operational Feasibility</w:t>
      </w:r>
      <w:bookmarkEnd w:id="114"/>
    </w:p>
    <w:p w14:paraId="007EE508" w14:textId="77777777" w:rsidR="00F11686" w:rsidRPr="00F11686" w:rsidRDefault="00F11686" w:rsidP="00F11686">
      <w:pPr>
        <w:spacing w:before="240" w:line="360" w:lineRule="auto"/>
        <w:jc w:val="both"/>
        <w:rPr>
          <w:rFonts w:ascii="Arial" w:hAnsi="Arial" w:cs="Arial"/>
          <w:sz w:val="24"/>
          <w:szCs w:val="24"/>
          <w:lang w:val="en-GB" w:eastAsia="en-GB"/>
        </w:rPr>
      </w:pPr>
      <w:r w:rsidRPr="00F11686">
        <w:rPr>
          <w:rFonts w:ascii="Arial" w:hAnsi="Arial" w:cs="Arial"/>
          <w:sz w:val="24"/>
          <w:szCs w:val="24"/>
          <w:lang w:val="en-GB" w:eastAsia="en-GB"/>
        </w:rPr>
        <w:t xml:space="preserve">The proposed single site operating model is achievable if the staffing, premises, equipment and capacity of suppliers are matched to the forecast demand. The forecasted 135 transactions per day for 310 days in Year 1 equates to 41,850 annual transactions, which demands adequate barista capacity, preparation counter and space, as well as espressos and the appropriate POS system and customer-flow design. Staffing should be adequate to cope with peak periods without any drop in service and the Monmouth Street premises should include adequate preparation and storage facilities, facilities for handling customers and waste management facilities. The reliability of suppliers is also a consideration because good sourcing practices relate to stock availability, product consistency and the ethics of their sourcing. The major operational risks are related to peak time delays, supplier disruption, equipment failure, stock-outs and food and staffing shortages. Safeguards to manage these risks include approved alternative suppliers, safety-stock policies, preventive maintenance, and standard operating procedures and staff cross-training. </w:t>
      </w:r>
    </w:p>
    <w:p w14:paraId="1F251CA1" w14:textId="77777777" w:rsidR="00F11686" w:rsidRPr="00F11686" w:rsidRDefault="00F11686" w:rsidP="00F11686">
      <w:pPr>
        <w:pStyle w:val="Heading2"/>
        <w:rPr>
          <w:lang w:val="en-GB" w:eastAsia="en-GB"/>
        </w:rPr>
      </w:pPr>
      <w:bookmarkStart w:id="115" w:name="_Toc241167505"/>
      <w:r w:rsidRPr="00F11686">
        <w:rPr>
          <w:lang w:val="en-GB" w:eastAsia="en-GB"/>
        </w:rPr>
        <w:t>11.4 Financial Feasibility</w:t>
      </w:r>
      <w:bookmarkEnd w:id="115"/>
    </w:p>
    <w:p w14:paraId="6DC81338" w14:textId="77777777" w:rsidR="00F11686" w:rsidRPr="00F11686" w:rsidRDefault="00F11686" w:rsidP="00F11686">
      <w:pPr>
        <w:spacing w:before="240" w:line="360" w:lineRule="auto"/>
        <w:jc w:val="both"/>
        <w:rPr>
          <w:rFonts w:ascii="Arial" w:hAnsi="Arial" w:cs="Arial"/>
          <w:sz w:val="24"/>
          <w:szCs w:val="24"/>
          <w:lang w:val="en-GB" w:eastAsia="en-GB"/>
        </w:rPr>
      </w:pPr>
      <w:r w:rsidRPr="00F11686">
        <w:rPr>
          <w:rFonts w:ascii="Arial" w:hAnsi="Arial" w:cs="Arial"/>
          <w:sz w:val="24"/>
          <w:szCs w:val="24"/>
          <w:lang w:val="en-GB" w:eastAsia="en-GB"/>
        </w:rPr>
        <w:t>Financial viability is possible, but has a narrow margin of safety. The estimated Year 1 revenue comes from 41,850 yearly transactions valued at £7 per transaction, equating to an estimated £292,950 in revenue. If the variable cost is assumed to be 30%, the contribution margin is 70%. Therefore, break-even revenue is approximately £292,857 (around £205,000 / 0.70) which translates to about 41,837 transactions or about 135 transactions per trading day over 310 trading days. The Year 1 forecast is only slightly ahead of breakeven, so transaction volume and contribution margin protection is necessary. Sensitivity analysis also shows that the viability would be materially affected by lower demand and/or a rise in variable costs, or changes in pricing.</w:t>
      </w:r>
    </w:p>
    <w:p w14:paraId="00E64D62" w14:textId="4A1D8AC9" w:rsidR="00877D14" w:rsidRPr="0081009F" w:rsidRDefault="00F11686" w:rsidP="00F11686">
      <w:pPr>
        <w:spacing w:before="240" w:line="360" w:lineRule="auto"/>
        <w:jc w:val="both"/>
        <w:rPr>
          <w:rFonts w:ascii="Arial" w:hAnsi="Arial" w:cs="Arial"/>
          <w:sz w:val="24"/>
          <w:szCs w:val="24"/>
          <w:lang w:val="en-GB" w:eastAsia="en-GB"/>
        </w:rPr>
      </w:pPr>
      <w:r w:rsidRPr="00F11686">
        <w:rPr>
          <w:rFonts w:ascii="Arial" w:hAnsi="Arial" w:cs="Arial"/>
          <w:sz w:val="24"/>
          <w:szCs w:val="24"/>
          <w:lang w:val="en-GB" w:eastAsia="en-GB"/>
        </w:rPr>
        <w:t>The initial investment is projected to be around £200,000 for premises and fit-out, equipment, initial stock, professional and pre-opening expenses, recruitment and launch marketing and working capital. Hence, the protection of working capital and detailed monitoring of the results of sales, margins and costs are vital. A cash-flow problem also can occur during the early trading period, even though a business is showing accounting profit.</w:t>
      </w:r>
    </w:p>
    <w:p w14:paraId="1E335855" w14:textId="77777777" w:rsidR="00877D14" w:rsidRPr="0081009F" w:rsidRDefault="00877D14" w:rsidP="0081009F">
      <w:pPr>
        <w:pStyle w:val="Heading2"/>
        <w:rPr>
          <w:rFonts w:eastAsia="Times New Roman"/>
          <w:lang w:val="en-GB" w:eastAsia="en-GB"/>
        </w:rPr>
      </w:pPr>
      <w:bookmarkStart w:id="116" w:name="_Toc241167506"/>
      <w:r w:rsidRPr="0081009F">
        <w:rPr>
          <w:rFonts w:eastAsia="Times New Roman"/>
          <w:lang w:val="en-GB" w:eastAsia="en-GB"/>
        </w:rPr>
        <w:lastRenderedPageBreak/>
        <w:t>11.5 Strategic Fit, Risks and Mitigation</w:t>
      </w:r>
      <w:bookmarkEnd w:id="116"/>
    </w:p>
    <w:p w14:paraId="0FD87FFC" w14:textId="77777777" w:rsidR="00AD36AD" w:rsidRPr="00AD36AD" w:rsidRDefault="00AD36AD" w:rsidP="00AD36AD">
      <w:pPr>
        <w:spacing w:before="240" w:line="360" w:lineRule="auto"/>
        <w:jc w:val="both"/>
        <w:rPr>
          <w:rFonts w:ascii="Arial" w:hAnsi="Arial" w:cs="Arial"/>
          <w:sz w:val="24"/>
          <w:szCs w:val="24"/>
          <w:lang w:val="en-GB" w:eastAsia="en-GB"/>
        </w:rPr>
      </w:pPr>
      <w:r w:rsidRPr="00AD36AD">
        <w:rPr>
          <w:rFonts w:ascii="Arial" w:hAnsi="Arial" w:cs="Arial"/>
          <w:sz w:val="24"/>
          <w:szCs w:val="24"/>
          <w:lang w:val="en-GB" w:eastAsia="en-GB"/>
        </w:rPr>
        <w:t xml:space="preserve">The proposed solution has </w:t>
      </w:r>
      <w:proofErr w:type="spellStart"/>
      <w:proofErr w:type="gramStart"/>
      <w:r w:rsidRPr="00AD36AD">
        <w:rPr>
          <w:rFonts w:ascii="Arial" w:hAnsi="Arial" w:cs="Arial"/>
          <w:sz w:val="24"/>
          <w:szCs w:val="24"/>
          <w:lang w:val="en-GB" w:eastAsia="en-GB"/>
        </w:rPr>
        <w:t>a</w:t>
      </w:r>
      <w:proofErr w:type="spellEnd"/>
      <w:proofErr w:type="gramEnd"/>
      <w:r w:rsidRPr="00AD36AD">
        <w:rPr>
          <w:rFonts w:ascii="Arial" w:hAnsi="Arial" w:cs="Arial"/>
          <w:sz w:val="24"/>
          <w:szCs w:val="24"/>
          <w:lang w:val="en-GB" w:eastAsia="en-GB"/>
        </w:rPr>
        <w:t xml:space="preserve"> acceptable external and internal fit. TEBC is based on the competitive principle of ethical differentiation and staged implementation focuses initial exposure at a single Covent Garden site and specific customer sections. This fits in with the value proposition that has been suggested, and lets the venture test the market and build up organisational skills before expanding further (Barney, 1991).</w:t>
      </w:r>
    </w:p>
    <w:p w14:paraId="71760657" w14:textId="70AE343D" w:rsidR="005508A7" w:rsidRPr="0081009F" w:rsidRDefault="00AD36AD" w:rsidP="00AD36AD">
      <w:pPr>
        <w:spacing w:before="240" w:line="360" w:lineRule="auto"/>
        <w:jc w:val="both"/>
        <w:rPr>
          <w:rFonts w:ascii="Arial" w:hAnsi="Arial" w:cs="Arial"/>
          <w:sz w:val="24"/>
          <w:szCs w:val="24"/>
          <w:lang w:val="en-GB" w:eastAsia="en-GB"/>
        </w:rPr>
      </w:pPr>
      <w:r w:rsidRPr="00AD36AD">
        <w:rPr>
          <w:rFonts w:ascii="Arial" w:hAnsi="Arial" w:cs="Arial"/>
          <w:sz w:val="24"/>
          <w:szCs w:val="24"/>
          <w:lang w:val="en-GB" w:eastAsia="en-GB"/>
        </w:rPr>
        <w:t xml:space="preserve">The biggest threats are low demand to the break-even point, increases in costs, disruption in supply and a lack of staff, as well as other companies adopting features they can see. Specific controls should be used in this instance. Management to track transactions, average transaction value &amp; repeat purchases, set strict performance targets, approve suppliers, carry sufficient safety stock, cross train staff &amp; have documented procedures for sourcing, food safety &amp; data security. The proposed competitive advantage should also be treated as a developing capability rather than as an established advantage because TEBC doesn't have an operating history, an established brand or a developed </w:t>
      </w:r>
      <w:r>
        <w:rPr>
          <w:rFonts w:ascii="Arial" w:hAnsi="Arial" w:cs="Arial"/>
          <w:sz w:val="24"/>
          <w:szCs w:val="24"/>
          <w:lang w:val="en-GB" w:eastAsia="en-GB"/>
        </w:rPr>
        <w:t>supplier network (Barney, 1991)</w:t>
      </w:r>
      <w:r w:rsidR="00065291">
        <w:rPr>
          <w:rFonts w:ascii="Arial" w:hAnsi="Arial" w:cs="Arial"/>
          <w:sz w:val="24"/>
          <w:szCs w:val="24"/>
          <w:lang w:val="en-GB" w:eastAsia="en-GB"/>
        </w:rPr>
        <w:t>.</w:t>
      </w:r>
    </w:p>
    <w:p w14:paraId="7F529D15" w14:textId="7FF9D148" w:rsidR="005508A7" w:rsidRPr="0081009F" w:rsidRDefault="005508A7" w:rsidP="0081009F">
      <w:pPr>
        <w:pStyle w:val="Heading2"/>
        <w:rPr>
          <w:rFonts w:eastAsia="Times New Roman"/>
          <w:lang w:val="en-GB" w:eastAsia="en-GB"/>
        </w:rPr>
      </w:pPr>
      <w:bookmarkStart w:id="117" w:name="_Toc241167507"/>
      <w:r w:rsidRPr="0081009F">
        <w:rPr>
          <w:rFonts w:eastAsia="Times New Roman"/>
          <w:lang w:val="en-GB" w:eastAsia="en-GB"/>
        </w:rPr>
        <w:t>11.</w:t>
      </w:r>
      <w:r w:rsidR="0081009F">
        <w:rPr>
          <w:rFonts w:eastAsia="Times New Roman"/>
          <w:lang w:val="en-GB" w:eastAsia="en-GB"/>
        </w:rPr>
        <w:t>6 Integrated Viability Judgement</w:t>
      </w:r>
      <w:bookmarkEnd w:id="117"/>
    </w:p>
    <w:p w14:paraId="16A62DA3" w14:textId="1A752EBF" w:rsidR="001C6F8C" w:rsidRPr="001C6F8C" w:rsidRDefault="001C6F8C" w:rsidP="001C6F8C">
      <w:pPr>
        <w:spacing w:before="240" w:line="360" w:lineRule="auto"/>
        <w:jc w:val="both"/>
        <w:rPr>
          <w:rFonts w:ascii="Arial" w:hAnsi="Arial" w:cs="Arial"/>
          <w:sz w:val="24"/>
          <w:szCs w:val="24"/>
          <w:lang w:val="en-GB" w:eastAsia="en-GB"/>
        </w:rPr>
      </w:pPr>
      <w:r w:rsidRPr="001C6F8C">
        <w:rPr>
          <w:rFonts w:ascii="Arial" w:hAnsi="Arial" w:cs="Arial"/>
          <w:sz w:val="24"/>
          <w:szCs w:val="24"/>
          <w:lang w:val="en-GB" w:eastAsia="en-GB"/>
        </w:rPr>
        <w:t>Overall, the evidence supports a conditional assessment of TEBC's feasibility. Positive factors include the Covent Garden location, an established specialty-coffee market and a proposed proposition combining specialty quality, credible ethical sourcing, sustainability and personalised service (World Coffee Portal, 2026). However, the Year 1 forecast is only marginally above the calculated break-even requirement, while strong competition, low switching costs and the absence of an established customer ba</w:t>
      </w:r>
      <w:r>
        <w:rPr>
          <w:rFonts w:ascii="Arial" w:hAnsi="Arial" w:cs="Arial"/>
          <w:sz w:val="24"/>
          <w:szCs w:val="24"/>
          <w:lang w:val="en-GB" w:eastAsia="en-GB"/>
        </w:rPr>
        <w:t>se create material uncertainty.</w:t>
      </w:r>
    </w:p>
    <w:p w14:paraId="0B8A40FC" w14:textId="02674C6B" w:rsidR="00CE5501" w:rsidRDefault="001C6F8C" w:rsidP="0081009F">
      <w:pPr>
        <w:spacing w:before="240" w:line="360" w:lineRule="auto"/>
        <w:jc w:val="both"/>
        <w:rPr>
          <w:rFonts w:ascii="Arial" w:hAnsi="Arial" w:cs="Arial"/>
          <w:sz w:val="24"/>
          <w:szCs w:val="24"/>
          <w:lang w:val="en-GB" w:eastAsia="en-GB"/>
        </w:rPr>
      </w:pPr>
      <w:r w:rsidRPr="001C6F8C">
        <w:rPr>
          <w:rFonts w:ascii="Arial" w:hAnsi="Arial" w:cs="Arial"/>
          <w:sz w:val="24"/>
          <w:szCs w:val="24"/>
          <w:lang w:val="en-GB" w:eastAsia="en-GB"/>
        </w:rPr>
        <w:t>The appropriate conclusion is therefore to proceed conditionally with staged implementation. Before trading, TEBC should confirm commercially viable supplier arrangements, final premises and fit-out costs, start-up funding and working-capital requirements, staffing capacity and credible evidence that sufficient customers are willing t</w:t>
      </w:r>
      <w:r>
        <w:rPr>
          <w:rFonts w:ascii="Arial" w:hAnsi="Arial" w:cs="Arial"/>
          <w:sz w:val="24"/>
          <w:szCs w:val="24"/>
          <w:lang w:val="en-GB" w:eastAsia="en-GB"/>
        </w:rPr>
        <w:t>o purchase at the planned price</w:t>
      </w:r>
      <w:r w:rsidR="0081009F">
        <w:rPr>
          <w:rFonts w:ascii="Arial" w:hAnsi="Arial" w:cs="Arial"/>
          <w:sz w:val="24"/>
          <w:szCs w:val="24"/>
          <w:lang w:val="en-GB" w:eastAsia="en-GB"/>
        </w:rPr>
        <w:t>.</w:t>
      </w:r>
    </w:p>
    <w:p w14:paraId="6B3EC9C6" w14:textId="77777777" w:rsidR="00CE5501" w:rsidRPr="00231238" w:rsidRDefault="00CE5501" w:rsidP="00D049AE">
      <w:pPr>
        <w:pStyle w:val="Heading1"/>
        <w:jc w:val="center"/>
        <w:rPr>
          <w:rFonts w:eastAsia="Times New Roman"/>
          <w:lang w:val="en-GB" w:eastAsia="en-GB"/>
        </w:rPr>
      </w:pPr>
      <w:bookmarkStart w:id="118" w:name="_Toc241167508"/>
      <w:r w:rsidRPr="00231238">
        <w:rPr>
          <w:rFonts w:eastAsia="Times New Roman"/>
          <w:lang w:val="en-GB" w:eastAsia="en-GB"/>
        </w:rPr>
        <w:lastRenderedPageBreak/>
        <w:t>Chapter 12: Implementation Plan</w:t>
      </w:r>
      <w:bookmarkEnd w:id="118"/>
    </w:p>
    <w:p w14:paraId="62CF94A8" w14:textId="77777777" w:rsidR="00CE5501" w:rsidRPr="00231238" w:rsidRDefault="00CE5501" w:rsidP="00D049AE">
      <w:pPr>
        <w:pStyle w:val="Heading2"/>
        <w:rPr>
          <w:rFonts w:eastAsia="Times New Roman"/>
          <w:lang w:val="en-GB" w:eastAsia="en-GB"/>
        </w:rPr>
      </w:pPr>
      <w:bookmarkStart w:id="119" w:name="_Toc241167509"/>
      <w:r w:rsidRPr="00231238">
        <w:rPr>
          <w:rFonts w:eastAsia="Times New Roman"/>
          <w:lang w:val="en-GB" w:eastAsia="en-GB"/>
        </w:rPr>
        <w:t>12.1 Implementation Approach and Launch Phases</w:t>
      </w:r>
      <w:bookmarkEnd w:id="119"/>
    </w:p>
    <w:p w14:paraId="5086E83E" w14:textId="24716348" w:rsidR="00CE5501" w:rsidRPr="00231238" w:rsidRDefault="00EA0C6A" w:rsidP="00231238">
      <w:pPr>
        <w:spacing w:before="240" w:line="360" w:lineRule="auto"/>
        <w:jc w:val="both"/>
        <w:rPr>
          <w:rFonts w:ascii="Arial" w:hAnsi="Arial" w:cs="Arial"/>
          <w:sz w:val="24"/>
          <w:szCs w:val="24"/>
          <w:lang w:val="en-GB" w:eastAsia="en-GB"/>
        </w:rPr>
      </w:pPr>
      <w:r w:rsidRPr="00EA0C6A">
        <w:rPr>
          <w:rFonts w:ascii="Arial" w:hAnsi="Arial" w:cs="Arial"/>
          <w:sz w:val="24"/>
          <w:szCs w:val="24"/>
          <w:lang w:val="en-GB" w:eastAsia="en-GB"/>
        </w:rPr>
        <w:t xml:space="preserve">The implementation plan translates the strategic, business-model, financial, marketing, human-capital and operational decisions into a controlled launch process. As a new venture without an established customer base, supplier network or operating history, TEBC requires a </w:t>
      </w:r>
      <w:r w:rsidR="000D1D98">
        <w:rPr>
          <w:rFonts w:ascii="Arial" w:hAnsi="Arial" w:cs="Arial"/>
          <w:sz w:val="24"/>
          <w:szCs w:val="24"/>
          <w:lang w:val="en-GB" w:eastAsia="en-GB"/>
        </w:rPr>
        <w:t xml:space="preserve">phased implementation </w:t>
      </w:r>
      <w:r w:rsidR="001C6534">
        <w:rPr>
          <w:rFonts w:ascii="Arial" w:hAnsi="Arial" w:cs="Arial"/>
          <w:sz w:val="24"/>
          <w:szCs w:val="24"/>
          <w:lang w:val="en-GB" w:eastAsia="en-GB"/>
        </w:rPr>
        <w:t>approach.</w:t>
      </w:r>
      <w:r w:rsidR="001C6534" w:rsidRPr="00EA0C6A">
        <w:rPr>
          <w:rFonts w:ascii="Arial" w:hAnsi="Arial" w:cs="Arial"/>
          <w:sz w:val="24"/>
          <w:szCs w:val="24"/>
          <w:lang w:val="en-GB" w:eastAsia="en-GB"/>
        </w:rPr>
        <w:t xml:space="preserve"> (</w:t>
      </w:r>
      <w:proofErr w:type="spellStart"/>
      <w:r w:rsidRPr="00EA0C6A">
        <w:rPr>
          <w:rFonts w:ascii="Arial" w:hAnsi="Arial" w:cs="Arial"/>
          <w:sz w:val="24"/>
          <w:szCs w:val="24"/>
          <w:lang w:val="en-GB" w:eastAsia="en-GB"/>
        </w:rPr>
        <w:t>Osterwalder</w:t>
      </w:r>
      <w:proofErr w:type="spellEnd"/>
      <w:r w:rsidRPr="00EA0C6A">
        <w:rPr>
          <w:rFonts w:ascii="Arial" w:hAnsi="Arial" w:cs="Arial"/>
          <w:sz w:val="24"/>
          <w:szCs w:val="24"/>
          <w:lang w:val="en-GB" w:eastAsia="en-GB"/>
        </w:rPr>
        <w:t xml:space="preserve"> and </w:t>
      </w:r>
      <w:proofErr w:type="spellStart"/>
      <w:r w:rsidRPr="00EA0C6A">
        <w:rPr>
          <w:rFonts w:ascii="Arial" w:hAnsi="Arial" w:cs="Arial"/>
          <w:sz w:val="24"/>
          <w:szCs w:val="24"/>
          <w:lang w:val="en-GB" w:eastAsia="en-GB"/>
        </w:rPr>
        <w:t>Pigneur</w:t>
      </w:r>
      <w:proofErr w:type="spellEnd"/>
      <w:r w:rsidRPr="00EA0C6A">
        <w:rPr>
          <w:rFonts w:ascii="Arial" w:hAnsi="Arial" w:cs="Arial"/>
          <w:sz w:val="24"/>
          <w:szCs w:val="24"/>
          <w:lang w:val="en-GB" w:eastAsia="en-GB"/>
        </w:rPr>
        <w:t>, 2010).</w:t>
      </w:r>
    </w:p>
    <w:p w14:paraId="62886BFC" w14:textId="77777777" w:rsidR="00CE5501" w:rsidRPr="00231238" w:rsidRDefault="00CE5501" w:rsidP="00D049AE">
      <w:pPr>
        <w:pStyle w:val="Heading2"/>
        <w:rPr>
          <w:rFonts w:eastAsia="Times New Roman"/>
          <w:lang w:val="en-GB" w:eastAsia="en-GB"/>
        </w:rPr>
      </w:pPr>
      <w:bookmarkStart w:id="120" w:name="_Toc241167510"/>
      <w:r w:rsidRPr="00231238">
        <w:rPr>
          <w:rFonts w:eastAsia="Times New Roman"/>
          <w:lang w:val="en-GB" w:eastAsia="en-GB"/>
        </w:rPr>
        <w:t>12.2 Milestones and Timeline</w:t>
      </w:r>
      <w:bookmarkEnd w:id="120"/>
    </w:p>
    <w:p w14:paraId="26A39E1B" w14:textId="77777777" w:rsidR="00CE5501" w:rsidRPr="00231238" w:rsidRDefault="00CE5501" w:rsidP="00231238">
      <w:pPr>
        <w:spacing w:before="240" w:line="360" w:lineRule="auto"/>
        <w:jc w:val="both"/>
        <w:rPr>
          <w:rFonts w:ascii="Arial" w:hAnsi="Arial" w:cs="Arial"/>
          <w:sz w:val="24"/>
          <w:szCs w:val="24"/>
          <w:lang w:val="en-GB" w:eastAsia="en-GB"/>
        </w:rPr>
      </w:pPr>
      <w:r w:rsidRPr="00231238">
        <w:rPr>
          <w:rFonts w:ascii="Arial" w:hAnsi="Arial" w:cs="Arial"/>
          <w:sz w:val="24"/>
          <w:szCs w:val="24"/>
          <w:lang w:val="en-GB" w:eastAsia="en-GB"/>
        </w:rPr>
        <w:t>The proposed implementation will occur over four months, followed by structured post-launch monitoring.</w:t>
      </w:r>
    </w:p>
    <w:p w14:paraId="5D48C7CF" w14:textId="16803332" w:rsidR="00D049AE" w:rsidRPr="00D049AE" w:rsidRDefault="00D049AE" w:rsidP="00D049AE">
      <w:pPr>
        <w:pStyle w:val="Caption"/>
        <w:keepNext/>
        <w:rPr>
          <w:rFonts w:ascii="Arial" w:hAnsi="Arial" w:cs="Arial"/>
          <w:sz w:val="24"/>
        </w:rPr>
      </w:pPr>
      <w:bookmarkStart w:id="121" w:name="_Toc241170850"/>
      <w:r w:rsidRPr="00D049AE">
        <w:rPr>
          <w:rFonts w:ascii="Arial" w:hAnsi="Arial" w:cs="Arial"/>
          <w:sz w:val="24"/>
        </w:rPr>
        <w:t xml:space="preserve">Table </w:t>
      </w:r>
      <w:r w:rsidRPr="00D049AE">
        <w:rPr>
          <w:rFonts w:ascii="Arial" w:hAnsi="Arial" w:cs="Arial"/>
          <w:sz w:val="24"/>
        </w:rPr>
        <w:fldChar w:fldCharType="begin"/>
      </w:r>
      <w:r w:rsidRPr="00D049AE">
        <w:rPr>
          <w:rFonts w:ascii="Arial" w:hAnsi="Arial" w:cs="Arial"/>
          <w:sz w:val="24"/>
        </w:rPr>
        <w:instrText xml:space="preserve"> SEQ Table \* ARABIC </w:instrText>
      </w:r>
      <w:r w:rsidRPr="00D049AE">
        <w:rPr>
          <w:rFonts w:ascii="Arial" w:hAnsi="Arial" w:cs="Arial"/>
          <w:sz w:val="24"/>
        </w:rPr>
        <w:fldChar w:fldCharType="separate"/>
      </w:r>
      <w:r w:rsidR="001815EA">
        <w:rPr>
          <w:rFonts w:ascii="Arial" w:hAnsi="Arial" w:cs="Arial"/>
          <w:noProof/>
          <w:sz w:val="24"/>
        </w:rPr>
        <w:t>14</w:t>
      </w:r>
      <w:r w:rsidRPr="00D049AE">
        <w:rPr>
          <w:rFonts w:ascii="Arial" w:hAnsi="Arial" w:cs="Arial"/>
          <w:sz w:val="24"/>
        </w:rPr>
        <w:fldChar w:fldCharType="end"/>
      </w:r>
      <w:r w:rsidRPr="00D049AE">
        <w:rPr>
          <w:rFonts w:ascii="Arial" w:hAnsi="Arial" w:cs="Arial"/>
          <w:sz w:val="24"/>
        </w:rPr>
        <w:t>.Milestones and Timeline</w:t>
      </w:r>
      <w:bookmarkEnd w:id="121"/>
    </w:p>
    <w:tbl>
      <w:tblPr>
        <w:tblStyle w:val="TableGrid"/>
        <w:tblW w:w="0" w:type="auto"/>
        <w:tblLook w:val="04A0" w:firstRow="1" w:lastRow="0" w:firstColumn="1" w:lastColumn="0" w:noHBand="0" w:noVBand="1"/>
      </w:tblPr>
      <w:tblGrid>
        <w:gridCol w:w="2225"/>
        <w:gridCol w:w="2159"/>
        <w:gridCol w:w="2430"/>
        <w:gridCol w:w="2202"/>
      </w:tblGrid>
      <w:tr w:rsidR="00B13A0C" w:rsidRPr="00B13A0C" w14:paraId="23E2611C" w14:textId="77777777" w:rsidTr="00BA7F88">
        <w:tc>
          <w:tcPr>
            <w:tcW w:w="2225" w:type="dxa"/>
          </w:tcPr>
          <w:p w14:paraId="31874E06"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Activity</w:t>
            </w:r>
          </w:p>
        </w:tc>
        <w:tc>
          <w:tcPr>
            <w:tcW w:w="2159" w:type="dxa"/>
          </w:tcPr>
          <w:p w14:paraId="2EC9040A"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Timing</w:t>
            </w:r>
          </w:p>
        </w:tc>
        <w:tc>
          <w:tcPr>
            <w:tcW w:w="2430" w:type="dxa"/>
          </w:tcPr>
          <w:p w14:paraId="70ACAE86"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Principal Deliverable</w:t>
            </w:r>
          </w:p>
        </w:tc>
        <w:tc>
          <w:tcPr>
            <w:tcW w:w="2202" w:type="dxa"/>
          </w:tcPr>
          <w:p w14:paraId="2BB0420B" w14:textId="77777777" w:rsidR="00B13A0C" w:rsidRPr="00B13A0C" w:rsidRDefault="00B13A0C" w:rsidP="00B13A0C">
            <w:pPr>
              <w:spacing w:before="240" w:line="240" w:lineRule="auto"/>
              <w:jc w:val="both"/>
              <w:rPr>
                <w:rFonts w:ascii="Arial" w:hAnsi="Arial" w:cs="Arial"/>
                <w:b/>
                <w:szCs w:val="24"/>
                <w:lang w:val="en-GB" w:eastAsia="en-GB"/>
              </w:rPr>
            </w:pPr>
            <w:r w:rsidRPr="00B13A0C">
              <w:rPr>
                <w:rFonts w:ascii="Arial" w:hAnsi="Arial" w:cs="Arial"/>
                <w:b/>
                <w:szCs w:val="24"/>
                <w:lang w:val="en-GB" w:eastAsia="en-GB"/>
              </w:rPr>
              <w:t>Responsible Role</w:t>
            </w:r>
          </w:p>
        </w:tc>
      </w:tr>
      <w:tr w:rsidR="00B13A0C" w:rsidRPr="00B13A0C" w14:paraId="3921A8FF" w14:textId="77777777" w:rsidTr="00BA7F88">
        <w:tc>
          <w:tcPr>
            <w:tcW w:w="2225" w:type="dxa"/>
          </w:tcPr>
          <w:p w14:paraId="3EB44318"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Funding and legal/compliance arrangements</w:t>
            </w:r>
          </w:p>
        </w:tc>
        <w:tc>
          <w:tcPr>
            <w:tcW w:w="2159" w:type="dxa"/>
          </w:tcPr>
          <w:p w14:paraId="247EB3FB"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M1</w:t>
            </w:r>
          </w:p>
        </w:tc>
        <w:tc>
          <w:tcPr>
            <w:tcW w:w="2430" w:type="dxa"/>
          </w:tcPr>
          <w:p w14:paraId="2BCB69DE"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Funding secured and required registrations/approvals initiated</w:t>
            </w:r>
          </w:p>
        </w:tc>
        <w:tc>
          <w:tcPr>
            <w:tcW w:w="2202" w:type="dxa"/>
          </w:tcPr>
          <w:p w14:paraId="35A940A4"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Founder + Professional Adviser</w:t>
            </w:r>
          </w:p>
        </w:tc>
      </w:tr>
      <w:tr w:rsidR="00B13A0C" w:rsidRPr="00B13A0C" w14:paraId="570CA995" w14:textId="77777777" w:rsidTr="00BA7F88">
        <w:tc>
          <w:tcPr>
            <w:tcW w:w="2225" w:type="dxa"/>
          </w:tcPr>
          <w:p w14:paraId="5B5D1B2C"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Premises and equipment setup</w:t>
            </w:r>
          </w:p>
        </w:tc>
        <w:tc>
          <w:tcPr>
            <w:tcW w:w="2159" w:type="dxa"/>
          </w:tcPr>
          <w:p w14:paraId="1DE84D57"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M1–M2</w:t>
            </w:r>
          </w:p>
        </w:tc>
        <w:tc>
          <w:tcPr>
            <w:tcW w:w="2430" w:type="dxa"/>
          </w:tcPr>
          <w:p w14:paraId="73EBBAB9"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Premises fitted and core equipment installed</w:t>
            </w:r>
          </w:p>
        </w:tc>
        <w:tc>
          <w:tcPr>
            <w:tcW w:w="2202" w:type="dxa"/>
          </w:tcPr>
          <w:p w14:paraId="35674D49"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Founder + Operations Lead</w:t>
            </w:r>
          </w:p>
        </w:tc>
      </w:tr>
      <w:tr w:rsidR="00B13A0C" w:rsidRPr="00B13A0C" w14:paraId="2EC2795D" w14:textId="77777777" w:rsidTr="00BA7F88">
        <w:tc>
          <w:tcPr>
            <w:tcW w:w="2225" w:type="dxa"/>
          </w:tcPr>
          <w:p w14:paraId="1BD29E96"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Supplier selection and testing</w:t>
            </w:r>
          </w:p>
        </w:tc>
        <w:tc>
          <w:tcPr>
            <w:tcW w:w="2159" w:type="dxa"/>
          </w:tcPr>
          <w:p w14:paraId="7A1A91B8"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M2–M3</w:t>
            </w:r>
          </w:p>
        </w:tc>
        <w:tc>
          <w:tcPr>
            <w:tcW w:w="2430" w:type="dxa"/>
          </w:tcPr>
          <w:p w14:paraId="685526A5"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Approved primary and backup suppliers confirmed</w:t>
            </w:r>
          </w:p>
        </w:tc>
        <w:tc>
          <w:tcPr>
            <w:tcW w:w="2202" w:type="dxa"/>
          </w:tcPr>
          <w:p w14:paraId="25B869E0"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Operations Lead</w:t>
            </w:r>
          </w:p>
        </w:tc>
      </w:tr>
      <w:tr w:rsidR="00B13A0C" w:rsidRPr="00B13A0C" w14:paraId="43F30554" w14:textId="77777777" w:rsidTr="00BA7F88">
        <w:tc>
          <w:tcPr>
            <w:tcW w:w="2225" w:type="dxa"/>
          </w:tcPr>
          <w:p w14:paraId="75B6A718"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Recruitment and staff training</w:t>
            </w:r>
          </w:p>
        </w:tc>
        <w:tc>
          <w:tcPr>
            <w:tcW w:w="2159" w:type="dxa"/>
          </w:tcPr>
          <w:p w14:paraId="7B353A67"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M2–M3</w:t>
            </w:r>
          </w:p>
        </w:tc>
        <w:tc>
          <w:tcPr>
            <w:tcW w:w="2430" w:type="dxa"/>
          </w:tcPr>
          <w:p w14:paraId="440E76D5"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Critical staff recruited and trained</w:t>
            </w:r>
          </w:p>
        </w:tc>
        <w:tc>
          <w:tcPr>
            <w:tcW w:w="2202" w:type="dxa"/>
          </w:tcPr>
          <w:p w14:paraId="79F19521"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Founder + Operations Lead</w:t>
            </w:r>
          </w:p>
        </w:tc>
      </w:tr>
      <w:tr w:rsidR="00B13A0C" w:rsidRPr="00B13A0C" w14:paraId="7F260A69" w14:textId="77777777" w:rsidTr="00BA7F88">
        <w:tc>
          <w:tcPr>
            <w:tcW w:w="2225" w:type="dxa"/>
          </w:tcPr>
          <w:p w14:paraId="5D20488C"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Website, POS and digital setup</w:t>
            </w:r>
          </w:p>
        </w:tc>
        <w:tc>
          <w:tcPr>
            <w:tcW w:w="2159" w:type="dxa"/>
          </w:tcPr>
          <w:p w14:paraId="3A8C0551"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M2–M3</w:t>
            </w:r>
          </w:p>
        </w:tc>
        <w:tc>
          <w:tcPr>
            <w:tcW w:w="2430" w:type="dxa"/>
          </w:tcPr>
          <w:p w14:paraId="28B4C1D4"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Tested POS, payment, website and customer systems</w:t>
            </w:r>
          </w:p>
        </w:tc>
        <w:tc>
          <w:tcPr>
            <w:tcW w:w="2202" w:type="dxa"/>
          </w:tcPr>
          <w:p w14:paraId="397CADD8"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Founder + Technology Provider</w:t>
            </w:r>
          </w:p>
        </w:tc>
      </w:tr>
      <w:tr w:rsidR="00B13A0C" w:rsidRPr="00B13A0C" w14:paraId="4B20FE0B" w14:textId="77777777" w:rsidTr="00BA7F88">
        <w:tc>
          <w:tcPr>
            <w:tcW w:w="2225" w:type="dxa"/>
          </w:tcPr>
          <w:p w14:paraId="716A6144"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Pre-launch marketing</w:t>
            </w:r>
          </w:p>
        </w:tc>
        <w:tc>
          <w:tcPr>
            <w:tcW w:w="2159" w:type="dxa"/>
          </w:tcPr>
          <w:p w14:paraId="1922691D"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M2–M3</w:t>
            </w:r>
          </w:p>
        </w:tc>
        <w:tc>
          <w:tcPr>
            <w:tcW w:w="2430" w:type="dxa"/>
          </w:tcPr>
          <w:p w14:paraId="5827374E"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Website/content launched and opening campaign prepared</w:t>
            </w:r>
          </w:p>
        </w:tc>
        <w:tc>
          <w:tcPr>
            <w:tcW w:w="2202" w:type="dxa"/>
          </w:tcPr>
          <w:p w14:paraId="738186E5"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Marketing Lead</w:t>
            </w:r>
          </w:p>
        </w:tc>
      </w:tr>
      <w:tr w:rsidR="00B13A0C" w:rsidRPr="00B13A0C" w14:paraId="518F946E" w14:textId="77777777" w:rsidTr="00BA7F88">
        <w:tc>
          <w:tcPr>
            <w:tcW w:w="2225" w:type="dxa"/>
          </w:tcPr>
          <w:p w14:paraId="4BBED9C4"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Soft launch/pilot</w:t>
            </w:r>
          </w:p>
        </w:tc>
        <w:tc>
          <w:tcPr>
            <w:tcW w:w="2159" w:type="dxa"/>
          </w:tcPr>
          <w:p w14:paraId="73B51203"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M3</w:t>
            </w:r>
          </w:p>
        </w:tc>
        <w:tc>
          <w:tcPr>
            <w:tcW w:w="2430" w:type="dxa"/>
          </w:tcPr>
          <w:p w14:paraId="0480E6D1"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Pilot completed and operational issues recorded</w:t>
            </w:r>
          </w:p>
        </w:tc>
        <w:tc>
          <w:tcPr>
            <w:tcW w:w="2202" w:type="dxa"/>
          </w:tcPr>
          <w:p w14:paraId="60239ECA" w14:textId="77777777" w:rsidR="00B13A0C" w:rsidRPr="000D1D98" w:rsidRDefault="00B13A0C" w:rsidP="00B13A0C">
            <w:pPr>
              <w:spacing w:before="240" w:line="240" w:lineRule="auto"/>
              <w:jc w:val="both"/>
              <w:rPr>
                <w:rFonts w:ascii="Arial" w:hAnsi="Arial" w:cs="Arial"/>
                <w:sz w:val="20"/>
                <w:szCs w:val="20"/>
                <w:lang w:val="en-GB" w:eastAsia="en-GB"/>
              </w:rPr>
            </w:pPr>
            <w:r w:rsidRPr="000D1D98">
              <w:rPr>
                <w:rFonts w:ascii="Arial" w:hAnsi="Arial" w:cs="Arial"/>
                <w:sz w:val="20"/>
                <w:szCs w:val="20"/>
                <w:lang w:val="en-GB" w:eastAsia="en-GB"/>
              </w:rPr>
              <w:t>Management Team</w:t>
            </w:r>
          </w:p>
        </w:tc>
      </w:tr>
      <w:tr w:rsidR="00BA7F88" w:rsidRPr="00B13A0C" w14:paraId="309E6448" w14:textId="77777777" w:rsidTr="00BA7F88">
        <w:tc>
          <w:tcPr>
            <w:tcW w:w="2225" w:type="dxa"/>
          </w:tcPr>
          <w:p w14:paraId="7E031E21" w14:textId="1B7A3CDD"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t>Full launch</w:t>
            </w:r>
          </w:p>
        </w:tc>
        <w:tc>
          <w:tcPr>
            <w:tcW w:w="2159" w:type="dxa"/>
          </w:tcPr>
          <w:p w14:paraId="58A7E0F5" w14:textId="3B7DB789"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t>M4</w:t>
            </w:r>
          </w:p>
        </w:tc>
        <w:tc>
          <w:tcPr>
            <w:tcW w:w="2430" w:type="dxa"/>
          </w:tcPr>
          <w:p w14:paraId="3B6DF258" w14:textId="60F6E706"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t>Full trading begins against agreed readiness criteria</w:t>
            </w:r>
          </w:p>
        </w:tc>
        <w:tc>
          <w:tcPr>
            <w:tcW w:w="2202" w:type="dxa"/>
          </w:tcPr>
          <w:p w14:paraId="03F6DD8F" w14:textId="7B09AC5D"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t>Founder + Operations Lead</w:t>
            </w:r>
          </w:p>
        </w:tc>
      </w:tr>
      <w:tr w:rsidR="00BA7F88" w:rsidRPr="00B13A0C" w14:paraId="1CC7871E" w14:textId="77777777" w:rsidTr="00BA7F88">
        <w:tc>
          <w:tcPr>
            <w:tcW w:w="2225" w:type="dxa"/>
          </w:tcPr>
          <w:p w14:paraId="41652745" w14:textId="3D266E29"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lastRenderedPageBreak/>
              <w:t>Post-launch KPI review</w:t>
            </w:r>
          </w:p>
        </w:tc>
        <w:tc>
          <w:tcPr>
            <w:tcW w:w="2159" w:type="dxa"/>
          </w:tcPr>
          <w:p w14:paraId="60A055FC" w14:textId="065CF6D6"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t>M4–M5</w:t>
            </w:r>
          </w:p>
        </w:tc>
        <w:tc>
          <w:tcPr>
            <w:tcW w:w="2430" w:type="dxa"/>
          </w:tcPr>
          <w:p w14:paraId="020F8F2D" w14:textId="37761E59"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t>30-day performance review and corrective-action plan</w:t>
            </w:r>
          </w:p>
        </w:tc>
        <w:tc>
          <w:tcPr>
            <w:tcW w:w="2202" w:type="dxa"/>
          </w:tcPr>
          <w:p w14:paraId="29F450AB" w14:textId="4977156C" w:rsidR="00BA7F88" w:rsidRPr="000D1D98" w:rsidRDefault="00BA7F88" w:rsidP="00BA7F88">
            <w:pPr>
              <w:spacing w:before="240" w:line="240" w:lineRule="auto"/>
              <w:jc w:val="both"/>
              <w:rPr>
                <w:rFonts w:ascii="Arial" w:hAnsi="Arial" w:cs="Arial"/>
                <w:sz w:val="20"/>
                <w:szCs w:val="20"/>
                <w:lang w:val="en-GB" w:eastAsia="en-GB"/>
              </w:rPr>
            </w:pPr>
            <w:r w:rsidRPr="000D1D98">
              <w:rPr>
                <w:rFonts w:ascii="Arial" w:hAnsi="Arial" w:cs="Arial"/>
                <w:sz w:val="20"/>
                <w:szCs w:val="20"/>
              </w:rPr>
              <w:t>Founder + Management Team</w:t>
            </w:r>
          </w:p>
        </w:tc>
      </w:tr>
    </w:tbl>
    <w:p w14:paraId="54AF56BB" w14:textId="39FDD25F" w:rsidR="00CE5501" w:rsidRPr="00231238" w:rsidRDefault="0083785C" w:rsidP="00231238">
      <w:pPr>
        <w:spacing w:before="240" w:line="360" w:lineRule="auto"/>
        <w:jc w:val="both"/>
        <w:rPr>
          <w:rFonts w:ascii="Arial" w:hAnsi="Arial" w:cs="Arial"/>
          <w:sz w:val="24"/>
          <w:szCs w:val="24"/>
          <w:lang w:val="en-GB" w:eastAsia="en-GB"/>
        </w:rPr>
      </w:pPr>
      <w:r w:rsidRPr="0083785C">
        <w:rPr>
          <w:rFonts w:ascii="Arial" w:hAnsi="Arial" w:cs="Arial"/>
          <w:sz w:val="24"/>
          <w:szCs w:val="24"/>
          <w:lang w:val="en-GB" w:eastAsia="en-GB"/>
        </w:rPr>
        <w:t>Significant milestones include funding and compliance readiness, completion of the premises and equipment setup, confirmation of primary and backup suppliers, recruitment</w:t>
      </w:r>
      <w:r w:rsidR="00A91B34">
        <w:rPr>
          <w:rFonts w:ascii="Arial" w:hAnsi="Arial" w:cs="Arial"/>
          <w:sz w:val="24"/>
          <w:szCs w:val="24"/>
          <w:lang w:val="en-GB" w:eastAsia="en-GB"/>
        </w:rPr>
        <w:t xml:space="preserve"> and training of critical staff.</w:t>
      </w:r>
    </w:p>
    <w:p w14:paraId="659F20D8" w14:textId="77777777" w:rsidR="00CE5501" w:rsidRPr="00231238" w:rsidRDefault="00CE5501" w:rsidP="004E1559">
      <w:pPr>
        <w:pStyle w:val="Heading2"/>
        <w:rPr>
          <w:rFonts w:eastAsia="Times New Roman"/>
          <w:lang w:val="en-GB" w:eastAsia="en-GB"/>
        </w:rPr>
      </w:pPr>
      <w:bookmarkStart w:id="122" w:name="_Toc241167511"/>
      <w:r w:rsidRPr="00231238">
        <w:rPr>
          <w:rFonts w:eastAsia="Times New Roman"/>
          <w:lang w:val="en-GB" w:eastAsia="en-GB"/>
        </w:rPr>
        <w:t>12.3 Resource Allocation and Priorities</w:t>
      </w:r>
      <w:bookmarkEnd w:id="122"/>
    </w:p>
    <w:p w14:paraId="0776928D" w14:textId="10B4C8C8" w:rsidR="00786C09" w:rsidRPr="00231238" w:rsidRDefault="00886A83" w:rsidP="005A5378">
      <w:pPr>
        <w:spacing w:before="240" w:line="360" w:lineRule="auto"/>
        <w:jc w:val="both"/>
        <w:rPr>
          <w:rFonts w:ascii="Arial" w:hAnsi="Arial" w:cs="Arial"/>
          <w:sz w:val="24"/>
          <w:szCs w:val="24"/>
          <w:lang w:val="en-GB" w:eastAsia="en-GB"/>
        </w:rPr>
      </w:pPr>
      <w:r w:rsidRPr="00886A83">
        <w:rPr>
          <w:rFonts w:ascii="Arial" w:hAnsi="Arial" w:cs="Arial"/>
          <w:sz w:val="24"/>
          <w:szCs w:val="24"/>
          <w:lang w:val="en-GB" w:eastAsia="en-GB"/>
        </w:rPr>
        <w:t xml:space="preserve">Resource allocation will remain consistent with the £200,000 start-up requirement established in Chapter 9. </w:t>
      </w:r>
      <w:r w:rsidR="005A5378" w:rsidRPr="005A5378">
        <w:rPr>
          <w:rFonts w:ascii="Arial" w:hAnsi="Arial" w:cs="Arial"/>
          <w:sz w:val="24"/>
          <w:szCs w:val="24"/>
          <w:lang w:val="en-GB" w:eastAsia="en-GB"/>
        </w:rPr>
        <w:t>Financial resources will be prioritised first for premises and fit-out, equipment, essential pre-opening costs, initial stock, recruitment and training, launch marketing and working capital. The marketing budget for Year 1 is £12,000 and will be used to develop the website and content, promote the digital channels, build partnership relationships and undertake customer retention activities. Funding, premises, equipment, compliance &amp; supplier arrangements will be the priority in Months 1-2, staffing &amp; training, technology &amp; pre-launch marketing, will be a priority in Months 2-3, and all aspects of the soft launch, customer acquisition, operational control and post-launch optimisation will be a</w:t>
      </w:r>
      <w:r w:rsidR="003B2EA6">
        <w:rPr>
          <w:rFonts w:ascii="Arial" w:hAnsi="Arial" w:cs="Arial"/>
          <w:sz w:val="24"/>
          <w:szCs w:val="24"/>
          <w:lang w:val="en-GB" w:eastAsia="en-GB"/>
        </w:rPr>
        <w:t xml:space="preserve"> priority from Month 3 onwards. </w:t>
      </w:r>
    </w:p>
    <w:p w14:paraId="7AF658C7" w14:textId="77777777" w:rsidR="00CE5501" w:rsidRPr="00231238" w:rsidRDefault="00CE5501" w:rsidP="004E1559">
      <w:pPr>
        <w:pStyle w:val="Heading2"/>
        <w:rPr>
          <w:rFonts w:eastAsia="Times New Roman"/>
          <w:lang w:val="en-GB" w:eastAsia="en-GB"/>
        </w:rPr>
      </w:pPr>
      <w:bookmarkStart w:id="123" w:name="_Toc241167512"/>
      <w:r w:rsidRPr="00231238">
        <w:rPr>
          <w:rFonts w:eastAsia="Times New Roman"/>
          <w:lang w:val="en-GB" w:eastAsia="en-GB"/>
        </w:rPr>
        <w:t>12.4 KPIs, Monitoring and Control</w:t>
      </w:r>
      <w:bookmarkEnd w:id="123"/>
    </w:p>
    <w:p w14:paraId="57B8C579" w14:textId="160A2937" w:rsidR="00CE5501" w:rsidRPr="00231238" w:rsidRDefault="005A5378" w:rsidP="00231238">
      <w:pPr>
        <w:spacing w:before="240" w:line="360" w:lineRule="auto"/>
        <w:jc w:val="both"/>
        <w:rPr>
          <w:rFonts w:ascii="Arial" w:hAnsi="Arial" w:cs="Arial"/>
          <w:sz w:val="24"/>
          <w:szCs w:val="24"/>
          <w:lang w:val="en-GB" w:eastAsia="en-GB"/>
        </w:rPr>
      </w:pPr>
      <w:r w:rsidRPr="005A5378">
        <w:rPr>
          <w:rFonts w:ascii="Arial" w:hAnsi="Arial" w:cs="Arial"/>
          <w:sz w:val="24"/>
          <w:szCs w:val="24"/>
          <w:lang w:val="en-GB" w:eastAsia="en-GB"/>
        </w:rPr>
        <w:t>Financial, customer, operational and people-related indicators will be used to implement monitoring. This balanced approach minimizes the pressure to depend solely on sales performance and adds to the continuous performance evaluation (Kaplan and Norton, 1992)</w:t>
      </w:r>
      <w:r w:rsidR="001404A5">
        <w:rPr>
          <w:rFonts w:ascii="Arial" w:hAnsi="Arial" w:cs="Arial"/>
          <w:sz w:val="24"/>
          <w:szCs w:val="24"/>
          <w:lang w:val="en-GB" w:eastAsia="en-GB"/>
        </w:rPr>
        <w:t>.</w:t>
      </w:r>
    </w:p>
    <w:p w14:paraId="3D6AF8BA" w14:textId="3A0F445F" w:rsidR="004E1559" w:rsidRPr="004E1559" w:rsidRDefault="004E1559" w:rsidP="004E1559">
      <w:pPr>
        <w:pStyle w:val="Caption"/>
        <w:keepNext/>
        <w:rPr>
          <w:rFonts w:ascii="Arial" w:hAnsi="Arial" w:cs="Arial"/>
          <w:sz w:val="24"/>
        </w:rPr>
      </w:pPr>
      <w:bookmarkStart w:id="124" w:name="_Toc241170851"/>
      <w:r w:rsidRPr="004E1559">
        <w:rPr>
          <w:rFonts w:ascii="Arial" w:hAnsi="Arial" w:cs="Arial"/>
          <w:sz w:val="24"/>
        </w:rPr>
        <w:t xml:space="preserve">Table </w:t>
      </w:r>
      <w:r w:rsidRPr="004E1559">
        <w:rPr>
          <w:rFonts w:ascii="Arial" w:hAnsi="Arial" w:cs="Arial"/>
          <w:sz w:val="24"/>
        </w:rPr>
        <w:fldChar w:fldCharType="begin"/>
      </w:r>
      <w:r w:rsidRPr="004E1559">
        <w:rPr>
          <w:rFonts w:ascii="Arial" w:hAnsi="Arial" w:cs="Arial"/>
          <w:sz w:val="24"/>
        </w:rPr>
        <w:instrText xml:space="preserve"> SEQ Table \* ARABIC </w:instrText>
      </w:r>
      <w:r w:rsidRPr="004E1559">
        <w:rPr>
          <w:rFonts w:ascii="Arial" w:hAnsi="Arial" w:cs="Arial"/>
          <w:sz w:val="24"/>
        </w:rPr>
        <w:fldChar w:fldCharType="separate"/>
      </w:r>
      <w:r w:rsidR="001815EA">
        <w:rPr>
          <w:rFonts w:ascii="Arial" w:hAnsi="Arial" w:cs="Arial"/>
          <w:noProof/>
          <w:sz w:val="24"/>
        </w:rPr>
        <w:t>15</w:t>
      </w:r>
      <w:r w:rsidRPr="004E1559">
        <w:rPr>
          <w:rFonts w:ascii="Arial" w:hAnsi="Arial" w:cs="Arial"/>
          <w:sz w:val="24"/>
        </w:rPr>
        <w:fldChar w:fldCharType="end"/>
      </w:r>
      <w:r w:rsidRPr="004E1559">
        <w:rPr>
          <w:rFonts w:ascii="Arial" w:hAnsi="Arial" w:cs="Arial"/>
          <w:sz w:val="24"/>
        </w:rPr>
        <w:t>.KPIs, Monitoring and Control</w:t>
      </w:r>
      <w:bookmarkEnd w:id="124"/>
    </w:p>
    <w:tbl>
      <w:tblPr>
        <w:tblStyle w:val="TableGrid"/>
        <w:tblW w:w="0" w:type="auto"/>
        <w:tblLook w:val="04A0" w:firstRow="1" w:lastRow="0" w:firstColumn="1" w:lastColumn="0" w:noHBand="0" w:noVBand="1"/>
      </w:tblPr>
      <w:tblGrid>
        <w:gridCol w:w="1803"/>
        <w:gridCol w:w="1803"/>
        <w:gridCol w:w="1803"/>
        <w:gridCol w:w="1803"/>
        <w:gridCol w:w="1804"/>
      </w:tblGrid>
      <w:tr w:rsidR="00BB0967" w:rsidRPr="00BB0967" w14:paraId="2A859A20" w14:textId="77777777" w:rsidTr="00BB0967">
        <w:tc>
          <w:tcPr>
            <w:tcW w:w="1803" w:type="dxa"/>
          </w:tcPr>
          <w:p w14:paraId="3EB3430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KPI</w:t>
            </w:r>
          </w:p>
        </w:tc>
        <w:tc>
          <w:tcPr>
            <w:tcW w:w="1803" w:type="dxa"/>
          </w:tcPr>
          <w:p w14:paraId="7E1F067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Numerical Target</w:t>
            </w:r>
          </w:p>
        </w:tc>
        <w:tc>
          <w:tcPr>
            <w:tcW w:w="1803" w:type="dxa"/>
          </w:tcPr>
          <w:p w14:paraId="0747A913"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Frequency</w:t>
            </w:r>
          </w:p>
        </w:tc>
        <w:tc>
          <w:tcPr>
            <w:tcW w:w="1803" w:type="dxa"/>
          </w:tcPr>
          <w:p w14:paraId="632DE709"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Owner</w:t>
            </w:r>
          </w:p>
        </w:tc>
        <w:tc>
          <w:tcPr>
            <w:tcW w:w="1804" w:type="dxa"/>
          </w:tcPr>
          <w:p w14:paraId="730539C1"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Corrective Action</w:t>
            </w:r>
          </w:p>
        </w:tc>
      </w:tr>
      <w:tr w:rsidR="00BB0967" w:rsidRPr="00BB0967" w14:paraId="4FEB3720" w14:textId="77777777" w:rsidTr="00BB0967">
        <w:tc>
          <w:tcPr>
            <w:tcW w:w="1803" w:type="dxa"/>
          </w:tcPr>
          <w:p w14:paraId="62767E9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Transactions</w:t>
            </w:r>
          </w:p>
        </w:tc>
        <w:tc>
          <w:tcPr>
            <w:tcW w:w="1803" w:type="dxa"/>
          </w:tcPr>
          <w:p w14:paraId="76E32CD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≥135/day average during Year 1</w:t>
            </w:r>
          </w:p>
        </w:tc>
        <w:tc>
          <w:tcPr>
            <w:tcW w:w="1803" w:type="dxa"/>
          </w:tcPr>
          <w:p w14:paraId="043C009C"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0CF025A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Founder</w:t>
            </w:r>
          </w:p>
        </w:tc>
        <w:tc>
          <w:tcPr>
            <w:tcW w:w="1804" w:type="dxa"/>
          </w:tcPr>
          <w:p w14:paraId="73E2693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Review acquisition and capacity if below target</w:t>
            </w:r>
          </w:p>
        </w:tc>
      </w:tr>
      <w:tr w:rsidR="00BB0967" w:rsidRPr="00BB0967" w14:paraId="38D439D0" w14:textId="77777777" w:rsidTr="00BB0967">
        <w:tc>
          <w:tcPr>
            <w:tcW w:w="1803" w:type="dxa"/>
          </w:tcPr>
          <w:p w14:paraId="0DAE9FDE"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Average transaction value</w:t>
            </w:r>
          </w:p>
        </w:tc>
        <w:tc>
          <w:tcPr>
            <w:tcW w:w="1803" w:type="dxa"/>
          </w:tcPr>
          <w:p w14:paraId="7F37C7E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≥£7</w:t>
            </w:r>
          </w:p>
        </w:tc>
        <w:tc>
          <w:tcPr>
            <w:tcW w:w="1803" w:type="dxa"/>
          </w:tcPr>
          <w:p w14:paraId="19FE162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43A5D461"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Manager</w:t>
            </w:r>
          </w:p>
        </w:tc>
        <w:tc>
          <w:tcPr>
            <w:tcW w:w="1804" w:type="dxa"/>
          </w:tcPr>
          <w:p w14:paraId="4BD155C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Review pricing and product mix</w:t>
            </w:r>
          </w:p>
        </w:tc>
      </w:tr>
      <w:tr w:rsidR="00BB0967" w:rsidRPr="00BB0967" w14:paraId="33C7C4D0" w14:textId="77777777" w:rsidTr="00BB0967">
        <w:tc>
          <w:tcPr>
            <w:tcW w:w="1803" w:type="dxa"/>
          </w:tcPr>
          <w:p w14:paraId="40BAB2D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Gross margin</w:t>
            </w:r>
          </w:p>
        </w:tc>
        <w:tc>
          <w:tcPr>
            <w:tcW w:w="1803" w:type="dxa"/>
          </w:tcPr>
          <w:p w14:paraId="556B8027"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≥70% contribution margin</w:t>
            </w:r>
          </w:p>
        </w:tc>
        <w:tc>
          <w:tcPr>
            <w:tcW w:w="1803" w:type="dxa"/>
          </w:tcPr>
          <w:p w14:paraId="18202BCA"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Monthly</w:t>
            </w:r>
          </w:p>
        </w:tc>
        <w:tc>
          <w:tcPr>
            <w:tcW w:w="1803" w:type="dxa"/>
          </w:tcPr>
          <w:p w14:paraId="253CB322"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Founder</w:t>
            </w:r>
          </w:p>
        </w:tc>
        <w:tc>
          <w:tcPr>
            <w:tcW w:w="1804" w:type="dxa"/>
          </w:tcPr>
          <w:p w14:paraId="24B0F58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Review supplier costs and pricing</w:t>
            </w:r>
          </w:p>
        </w:tc>
      </w:tr>
      <w:tr w:rsidR="00BB0967" w:rsidRPr="00BB0967" w14:paraId="0CDAA432" w14:textId="77777777" w:rsidTr="00BB0967">
        <w:tc>
          <w:tcPr>
            <w:tcW w:w="1803" w:type="dxa"/>
          </w:tcPr>
          <w:p w14:paraId="11D61CB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lastRenderedPageBreak/>
              <w:t>Repeat purchase rate</w:t>
            </w:r>
          </w:p>
        </w:tc>
        <w:tc>
          <w:tcPr>
            <w:tcW w:w="1803" w:type="dxa"/>
          </w:tcPr>
          <w:p w14:paraId="5E18079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≥30% by Month 3</w:t>
            </w:r>
          </w:p>
        </w:tc>
        <w:tc>
          <w:tcPr>
            <w:tcW w:w="1803" w:type="dxa"/>
          </w:tcPr>
          <w:p w14:paraId="5AE93D9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Monthly</w:t>
            </w:r>
          </w:p>
        </w:tc>
        <w:tc>
          <w:tcPr>
            <w:tcW w:w="1803" w:type="dxa"/>
          </w:tcPr>
          <w:p w14:paraId="40EDD4F4"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Marketing Lead</w:t>
            </w:r>
          </w:p>
        </w:tc>
        <w:tc>
          <w:tcPr>
            <w:tcW w:w="1804" w:type="dxa"/>
          </w:tcPr>
          <w:p w14:paraId="7F0F6675"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Strengthen loyalty and retention activity</w:t>
            </w:r>
          </w:p>
        </w:tc>
      </w:tr>
      <w:tr w:rsidR="00BB0967" w:rsidRPr="00BB0967" w14:paraId="62A52EA1" w14:textId="77777777" w:rsidTr="00BB0967">
        <w:tc>
          <w:tcPr>
            <w:tcW w:w="1803" w:type="dxa"/>
          </w:tcPr>
          <w:p w14:paraId="3AD9D839"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Service time</w:t>
            </w:r>
          </w:p>
        </w:tc>
        <w:tc>
          <w:tcPr>
            <w:tcW w:w="1803" w:type="dxa"/>
          </w:tcPr>
          <w:p w14:paraId="5248D62D"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≤5 minutes average for standard orders</w:t>
            </w:r>
          </w:p>
        </w:tc>
        <w:tc>
          <w:tcPr>
            <w:tcW w:w="1803" w:type="dxa"/>
          </w:tcPr>
          <w:p w14:paraId="4F4D638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66EFEA16"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Operations Lead</w:t>
            </w:r>
          </w:p>
        </w:tc>
        <w:tc>
          <w:tcPr>
            <w:tcW w:w="1804" w:type="dxa"/>
          </w:tcPr>
          <w:p w14:paraId="1CF4491A"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Adjust workflow or staffing</w:t>
            </w:r>
          </w:p>
        </w:tc>
      </w:tr>
      <w:tr w:rsidR="00BB0967" w:rsidRPr="00BB0967" w14:paraId="48F216BC" w14:textId="77777777" w:rsidTr="00BB0967">
        <w:tc>
          <w:tcPr>
            <w:tcW w:w="1803" w:type="dxa"/>
          </w:tcPr>
          <w:p w14:paraId="75FABB90"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Stock-out rate</w:t>
            </w:r>
          </w:p>
        </w:tc>
        <w:tc>
          <w:tcPr>
            <w:tcW w:w="1803" w:type="dxa"/>
          </w:tcPr>
          <w:p w14:paraId="2EFA84CA"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≤2% of core product lines/month</w:t>
            </w:r>
          </w:p>
        </w:tc>
        <w:tc>
          <w:tcPr>
            <w:tcW w:w="1803" w:type="dxa"/>
          </w:tcPr>
          <w:p w14:paraId="5BC50E6D"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Weekly</w:t>
            </w:r>
          </w:p>
        </w:tc>
        <w:tc>
          <w:tcPr>
            <w:tcW w:w="1803" w:type="dxa"/>
          </w:tcPr>
          <w:p w14:paraId="31C74BA8"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Operations Lead</w:t>
            </w:r>
          </w:p>
        </w:tc>
        <w:tc>
          <w:tcPr>
            <w:tcW w:w="1804" w:type="dxa"/>
          </w:tcPr>
          <w:p w14:paraId="45AE40A0"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Reorder or activate backup supplier</w:t>
            </w:r>
          </w:p>
        </w:tc>
      </w:tr>
      <w:tr w:rsidR="00BB0967" w:rsidRPr="00BB0967" w14:paraId="6748DAF8" w14:textId="77777777" w:rsidTr="00BB0967">
        <w:tc>
          <w:tcPr>
            <w:tcW w:w="1803" w:type="dxa"/>
          </w:tcPr>
          <w:p w14:paraId="0A5F179F"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Cash reserve</w:t>
            </w:r>
          </w:p>
        </w:tc>
        <w:tc>
          <w:tcPr>
            <w:tcW w:w="1803" w:type="dxa"/>
          </w:tcPr>
          <w:p w14:paraId="7D19E2C2"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≥3 months of planned fixed operating costs</w:t>
            </w:r>
          </w:p>
        </w:tc>
        <w:tc>
          <w:tcPr>
            <w:tcW w:w="1803" w:type="dxa"/>
          </w:tcPr>
          <w:p w14:paraId="651D2EED"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Monthly</w:t>
            </w:r>
          </w:p>
        </w:tc>
        <w:tc>
          <w:tcPr>
            <w:tcW w:w="1803" w:type="dxa"/>
          </w:tcPr>
          <w:p w14:paraId="2B9E1D14"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Founder</w:t>
            </w:r>
          </w:p>
        </w:tc>
        <w:tc>
          <w:tcPr>
            <w:tcW w:w="1804" w:type="dxa"/>
          </w:tcPr>
          <w:p w14:paraId="6BCE6014" w14:textId="77777777" w:rsidR="00BB0967" w:rsidRPr="00BB0967" w:rsidRDefault="00BB0967" w:rsidP="00BB0967">
            <w:pPr>
              <w:spacing w:line="276" w:lineRule="auto"/>
              <w:jc w:val="both"/>
              <w:rPr>
                <w:rFonts w:ascii="Arial" w:hAnsi="Arial" w:cs="Arial"/>
                <w:szCs w:val="24"/>
                <w:lang w:val="en-GB" w:eastAsia="en-GB"/>
              </w:rPr>
            </w:pPr>
            <w:r w:rsidRPr="00BB0967">
              <w:rPr>
                <w:rFonts w:ascii="Arial" w:hAnsi="Arial" w:cs="Arial"/>
                <w:szCs w:val="24"/>
                <w:lang w:val="en-GB" w:eastAsia="en-GB"/>
              </w:rPr>
              <w:t>Restrict discretionary expenditure</w:t>
            </w:r>
          </w:p>
        </w:tc>
      </w:tr>
    </w:tbl>
    <w:p w14:paraId="47557312" w14:textId="774A7664" w:rsidR="00CE5501" w:rsidRPr="00231238" w:rsidRDefault="001404A5" w:rsidP="00231238">
      <w:pPr>
        <w:spacing w:before="240" w:line="360" w:lineRule="auto"/>
        <w:jc w:val="both"/>
        <w:rPr>
          <w:rFonts w:ascii="Arial" w:hAnsi="Arial" w:cs="Arial"/>
          <w:sz w:val="24"/>
          <w:szCs w:val="24"/>
          <w:lang w:val="en-GB" w:eastAsia="en-GB"/>
        </w:rPr>
      </w:pPr>
      <w:r w:rsidRPr="001404A5">
        <w:rPr>
          <w:rFonts w:ascii="Arial" w:hAnsi="Arial" w:cs="Arial"/>
          <w:sz w:val="24"/>
          <w:szCs w:val="24"/>
          <w:lang w:val="en-GB" w:eastAsia="en-GB"/>
        </w:rPr>
        <w:t>Post launch review will be made at 30, 60 and 90 days to evaluate performance against business assumptions and devise corrective measures if the performance is materially deviating from the business ass</w:t>
      </w:r>
      <w:r>
        <w:rPr>
          <w:rFonts w:ascii="Arial" w:hAnsi="Arial" w:cs="Arial"/>
          <w:sz w:val="24"/>
          <w:szCs w:val="24"/>
          <w:lang w:val="en-GB" w:eastAsia="en-GB"/>
        </w:rPr>
        <w:t>umptions</w:t>
      </w:r>
      <w:r w:rsidR="00CE5501" w:rsidRPr="00231238">
        <w:rPr>
          <w:rFonts w:ascii="Arial" w:hAnsi="Arial" w:cs="Arial"/>
          <w:sz w:val="24"/>
          <w:szCs w:val="24"/>
          <w:lang w:val="en-GB" w:eastAsia="en-GB"/>
        </w:rPr>
        <w:t>.</w:t>
      </w:r>
    </w:p>
    <w:p w14:paraId="342C4CDC" w14:textId="77777777" w:rsidR="00CE5501" w:rsidRPr="00231238" w:rsidRDefault="00CE5501" w:rsidP="004C0444">
      <w:pPr>
        <w:pStyle w:val="Heading2"/>
        <w:rPr>
          <w:rFonts w:eastAsia="Times New Roman"/>
          <w:lang w:val="en-GB" w:eastAsia="en-GB"/>
        </w:rPr>
      </w:pPr>
      <w:bookmarkStart w:id="125" w:name="_Toc241167513"/>
      <w:r w:rsidRPr="00231238">
        <w:rPr>
          <w:rFonts w:eastAsia="Times New Roman"/>
          <w:lang w:val="en-GB" w:eastAsia="en-GB"/>
        </w:rPr>
        <w:t>12.5 Change Management and Implementation Risks</w:t>
      </w:r>
      <w:bookmarkEnd w:id="125"/>
    </w:p>
    <w:p w14:paraId="69A3D52C" w14:textId="77777777" w:rsidR="00FC1555" w:rsidRPr="00FC1555" w:rsidRDefault="00FC1555" w:rsidP="00FC1555">
      <w:pPr>
        <w:spacing w:before="240" w:line="360" w:lineRule="auto"/>
        <w:jc w:val="both"/>
        <w:rPr>
          <w:rFonts w:ascii="Arial" w:hAnsi="Arial" w:cs="Arial"/>
          <w:sz w:val="24"/>
          <w:szCs w:val="24"/>
          <w:lang w:val="en-GB" w:eastAsia="en-GB"/>
        </w:rPr>
      </w:pPr>
      <w:r w:rsidRPr="00FC1555">
        <w:rPr>
          <w:rFonts w:ascii="Arial" w:hAnsi="Arial" w:cs="Arial"/>
          <w:sz w:val="24"/>
          <w:szCs w:val="24"/>
          <w:lang w:val="en-GB" w:eastAsia="en-GB"/>
        </w:rPr>
        <w:t>The following risks will be associated with Change Management and Implementation:</w:t>
      </w:r>
    </w:p>
    <w:p w14:paraId="4D35E255" w14:textId="77777777" w:rsidR="00FC1555" w:rsidRPr="00FC1555" w:rsidRDefault="00FC1555" w:rsidP="00FC1555">
      <w:pPr>
        <w:spacing w:before="240" w:line="360" w:lineRule="auto"/>
        <w:jc w:val="both"/>
        <w:rPr>
          <w:rFonts w:ascii="Arial" w:hAnsi="Arial" w:cs="Arial"/>
          <w:sz w:val="24"/>
          <w:szCs w:val="24"/>
          <w:lang w:val="en-GB" w:eastAsia="en-GB"/>
        </w:rPr>
      </w:pPr>
      <w:r w:rsidRPr="00FC1555">
        <w:rPr>
          <w:rFonts w:ascii="Arial" w:hAnsi="Arial" w:cs="Arial"/>
          <w:sz w:val="24"/>
          <w:szCs w:val="24"/>
          <w:lang w:val="en-GB" w:eastAsia="en-GB"/>
        </w:rPr>
        <w:t>There will be a need to implement standards of services, digital systems, inventory controls and sustainability with staff. Staff will thus get role clarification, induction and practical training prior to soft launch. Improved workflows will be documented and reviewed for consistent implementation and new technology will be tested prior to full implementation. Approval/premises delays will then result in a revised launch date, supplier failure will result in the activation of the approved back-up supplier, recruitment delays will result in temporary staffing support, technology failure will require a manual operating fullback and a demand of less than 135 transactions per day for two consecutive months will trigger a review of marketing, pricing, staffing and capacity assumptions.</w:t>
      </w:r>
    </w:p>
    <w:p w14:paraId="2738BF8E" w14:textId="77777777" w:rsidR="00FC1555" w:rsidRPr="00FC1555" w:rsidRDefault="00FC1555" w:rsidP="00FC1555">
      <w:pPr>
        <w:pStyle w:val="Heading2"/>
        <w:rPr>
          <w:lang w:val="en-GB" w:eastAsia="en-GB"/>
        </w:rPr>
      </w:pPr>
      <w:bookmarkStart w:id="126" w:name="_Toc241167514"/>
      <w:r w:rsidRPr="00FC1555">
        <w:rPr>
          <w:lang w:val="en-GB" w:eastAsia="en-GB"/>
        </w:rPr>
        <w:t>12.6 Implementation Readiness Summary</w:t>
      </w:r>
      <w:bookmarkEnd w:id="126"/>
    </w:p>
    <w:p w14:paraId="6FA72DAC" w14:textId="55D980EF" w:rsidR="006826F6" w:rsidRDefault="00FC1555" w:rsidP="00231238">
      <w:pPr>
        <w:spacing w:before="240" w:line="360" w:lineRule="auto"/>
        <w:jc w:val="both"/>
        <w:rPr>
          <w:rFonts w:ascii="Arial" w:hAnsi="Arial" w:cs="Arial"/>
          <w:sz w:val="24"/>
          <w:szCs w:val="24"/>
          <w:lang w:val="en-GB" w:eastAsia="en-GB"/>
        </w:rPr>
      </w:pPr>
      <w:r w:rsidRPr="00FC1555">
        <w:rPr>
          <w:rFonts w:ascii="Arial" w:hAnsi="Arial" w:cs="Arial"/>
          <w:sz w:val="24"/>
          <w:szCs w:val="24"/>
          <w:lang w:val="en-GB" w:eastAsia="en-GB"/>
        </w:rPr>
        <w:t>Once funding, compliance, premises, critical staffing, supplier arrangements and core systems are in agreement, then TEBC should progress to full launch. The soft launch will be used to test evidence before full commitment to resources, and KPI monitoring will be used to see if the customer, financial and operational performance are in line with the BDP assumptions. The implementation plan then allows for controlled launch, timely correction and early growth based on evide</w:t>
      </w:r>
      <w:r>
        <w:rPr>
          <w:rFonts w:ascii="Arial" w:hAnsi="Arial" w:cs="Arial"/>
          <w:sz w:val="24"/>
          <w:szCs w:val="24"/>
          <w:lang w:val="en-GB" w:eastAsia="en-GB"/>
        </w:rPr>
        <w:t>nce, instead of early expansion</w:t>
      </w:r>
      <w:r w:rsidR="008F64A8" w:rsidRPr="008F64A8">
        <w:rPr>
          <w:rFonts w:ascii="Arial" w:hAnsi="Arial" w:cs="Arial"/>
          <w:sz w:val="24"/>
          <w:szCs w:val="24"/>
          <w:lang w:val="en-GB" w:eastAsia="en-GB"/>
        </w:rPr>
        <w:t>.</w:t>
      </w:r>
    </w:p>
    <w:p w14:paraId="1F97CFC2" w14:textId="77777777" w:rsidR="006826F6" w:rsidRPr="005B5A20" w:rsidRDefault="006826F6" w:rsidP="0053125B">
      <w:pPr>
        <w:pStyle w:val="Heading1"/>
        <w:jc w:val="center"/>
        <w:rPr>
          <w:rFonts w:eastAsia="Times New Roman"/>
          <w:lang w:val="en-GB" w:eastAsia="en-GB"/>
        </w:rPr>
      </w:pPr>
      <w:bookmarkStart w:id="127" w:name="_Toc241167515"/>
      <w:r w:rsidRPr="005B5A20">
        <w:rPr>
          <w:rFonts w:eastAsia="Times New Roman"/>
          <w:lang w:val="en-GB" w:eastAsia="en-GB"/>
        </w:rPr>
        <w:lastRenderedPageBreak/>
        <w:t>Chapter 13: Conclusion and Recommendations</w:t>
      </w:r>
      <w:bookmarkEnd w:id="127"/>
    </w:p>
    <w:p w14:paraId="1E0A0039" w14:textId="77777777" w:rsidR="006826F6" w:rsidRPr="005B5A20" w:rsidRDefault="006826F6" w:rsidP="0053125B">
      <w:pPr>
        <w:pStyle w:val="Heading2"/>
        <w:rPr>
          <w:rFonts w:eastAsia="Times New Roman"/>
          <w:lang w:val="en-GB" w:eastAsia="en-GB"/>
        </w:rPr>
      </w:pPr>
      <w:bookmarkStart w:id="128" w:name="_Toc241167516"/>
      <w:r w:rsidRPr="005B5A20">
        <w:rPr>
          <w:rFonts w:eastAsia="Times New Roman"/>
          <w:lang w:val="en-GB" w:eastAsia="en-GB"/>
        </w:rPr>
        <w:t>13.1 Conclusion</w:t>
      </w:r>
      <w:bookmarkEnd w:id="128"/>
    </w:p>
    <w:p w14:paraId="3EB9FFE4" w14:textId="77777777" w:rsidR="00347300" w:rsidRPr="00347300" w:rsidRDefault="00347300" w:rsidP="00347300">
      <w:pPr>
        <w:spacing w:before="240" w:line="360" w:lineRule="auto"/>
        <w:jc w:val="both"/>
        <w:rPr>
          <w:rFonts w:ascii="Arial" w:hAnsi="Arial" w:cs="Arial"/>
          <w:sz w:val="24"/>
          <w:szCs w:val="24"/>
          <w:lang w:val="en-GB" w:eastAsia="en-GB"/>
        </w:rPr>
      </w:pPr>
      <w:r w:rsidRPr="00347300">
        <w:rPr>
          <w:rFonts w:ascii="Arial" w:hAnsi="Arial" w:cs="Arial"/>
          <w:sz w:val="24"/>
          <w:szCs w:val="24"/>
          <w:lang w:val="en-GB" w:eastAsia="en-GB"/>
        </w:rPr>
        <w:t>This Business Development Proposal sought to assess the market opportunity, strategic needs and commercial viability of setting up The Ethical Bean Coffee House (TEBC) as a specialty coffee business in Monmouth Street, Covent Garden, London. The analysis provides an identification of a potentially attractive but competitive market environment. The commercial viability relies on discipline, validation of customer demand, operational capability and control and financial management. The conditional, staged approach to launch, therefore, is supported in the proposal.</w:t>
      </w:r>
    </w:p>
    <w:p w14:paraId="132F47D9" w14:textId="01CDC242" w:rsidR="006826F6" w:rsidRPr="005B5A20" w:rsidRDefault="00347300" w:rsidP="00347300">
      <w:pPr>
        <w:spacing w:before="240" w:line="360" w:lineRule="auto"/>
        <w:jc w:val="both"/>
        <w:rPr>
          <w:rFonts w:ascii="Arial" w:hAnsi="Arial" w:cs="Arial"/>
          <w:sz w:val="24"/>
          <w:szCs w:val="24"/>
          <w:lang w:val="en-GB" w:eastAsia="en-GB"/>
        </w:rPr>
      </w:pPr>
      <w:r w:rsidRPr="00347300">
        <w:rPr>
          <w:rFonts w:ascii="Arial" w:hAnsi="Arial" w:cs="Arial"/>
          <w:sz w:val="24"/>
          <w:szCs w:val="24"/>
          <w:lang w:val="en-GB" w:eastAsia="en-GB"/>
        </w:rPr>
        <w:t xml:space="preserve">The analytical frameworks provided complementary insights. The PESTLE identified changes in consumer expectations, sustainability pressures and operating-cost risks as external threats, whereas Porter's Five Forces identified high buyer power, strong external rivalry and significant substitute pressures as external threats. SWOT combined the strengths and weaknesses of the firm/strategic business unit with the opportunities and threats in the external environment, whilst VRIO suggested that the firm/strategic business unit has potential external advantages in providing ethical sourcing, traceability, sustainability and personalised service (Barney, 1991) that it cannot currently claim as a competitive advantage when launched. The Business Model Canvas linked the suggested value proposition and the customer segments to the channels, resources, activities, partnerships, revenue streams and costs </w:t>
      </w:r>
      <w:r>
        <w:rPr>
          <w:rFonts w:ascii="Arial" w:hAnsi="Arial" w:cs="Arial"/>
          <w:sz w:val="24"/>
          <w:szCs w:val="24"/>
          <w:lang w:val="en-GB" w:eastAsia="en-GB"/>
        </w:rPr>
        <w:t>(</w:t>
      </w:r>
      <w:proofErr w:type="spellStart"/>
      <w:r>
        <w:rPr>
          <w:rFonts w:ascii="Arial" w:hAnsi="Arial" w:cs="Arial"/>
          <w:sz w:val="24"/>
          <w:szCs w:val="24"/>
          <w:lang w:val="en-GB" w:eastAsia="en-GB"/>
        </w:rPr>
        <w:t>Osterwalder</w:t>
      </w:r>
      <w:proofErr w:type="spellEnd"/>
      <w:r>
        <w:rPr>
          <w:rFonts w:ascii="Arial" w:hAnsi="Arial" w:cs="Arial"/>
          <w:sz w:val="24"/>
          <w:szCs w:val="24"/>
          <w:lang w:val="en-GB" w:eastAsia="en-GB"/>
        </w:rPr>
        <w:t xml:space="preserve"> and </w:t>
      </w:r>
      <w:proofErr w:type="spellStart"/>
      <w:r>
        <w:rPr>
          <w:rFonts w:ascii="Arial" w:hAnsi="Arial" w:cs="Arial"/>
          <w:sz w:val="24"/>
          <w:szCs w:val="24"/>
          <w:lang w:val="en-GB" w:eastAsia="en-GB"/>
        </w:rPr>
        <w:t>Pigneur</w:t>
      </w:r>
      <w:proofErr w:type="spellEnd"/>
      <w:r>
        <w:rPr>
          <w:rFonts w:ascii="Arial" w:hAnsi="Arial" w:cs="Arial"/>
          <w:sz w:val="24"/>
          <w:szCs w:val="24"/>
          <w:lang w:val="en-GB" w:eastAsia="en-GB"/>
        </w:rPr>
        <w:t>, 2010)</w:t>
      </w:r>
      <w:r w:rsidR="00B4444B" w:rsidRPr="00B4444B">
        <w:rPr>
          <w:rFonts w:ascii="Arial" w:hAnsi="Arial" w:cs="Arial"/>
          <w:sz w:val="24"/>
          <w:szCs w:val="24"/>
          <w:lang w:val="en-GB" w:eastAsia="en-GB"/>
        </w:rPr>
        <w:t>.</w:t>
      </w:r>
    </w:p>
    <w:p w14:paraId="17E41C0A" w14:textId="77777777" w:rsidR="006826F6" w:rsidRPr="005B5A20" w:rsidRDefault="006826F6" w:rsidP="0053125B">
      <w:pPr>
        <w:pStyle w:val="Heading2"/>
        <w:rPr>
          <w:rFonts w:eastAsia="Times New Roman"/>
          <w:lang w:val="en-GB" w:eastAsia="en-GB"/>
        </w:rPr>
      </w:pPr>
      <w:bookmarkStart w:id="129" w:name="_Toc241167517"/>
      <w:r w:rsidRPr="005B5A20">
        <w:rPr>
          <w:rFonts w:eastAsia="Times New Roman"/>
          <w:lang w:val="en-GB" w:eastAsia="en-GB"/>
        </w:rPr>
        <w:t>13.2 Integrated Findings and Feasibility Judgement</w:t>
      </w:r>
      <w:bookmarkEnd w:id="129"/>
    </w:p>
    <w:p w14:paraId="78D35126" w14:textId="77777777" w:rsidR="00347300" w:rsidRPr="00347300" w:rsidRDefault="00347300" w:rsidP="00347300">
      <w:pPr>
        <w:spacing w:before="240" w:line="360" w:lineRule="auto"/>
        <w:jc w:val="both"/>
        <w:rPr>
          <w:rFonts w:ascii="Arial" w:hAnsi="Arial" w:cs="Arial"/>
          <w:sz w:val="24"/>
          <w:szCs w:val="24"/>
          <w:lang w:val="en-GB" w:eastAsia="en-GB"/>
        </w:rPr>
      </w:pPr>
      <w:r w:rsidRPr="00347300">
        <w:rPr>
          <w:rFonts w:ascii="Arial" w:hAnsi="Arial" w:cs="Arial"/>
          <w:sz w:val="24"/>
          <w:szCs w:val="24"/>
          <w:lang w:val="en-GB" w:eastAsia="en-GB"/>
        </w:rPr>
        <w:t>The market findings show a potentially good but very competitive customer market in Covent Garden. TEBC cannot depend on location and the quality of the coffee only. This proposed proposition is a mix of specialty coffee quality, ethically sourced and credible coffee quality, traceability, sustainability and personalised service, providing a wider differentiation basis.</w:t>
      </w:r>
    </w:p>
    <w:p w14:paraId="5DDD2526" w14:textId="77777777" w:rsidR="00347300" w:rsidRPr="00347300" w:rsidRDefault="00347300" w:rsidP="00347300">
      <w:pPr>
        <w:spacing w:before="240" w:line="360" w:lineRule="auto"/>
        <w:jc w:val="both"/>
        <w:rPr>
          <w:rFonts w:ascii="Arial" w:hAnsi="Arial" w:cs="Arial"/>
          <w:sz w:val="24"/>
          <w:szCs w:val="24"/>
          <w:lang w:val="en-GB" w:eastAsia="en-GB"/>
        </w:rPr>
      </w:pPr>
      <w:r w:rsidRPr="00347300">
        <w:rPr>
          <w:rFonts w:ascii="Arial" w:hAnsi="Arial" w:cs="Arial"/>
          <w:sz w:val="24"/>
          <w:szCs w:val="24"/>
          <w:lang w:val="en-GB" w:eastAsia="en-GB"/>
        </w:rPr>
        <w:t xml:space="preserve">The financial analysis has a potential viability and a very small initial margin of safety. With an expected average transaction value of £7, and 310 trading days over the course of the year, the expected value of Year 1 revenue should be around £292,950. Using a variable cost of 30%, the break-even revenue is calculated to be: £292,857 </w:t>
      </w:r>
      <w:r w:rsidRPr="00347300">
        <w:rPr>
          <w:rFonts w:ascii="Arial" w:hAnsi="Arial" w:cs="Arial"/>
          <w:sz w:val="24"/>
          <w:szCs w:val="24"/>
          <w:lang w:val="en-GB" w:eastAsia="en-GB"/>
        </w:rPr>
        <w:lastRenderedPageBreak/>
        <w:t>for approximately 41,837 transactions or 135 transactions per trading day. The Year 1 forecast is therefore just slightly ahead of break-even and transaction volume, contribution margin (CM) protection, and working-capital control will therefore be important.</w:t>
      </w:r>
    </w:p>
    <w:p w14:paraId="07E716DF" w14:textId="77777777" w:rsidR="00347300" w:rsidRPr="00347300" w:rsidRDefault="00347300" w:rsidP="00347300">
      <w:pPr>
        <w:spacing w:before="240" w:line="360" w:lineRule="auto"/>
        <w:jc w:val="both"/>
        <w:rPr>
          <w:rFonts w:ascii="Arial" w:hAnsi="Arial" w:cs="Arial"/>
          <w:sz w:val="24"/>
          <w:szCs w:val="24"/>
          <w:lang w:val="en-GB" w:eastAsia="en-GB"/>
        </w:rPr>
      </w:pPr>
      <w:r w:rsidRPr="00347300">
        <w:rPr>
          <w:rFonts w:ascii="Arial" w:hAnsi="Arial" w:cs="Arial"/>
          <w:sz w:val="24"/>
          <w:szCs w:val="24"/>
          <w:lang w:val="en-GB" w:eastAsia="en-GB"/>
        </w:rPr>
        <w:t>Appropriate premises, equipment, staffing, supplier capacity, POS systems and operating procedures are all factors that affect operational feasibility. The greatest threats are capacity during peak periods, relying on suppliers, equipment failure, food waste, and staffing availability.</w:t>
      </w:r>
    </w:p>
    <w:p w14:paraId="1B712E91" w14:textId="2D051153" w:rsidR="005B5A20" w:rsidRPr="005B5A20" w:rsidRDefault="00347300" w:rsidP="00347300">
      <w:pPr>
        <w:spacing w:before="240" w:line="360" w:lineRule="auto"/>
        <w:jc w:val="both"/>
        <w:rPr>
          <w:rFonts w:ascii="Arial" w:hAnsi="Arial" w:cs="Arial"/>
          <w:sz w:val="24"/>
          <w:szCs w:val="24"/>
          <w:lang w:val="en-GB" w:eastAsia="en-GB"/>
        </w:rPr>
      </w:pPr>
      <w:r w:rsidRPr="00347300">
        <w:rPr>
          <w:rFonts w:ascii="Arial" w:hAnsi="Arial" w:cs="Arial"/>
          <w:sz w:val="24"/>
          <w:szCs w:val="24"/>
          <w:lang w:val="en-GB" w:eastAsia="en-GB"/>
        </w:rPr>
        <w:t>Ethical feasibility is also contingent upon evidence. Sustainability and sourcing statements must be accompanied by sound supplier information, records and accurate customer communication, rather than by unsupported promotional statements. There needs to be transparency in sourcing and consistency in environmental and employment practices, therefore, to sustain stak</w:t>
      </w:r>
      <w:r>
        <w:rPr>
          <w:rFonts w:ascii="Arial" w:hAnsi="Arial" w:cs="Arial"/>
          <w:sz w:val="24"/>
          <w:szCs w:val="24"/>
          <w:lang w:val="en-GB" w:eastAsia="en-GB"/>
        </w:rPr>
        <w:t>eholder trust (</w:t>
      </w:r>
      <w:proofErr w:type="spellStart"/>
      <w:r>
        <w:rPr>
          <w:rFonts w:ascii="Arial" w:hAnsi="Arial" w:cs="Arial"/>
          <w:sz w:val="24"/>
          <w:szCs w:val="24"/>
          <w:lang w:val="en-GB" w:eastAsia="en-GB"/>
        </w:rPr>
        <w:t>Elkington</w:t>
      </w:r>
      <w:proofErr w:type="spellEnd"/>
      <w:r>
        <w:rPr>
          <w:rFonts w:ascii="Arial" w:hAnsi="Arial" w:cs="Arial"/>
          <w:sz w:val="24"/>
          <w:szCs w:val="24"/>
          <w:lang w:val="en-GB" w:eastAsia="en-GB"/>
        </w:rPr>
        <w:t>, 1997)</w:t>
      </w:r>
      <w:r w:rsidR="008C55D9" w:rsidRPr="008C55D9">
        <w:rPr>
          <w:rFonts w:ascii="Arial" w:hAnsi="Arial" w:cs="Arial"/>
          <w:sz w:val="24"/>
          <w:szCs w:val="24"/>
          <w:lang w:val="en-GB" w:eastAsia="en-GB"/>
        </w:rPr>
        <w:t>.</w:t>
      </w:r>
    </w:p>
    <w:p w14:paraId="03D7CE83" w14:textId="778FC0DE" w:rsidR="005B5A20" w:rsidRPr="0053125B" w:rsidRDefault="005B5A20" w:rsidP="0053125B">
      <w:pPr>
        <w:pStyle w:val="Heading2"/>
        <w:rPr>
          <w:rFonts w:eastAsia="Times New Roman"/>
          <w:lang w:val="en-GB" w:eastAsia="en-GB"/>
        </w:rPr>
      </w:pPr>
      <w:bookmarkStart w:id="130" w:name="_Toc241167518"/>
      <w:r w:rsidRPr="005B5A20">
        <w:rPr>
          <w:rFonts w:eastAsia="Times New Roman"/>
          <w:lang w:val="en-GB" w:eastAsia="en-GB"/>
        </w:rPr>
        <w:t>13.3 Recommendations</w:t>
      </w:r>
      <w:bookmarkEnd w:id="130"/>
    </w:p>
    <w:p w14:paraId="7A8B7AB4" w14:textId="77777777" w:rsidR="00BE38B7" w:rsidRPr="00BE38B7" w:rsidRDefault="00BE38B7" w:rsidP="00BE38B7">
      <w:pPr>
        <w:spacing w:before="240" w:line="360" w:lineRule="auto"/>
        <w:jc w:val="both"/>
        <w:rPr>
          <w:rFonts w:ascii="Arial" w:hAnsi="Arial" w:cs="Arial"/>
          <w:b/>
          <w:sz w:val="24"/>
          <w:szCs w:val="24"/>
          <w:lang w:val="en-GB" w:eastAsia="en-GB"/>
        </w:rPr>
      </w:pPr>
      <w:r w:rsidRPr="00BE38B7">
        <w:rPr>
          <w:rFonts w:ascii="Arial" w:hAnsi="Arial" w:cs="Arial"/>
          <w:b/>
          <w:sz w:val="24"/>
          <w:szCs w:val="24"/>
          <w:lang w:val="en-GB" w:eastAsia="en-GB"/>
        </w:rPr>
        <w:t>1. Validate demand prior to expansion.</w:t>
      </w:r>
    </w:p>
    <w:p w14:paraId="53EF43CD" w14:textId="77777777" w:rsidR="00BE38B7" w:rsidRPr="00BE38B7" w:rsidRDefault="00BE38B7" w:rsidP="00BE38B7">
      <w:pPr>
        <w:spacing w:before="240" w:line="360" w:lineRule="auto"/>
        <w:jc w:val="both"/>
        <w:rPr>
          <w:rFonts w:ascii="Arial" w:hAnsi="Arial" w:cs="Arial"/>
          <w:sz w:val="24"/>
          <w:szCs w:val="24"/>
          <w:lang w:val="en-GB" w:eastAsia="en-GB"/>
        </w:rPr>
      </w:pPr>
      <w:r w:rsidRPr="00BE38B7">
        <w:rPr>
          <w:rFonts w:ascii="Arial" w:hAnsi="Arial" w:cs="Arial"/>
          <w:sz w:val="24"/>
          <w:szCs w:val="24"/>
          <w:lang w:val="en-GB" w:eastAsia="en-GB"/>
        </w:rPr>
        <w:t>In the soft launch and initial 90 trading days, management should check on transactions, average transaction value, repeat purchasing, customer satisfaction/customer feedback before expanding or adding additional capacity.</w:t>
      </w:r>
    </w:p>
    <w:p w14:paraId="1D08E56B" w14:textId="77777777" w:rsidR="00BE38B7" w:rsidRPr="00BE38B7" w:rsidRDefault="00BE38B7" w:rsidP="00BE38B7">
      <w:pPr>
        <w:spacing w:before="240" w:line="360" w:lineRule="auto"/>
        <w:jc w:val="both"/>
        <w:rPr>
          <w:rFonts w:ascii="Arial" w:hAnsi="Arial" w:cs="Arial"/>
          <w:b/>
          <w:sz w:val="24"/>
          <w:szCs w:val="24"/>
          <w:lang w:val="en-GB" w:eastAsia="en-GB"/>
        </w:rPr>
      </w:pPr>
      <w:r w:rsidRPr="00BE38B7">
        <w:rPr>
          <w:rFonts w:ascii="Arial" w:hAnsi="Arial" w:cs="Arial"/>
          <w:b/>
          <w:sz w:val="24"/>
          <w:szCs w:val="24"/>
          <w:lang w:val="en-GB" w:eastAsia="en-GB"/>
        </w:rPr>
        <w:t>2. Improve evidence-based ethical differentiation.</w:t>
      </w:r>
    </w:p>
    <w:p w14:paraId="7955FA75" w14:textId="77777777" w:rsidR="00BE38B7" w:rsidRPr="00BE38B7" w:rsidRDefault="00BE38B7" w:rsidP="00BE38B7">
      <w:pPr>
        <w:spacing w:before="240" w:line="360" w:lineRule="auto"/>
        <w:jc w:val="both"/>
        <w:rPr>
          <w:rFonts w:ascii="Arial" w:hAnsi="Arial" w:cs="Arial"/>
          <w:sz w:val="24"/>
          <w:szCs w:val="24"/>
          <w:lang w:val="en-GB" w:eastAsia="en-GB"/>
        </w:rPr>
      </w:pPr>
      <w:r w:rsidRPr="00BE38B7">
        <w:rPr>
          <w:rFonts w:ascii="Arial" w:hAnsi="Arial" w:cs="Arial"/>
          <w:sz w:val="24"/>
          <w:szCs w:val="24"/>
          <w:lang w:val="en-GB" w:eastAsia="en-GB"/>
        </w:rPr>
        <w:t>TEBC should set clear criteria for selecting suppliers, keep track of suppliers and define measurable sustainability practices. Ethical and environmental claims shall be truthful, clear and substantiated.</w:t>
      </w:r>
    </w:p>
    <w:p w14:paraId="72764A5E" w14:textId="77777777" w:rsidR="00BE38B7" w:rsidRPr="00BE38B7" w:rsidRDefault="00BE38B7" w:rsidP="00BE38B7">
      <w:pPr>
        <w:spacing w:before="240" w:line="360" w:lineRule="auto"/>
        <w:jc w:val="both"/>
        <w:rPr>
          <w:rFonts w:ascii="Arial" w:hAnsi="Arial" w:cs="Arial"/>
          <w:b/>
          <w:sz w:val="24"/>
          <w:szCs w:val="24"/>
          <w:lang w:val="en-GB" w:eastAsia="en-GB"/>
        </w:rPr>
      </w:pPr>
      <w:r w:rsidRPr="00BE38B7">
        <w:rPr>
          <w:rFonts w:ascii="Arial" w:hAnsi="Arial" w:cs="Arial"/>
          <w:b/>
          <w:sz w:val="24"/>
          <w:szCs w:val="24"/>
          <w:lang w:val="en-GB" w:eastAsia="en-GB"/>
        </w:rPr>
        <w:t>3. Protect financial viability.</w:t>
      </w:r>
    </w:p>
    <w:p w14:paraId="3F0FFFB2" w14:textId="77777777" w:rsidR="00BE38B7" w:rsidRPr="00BE38B7" w:rsidRDefault="00BE38B7" w:rsidP="00BE38B7">
      <w:pPr>
        <w:spacing w:before="240" w:line="360" w:lineRule="auto"/>
        <w:jc w:val="both"/>
        <w:rPr>
          <w:rFonts w:ascii="Arial" w:hAnsi="Arial" w:cs="Arial"/>
          <w:sz w:val="24"/>
          <w:szCs w:val="24"/>
          <w:lang w:val="en-GB" w:eastAsia="en-GB"/>
        </w:rPr>
      </w:pPr>
      <w:r w:rsidRPr="00BE38B7">
        <w:rPr>
          <w:rFonts w:ascii="Arial" w:hAnsi="Arial" w:cs="Arial"/>
          <w:sz w:val="24"/>
          <w:szCs w:val="24"/>
          <w:lang w:val="en-GB" w:eastAsia="en-GB"/>
        </w:rPr>
        <w:t>The revenue, contribution margin, labour costs, supplier expenditure, cash reserves and break-even performance of management should be monitored regularly. There should be a budget/actual test of the £200,000 start up and the £12,000 year 1 marketing budget.</w:t>
      </w:r>
    </w:p>
    <w:p w14:paraId="67D666B1" w14:textId="64883184" w:rsidR="00BE38B7" w:rsidRPr="00BE38B7" w:rsidRDefault="00BE38B7" w:rsidP="00BE38B7">
      <w:pPr>
        <w:spacing w:before="240" w:line="360" w:lineRule="auto"/>
        <w:jc w:val="both"/>
        <w:rPr>
          <w:rFonts w:ascii="Arial" w:hAnsi="Arial" w:cs="Arial"/>
          <w:sz w:val="24"/>
          <w:szCs w:val="24"/>
          <w:lang w:val="en-GB" w:eastAsia="en-GB"/>
        </w:rPr>
      </w:pPr>
    </w:p>
    <w:p w14:paraId="272E831F" w14:textId="77777777" w:rsidR="00BE38B7" w:rsidRPr="00BE38B7" w:rsidRDefault="00BE38B7" w:rsidP="00BE38B7">
      <w:pPr>
        <w:spacing w:before="240" w:line="360" w:lineRule="auto"/>
        <w:jc w:val="both"/>
        <w:rPr>
          <w:rFonts w:ascii="Arial" w:hAnsi="Arial" w:cs="Arial"/>
          <w:b/>
          <w:sz w:val="24"/>
          <w:szCs w:val="24"/>
          <w:lang w:val="en-GB" w:eastAsia="en-GB"/>
        </w:rPr>
      </w:pPr>
      <w:r w:rsidRPr="00BE38B7">
        <w:rPr>
          <w:rFonts w:ascii="Arial" w:hAnsi="Arial" w:cs="Arial"/>
          <w:b/>
          <w:sz w:val="24"/>
          <w:szCs w:val="24"/>
          <w:lang w:val="en-GB" w:eastAsia="en-GB"/>
        </w:rPr>
        <w:lastRenderedPageBreak/>
        <w:t>4. Build operational resilience.</w:t>
      </w:r>
    </w:p>
    <w:p w14:paraId="3E69088A" w14:textId="77777777" w:rsidR="00BE38B7" w:rsidRPr="00BE38B7" w:rsidRDefault="00BE38B7" w:rsidP="00BE38B7">
      <w:pPr>
        <w:spacing w:before="240" w:line="360" w:lineRule="auto"/>
        <w:jc w:val="both"/>
        <w:rPr>
          <w:rFonts w:ascii="Arial" w:hAnsi="Arial" w:cs="Arial"/>
          <w:sz w:val="24"/>
          <w:szCs w:val="24"/>
          <w:lang w:val="en-GB" w:eastAsia="en-GB"/>
        </w:rPr>
      </w:pPr>
      <w:r w:rsidRPr="00BE38B7">
        <w:rPr>
          <w:rFonts w:ascii="Arial" w:hAnsi="Arial" w:cs="Arial"/>
          <w:sz w:val="24"/>
          <w:szCs w:val="24"/>
          <w:lang w:val="en-GB" w:eastAsia="en-GB"/>
        </w:rPr>
        <w:t>Before expanding capacity, TEBC should identify alternate suppliers, establish a safety stock of equipment, plan for preventative equipment maintenance and have documented operating procedures in place, and have staff cross-trained for adequate equipment coverage.</w:t>
      </w:r>
    </w:p>
    <w:p w14:paraId="5E796C86" w14:textId="77777777" w:rsidR="00BE38B7" w:rsidRPr="00BE38B7" w:rsidRDefault="00BE38B7" w:rsidP="00BE38B7">
      <w:pPr>
        <w:spacing w:before="240" w:line="360" w:lineRule="auto"/>
        <w:jc w:val="both"/>
        <w:rPr>
          <w:rFonts w:ascii="Arial" w:hAnsi="Arial" w:cs="Arial"/>
          <w:b/>
          <w:sz w:val="24"/>
          <w:szCs w:val="24"/>
          <w:lang w:val="en-GB" w:eastAsia="en-GB"/>
        </w:rPr>
      </w:pPr>
      <w:r w:rsidRPr="00BE38B7">
        <w:rPr>
          <w:rFonts w:ascii="Arial" w:hAnsi="Arial" w:cs="Arial"/>
          <w:b/>
          <w:sz w:val="24"/>
          <w:szCs w:val="24"/>
          <w:lang w:val="en-GB" w:eastAsia="en-GB"/>
        </w:rPr>
        <w:t>5. Pursue controlled growth.</w:t>
      </w:r>
    </w:p>
    <w:p w14:paraId="78561410" w14:textId="2DCF9470" w:rsidR="006826F6" w:rsidRPr="005B5A20" w:rsidRDefault="00BE38B7" w:rsidP="00BE38B7">
      <w:pPr>
        <w:spacing w:before="240" w:line="360" w:lineRule="auto"/>
        <w:jc w:val="both"/>
        <w:rPr>
          <w:rFonts w:ascii="Arial" w:hAnsi="Arial" w:cs="Arial"/>
          <w:sz w:val="24"/>
          <w:szCs w:val="24"/>
          <w:lang w:val="en-GB" w:eastAsia="en-GB"/>
        </w:rPr>
      </w:pPr>
      <w:r w:rsidRPr="00BE38B7">
        <w:rPr>
          <w:rFonts w:ascii="Arial" w:hAnsi="Arial" w:cs="Arial"/>
          <w:sz w:val="24"/>
          <w:szCs w:val="24"/>
          <w:lang w:val="en-GB" w:eastAsia="en-GB"/>
        </w:rPr>
        <w:t xml:space="preserve">Firstly, repeat customers, ethically aware consumers, and Covent Garden's urban professionals and visitors should be targeted. Rest of the sites or significant product increase should be considered only when evidence has been provided that sustainable demand exists and acceptable margins and assured </w:t>
      </w:r>
      <w:r>
        <w:rPr>
          <w:rFonts w:ascii="Arial" w:hAnsi="Arial" w:cs="Arial"/>
          <w:sz w:val="24"/>
          <w:szCs w:val="24"/>
          <w:lang w:val="en-GB" w:eastAsia="en-GB"/>
        </w:rPr>
        <w:t>operating capacity are achieved</w:t>
      </w:r>
      <w:r w:rsidR="006826F6" w:rsidRPr="005B5A20">
        <w:rPr>
          <w:rFonts w:ascii="Arial" w:hAnsi="Arial" w:cs="Arial"/>
          <w:sz w:val="24"/>
          <w:szCs w:val="24"/>
          <w:lang w:val="en-GB" w:eastAsia="en-GB"/>
        </w:rPr>
        <w:t>.</w:t>
      </w:r>
    </w:p>
    <w:p w14:paraId="194CA84B" w14:textId="77777777" w:rsidR="006826F6" w:rsidRPr="005B5A20" w:rsidRDefault="006826F6" w:rsidP="0053125B">
      <w:pPr>
        <w:pStyle w:val="Heading2"/>
        <w:rPr>
          <w:rFonts w:eastAsia="Times New Roman"/>
          <w:lang w:val="en-GB" w:eastAsia="en-GB"/>
        </w:rPr>
      </w:pPr>
      <w:bookmarkStart w:id="131" w:name="_Toc241167519"/>
      <w:r w:rsidRPr="005B5A20">
        <w:rPr>
          <w:rFonts w:eastAsia="Times New Roman"/>
          <w:lang w:val="en-GB" w:eastAsia="en-GB"/>
        </w:rPr>
        <w:t>13.4 Final Decision and Future Development</w:t>
      </w:r>
      <w:bookmarkEnd w:id="131"/>
    </w:p>
    <w:p w14:paraId="51337A87" w14:textId="289CFA7D" w:rsidR="006826F6" w:rsidRDefault="00A32A5A" w:rsidP="00A32A5A">
      <w:pPr>
        <w:spacing w:before="240" w:line="360" w:lineRule="auto"/>
        <w:jc w:val="both"/>
        <w:rPr>
          <w:rFonts w:ascii="Arial" w:hAnsi="Arial" w:cs="Arial"/>
          <w:sz w:val="24"/>
          <w:szCs w:val="24"/>
          <w:lang w:val="en-GB" w:eastAsia="en-GB"/>
        </w:rPr>
      </w:pPr>
      <w:r w:rsidRPr="00A32A5A">
        <w:rPr>
          <w:rFonts w:ascii="Arial" w:hAnsi="Arial" w:cs="Arial"/>
          <w:sz w:val="24"/>
          <w:szCs w:val="24"/>
          <w:lang w:val="en-GB" w:eastAsia="en-GB"/>
        </w:rPr>
        <w:t xml:space="preserve">The final decision is to proceed conditionally with a staged launch. Subject to funding availability, regulatory compliance, confirmation of suitable premises and suppliers, critical staffing and sufficient evidence of customer demand at the planned price, TEBC can progress towards launch. The analysis indicates potential commercial viability, but the Year 1 financial model provides only a limited margin of safety and therefore does not support an assumption </w:t>
      </w:r>
      <w:r>
        <w:rPr>
          <w:rFonts w:ascii="Arial" w:hAnsi="Arial" w:cs="Arial"/>
          <w:sz w:val="24"/>
          <w:szCs w:val="24"/>
          <w:lang w:val="en-GB" w:eastAsia="en-GB"/>
        </w:rPr>
        <w:t>of immediate long-term success.</w:t>
      </w:r>
      <w:r w:rsidR="00740BB6">
        <w:rPr>
          <w:rFonts w:ascii="Arial" w:hAnsi="Arial" w:cs="Arial"/>
          <w:sz w:val="24"/>
          <w:szCs w:val="24"/>
          <w:lang w:val="en-GB" w:eastAsia="en-GB"/>
        </w:rPr>
        <w:t xml:space="preserve"> </w:t>
      </w:r>
      <w:r w:rsidRPr="00A32A5A">
        <w:rPr>
          <w:rFonts w:ascii="Arial" w:hAnsi="Arial" w:cs="Arial"/>
          <w:sz w:val="24"/>
          <w:szCs w:val="24"/>
          <w:lang w:val="en-GB" w:eastAsia="en-GB"/>
        </w:rPr>
        <w:t xml:space="preserve">Overall, the BDP supports a controlled and conditional launch in which TEBC develops its ethical sourcing, customer relationships, operational capability and financial performance </w:t>
      </w:r>
      <w:r>
        <w:rPr>
          <w:rFonts w:ascii="Arial" w:hAnsi="Arial" w:cs="Arial"/>
          <w:sz w:val="24"/>
          <w:szCs w:val="24"/>
          <w:lang w:val="en-GB" w:eastAsia="en-GB"/>
        </w:rPr>
        <w:t>before considering wider growth</w:t>
      </w:r>
      <w:r w:rsidR="0053125B">
        <w:rPr>
          <w:rFonts w:ascii="Arial" w:hAnsi="Arial" w:cs="Arial"/>
          <w:sz w:val="24"/>
          <w:szCs w:val="24"/>
          <w:lang w:val="en-GB" w:eastAsia="en-GB"/>
        </w:rPr>
        <w:t>.</w:t>
      </w:r>
    </w:p>
    <w:p w14:paraId="030BBD2C" w14:textId="0E62B7CF" w:rsidR="0053125B" w:rsidRDefault="0053125B" w:rsidP="005B5A20">
      <w:pPr>
        <w:spacing w:before="240" w:line="360" w:lineRule="auto"/>
        <w:jc w:val="both"/>
        <w:rPr>
          <w:rFonts w:ascii="Arial" w:hAnsi="Arial" w:cs="Arial"/>
          <w:sz w:val="24"/>
          <w:szCs w:val="24"/>
          <w:lang w:val="en-GB" w:eastAsia="en-GB"/>
        </w:rPr>
      </w:pPr>
    </w:p>
    <w:p w14:paraId="7C32267C" w14:textId="11746186" w:rsidR="0053125B" w:rsidRDefault="0053125B" w:rsidP="005B5A20">
      <w:pPr>
        <w:spacing w:before="240" w:line="360" w:lineRule="auto"/>
        <w:jc w:val="both"/>
        <w:rPr>
          <w:rFonts w:ascii="Arial" w:hAnsi="Arial" w:cs="Arial"/>
          <w:sz w:val="24"/>
          <w:szCs w:val="24"/>
          <w:lang w:val="en-GB" w:eastAsia="en-GB"/>
        </w:rPr>
      </w:pPr>
    </w:p>
    <w:p w14:paraId="38CE126B" w14:textId="78476105" w:rsidR="008A5186" w:rsidRDefault="008A5186" w:rsidP="005B5A20">
      <w:pPr>
        <w:spacing w:before="240" w:line="360" w:lineRule="auto"/>
        <w:jc w:val="both"/>
        <w:rPr>
          <w:rFonts w:ascii="Arial" w:hAnsi="Arial" w:cs="Arial"/>
          <w:sz w:val="24"/>
          <w:szCs w:val="24"/>
          <w:lang w:val="en-GB" w:eastAsia="en-GB"/>
        </w:rPr>
      </w:pPr>
    </w:p>
    <w:p w14:paraId="6561EE8E" w14:textId="3EA34C79" w:rsidR="008A5186" w:rsidRDefault="008A5186" w:rsidP="005B5A20">
      <w:pPr>
        <w:spacing w:before="240" w:line="360" w:lineRule="auto"/>
        <w:jc w:val="both"/>
        <w:rPr>
          <w:rFonts w:ascii="Arial" w:hAnsi="Arial" w:cs="Arial"/>
          <w:sz w:val="24"/>
          <w:szCs w:val="24"/>
          <w:lang w:val="en-GB" w:eastAsia="en-GB"/>
        </w:rPr>
      </w:pPr>
    </w:p>
    <w:p w14:paraId="5B97BDE6" w14:textId="590783F2" w:rsidR="008A5186" w:rsidRDefault="008A5186" w:rsidP="005B5A20">
      <w:pPr>
        <w:spacing w:before="240" w:line="360" w:lineRule="auto"/>
        <w:jc w:val="both"/>
        <w:rPr>
          <w:rFonts w:ascii="Arial" w:hAnsi="Arial" w:cs="Arial"/>
          <w:sz w:val="24"/>
          <w:szCs w:val="24"/>
          <w:lang w:val="en-GB" w:eastAsia="en-GB"/>
        </w:rPr>
      </w:pPr>
    </w:p>
    <w:p w14:paraId="5C5D0AC9" w14:textId="77777777" w:rsidR="008A5186" w:rsidRPr="00737EF2" w:rsidRDefault="008A5186" w:rsidP="00904AF2">
      <w:pPr>
        <w:pStyle w:val="Heading1"/>
        <w:jc w:val="center"/>
        <w:rPr>
          <w:rFonts w:eastAsia="Times New Roman"/>
          <w:lang w:val="en-GB" w:eastAsia="en-GB"/>
        </w:rPr>
      </w:pPr>
      <w:bookmarkStart w:id="132" w:name="_Toc241167520"/>
      <w:r w:rsidRPr="00737EF2">
        <w:rPr>
          <w:rFonts w:eastAsia="Times New Roman"/>
          <w:lang w:val="en-GB" w:eastAsia="en-GB"/>
        </w:rPr>
        <w:lastRenderedPageBreak/>
        <w:t>Chapter 14: Reflection</w:t>
      </w:r>
      <w:bookmarkEnd w:id="132"/>
    </w:p>
    <w:p w14:paraId="7873A6B2" w14:textId="77777777" w:rsidR="008A5186" w:rsidRPr="00737EF2" w:rsidRDefault="008A5186" w:rsidP="00904AF2">
      <w:pPr>
        <w:pStyle w:val="Heading2"/>
        <w:rPr>
          <w:rFonts w:eastAsia="Times New Roman"/>
          <w:lang w:val="en-GB" w:eastAsia="en-GB"/>
        </w:rPr>
      </w:pPr>
      <w:bookmarkStart w:id="133" w:name="_Toc241167521"/>
      <w:r w:rsidRPr="00737EF2">
        <w:rPr>
          <w:rFonts w:eastAsia="Times New Roman"/>
          <w:lang w:val="en-GB" w:eastAsia="en-GB"/>
        </w:rPr>
        <w:t>14.1 Reflection on the Business Development Experience</w:t>
      </w:r>
      <w:bookmarkEnd w:id="133"/>
    </w:p>
    <w:p w14:paraId="3F8FC248" w14:textId="6A54377F" w:rsidR="00CC4CCC" w:rsidRPr="00737EF2" w:rsidRDefault="00CC4CCC"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This Business Development Proposal (BDP) provided a great learning experience as I had to go from reading about business theories to applying them to a real business-development scenario. The Ethical Bean Coffee House (TEBC) development necessitated the following considerations: UK coffee market, customer segments, competitors, ethical sourcing, sustainability, business strategy, financial requirements, human resources, operations, feasibility and implementation. This process taught me that in the formulation of a business proposal, the various functional areas need to be linked together</w:t>
      </w:r>
      <w:r w:rsidR="00904AF2">
        <w:rPr>
          <w:rFonts w:ascii="Arial" w:hAnsi="Arial" w:cs="Arial"/>
          <w:sz w:val="24"/>
          <w:szCs w:val="24"/>
          <w:lang w:val="en-GB" w:eastAsia="en-GB"/>
        </w:rPr>
        <w:t xml:space="preserve"> and not dealt with separately.</w:t>
      </w:r>
    </w:p>
    <w:p w14:paraId="2786EA56" w14:textId="46D8C663" w:rsidR="008A5186" w:rsidRPr="00737EF2" w:rsidRDefault="00CC4CCC"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An important experience for me was my methodology. The approach was secondary data which comprised of academic literature, industry reports, government information and other documentary sources. This allowed me to gain an understanding of the market, consumer behaviour, sustainability and competitive issues without gathering my own primary data. But, I discovered that secondary research demands critical evaluation as there could be differences in purpose, methodology, date and assumptions in sources. As a result, I was more aware of evaluating the authenticity, authority and timeliness of information to make business decisions. This is one of the general principles of methodological consistency, critical appraisal in business research (Saunders et al., 2019)</w:t>
      </w:r>
      <w:r w:rsidR="008A5186" w:rsidRPr="00737EF2">
        <w:rPr>
          <w:rFonts w:ascii="Arial" w:hAnsi="Arial" w:cs="Arial"/>
          <w:sz w:val="24"/>
          <w:szCs w:val="24"/>
          <w:lang w:val="en-GB" w:eastAsia="en-GB"/>
        </w:rPr>
        <w:t>.</w:t>
      </w:r>
    </w:p>
    <w:p w14:paraId="7DD8A1EE" w14:textId="77777777" w:rsidR="008A5186" w:rsidRPr="00737EF2" w:rsidRDefault="008A5186" w:rsidP="00904AF2">
      <w:pPr>
        <w:pStyle w:val="Heading2"/>
        <w:rPr>
          <w:rFonts w:eastAsia="Times New Roman"/>
          <w:lang w:val="en-GB" w:eastAsia="en-GB"/>
        </w:rPr>
      </w:pPr>
      <w:bookmarkStart w:id="134" w:name="_Toc241167522"/>
      <w:r w:rsidRPr="00737EF2">
        <w:rPr>
          <w:rFonts w:eastAsia="Times New Roman"/>
          <w:lang w:val="en-GB" w:eastAsia="en-GB"/>
        </w:rPr>
        <w:t>14.2 What I Learned from the Experience</w:t>
      </w:r>
      <w:bookmarkEnd w:id="134"/>
    </w:p>
    <w:p w14:paraId="44DDC8F7" w14:textId="77777777" w:rsidR="003E3983" w:rsidRPr="00737EF2" w:rsidRDefault="003E3983"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A vital lesson was that pretty good business idea is not enough for a sustainable competitive edge. At first it seemed as though specialty coffee with ethical sourcing was a good way to differentiate. With the help of Porter's Five Forces, SWOT and VRIO analysis, however, it was shown that other players can deliver quality coffee and sustainability propositions as well. VRIO, in particular, allowed me to see that ethical sourcing is not a rarity, but rather gaining greater advantage relies on building better relationships with suppliers and having the capability extend through the organization (Barney, 1991). Thus, I came up with a more realistic approach to focused differentiation as specialty quality, credible sourcing, traceability, sustainability, and personalised service.</w:t>
      </w:r>
    </w:p>
    <w:p w14:paraId="0B7377DC" w14:textId="77777777" w:rsidR="003E3983" w:rsidRPr="00737EF2" w:rsidRDefault="003E3983" w:rsidP="00737EF2">
      <w:pPr>
        <w:spacing w:before="240" w:line="360" w:lineRule="auto"/>
        <w:jc w:val="both"/>
        <w:rPr>
          <w:rFonts w:ascii="Arial" w:hAnsi="Arial" w:cs="Arial"/>
          <w:sz w:val="24"/>
          <w:szCs w:val="24"/>
          <w:lang w:val="en-GB" w:eastAsia="en-GB"/>
        </w:rPr>
      </w:pPr>
    </w:p>
    <w:p w14:paraId="4ABD8484" w14:textId="5968D8F7" w:rsidR="003E3983" w:rsidRPr="00737EF2" w:rsidRDefault="003E3983"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I also gained an understanding of the need to integrate various business-planning tools. The Business Model Canvas does not look at customer segments, value proposition, channels, resources, activities or partnerships in isolation but allows to understand the interactions among them (</w:t>
      </w:r>
      <w:proofErr w:type="spellStart"/>
      <w:r w:rsidRPr="00737EF2">
        <w:rPr>
          <w:rFonts w:ascii="Arial" w:hAnsi="Arial" w:cs="Arial"/>
          <w:sz w:val="24"/>
          <w:szCs w:val="24"/>
          <w:lang w:val="en-GB" w:eastAsia="en-GB"/>
        </w:rPr>
        <w:t>Osterwalder</w:t>
      </w:r>
      <w:proofErr w:type="spellEnd"/>
      <w:r w:rsidRPr="00737EF2">
        <w:rPr>
          <w:rFonts w:ascii="Arial" w:hAnsi="Arial" w:cs="Arial"/>
          <w:sz w:val="24"/>
          <w:szCs w:val="24"/>
          <w:lang w:val="en-GB" w:eastAsia="en-GB"/>
        </w:rPr>
        <w:t xml:space="preserve"> and </w:t>
      </w:r>
      <w:proofErr w:type="spellStart"/>
      <w:r w:rsidRPr="00737EF2">
        <w:rPr>
          <w:rFonts w:ascii="Arial" w:hAnsi="Arial" w:cs="Arial"/>
          <w:sz w:val="24"/>
          <w:szCs w:val="24"/>
          <w:lang w:val="en-GB" w:eastAsia="en-GB"/>
        </w:rPr>
        <w:t>Pigneur</w:t>
      </w:r>
      <w:proofErr w:type="spellEnd"/>
      <w:r w:rsidRPr="00737EF2">
        <w:rPr>
          <w:rFonts w:ascii="Arial" w:hAnsi="Arial" w:cs="Arial"/>
          <w:sz w:val="24"/>
          <w:szCs w:val="24"/>
          <w:lang w:val="en-GB" w:eastAsia="en-GB"/>
        </w:rPr>
        <w:t>, 2010). Likewise, the financial analysis revealed that the operational assumptions need to be consistent with strategic decisions. For instance, the forecast number of transactions has implications for revenue, employee needs, stock, service capa</w:t>
      </w:r>
      <w:r w:rsidR="00904AF2">
        <w:rPr>
          <w:rFonts w:ascii="Arial" w:hAnsi="Arial" w:cs="Arial"/>
          <w:sz w:val="24"/>
          <w:szCs w:val="24"/>
          <w:lang w:val="en-GB" w:eastAsia="en-GB"/>
        </w:rPr>
        <w:t>city and breakeven performance.</w:t>
      </w:r>
    </w:p>
    <w:p w14:paraId="180D6015" w14:textId="1880DC8A" w:rsidR="008A5186" w:rsidRPr="00737EF2" w:rsidRDefault="003E3983"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A key lesson was the need to deal with uncertainty. The feasibility analysis indicated whether TEBC was potentially viable or not, but only if certain assumptions about demand, funding, supplier reliability, staffing and regulation and cost control were met. I learned that a viable business plan should not have fuzzy assumptions as a fact. Rather, assumption(s) should be recognized and validated through implementation and performance tracking. The knowledge helped to formulate the final conditional-go recommendation</w:t>
      </w:r>
      <w:r w:rsidR="008A5186" w:rsidRPr="00737EF2">
        <w:rPr>
          <w:rFonts w:ascii="Arial" w:hAnsi="Arial" w:cs="Arial"/>
          <w:sz w:val="24"/>
          <w:szCs w:val="24"/>
          <w:lang w:val="en-GB" w:eastAsia="en-GB"/>
        </w:rPr>
        <w:t>.</w:t>
      </w:r>
    </w:p>
    <w:p w14:paraId="542BC910" w14:textId="77777777" w:rsidR="008A5186" w:rsidRPr="00737EF2" w:rsidRDefault="008A5186" w:rsidP="00904AF2">
      <w:pPr>
        <w:pStyle w:val="Heading2"/>
        <w:rPr>
          <w:rFonts w:eastAsia="Times New Roman"/>
          <w:lang w:val="en-GB" w:eastAsia="en-GB"/>
        </w:rPr>
      </w:pPr>
      <w:bookmarkStart w:id="135" w:name="_Toc241167523"/>
      <w:r w:rsidRPr="00737EF2">
        <w:rPr>
          <w:rFonts w:eastAsia="Times New Roman"/>
          <w:lang w:val="en-GB" w:eastAsia="en-GB"/>
        </w:rPr>
        <w:t>14.3 What I Would Do Differently Next Time</w:t>
      </w:r>
      <w:bookmarkEnd w:id="135"/>
    </w:p>
    <w:p w14:paraId="2CE6DD2F" w14:textId="29DA6F60" w:rsidR="00737EF2"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 xml:space="preserve">I would create an evidence and assumption matrix at the start of the research process if I were to do the project again. This will clarify each of the major assumptions, supporting evidence, level of confidence and impact on the business. It would help to ensure consistency between market analysis, market strategy, financial forecasts </w:t>
      </w:r>
      <w:r w:rsidR="00904AF2">
        <w:rPr>
          <w:rFonts w:ascii="Arial" w:hAnsi="Arial" w:cs="Arial"/>
          <w:sz w:val="24"/>
          <w:szCs w:val="24"/>
          <w:lang w:val="en-GB" w:eastAsia="en-GB"/>
        </w:rPr>
        <w:t>and the feasibility assessment.</w:t>
      </w:r>
    </w:p>
    <w:p w14:paraId="7877F527" w14:textId="30C307F4" w:rsidR="00737EF2"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I would do more of a systematic search for secondary data from the start. The research process would be more efficient and repeated searching would be minimised if the research was in predefined research categories covering market demand, competition, ethical sourcing, sustainability, costs, regulation and consumer behaviour. A research process can be structured to help develop transparency and consistency in evidence-based decision making (Saunde</w:t>
      </w:r>
      <w:r w:rsidR="00904AF2">
        <w:rPr>
          <w:rFonts w:ascii="Arial" w:hAnsi="Arial" w:cs="Arial"/>
          <w:sz w:val="24"/>
          <w:szCs w:val="24"/>
          <w:lang w:val="en-GB" w:eastAsia="en-GB"/>
        </w:rPr>
        <w:t>rs, Lewis and Thornhill, 2019).</w:t>
      </w:r>
    </w:p>
    <w:p w14:paraId="2EF1393A" w14:textId="19912D0F" w:rsidR="00737EF2"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lastRenderedPageBreak/>
        <w:t>I would further develop the financial and operational assumptions earlier in the process. If transaction volume, average spend, variable costs and break-even points were tested in conjunction with the initial market analysis, it would be possible to find out more quickly if there were any problems with the proposal. For this BDP, secondary research was the right choice, however, the future development of TEBC could be improved with actual customer feedback and trading data as this would provide real world information to validate assumptions which second</w:t>
      </w:r>
      <w:r w:rsidR="00904AF2">
        <w:rPr>
          <w:rFonts w:ascii="Arial" w:hAnsi="Arial" w:cs="Arial"/>
          <w:sz w:val="24"/>
          <w:szCs w:val="24"/>
          <w:lang w:val="en-GB" w:eastAsia="en-GB"/>
        </w:rPr>
        <w:t>ary sources cannot fully prove.</w:t>
      </w:r>
    </w:p>
    <w:p w14:paraId="2C337C57" w14:textId="3D322C44" w:rsidR="008A5186" w:rsidRPr="00737EF2" w:rsidRDefault="00737EF2" w:rsidP="00737EF2">
      <w:pPr>
        <w:spacing w:before="240" w:line="360" w:lineRule="auto"/>
        <w:jc w:val="both"/>
        <w:rPr>
          <w:rFonts w:ascii="Arial" w:hAnsi="Arial" w:cs="Arial"/>
          <w:sz w:val="24"/>
          <w:szCs w:val="24"/>
          <w:lang w:val="en-GB" w:eastAsia="en-GB"/>
        </w:rPr>
      </w:pPr>
      <w:r w:rsidRPr="00737EF2">
        <w:rPr>
          <w:rFonts w:ascii="Arial" w:hAnsi="Arial" w:cs="Arial"/>
          <w:sz w:val="24"/>
          <w:szCs w:val="24"/>
          <w:lang w:val="en-GB" w:eastAsia="en-GB"/>
        </w:rPr>
        <w:t>In general, BDP boosted my theoretical links to practical decisions making. Effective business development involves evidence, integration and critical judgement and constant evaluation. The experience also demonstrated that uncertainty is not removed by a good business proposition, but rather is clearly identified and practical means are sought to manage and reduce it (</w:t>
      </w:r>
      <w:proofErr w:type="spellStart"/>
      <w:r w:rsidRPr="00737EF2">
        <w:rPr>
          <w:rFonts w:ascii="Arial" w:hAnsi="Arial" w:cs="Arial"/>
          <w:sz w:val="24"/>
          <w:szCs w:val="24"/>
          <w:lang w:val="en-GB" w:eastAsia="en-GB"/>
        </w:rPr>
        <w:t>Osterwalder</w:t>
      </w:r>
      <w:proofErr w:type="spellEnd"/>
      <w:r w:rsidRPr="00737EF2">
        <w:rPr>
          <w:rFonts w:ascii="Arial" w:hAnsi="Arial" w:cs="Arial"/>
          <w:sz w:val="24"/>
          <w:szCs w:val="24"/>
          <w:lang w:val="en-GB" w:eastAsia="en-GB"/>
        </w:rPr>
        <w:t xml:space="preserve"> and </w:t>
      </w:r>
      <w:proofErr w:type="spellStart"/>
      <w:r w:rsidRPr="00737EF2">
        <w:rPr>
          <w:rFonts w:ascii="Arial" w:hAnsi="Arial" w:cs="Arial"/>
          <w:sz w:val="24"/>
          <w:szCs w:val="24"/>
          <w:lang w:val="en-GB" w:eastAsia="en-GB"/>
        </w:rPr>
        <w:t>Pigneur</w:t>
      </w:r>
      <w:proofErr w:type="spellEnd"/>
      <w:r w:rsidRPr="00737EF2">
        <w:rPr>
          <w:rFonts w:ascii="Arial" w:hAnsi="Arial" w:cs="Arial"/>
          <w:sz w:val="24"/>
          <w:szCs w:val="24"/>
          <w:lang w:val="en-GB" w:eastAsia="en-GB"/>
        </w:rPr>
        <w:t>, 2010)</w:t>
      </w:r>
      <w:r w:rsidR="008A5186" w:rsidRPr="00737EF2">
        <w:rPr>
          <w:rFonts w:ascii="Arial" w:hAnsi="Arial" w:cs="Arial"/>
          <w:sz w:val="24"/>
          <w:szCs w:val="24"/>
          <w:lang w:val="en-GB" w:eastAsia="en-GB"/>
        </w:rPr>
        <w:t>.</w:t>
      </w:r>
    </w:p>
    <w:p w14:paraId="58BC4A79" w14:textId="77777777" w:rsidR="008A5186" w:rsidRDefault="008A5186" w:rsidP="005B5A20">
      <w:pPr>
        <w:spacing w:before="240" w:line="360" w:lineRule="auto"/>
        <w:jc w:val="both"/>
        <w:rPr>
          <w:rFonts w:ascii="Arial" w:hAnsi="Arial" w:cs="Arial"/>
          <w:sz w:val="24"/>
          <w:szCs w:val="24"/>
          <w:lang w:val="en-GB" w:eastAsia="en-GB"/>
        </w:rPr>
      </w:pPr>
    </w:p>
    <w:p w14:paraId="0A33DCC7" w14:textId="098670F3" w:rsidR="0053125B" w:rsidRDefault="0053125B" w:rsidP="005B5A20">
      <w:pPr>
        <w:spacing w:before="240" w:line="360" w:lineRule="auto"/>
        <w:jc w:val="both"/>
        <w:rPr>
          <w:rFonts w:ascii="Arial" w:hAnsi="Arial" w:cs="Arial"/>
          <w:sz w:val="24"/>
          <w:szCs w:val="24"/>
          <w:lang w:val="en-GB" w:eastAsia="en-GB"/>
        </w:rPr>
      </w:pPr>
    </w:p>
    <w:p w14:paraId="05A7D71F" w14:textId="498931B7" w:rsidR="0053125B" w:rsidRDefault="0053125B" w:rsidP="005B5A20">
      <w:pPr>
        <w:spacing w:before="240" w:line="360" w:lineRule="auto"/>
        <w:jc w:val="both"/>
        <w:rPr>
          <w:rFonts w:ascii="Arial" w:hAnsi="Arial" w:cs="Arial"/>
          <w:sz w:val="24"/>
          <w:szCs w:val="24"/>
          <w:lang w:val="en-GB" w:eastAsia="en-GB"/>
        </w:rPr>
      </w:pPr>
    </w:p>
    <w:p w14:paraId="2F451964" w14:textId="05E3725B" w:rsidR="0053125B" w:rsidRDefault="0053125B" w:rsidP="005B5A20">
      <w:pPr>
        <w:spacing w:before="240" w:line="360" w:lineRule="auto"/>
        <w:jc w:val="both"/>
        <w:rPr>
          <w:rFonts w:ascii="Arial" w:hAnsi="Arial" w:cs="Arial"/>
          <w:sz w:val="24"/>
          <w:szCs w:val="24"/>
          <w:lang w:val="en-GB" w:eastAsia="en-GB"/>
        </w:rPr>
      </w:pPr>
    </w:p>
    <w:p w14:paraId="01A6B8F9" w14:textId="74A96D55" w:rsidR="0053125B" w:rsidRDefault="0053125B" w:rsidP="005B5A20">
      <w:pPr>
        <w:spacing w:before="240" w:line="360" w:lineRule="auto"/>
        <w:jc w:val="both"/>
        <w:rPr>
          <w:rFonts w:ascii="Arial" w:hAnsi="Arial" w:cs="Arial"/>
          <w:sz w:val="24"/>
          <w:szCs w:val="24"/>
          <w:lang w:val="en-GB" w:eastAsia="en-GB"/>
        </w:rPr>
      </w:pPr>
    </w:p>
    <w:p w14:paraId="22D4515D" w14:textId="4483B03B" w:rsidR="0053125B" w:rsidRDefault="0053125B" w:rsidP="005B5A20">
      <w:pPr>
        <w:spacing w:before="240" w:line="360" w:lineRule="auto"/>
        <w:jc w:val="both"/>
        <w:rPr>
          <w:rFonts w:ascii="Arial" w:hAnsi="Arial" w:cs="Arial"/>
          <w:sz w:val="24"/>
          <w:szCs w:val="24"/>
          <w:lang w:val="en-GB" w:eastAsia="en-GB"/>
        </w:rPr>
      </w:pPr>
    </w:p>
    <w:p w14:paraId="0B0CB056" w14:textId="16ACDD18" w:rsidR="0053125B" w:rsidRDefault="0053125B" w:rsidP="005B5A20">
      <w:pPr>
        <w:spacing w:before="240" w:line="360" w:lineRule="auto"/>
        <w:jc w:val="both"/>
        <w:rPr>
          <w:rFonts w:ascii="Arial" w:hAnsi="Arial" w:cs="Arial"/>
          <w:sz w:val="24"/>
          <w:szCs w:val="24"/>
          <w:lang w:val="en-GB" w:eastAsia="en-GB"/>
        </w:rPr>
      </w:pPr>
    </w:p>
    <w:p w14:paraId="00AAAE73" w14:textId="77777777" w:rsidR="0053125B" w:rsidRPr="005B5A20" w:rsidRDefault="0053125B" w:rsidP="005B5A20">
      <w:pPr>
        <w:spacing w:before="240" w:line="360" w:lineRule="auto"/>
        <w:jc w:val="both"/>
        <w:rPr>
          <w:rFonts w:ascii="Arial" w:hAnsi="Arial" w:cs="Arial"/>
          <w:sz w:val="24"/>
          <w:szCs w:val="24"/>
          <w:lang w:val="en-GB" w:eastAsia="en-GB"/>
        </w:rPr>
      </w:pPr>
    </w:p>
    <w:p w14:paraId="3204FCAB" w14:textId="64B66D74" w:rsidR="006826F6" w:rsidRDefault="006826F6" w:rsidP="00231238">
      <w:pPr>
        <w:spacing w:before="240" w:line="360" w:lineRule="auto"/>
        <w:jc w:val="both"/>
        <w:rPr>
          <w:rFonts w:ascii="Arial" w:hAnsi="Arial" w:cs="Arial"/>
          <w:sz w:val="24"/>
          <w:szCs w:val="24"/>
          <w:lang w:val="en-GB" w:eastAsia="en-GB"/>
        </w:rPr>
      </w:pPr>
    </w:p>
    <w:p w14:paraId="4591EBFC" w14:textId="77777777" w:rsidR="00904AF2" w:rsidRPr="00231238" w:rsidRDefault="00904AF2" w:rsidP="00231238">
      <w:pPr>
        <w:spacing w:before="240" w:line="360" w:lineRule="auto"/>
        <w:jc w:val="both"/>
        <w:rPr>
          <w:rFonts w:ascii="Arial" w:hAnsi="Arial" w:cs="Arial"/>
          <w:sz w:val="24"/>
          <w:szCs w:val="24"/>
          <w:lang w:val="en-GB" w:eastAsia="en-GB"/>
        </w:rPr>
      </w:pPr>
    </w:p>
    <w:p w14:paraId="75A1B2A5" w14:textId="1C1D4A3F" w:rsidR="00CE5501" w:rsidRDefault="00CE5501" w:rsidP="0081009F">
      <w:pPr>
        <w:spacing w:before="240" w:line="360" w:lineRule="auto"/>
        <w:jc w:val="both"/>
        <w:rPr>
          <w:rFonts w:ascii="Arial" w:hAnsi="Arial" w:cs="Arial"/>
          <w:sz w:val="24"/>
          <w:szCs w:val="24"/>
          <w:lang w:val="en-GB" w:eastAsia="en-GB"/>
        </w:rPr>
      </w:pPr>
    </w:p>
    <w:p w14:paraId="2AB60491" w14:textId="77777777" w:rsidR="003F29DB" w:rsidRPr="0081009F" w:rsidRDefault="003F29DB" w:rsidP="0081009F">
      <w:pPr>
        <w:spacing w:before="240" w:line="360" w:lineRule="auto"/>
        <w:jc w:val="both"/>
        <w:rPr>
          <w:rFonts w:ascii="Arial" w:hAnsi="Arial" w:cs="Arial"/>
          <w:sz w:val="24"/>
          <w:szCs w:val="24"/>
          <w:lang w:val="en-GB" w:eastAsia="en-GB"/>
        </w:rPr>
      </w:pPr>
    </w:p>
    <w:p w14:paraId="1FA8BEAC" w14:textId="77777777" w:rsidR="00764905" w:rsidRPr="00764905" w:rsidRDefault="00764905" w:rsidP="00764905">
      <w:pPr>
        <w:keepNext/>
        <w:keepLines/>
        <w:spacing w:before="360" w:after="80"/>
        <w:outlineLvl w:val="0"/>
        <w:rPr>
          <w:rFonts w:ascii="Arial" w:eastAsia="Times New Roman" w:hAnsi="Arial" w:cstheme="majorBidi"/>
          <w:b/>
          <w:color w:val="000000" w:themeColor="text1"/>
          <w:sz w:val="32"/>
          <w:szCs w:val="40"/>
          <w:lang w:val="en-GB" w:eastAsia="en-GB"/>
        </w:rPr>
      </w:pPr>
      <w:bookmarkStart w:id="136" w:name="_Toc241167524"/>
      <w:r w:rsidRPr="00764905">
        <w:rPr>
          <w:rFonts w:ascii="Arial" w:eastAsia="Times New Roman" w:hAnsi="Arial" w:cstheme="majorBidi"/>
          <w:b/>
          <w:color w:val="000000" w:themeColor="text1"/>
          <w:sz w:val="32"/>
          <w:szCs w:val="40"/>
          <w:lang w:val="en-GB" w:eastAsia="en-GB"/>
        </w:rPr>
        <w:lastRenderedPageBreak/>
        <w:t>Reference</w:t>
      </w:r>
      <w:bookmarkEnd w:id="136"/>
      <w:r w:rsidRPr="00764905">
        <w:rPr>
          <w:rFonts w:ascii="Arial" w:eastAsia="Times New Roman" w:hAnsi="Arial" w:cstheme="majorBidi"/>
          <w:b/>
          <w:color w:val="000000" w:themeColor="text1"/>
          <w:sz w:val="32"/>
          <w:szCs w:val="40"/>
          <w:lang w:val="en-GB" w:eastAsia="en-GB"/>
        </w:rPr>
        <w:t xml:space="preserve"> </w:t>
      </w:r>
    </w:p>
    <w:p w14:paraId="79E6412F"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Abdu, N. and </w:t>
      </w:r>
      <w:proofErr w:type="spellStart"/>
      <w:r w:rsidRPr="003F29DB">
        <w:rPr>
          <w:rFonts w:ascii="Arial" w:eastAsia="Times New Roman" w:hAnsi="Arial" w:cs="Arial"/>
          <w:sz w:val="24"/>
          <w:szCs w:val="24"/>
          <w:lang w:val="en-GB" w:eastAsia="en-GB"/>
        </w:rPr>
        <w:t>Mutuku</w:t>
      </w:r>
      <w:proofErr w:type="spellEnd"/>
      <w:r w:rsidRPr="003F29DB">
        <w:rPr>
          <w:rFonts w:ascii="Arial" w:eastAsia="Times New Roman" w:hAnsi="Arial" w:cs="Arial"/>
          <w:sz w:val="24"/>
          <w:szCs w:val="24"/>
          <w:lang w:val="en-GB" w:eastAsia="en-GB"/>
        </w:rPr>
        <w:t xml:space="preserve">, J. (2021) ‘Willingness to pay for socially responsible products: A meta-analysis of coffee </w:t>
      </w:r>
      <w:proofErr w:type="spellStart"/>
      <w:r w:rsidRPr="003F29DB">
        <w:rPr>
          <w:rFonts w:ascii="Arial" w:eastAsia="Times New Roman" w:hAnsi="Arial" w:cs="Arial"/>
          <w:sz w:val="24"/>
          <w:szCs w:val="24"/>
          <w:lang w:val="en-GB" w:eastAsia="en-GB"/>
        </w:rPr>
        <w:t>ecolabelling</w:t>
      </w:r>
      <w:proofErr w:type="spellEnd"/>
      <w:r w:rsidRPr="003F29DB">
        <w:rPr>
          <w:rFonts w:ascii="Arial" w:eastAsia="Times New Roman" w:hAnsi="Arial" w:cs="Arial"/>
          <w:sz w:val="24"/>
          <w:szCs w:val="24"/>
          <w:lang w:val="en-GB" w:eastAsia="en-GB"/>
        </w:rPr>
        <w:t xml:space="preserve">’, </w:t>
      </w:r>
      <w:proofErr w:type="spellStart"/>
      <w:r w:rsidRPr="003F29DB">
        <w:rPr>
          <w:rFonts w:ascii="Arial" w:eastAsia="Times New Roman" w:hAnsi="Arial" w:cs="Arial"/>
          <w:i/>
          <w:iCs/>
          <w:sz w:val="24"/>
          <w:szCs w:val="24"/>
          <w:lang w:val="en-GB" w:eastAsia="en-GB"/>
        </w:rPr>
        <w:t>Heliyon</w:t>
      </w:r>
      <w:proofErr w:type="spellEnd"/>
      <w:r w:rsidRPr="003F29DB">
        <w:rPr>
          <w:rFonts w:ascii="Arial" w:eastAsia="Times New Roman" w:hAnsi="Arial" w:cs="Arial"/>
          <w:sz w:val="24"/>
          <w:szCs w:val="24"/>
          <w:lang w:val="en-GB" w:eastAsia="en-GB"/>
        </w:rPr>
        <w:t xml:space="preserve">, 7(7), e07043. Available at: </w:t>
      </w:r>
      <w:hyperlink r:id="rId13" w:history="1">
        <w:r w:rsidRPr="003F29DB">
          <w:rPr>
            <w:rFonts w:ascii="Arial" w:eastAsia="Times New Roman" w:hAnsi="Arial" w:cs="Arial"/>
            <w:color w:val="0000FF"/>
            <w:sz w:val="24"/>
            <w:szCs w:val="24"/>
            <w:u w:val="single"/>
            <w:lang w:val="en-GB" w:eastAsia="en-GB"/>
          </w:rPr>
          <w:t>https://doi.org/10.1016/j.heliyon.2021.e07043</w:t>
        </w:r>
      </w:hyperlink>
      <w:r w:rsidRPr="003F29DB">
        <w:rPr>
          <w:rFonts w:ascii="Arial" w:eastAsia="Times New Roman" w:hAnsi="Arial" w:cs="Arial"/>
          <w:sz w:val="24"/>
          <w:szCs w:val="24"/>
          <w:lang w:val="en-GB" w:eastAsia="en-GB"/>
        </w:rPr>
        <w:t xml:space="preserve"> (Accessed: 24 September 2026).</w:t>
      </w:r>
    </w:p>
    <w:p w14:paraId="115FAD2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Aaker</w:t>
      </w:r>
      <w:proofErr w:type="spellEnd"/>
      <w:r w:rsidRPr="003F29DB">
        <w:rPr>
          <w:rFonts w:ascii="Arial" w:eastAsia="Times New Roman" w:hAnsi="Arial" w:cs="Arial"/>
          <w:sz w:val="24"/>
          <w:szCs w:val="24"/>
          <w:lang w:val="en-GB" w:eastAsia="en-GB"/>
        </w:rPr>
        <w:t xml:space="preserve">, D.A. (1991) </w:t>
      </w:r>
      <w:r w:rsidRPr="003F29DB">
        <w:rPr>
          <w:rFonts w:ascii="Arial" w:eastAsia="Times New Roman" w:hAnsi="Arial" w:cs="Arial"/>
          <w:i/>
          <w:iCs/>
          <w:sz w:val="24"/>
          <w:szCs w:val="24"/>
          <w:lang w:val="en-GB" w:eastAsia="en-GB"/>
        </w:rPr>
        <w:t>Managing Brand Equity: Capitalizing on the Value of a Brand Name</w:t>
      </w:r>
      <w:r w:rsidRPr="003F29DB">
        <w:rPr>
          <w:rFonts w:ascii="Arial" w:eastAsia="Times New Roman" w:hAnsi="Arial" w:cs="Arial"/>
          <w:sz w:val="24"/>
          <w:szCs w:val="24"/>
          <w:lang w:val="en-GB" w:eastAsia="en-GB"/>
        </w:rPr>
        <w:t xml:space="preserve">. New York: Free Press. Available at: </w:t>
      </w:r>
      <w:hyperlink r:id="rId14" w:history="1">
        <w:r w:rsidRPr="003F29DB">
          <w:rPr>
            <w:rFonts w:ascii="Arial" w:eastAsia="Times New Roman" w:hAnsi="Arial" w:cs="Arial"/>
            <w:color w:val="0000FF"/>
            <w:sz w:val="24"/>
            <w:szCs w:val="24"/>
            <w:u w:val="single"/>
            <w:lang w:val="en-GB" w:eastAsia="en-GB"/>
          </w:rPr>
          <w:t>https://books.google.com/books?id=r_TSY5sxnO8C</w:t>
        </w:r>
      </w:hyperlink>
      <w:r w:rsidRPr="003F29DB">
        <w:rPr>
          <w:rFonts w:ascii="Arial" w:eastAsia="Times New Roman" w:hAnsi="Arial" w:cs="Arial"/>
          <w:sz w:val="24"/>
          <w:szCs w:val="24"/>
          <w:lang w:val="en-GB" w:eastAsia="en-GB"/>
        </w:rPr>
        <w:t xml:space="preserve"> (Accessed: 24 September 2026).</w:t>
      </w:r>
    </w:p>
    <w:p w14:paraId="1E825510"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Ahi, A. and Searcy, C. (2013) ‘A comparative literature analysis of definitions for green and sustainable supply chain management’, </w:t>
      </w:r>
      <w:r w:rsidRPr="003F29DB">
        <w:rPr>
          <w:rFonts w:ascii="Arial" w:eastAsia="Times New Roman" w:hAnsi="Arial" w:cs="Arial"/>
          <w:i/>
          <w:iCs/>
          <w:sz w:val="24"/>
          <w:szCs w:val="24"/>
          <w:lang w:val="en-GB" w:eastAsia="en-GB"/>
        </w:rPr>
        <w:t>Journal of Cleaner Production</w:t>
      </w:r>
      <w:r w:rsidRPr="003F29DB">
        <w:rPr>
          <w:rFonts w:ascii="Arial" w:eastAsia="Times New Roman" w:hAnsi="Arial" w:cs="Arial"/>
          <w:sz w:val="24"/>
          <w:szCs w:val="24"/>
          <w:lang w:val="en-GB" w:eastAsia="en-GB"/>
        </w:rPr>
        <w:t xml:space="preserve">, 52, pp. 329–341. Available at: </w:t>
      </w:r>
      <w:hyperlink r:id="rId15" w:history="1">
        <w:r w:rsidRPr="003F29DB">
          <w:rPr>
            <w:rFonts w:ascii="Arial" w:eastAsia="Times New Roman" w:hAnsi="Arial" w:cs="Arial"/>
            <w:color w:val="0000FF"/>
            <w:sz w:val="24"/>
            <w:szCs w:val="24"/>
            <w:u w:val="single"/>
            <w:lang w:val="en-GB" w:eastAsia="en-GB"/>
          </w:rPr>
          <w:t>https://doi.org/10.1016/j.jclepro.2013.02.018</w:t>
        </w:r>
      </w:hyperlink>
      <w:r w:rsidRPr="003F29DB">
        <w:rPr>
          <w:rFonts w:ascii="Arial" w:eastAsia="Times New Roman" w:hAnsi="Arial" w:cs="Arial"/>
          <w:sz w:val="24"/>
          <w:szCs w:val="24"/>
          <w:lang w:val="en-GB" w:eastAsia="en-GB"/>
        </w:rPr>
        <w:t xml:space="preserve"> (Accessed: 24 September 2026).</w:t>
      </w:r>
    </w:p>
    <w:p w14:paraId="0905FA84"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Alves, H., </w:t>
      </w:r>
      <w:proofErr w:type="spellStart"/>
      <w:r w:rsidRPr="003F29DB">
        <w:rPr>
          <w:rFonts w:ascii="Arial" w:eastAsia="Times New Roman" w:hAnsi="Arial" w:cs="Arial"/>
          <w:sz w:val="24"/>
          <w:szCs w:val="24"/>
          <w:lang w:val="en-GB" w:eastAsia="en-GB"/>
        </w:rPr>
        <w:t>Fernandes</w:t>
      </w:r>
      <w:proofErr w:type="spellEnd"/>
      <w:r w:rsidRPr="003F29DB">
        <w:rPr>
          <w:rFonts w:ascii="Arial" w:eastAsia="Times New Roman" w:hAnsi="Arial" w:cs="Arial"/>
          <w:sz w:val="24"/>
          <w:szCs w:val="24"/>
          <w:lang w:val="en-GB" w:eastAsia="en-GB"/>
        </w:rPr>
        <w:t xml:space="preserve">, C. and </w:t>
      </w:r>
      <w:proofErr w:type="spellStart"/>
      <w:r w:rsidRPr="003F29DB">
        <w:rPr>
          <w:rFonts w:ascii="Arial" w:eastAsia="Times New Roman" w:hAnsi="Arial" w:cs="Arial"/>
          <w:sz w:val="24"/>
          <w:szCs w:val="24"/>
          <w:lang w:val="en-GB" w:eastAsia="en-GB"/>
        </w:rPr>
        <w:t>Raposo</w:t>
      </w:r>
      <w:proofErr w:type="spellEnd"/>
      <w:r w:rsidRPr="003F29DB">
        <w:rPr>
          <w:rFonts w:ascii="Arial" w:eastAsia="Times New Roman" w:hAnsi="Arial" w:cs="Arial"/>
          <w:sz w:val="24"/>
          <w:szCs w:val="24"/>
          <w:lang w:val="en-GB" w:eastAsia="en-GB"/>
        </w:rPr>
        <w:t xml:space="preserve">, M. (2016) ‘Value co-creation: Concept and contexts of application and study’, </w:t>
      </w:r>
      <w:r w:rsidRPr="003F29DB">
        <w:rPr>
          <w:rFonts w:ascii="Arial" w:eastAsia="Times New Roman" w:hAnsi="Arial" w:cs="Arial"/>
          <w:i/>
          <w:iCs/>
          <w:sz w:val="24"/>
          <w:szCs w:val="24"/>
          <w:lang w:val="en-GB" w:eastAsia="en-GB"/>
        </w:rPr>
        <w:t>Journal of Business Research</w:t>
      </w:r>
      <w:r w:rsidRPr="003F29DB">
        <w:rPr>
          <w:rFonts w:ascii="Arial" w:eastAsia="Times New Roman" w:hAnsi="Arial" w:cs="Arial"/>
          <w:sz w:val="24"/>
          <w:szCs w:val="24"/>
          <w:lang w:val="en-GB" w:eastAsia="en-GB"/>
        </w:rPr>
        <w:t xml:space="preserve">, 69(5), pp. 1626–1633. Available at: </w:t>
      </w:r>
      <w:hyperlink r:id="rId16" w:history="1">
        <w:r w:rsidRPr="003F29DB">
          <w:rPr>
            <w:rFonts w:ascii="Arial" w:eastAsia="Times New Roman" w:hAnsi="Arial" w:cs="Arial"/>
            <w:color w:val="0000FF"/>
            <w:sz w:val="24"/>
            <w:szCs w:val="24"/>
            <w:u w:val="single"/>
            <w:lang w:val="en-GB" w:eastAsia="en-GB"/>
          </w:rPr>
          <w:t>https://doi.org/10.1016/j.jbusres.2015.10.029</w:t>
        </w:r>
      </w:hyperlink>
      <w:r w:rsidRPr="003F29DB">
        <w:rPr>
          <w:rFonts w:ascii="Arial" w:eastAsia="Times New Roman" w:hAnsi="Arial" w:cs="Arial"/>
          <w:sz w:val="24"/>
          <w:szCs w:val="24"/>
          <w:lang w:val="en-GB" w:eastAsia="en-GB"/>
        </w:rPr>
        <w:t xml:space="preserve"> (Accessed: 24 September 2026).</w:t>
      </w:r>
    </w:p>
    <w:p w14:paraId="45685A2B"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Barney, J. (1991) ‘Firm resources and sustained competitive advantage’, </w:t>
      </w:r>
      <w:r w:rsidRPr="003F29DB">
        <w:rPr>
          <w:rFonts w:ascii="Arial" w:eastAsia="Times New Roman" w:hAnsi="Arial" w:cs="Arial"/>
          <w:i/>
          <w:iCs/>
          <w:sz w:val="24"/>
          <w:szCs w:val="24"/>
          <w:lang w:val="en-GB" w:eastAsia="en-GB"/>
        </w:rPr>
        <w:t>Journal of Management</w:t>
      </w:r>
      <w:r w:rsidRPr="003F29DB">
        <w:rPr>
          <w:rFonts w:ascii="Arial" w:eastAsia="Times New Roman" w:hAnsi="Arial" w:cs="Arial"/>
          <w:sz w:val="24"/>
          <w:szCs w:val="24"/>
          <w:lang w:val="en-GB" w:eastAsia="en-GB"/>
        </w:rPr>
        <w:t xml:space="preserve">, 17(1), pp. 99–120. Available at: </w:t>
      </w:r>
      <w:hyperlink r:id="rId17" w:history="1">
        <w:r w:rsidRPr="003F29DB">
          <w:rPr>
            <w:rFonts w:ascii="Arial" w:eastAsia="Times New Roman" w:hAnsi="Arial" w:cs="Arial"/>
            <w:color w:val="0000FF"/>
            <w:sz w:val="24"/>
            <w:szCs w:val="24"/>
            <w:u w:val="single"/>
            <w:lang w:val="en-GB" w:eastAsia="en-GB"/>
          </w:rPr>
          <w:t>https://doi.org/10.1177/014920639101700108</w:t>
        </w:r>
      </w:hyperlink>
      <w:r w:rsidRPr="003F29DB">
        <w:rPr>
          <w:rFonts w:ascii="Arial" w:eastAsia="Times New Roman" w:hAnsi="Arial" w:cs="Arial"/>
          <w:sz w:val="24"/>
          <w:szCs w:val="24"/>
          <w:lang w:val="en-GB" w:eastAsia="en-GB"/>
        </w:rPr>
        <w:t xml:space="preserve"> (Accessed: 24 September 2026).</w:t>
      </w:r>
    </w:p>
    <w:p w14:paraId="4F57F0A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British Coffee Association (2022) </w:t>
      </w:r>
      <w:r w:rsidRPr="003F29DB">
        <w:rPr>
          <w:rFonts w:ascii="Arial" w:eastAsia="Times New Roman" w:hAnsi="Arial" w:cs="Arial"/>
          <w:i/>
          <w:iCs/>
          <w:sz w:val="24"/>
          <w:szCs w:val="24"/>
          <w:lang w:val="en-GB" w:eastAsia="en-GB"/>
        </w:rPr>
        <w:t>Coffee and the UK</w:t>
      </w:r>
      <w:r w:rsidRPr="003F29DB">
        <w:rPr>
          <w:rFonts w:ascii="Arial" w:eastAsia="Times New Roman" w:hAnsi="Arial" w:cs="Arial"/>
          <w:sz w:val="24"/>
          <w:szCs w:val="24"/>
          <w:lang w:val="en-GB" w:eastAsia="en-GB"/>
        </w:rPr>
        <w:t xml:space="preserve">. Available at: </w:t>
      </w:r>
      <w:hyperlink r:id="rId18" w:history="1">
        <w:r w:rsidRPr="003F29DB">
          <w:rPr>
            <w:rFonts w:ascii="Arial" w:eastAsia="Times New Roman" w:hAnsi="Arial" w:cs="Arial"/>
            <w:color w:val="0000FF"/>
            <w:sz w:val="24"/>
            <w:szCs w:val="24"/>
            <w:u w:val="single"/>
            <w:lang w:val="en-GB" w:eastAsia="en-GB"/>
          </w:rPr>
          <w:t>https://britishcoffeeassociation.org/</w:t>
        </w:r>
      </w:hyperlink>
      <w:r w:rsidRPr="003F29DB">
        <w:rPr>
          <w:rFonts w:ascii="Arial" w:eastAsia="Times New Roman" w:hAnsi="Arial" w:cs="Arial"/>
          <w:sz w:val="24"/>
          <w:szCs w:val="24"/>
          <w:lang w:val="en-GB" w:eastAsia="en-GB"/>
        </w:rPr>
        <w:t xml:space="preserve"> (Accessed: 24 September 2026).</w:t>
      </w:r>
    </w:p>
    <w:p w14:paraId="7BB7DFA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British Coffee Association (2024) </w:t>
      </w:r>
      <w:r w:rsidRPr="003F29DB">
        <w:rPr>
          <w:rFonts w:ascii="Arial" w:eastAsia="Times New Roman" w:hAnsi="Arial" w:cs="Arial"/>
          <w:i/>
          <w:iCs/>
          <w:sz w:val="24"/>
          <w:szCs w:val="24"/>
          <w:lang w:val="en-GB" w:eastAsia="en-GB"/>
        </w:rPr>
        <w:t>Coffee and the UK: Industry Information</w:t>
      </w:r>
      <w:r w:rsidRPr="003F29DB">
        <w:rPr>
          <w:rFonts w:ascii="Arial" w:eastAsia="Times New Roman" w:hAnsi="Arial" w:cs="Arial"/>
          <w:sz w:val="24"/>
          <w:szCs w:val="24"/>
          <w:lang w:val="en-GB" w:eastAsia="en-GB"/>
        </w:rPr>
        <w:t xml:space="preserve">. Available at: </w:t>
      </w:r>
      <w:hyperlink r:id="rId19" w:history="1">
        <w:r w:rsidRPr="003F29DB">
          <w:rPr>
            <w:rFonts w:ascii="Arial" w:eastAsia="Times New Roman" w:hAnsi="Arial" w:cs="Arial"/>
            <w:color w:val="0000FF"/>
            <w:sz w:val="24"/>
            <w:szCs w:val="24"/>
            <w:u w:val="single"/>
            <w:lang w:val="en-GB" w:eastAsia="en-GB"/>
          </w:rPr>
          <w:t>https://britishcoffeeassociation.org/</w:t>
        </w:r>
      </w:hyperlink>
      <w:r w:rsidRPr="003F29DB">
        <w:rPr>
          <w:rFonts w:ascii="Arial" w:eastAsia="Times New Roman" w:hAnsi="Arial" w:cs="Arial"/>
          <w:sz w:val="24"/>
          <w:szCs w:val="24"/>
          <w:lang w:val="en-GB" w:eastAsia="en-GB"/>
        </w:rPr>
        <w:t xml:space="preserve"> (Accessed: 24 September 2026).</w:t>
      </w:r>
    </w:p>
    <w:p w14:paraId="580BF138"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Bryman</w:t>
      </w:r>
      <w:proofErr w:type="spellEnd"/>
      <w:r w:rsidRPr="003F29DB">
        <w:rPr>
          <w:rFonts w:ascii="Arial" w:eastAsia="Times New Roman" w:hAnsi="Arial" w:cs="Arial"/>
          <w:sz w:val="24"/>
          <w:szCs w:val="24"/>
          <w:lang w:val="en-GB" w:eastAsia="en-GB"/>
        </w:rPr>
        <w:t xml:space="preserve">, A. (2016) </w:t>
      </w:r>
      <w:r w:rsidRPr="003F29DB">
        <w:rPr>
          <w:rFonts w:ascii="Arial" w:eastAsia="Times New Roman" w:hAnsi="Arial" w:cs="Arial"/>
          <w:i/>
          <w:iCs/>
          <w:sz w:val="24"/>
          <w:szCs w:val="24"/>
          <w:lang w:val="en-GB" w:eastAsia="en-GB"/>
        </w:rPr>
        <w:t>Social Research Methods</w:t>
      </w:r>
      <w:r w:rsidRPr="003F29DB">
        <w:rPr>
          <w:rFonts w:ascii="Arial" w:eastAsia="Times New Roman" w:hAnsi="Arial" w:cs="Arial"/>
          <w:sz w:val="24"/>
          <w:szCs w:val="24"/>
          <w:lang w:val="en-GB" w:eastAsia="en-GB"/>
        </w:rPr>
        <w:t xml:space="preserve">. 5th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Oxford: Oxford University Press. Available at: </w:t>
      </w:r>
      <w:hyperlink r:id="rId20" w:history="1">
        <w:r w:rsidRPr="003F29DB">
          <w:rPr>
            <w:rFonts w:ascii="Arial" w:eastAsia="Times New Roman" w:hAnsi="Arial" w:cs="Arial"/>
            <w:color w:val="0000FF"/>
            <w:sz w:val="24"/>
            <w:szCs w:val="24"/>
            <w:u w:val="single"/>
            <w:lang w:val="en-GB" w:eastAsia="en-GB"/>
          </w:rPr>
          <w:t>https://global.oup.com/academic/product/social-research-methods-9780199689453</w:t>
        </w:r>
      </w:hyperlink>
      <w:r w:rsidRPr="003F29DB">
        <w:rPr>
          <w:rFonts w:ascii="Arial" w:eastAsia="Times New Roman" w:hAnsi="Arial" w:cs="Arial"/>
          <w:sz w:val="24"/>
          <w:szCs w:val="24"/>
          <w:lang w:val="en-GB" w:eastAsia="en-GB"/>
        </w:rPr>
        <w:t xml:space="preserve"> (Accessed: 24 September 2026).</w:t>
      </w:r>
    </w:p>
    <w:p w14:paraId="5D31CC61"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Carter, C.R. and Rogers, D.S. (2008) ‘A framework of sustainable supply chain management: Moving toward new theory’, </w:t>
      </w:r>
      <w:r w:rsidRPr="003F29DB">
        <w:rPr>
          <w:rFonts w:ascii="Arial" w:eastAsia="Times New Roman" w:hAnsi="Arial" w:cs="Arial"/>
          <w:i/>
          <w:iCs/>
          <w:sz w:val="24"/>
          <w:szCs w:val="24"/>
          <w:lang w:val="en-GB" w:eastAsia="en-GB"/>
        </w:rPr>
        <w:t>International Journal of Physical Distribution &amp; Logistics Management</w:t>
      </w:r>
      <w:r w:rsidRPr="003F29DB">
        <w:rPr>
          <w:rFonts w:ascii="Arial" w:eastAsia="Times New Roman" w:hAnsi="Arial" w:cs="Arial"/>
          <w:sz w:val="24"/>
          <w:szCs w:val="24"/>
          <w:lang w:val="en-GB" w:eastAsia="en-GB"/>
        </w:rPr>
        <w:t xml:space="preserve">, 38(5), pp. 360–387. Available at: </w:t>
      </w:r>
      <w:hyperlink r:id="rId21" w:history="1">
        <w:r w:rsidRPr="003F29DB">
          <w:rPr>
            <w:rFonts w:ascii="Arial" w:eastAsia="Times New Roman" w:hAnsi="Arial" w:cs="Arial"/>
            <w:color w:val="0000FF"/>
            <w:sz w:val="24"/>
            <w:szCs w:val="24"/>
            <w:u w:val="single"/>
            <w:lang w:val="en-GB" w:eastAsia="en-GB"/>
          </w:rPr>
          <w:t>https://doi.org/10.1108/09600030810882816</w:t>
        </w:r>
      </w:hyperlink>
      <w:r w:rsidRPr="003F29DB">
        <w:rPr>
          <w:rFonts w:ascii="Arial" w:eastAsia="Times New Roman" w:hAnsi="Arial" w:cs="Arial"/>
          <w:sz w:val="24"/>
          <w:szCs w:val="24"/>
          <w:lang w:val="en-GB" w:eastAsia="en-GB"/>
        </w:rPr>
        <w:t xml:space="preserve"> (Accessed: 24 September 2026).</w:t>
      </w:r>
    </w:p>
    <w:p w14:paraId="5A7A99A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lastRenderedPageBreak/>
        <w:t>Cavusgil</w:t>
      </w:r>
      <w:proofErr w:type="spellEnd"/>
      <w:r w:rsidRPr="003F29DB">
        <w:rPr>
          <w:rFonts w:ascii="Arial" w:eastAsia="Times New Roman" w:hAnsi="Arial" w:cs="Arial"/>
          <w:sz w:val="24"/>
          <w:szCs w:val="24"/>
          <w:lang w:val="en-GB" w:eastAsia="en-GB"/>
        </w:rPr>
        <w:t xml:space="preserve">, S.T., Knight, G. and </w:t>
      </w:r>
      <w:proofErr w:type="spellStart"/>
      <w:r w:rsidRPr="003F29DB">
        <w:rPr>
          <w:rFonts w:ascii="Arial" w:eastAsia="Times New Roman" w:hAnsi="Arial" w:cs="Arial"/>
          <w:sz w:val="24"/>
          <w:szCs w:val="24"/>
          <w:lang w:val="en-GB" w:eastAsia="en-GB"/>
        </w:rPr>
        <w:t>Riesenberger</w:t>
      </w:r>
      <w:proofErr w:type="spellEnd"/>
      <w:r w:rsidRPr="003F29DB">
        <w:rPr>
          <w:rFonts w:ascii="Arial" w:eastAsia="Times New Roman" w:hAnsi="Arial" w:cs="Arial"/>
          <w:sz w:val="24"/>
          <w:szCs w:val="24"/>
          <w:lang w:val="en-GB" w:eastAsia="en-GB"/>
        </w:rPr>
        <w:t xml:space="preserve">, J.R. (2020) </w:t>
      </w:r>
      <w:r w:rsidRPr="003F29DB">
        <w:rPr>
          <w:rFonts w:ascii="Arial" w:eastAsia="Times New Roman" w:hAnsi="Arial" w:cs="Arial"/>
          <w:i/>
          <w:iCs/>
          <w:sz w:val="24"/>
          <w:szCs w:val="24"/>
          <w:lang w:val="en-GB" w:eastAsia="en-GB"/>
        </w:rPr>
        <w:t>International Business: The New Realities</w:t>
      </w:r>
      <w:r w:rsidRPr="003F29DB">
        <w:rPr>
          <w:rFonts w:ascii="Arial" w:eastAsia="Times New Roman" w:hAnsi="Arial" w:cs="Arial"/>
          <w:sz w:val="24"/>
          <w:szCs w:val="24"/>
          <w:lang w:val="en-GB" w:eastAsia="en-GB"/>
        </w:rPr>
        <w:t xml:space="preserve">. 5th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Pearson. Available at: </w:t>
      </w:r>
      <w:hyperlink r:id="rId22" w:history="1">
        <w:r w:rsidRPr="003F29DB">
          <w:rPr>
            <w:rFonts w:ascii="Arial" w:eastAsia="Times New Roman" w:hAnsi="Arial" w:cs="Arial"/>
            <w:color w:val="0000FF"/>
            <w:sz w:val="24"/>
            <w:szCs w:val="24"/>
            <w:u w:val="single"/>
            <w:lang w:val="en-GB" w:eastAsia="en-GB"/>
          </w:rPr>
          <w:t>https://www.pearson.com/en-us/subject-catalog/p/international-business-the-new-realities/P200000006273</w:t>
        </w:r>
      </w:hyperlink>
      <w:r w:rsidRPr="003F29DB">
        <w:rPr>
          <w:rFonts w:ascii="Arial" w:eastAsia="Times New Roman" w:hAnsi="Arial" w:cs="Arial"/>
          <w:sz w:val="24"/>
          <w:szCs w:val="24"/>
          <w:lang w:val="en-GB" w:eastAsia="en-GB"/>
        </w:rPr>
        <w:t xml:space="preserve"> (Accessed: 24 September 2026).</w:t>
      </w:r>
    </w:p>
    <w:p w14:paraId="2C66660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Cohen, B. and Winn, M.I. (2007) ‘Market imperfections, opportunity and sustainable entrepreneurship’, </w:t>
      </w:r>
      <w:r w:rsidRPr="003F29DB">
        <w:rPr>
          <w:rFonts w:ascii="Arial" w:eastAsia="Times New Roman" w:hAnsi="Arial" w:cs="Arial"/>
          <w:i/>
          <w:iCs/>
          <w:sz w:val="24"/>
          <w:szCs w:val="24"/>
          <w:lang w:val="en-GB" w:eastAsia="en-GB"/>
        </w:rPr>
        <w:t>Journal of Business Venturing</w:t>
      </w:r>
      <w:r w:rsidRPr="003F29DB">
        <w:rPr>
          <w:rFonts w:ascii="Arial" w:eastAsia="Times New Roman" w:hAnsi="Arial" w:cs="Arial"/>
          <w:sz w:val="24"/>
          <w:szCs w:val="24"/>
          <w:lang w:val="en-GB" w:eastAsia="en-GB"/>
        </w:rPr>
        <w:t xml:space="preserve">, 22(1), pp. 29–49. Available at: </w:t>
      </w:r>
      <w:hyperlink r:id="rId23" w:history="1">
        <w:r w:rsidRPr="003F29DB">
          <w:rPr>
            <w:rFonts w:ascii="Arial" w:eastAsia="Times New Roman" w:hAnsi="Arial" w:cs="Arial"/>
            <w:color w:val="0000FF"/>
            <w:sz w:val="24"/>
            <w:szCs w:val="24"/>
            <w:u w:val="single"/>
            <w:lang w:val="en-GB" w:eastAsia="en-GB"/>
          </w:rPr>
          <w:t>https://doi.org/10.1016/j.jbusvent.2004.12.001</w:t>
        </w:r>
      </w:hyperlink>
      <w:r w:rsidRPr="003F29DB">
        <w:rPr>
          <w:rFonts w:ascii="Arial" w:eastAsia="Times New Roman" w:hAnsi="Arial" w:cs="Arial"/>
          <w:sz w:val="24"/>
          <w:szCs w:val="24"/>
          <w:lang w:val="en-GB" w:eastAsia="en-GB"/>
        </w:rPr>
        <w:t xml:space="preserve"> (Accessed: 24 September 2026).</w:t>
      </w:r>
    </w:p>
    <w:p w14:paraId="6F64EEC3"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Covent Garden London (2026) </w:t>
      </w:r>
      <w:r w:rsidRPr="003F29DB">
        <w:rPr>
          <w:rFonts w:ascii="Arial" w:eastAsia="Times New Roman" w:hAnsi="Arial" w:cs="Arial"/>
          <w:i/>
          <w:iCs/>
          <w:sz w:val="24"/>
          <w:szCs w:val="24"/>
          <w:lang w:val="en-GB" w:eastAsia="en-GB"/>
        </w:rPr>
        <w:t>Coffee Shops in Covent Garden</w:t>
      </w:r>
      <w:r w:rsidRPr="003F29DB">
        <w:rPr>
          <w:rFonts w:ascii="Arial" w:eastAsia="Times New Roman" w:hAnsi="Arial" w:cs="Arial"/>
          <w:sz w:val="24"/>
          <w:szCs w:val="24"/>
          <w:lang w:val="en-GB" w:eastAsia="en-GB"/>
        </w:rPr>
        <w:t xml:space="preserve">. Available at: </w:t>
      </w:r>
      <w:hyperlink r:id="rId24" w:history="1">
        <w:r w:rsidRPr="003F29DB">
          <w:rPr>
            <w:rFonts w:ascii="Arial" w:eastAsia="Times New Roman" w:hAnsi="Arial" w:cs="Arial"/>
            <w:color w:val="0000FF"/>
            <w:sz w:val="24"/>
            <w:szCs w:val="24"/>
            <w:u w:val="single"/>
            <w:lang w:val="en-GB" w:eastAsia="en-GB"/>
          </w:rPr>
          <w:t>https://www.coventgarden.london/food-drink/coffee-shops/</w:t>
        </w:r>
      </w:hyperlink>
      <w:r w:rsidRPr="003F29DB">
        <w:rPr>
          <w:rFonts w:ascii="Arial" w:eastAsia="Times New Roman" w:hAnsi="Arial" w:cs="Arial"/>
          <w:sz w:val="24"/>
          <w:szCs w:val="24"/>
          <w:lang w:val="en-GB" w:eastAsia="en-GB"/>
        </w:rPr>
        <w:t xml:space="preserve"> (Accessed: 24 September 2026).</w:t>
      </w:r>
    </w:p>
    <w:p w14:paraId="0E288EFA"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Creswell, J.W. and Creswell, J.D. (2018) </w:t>
      </w:r>
      <w:r w:rsidRPr="003F29DB">
        <w:rPr>
          <w:rFonts w:ascii="Arial" w:eastAsia="Times New Roman" w:hAnsi="Arial" w:cs="Arial"/>
          <w:i/>
          <w:iCs/>
          <w:sz w:val="24"/>
          <w:szCs w:val="24"/>
          <w:lang w:val="en-GB" w:eastAsia="en-GB"/>
        </w:rPr>
        <w:t>Research Design: Qualitative, Quantitative, and Mixed Methods Approaches</w:t>
      </w:r>
      <w:r w:rsidRPr="003F29DB">
        <w:rPr>
          <w:rFonts w:ascii="Arial" w:eastAsia="Times New Roman" w:hAnsi="Arial" w:cs="Arial"/>
          <w:sz w:val="24"/>
          <w:szCs w:val="24"/>
          <w:lang w:val="en-GB" w:eastAsia="en-GB"/>
        </w:rPr>
        <w:t xml:space="preserve">. 5th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Thousand Oaks, CA: Sage. Available at: </w:t>
      </w:r>
      <w:hyperlink r:id="rId25" w:history="1">
        <w:r w:rsidRPr="003F29DB">
          <w:rPr>
            <w:rFonts w:ascii="Arial" w:eastAsia="Times New Roman" w:hAnsi="Arial" w:cs="Arial"/>
            <w:color w:val="0000FF"/>
            <w:sz w:val="24"/>
            <w:szCs w:val="24"/>
            <w:u w:val="single"/>
            <w:lang w:val="en-GB" w:eastAsia="en-GB"/>
          </w:rPr>
          <w:t>https://us.sagepub.com/en-us/nam/research-design/book255675</w:t>
        </w:r>
      </w:hyperlink>
      <w:r w:rsidRPr="003F29DB">
        <w:rPr>
          <w:rFonts w:ascii="Arial" w:eastAsia="Times New Roman" w:hAnsi="Arial" w:cs="Arial"/>
          <w:sz w:val="24"/>
          <w:szCs w:val="24"/>
          <w:lang w:val="en-GB" w:eastAsia="en-GB"/>
        </w:rPr>
        <w:t xml:space="preserve"> (Accessed: 24 September 2026).</w:t>
      </w:r>
    </w:p>
    <w:p w14:paraId="4501C218"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Dahl, D.W., </w:t>
      </w:r>
      <w:proofErr w:type="spellStart"/>
      <w:r w:rsidRPr="003F29DB">
        <w:rPr>
          <w:rFonts w:ascii="Arial" w:eastAsia="Times New Roman" w:hAnsi="Arial" w:cs="Arial"/>
          <w:sz w:val="24"/>
          <w:szCs w:val="24"/>
          <w:lang w:val="en-GB" w:eastAsia="en-GB"/>
        </w:rPr>
        <w:t>Manchanda</w:t>
      </w:r>
      <w:proofErr w:type="spellEnd"/>
      <w:r w:rsidRPr="003F29DB">
        <w:rPr>
          <w:rFonts w:ascii="Arial" w:eastAsia="Times New Roman" w:hAnsi="Arial" w:cs="Arial"/>
          <w:sz w:val="24"/>
          <w:szCs w:val="24"/>
          <w:lang w:val="en-GB" w:eastAsia="en-GB"/>
        </w:rPr>
        <w:t xml:space="preserve">, R.V. and Argo, J.J. (2001) ‘Embarrassment in consumer purchase: The roles of social presence and purchase familiarity’, </w:t>
      </w:r>
      <w:r w:rsidRPr="003F29DB">
        <w:rPr>
          <w:rFonts w:ascii="Arial" w:eastAsia="Times New Roman" w:hAnsi="Arial" w:cs="Arial"/>
          <w:i/>
          <w:iCs/>
          <w:sz w:val="24"/>
          <w:szCs w:val="24"/>
          <w:lang w:val="en-GB" w:eastAsia="en-GB"/>
        </w:rPr>
        <w:t>Journal of Consumer Research</w:t>
      </w:r>
      <w:r w:rsidRPr="003F29DB">
        <w:rPr>
          <w:rFonts w:ascii="Arial" w:eastAsia="Times New Roman" w:hAnsi="Arial" w:cs="Arial"/>
          <w:sz w:val="24"/>
          <w:szCs w:val="24"/>
          <w:lang w:val="en-GB" w:eastAsia="en-GB"/>
        </w:rPr>
        <w:t xml:space="preserve">, 28(3), pp. 473–481. Available at: </w:t>
      </w:r>
      <w:hyperlink r:id="rId26" w:history="1">
        <w:r w:rsidRPr="003F29DB">
          <w:rPr>
            <w:rFonts w:ascii="Arial" w:eastAsia="Times New Roman" w:hAnsi="Arial" w:cs="Arial"/>
            <w:color w:val="0000FF"/>
            <w:sz w:val="24"/>
            <w:szCs w:val="24"/>
            <w:u w:val="single"/>
            <w:lang w:val="en-GB" w:eastAsia="en-GB"/>
          </w:rPr>
          <w:t>https://doi.org/10.1086/323733</w:t>
        </w:r>
      </w:hyperlink>
      <w:r w:rsidRPr="003F29DB">
        <w:rPr>
          <w:rFonts w:ascii="Arial" w:eastAsia="Times New Roman" w:hAnsi="Arial" w:cs="Arial"/>
          <w:sz w:val="24"/>
          <w:szCs w:val="24"/>
          <w:lang w:val="en-GB" w:eastAsia="en-GB"/>
        </w:rPr>
        <w:t xml:space="preserve"> (Accessed: 24 September 2026).</w:t>
      </w:r>
    </w:p>
    <w:p w14:paraId="6F7FF22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De </w:t>
      </w:r>
      <w:proofErr w:type="spellStart"/>
      <w:r w:rsidRPr="003F29DB">
        <w:rPr>
          <w:rFonts w:ascii="Arial" w:eastAsia="Times New Roman" w:hAnsi="Arial" w:cs="Arial"/>
          <w:sz w:val="24"/>
          <w:szCs w:val="24"/>
          <w:lang w:val="en-GB" w:eastAsia="en-GB"/>
        </w:rPr>
        <w:t>Pelsmacker</w:t>
      </w:r>
      <w:proofErr w:type="spellEnd"/>
      <w:r w:rsidRPr="003F29DB">
        <w:rPr>
          <w:rFonts w:ascii="Arial" w:eastAsia="Times New Roman" w:hAnsi="Arial" w:cs="Arial"/>
          <w:sz w:val="24"/>
          <w:szCs w:val="24"/>
          <w:lang w:val="en-GB" w:eastAsia="en-GB"/>
        </w:rPr>
        <w:t xml:space="preserve">, P., </w:t>
      </w:r>
      <w:proofErr w:type="spellStart"/>
      <w:r w:rsidRPr="003F29DB">
        <w:rPr>
          <w:rFonts w:ascii="Arial" w:eastAsia="Times New Roman" w:hAnsi="Arial" w:cs="Arial"/>
          <w:sz w:val="24"/>
          <w:szCs w:val="24"/>
          <w:lang w:val="en-GB" w:eastAsia="en-GB"/>
        </w:rPr>
        <w:t>Driesen</w:t>
      </w:r>
      <w:proofErr w:type="spellEnd"/>
      <w:r w:rsidRPr="003F29DB">
        <w:rPr>
          <w:rFonts w:ascii="Arial" w:eastAsia="Times New Roman" w:hAnsi="Arial" w:cs="Arial"/>
          <w:sz w:val="24"/>
          <w:szCs w:val="24"/>
          <w:lang w:val="en-GB" w:eastAsia="en-GB"/>
        </w:rPr>
        <w:t xml:space="preserve">, L. and </w:t>
      </w:r>
      <w:proofErr w:type="spellStart"/>
      <w:r w:rsidRPr="003F29DB">
        <w:rPr>
          <w:rFonts w:ascii="Arial" w:eastAsia="Times New Roman" w:hAnsi="Arial" w:cs="Arial"/>
          <w:sz w:val="24"/>
          <w:szCs w:val="24"/>
          <w:lang w:val="en-GB" w:eastAsia="en-GB"/>
        </w:rPr>
        <w:t>Rayp</w:t>
      </w:r>
      <w:proofErr w:type="spellEnd"/>
      <w:r w:rsidRPr="003F29DB">
        <w:rPr>
          <w:rFonts w:ascii="Arial" w:eastAsia="Times New Roman" w:hAnsi="Arial" w:cs="Arial"/>
          <w:sz w:val="24"/>
          <w:szCs w:val="24"/>
          <w:lang w:val="en-GB" w:eastAsia="en-GB"/>
        </w:rPr>
        <w:t xml:space="preserve">, G. (2005) ‘Do consumers care about ethics? Willingness to pay for fair-trade coffee’, </w:t>
      </w:r>
      <w:r w:rsidRPr="003F29DB">
        <w:rPr>
          <w:rFonts w:ascii="Arial" w:eastAsia="Times New Roman" w:hAnsi="Arial" w:cs="Arial"/>
          <w:i/>
          <w:iCs/>
          <w:sz w:val="24"/>
          <w:szCs w:val="24"/>
          <w:lang w:val="en-GB" w:eastAsia="en-GB"/>
        </w:rPr>
        <w:t>Journal of Consumer Affairs</w:t>
      </w:r>
      <w:r w:rsidRPr="003F29DB">
        <w:rPr>
          <w:rFonts w:ascii="Arial" w:eastAsia="Times New Roman" w:hAnsi="Arial" w:cs="Arial"/>
          <w:sz w:val="24"/>
          <w:szCs w:val="24"/>
          <w:lang w:val="en-GB" w:eastAsia="en-GB"/>
        </w:rPr>
        <w:t xml:space="preserve">, 39(2), pp. 363–385. Available at: </w:t>
      </w:r>
      <w:hyperlink r:id="rId27" w:history="1">
        <w:r w:rsidRPr="003F29DB">
          <w:rPr>
            <w:rFonts w:ascii="Arial" w:eastAsia="Times New Roman" w:hAnsi="Arial" w:cs="Arial"/>
            <w:color w:val="0000FF"/>
            <w:sz w:val="24"/>
            <w:szCs w:val="24"/>
            <w:u w:val="single"/>
            <w:lang w:val="en-GB" w:eastAsia="en-GB"/>
          </w:rPr>
          <w:t>https://doi.org/10.1111/j.1745-6606.2005.00019.x</w:t>
        </w:r>
      </w:hyperlink>
      <w:r w:rsidRPr="003F29DB">
        <w:rPr>
          <w:rFonts w:ascii="Arial" w:eastAsia="Times New Roman" w:hAnsi="Arial" w:cs="Arial"/>
          <w:sz w:val="24"/>
          <w:szCs w:val="24"/>
          <w:lang w:val="en-GB" w:eastAsia="en-GB"/>
        </w:rPr>
        <w:t xml:space="preserve"> (Accessed: 24 September 2026).</w:t>
      </w:r>
    </w:p>
    <w:p w14:paraId="1A7A91E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Department for Business and Trade (2024) </w:t>
      </w:r>
      <w:r w:rsidRPr="003F29DB">
        <w:rPr>
          <w:rFonts w:ascii="Arial" w:eastAsia="Times New Roman" w:hAnsi="Arial" w:cs="Arial"/>
          <w:i/>
          <w:iCs/>
          <w:sz w:val="24"/>
          <w:szCs w:val="24"/>
          <w:lang w:val="en-GB" w:eastAsia="en-GB"/>
        </w:rPr>
        <w:t>Small and Medium Enterprises Action Plan</w:t>
      </w:r>
      <w:r w:rsidRPr="003F29DB">
        <w:rPr>
          <w:rFonts w:ascii="Arial" w:eastAsia="Times New Roman" w:hAnsi="Arial" w:cs="Arial"/>
          <w:sz w:val="24"/>
          <w:szCs w:val="24"/>
          <w:lang w:val="en-GB" w:eastAsia="en-GB"/>
        </w:rPr>
        <w:t xml:space="preserve">. GOV.UK. Available at: </w:t>
      </w:r>
      <w:hyperlink r:id="rId28" w:history="1">
        <w:r w:rsidRPr="003F29DB">
          <w:rPr>
            <w:rFonts w:ascii="Arial" w:eastAsia="Times New Roman" w:hAnsi="Arial" w:cs="Arial"/>
            <w:color w:val="0000FF"/>
            <w:sz w:val="24"/>
            <w:szCs w:val="24"/>
            <w:u w:val="single"/>
            <w:lang w:val="en-GB" w:eastAsia="en-GB"/>
          </w:rPr>
          <w:t>https://www.gov.uk/government/organisations/department-for-business-and-trade</w:t>
        </w:r>
      </w:hyperlink>
      <w:r w:rsidRPr="003F29DB">
        <w:rPr>
          <w:rFonts w:ascii="Arial" w:eastAsia="Times New Roman" w:hAnsi="Arial" w:cs="Arial"/>
          <w:sz w:val="24"/>
          <w:szCs w:val="24"/>
          <w:lang w:val="en-GB" w:eastAsia="en-GB"/>
        </w:rPr>
        <w:t xml:space="preserve"> (Accessed: 24 September 2026).</w:t>
      </w:r>
    </w:p>
    <w:p w14:paraId="6B3CE20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Department for Environment, Food &amp; Rural Affairs (2023) </w:t>
      </w:r>
      <w:r w:rsidRPr="003F29DB">
        <w:rPr>
          <w:rFonts w:ascii="Arial" w:eastAsia="Times New Roman" w:hAnsi="Arial" w:cs="Arial"/>
          <w:i/>
          <w:iCs/>
          <w:sz w:val="24"/>
          <w:szCs w:val="24"/>
          <w:lang w:val="en-GB" w:eastAsia="en-GB"/>
        </w:rPr>
        <w:t>Food Waste and Sustainable Food Systems</w:t>
      </w:r>
      <w:r w:rsidRPr="003F29DB">
        <w:rPr>
          <w:rFonts w:ascii="Arial" w:eastAsia="Times New Roman" w:hAnsi="Arial" w:cs="Arial"/>
          <w:sz w:val="24"/>
          <w:szCs w:val="24"/>
          <w:lang w:val="en-GB" w:eastAsia="en-GB"/>
        </w:rPr>
        <w:t xml:space="preserve">. GOV.UK. Available at: </w:t>
      </w:r>
      <w:hyperlink r:id="rId29" w:history="1">
        <w:r w:rsidRPr="003F29DB">
          <w:rPr>
            <w:rFonts w:ascii="Arial" w:eastAsia="Times New Roman" w:hAnsi="Arial" w:cs="Arial"/>
            <w:color w:val="0000FF"/>
            <w:sz w:val="24"/>
            <w:szCs w:val="24"/>
            <w:u w:val="single"/>
            <w:lang w:val="en-GB" w:eastAsia="en-GB"/>
          </w:rPr>
          <w:t>https://www.gov.uk/government/organisations/department-for-environment-food-rural-affairs</w:t>
        </w:r>
      </w:hyperlink>
      <w:r w:rsidRPr="003F29DB">
        <w:rPr>
          <w:rFonts w:ascii="Arial" w:eastAsia="Times New Roman" w:hAnsi="Arial" w:cs="Arial"/>
          <w:sz w:val="24"/>
          <w:szCs w:val="24"/>
          <w:lang w:val="en-GB" w:eastAsia="en-GB"/>
        </w:rPr>
        <w:t xml:space="preserve"> (Accessed: 24 September 2026).</w:t>
      </w:r>
    </w:p>
    <w:p w14:paraId="19B7F17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Department for Environment, Food &amp; Rural Affairs (2024) </w:t>
      </w:r>
      <w:r w:rsidRPr="003F29DB">
        <w:rPr>
          <w:rFonts w:ascii="Arial" w:eastAsia="Times New Roman" w:hAnsi="Arial" w:cs="Arial"/>
          <w:i/>
          <w:iCs/>
          <w:sz w:val="24"/>
          <w:szCs w:val="24"/>
          <w:lang w:val="en-GB" w:eastAsia="en-GB"/>
        </w:rPr>
        <w:t>Resources and Waste Strategy for England</w:t>
      </w:r>
      <w:r w:rsidRPr="003F29DB">
        <w:rPr>
          <w:rFonts w:ascii="Arial" w:eastAsia="Times New Roman" w:hAnsi="Arial" w:cs="Arial"/>
          <w:sz w:val="24"/>
          <w:szCs w:val="24"/>
          <w:lang w:val="en-GB" w:eastAsia="en-GB"/>
        </w:rPr>
        <w:t xml:space="preserve">. GOV.UK. Available at: </w:t>
      </w:r>
      <w:hyperlink r:id="rId30" w:history="1">
        <w:r w:rsidRPr="003F29DB">
          <w:rPr>
            <w:rFonts w:ascii="Arial" w:eastAsia="Times New Roman" w:hAnsi="Arial" w:cs="Arial"/>
            <w:color w:val="0000FF"/>
            <w:sz w:val="24"/>
            <w:szCs w:val="24"/>
            <w:u w:val="single"/>
            <w:lang w:val="en-GB" w:eastAsia="en-GB"/>
          </w:rPr>
          <w:t>https://www.gov.uk/government/publications/resources-and-waste-strategy-for-england</w:t>
        </w:r>
      </w:hyperlink>
      <w:r w:rsidRPr="003F29DB">
        <w:rPr>
          <w:rFonts w:ascii="Arial" w:eastAsia="Times New Roman" w:hAnsi="Arial" w:cs="Arial"/>
          <w:sz w:val="24"/>
          <w:szCs w:val="24"/>
          <w:lang w:val="en-GB" w:eastAsia="en-GB"/>
        </w:rPr>
        <w:t xml:space="preserve"> (Accessed: 24 September 2026).</w:t>
      </w:r>
    </w:p>
    <w:p w14:paraId="40B77B02"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Elkington</w:t>
      </w:r>
      <w:proofErr w:type="spellEnd"/>
      <w:r w:rsidRPr="003F29DB">
        <w:rPr>
          <w:rFonts w:ascii="Arial" w:eastAsia="Times New Roman" w:hAnsi="Arial" w:cs="Arial"/>
          <w:sz w:val="24"/>
          <w:szCs w:val="24"/>
          <w:lang w:val="en-GB" w:eastAsia="en-GB"/>
        </w:rPr>
        <w:t xml:space="preserve">, J. (1997) </w:t>
      </w:r>
      <w:r w:rsidRPr="003F29DB">
        <w:rPr>
          <w:rFonts w:ascii="Arial" w:eastAsia="Times New Roman" w:hAnsi="Arial" w:cs="Arial"/>
          <w:i/>
          <w:iCs/>
          <w:sz w:val="24"/>
          <w:szCs w:val="24"/>
          <w:lang w:val="en-GB" w:eastAsia="en-GB"/>
        </w:rPr>
        <w:t>Cannibals with Forks: The Triple Bottom Line of 21st Century Business</w:t>
      </w:r>
      <w:r w:rsidRPr="003F29DB">
        <w:rPr>
          <w:rFonts w:ascii="Arial" w:eastAsia="Times New Roman" w:hAnsi="Arial" w:cs="Arial"/>
          <w:sz w:val="24"/>
          <w:szCs w:val="24"/>
          <w:lang w:val="en-GB" w:eastAsia="en-GB"/>
        </w:rPr>
        <w:t xml:space="preserve">. Oxford: Capstone. Available at: </w:t>
      </w:r>
      <w:hyperlink r:id="rId31" w:history="1">
        <w:r w:rsidRPr="003F29DB">
          <w:rPr>
            <w:rFonts w:ascii="Arial" w:eastAsia="Times New Roman" w:hAnsi="Arial" w:cs="Arial"/>
            <w:color w:val="0000FF"/>
            <w:sz w:val="24"/>
            <w:szCs w:val="24"/>
            <w:u w:val="single"/>
            <w:lang w:val="en-GB" w:eastAsia="en-GB"/>
          </w:rPr>
          <w:t>https://books.google.com/books?id=Z1YvAQAAMAAJ</w:t>
        </w:r>
      </w:hyperlink>
      <w:r w:rsidRPr="003F29DB">
        <w:rPr>
          <w:rFonts w:ascii="Arial" w:eastAsia="Times New Roman" w:hAnsi="Arial" w:cs="Arial"/>
          <w:sz w:val="24"/>
          <w:szCs w:val="24"/>
          <w:lang w:val="en-GB" w:eastAsia="en-GB"/>
        </w:rPr>
        <w:t xml:space="preserve"> (Accessed: 24 September 2026).</w:t>
      </w:r>
    </w:p>
    <w:p w14:paraId="59F6E393"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Ellen MacArthur Foundation (2015) </w:t>
      </w:r>
      <w:r w:rsidRPr="003F29DB">
        <w:rPr>
          <w:rFonts w:ascii="Arial" w:eastAsia="Times New Roman" w:hAnsi="Arial" w:cs="Arial"/>
          <w:i/>
          <w:iCs/>
          <w:sz w:val="24"/>
          <w:szCs w:val="24"/>
          <w:lang w:val="en-GB" w:eastAsia="en-GB"/>
        </w:rPr>
        <w:t>Towards the Circular Economy: Business Rationale for an Accelerated Transition</w:t>
      </w:r>
      <w:r w:rsidRPr="003F29DB">
        <w:rPr>
          <w:rFonts w:ascii="Arial" w:eastAsia="Times New Roman" w:hAnsi="Arial" w:cs="Arial"/>
          <w:sz w:val="24"/>
          <w:szCs w:val="24"/>
          <w:lang w:val="en-GB" w:eastAsia="en-GB"/>
        </w:rPr>
        <w:t xml:space="preserve">. Available at: </w:t>
      </w:r>
      <w:hyperlink r:id="rId32" w:history="1">
        <w:r w:rsidRPr="003F29DB">
          <w:rPr>
            <w:rFonts w:ascii="Arial" w:eastAsia="Times New Roman" w:hAnsi="Arial" w:cs="Arial"/>
            <w:color w:val="0000FF"/>
            <w:sz w:val="24"/>
            <w:szCs w:val="24"/>
            <w:u w:val="single"/>
            <w:lang w:val="en-GB" w:eastAsia="en-GB"/>
          </w:rPr>
          <w:t>https://www.ellenmacarthurfoundation.org/towards-the-circular-economy-vol-1-an-economic-and-business-rationale-for-an</w:t>
        </w:r>
      </w:hyperlink>
      <w:r w:rsidRPr="003F29DB">
        <w:rPr>
          <w:rFonts w:ascii="Arial" w:eastAsia="Times New Roman" w:hAnsi="Arial" w:cs="Arial"/>
          <w:sz w:val="24"/>
          <w:szCs w:val="24"/>
          <w:lang w:val="en-GB" w:eastAsia="en-GB"/>
        </w:rPr>
        <w:t xml:space="preserve"> (Accessed: 24 September 2026).</w:t>
      </w:r>
    </w:p>
    <w:p w14:paraId="6F85752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Ellen MacArthur Foundation (2021) </w:t>
      </w:r>
      <w:r w:rsidRPr="003F29DB">
        <w:rPr>
          <w:rFonts w:ascii="Arial" w:eastAsia="Times New Roman" w:hAnsi="Arial" w:cs="Arial"/>
          <w:i/>
          <w:iCs/>
          <w:sz w:val="24"/>
          <w:szCs w:val="24"/>
          <w:lang w:val="en-GB" w:eastAsia="en-GB"/>
        </w:rPr>
        <w:t>Circular Economy Introduction</w:t>
      </w:r>
      <w:r w:rsidRPr="003F29DB">
        <w:rPr>
          <w:rFonts w:ascii="Arial" w:eastAsia="Times New Roman" w:hAnsi="Arial" w:cs="Arial"/>
          <w:sz w:val="24"/>
          <w:szCs w:val="24"/>
          <w:lang w:val="en-GB" w:eastAsia="en-GB"/>
        </w:rPr>
        <w:t xml:space="preserve">. Available at: </w:t>
      </w:r>
      <w:hyperlink r:id="rId33" w:history="1">
        <w:r w:rsidRPr="003F29DB">
          <w:rPr>
            <w:rFonts w:ascii="Arial" w:eastAsia="Times New Roman" w:hAnsi="Arial" w:cs="Arial"/>
            <w:color w:val="0000FF"/>
            <w:sz w:val="24"/>
            <w:szCs w:val="24"/>
            <w:u w:val="single"/>
            <w:lang w:val="en-GB" w:eastAsia="en-GB"/>
          </w:rPr>
          <w:t>https://www.ellenmacarthurfoundation.org/topics/circular-economy-introduction/overview</w:t>
        </w:r>
      </w:hyperlink>
      <w:r w:rsidRPr="003F29DB">
        <w:rPr>
          <w:rFonts w:ascii="Arial" w:eastAsia="Times New Roman" w:hAnsi="Arial" w:cs="Arial"/>
          <w:sz w:val="24"/>
          <w:szCs w:val="24"/>
          <w:lang w:val="en-GB" w:eastAsia="en-GB"/>
        </w:rPr>
        <w:t xml:space="preserve"> (Accessed: 24 September 2026).</w:t>
      </w:r>
    </w:p>
    <w:p w14:paraId="6DECA24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Fairtrade Foundation (2024) </w:t>
      </w:r>
      <w:r w:rsidRPr="003F29DB">
        <w:rPr>
          <w:rFonts w:ascii="Arial" w:eastAsia="Times New Roman" w:hAnsi="Arial" w:cs="Arial"/>
          <w:i/>
          <w:iCs/>
          <w:sz w:val="24"/>
          <w:szCs w:val="24"/>
          <w:lang w:val="en-GB" w:eastAsia="en-GB"/>
        </w:rPr>
        <w:t>Coffee</w:t>
      </w:r>
      <w:r w:rsidRPr="003F29DB">
        <w:rPr>
          <w:rFonts w:ascii="Arial" w:eastAsia="Times New Roman" w:hAnsi="Arial" w:cs="Arial"/>
          <w:sz w:val="24"/>
          <w:szCs w:val="24"/>
          <w:lang w:val="en-GB" w:eastAsia="en-GB"/>
        </w:rPr>
        <w:t xml:space="preserve">. Available at: </w:t>
      </w:r>
      <w:hyperlink r:id="rId34" w:history="1">
        <w:r w:rsidRPr="003F29DB">
          <w:rPr>
            <w:rFonts w:ascii="Arial" w:eastAsia="Times New Roman" w:hAnsi="Arial" w:cs="Arial"/>
            <w:color w:val="0000FF"/>
            <w:sz w:val="24"/>
            <w:szCs w:val="24"/>
            <w:u w:val="single"/>
            <w:lang w:val="en-GB" w:eastAsia="en-GB"/>
          </w:rPr>
          <w:t>https://www.fairtrade.org.uk/farmers-and-workers/coffee/</w:t>
        </w:r>
      </w:hyperlink>
      <w:r w:rsidRPr="003F29DB">
        <w:rPr>
          <w:rFonts w:ascii="Arial" w:eastAsia="Times New Roman" w:hAnsi="Arial" w:cs="Arial"/>
          <w:sz w:val="24"/>
          <w:szCs w:val="24"/>
          <w:lang w:val="en-GB" w:eastAsia="en-GB"/>
        </w:rPr>
        <w:t xml:space="preserve"> (Accessed: 24 September 2026).</w:t>
      </w:r>
    </w:p>
    <w:p w14:paraId="2A1A455A"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Fairtrade Foundation (2025) </w:t>
      </w:r>
      <w:r w:rsidRPr="003F29DB">
        <w:rPr>
          <w:rFonts w:ascii="Arial" w:eastAsia="Times New Roman" w:hAnsi="Arial" w:cs="Arial"/>
          <w:i/>
          <w:iCs/>
          <w:sz w:val="24"/>
          <w:szCs w:val="24"/>
          <w:lang w:val="en-GB" w:eastAsia="en-GB"/>
        </w:rPr>
        <w:t>Fairtrade in the UK</w:t>
      </w:r>
      <w:r w:rsidRPr="003F29DB">
        <w:rPr>
          <w:rFonts w:ascii="Arial" w:eastAsia="Times New Roman" w:hAnsi="Arial" w:cs="Arial"/>
          <w:sz w:val="24"/>
          <w:szCs w:val="24"/>
          <w:lang w:val="en-GB" w:eastAsia="en-GB"/>
        </w:rPr>
        <w:t xml:space="preserve">. Available at: </w:t>
      </w:r>
      <w:hyperlink r:id="rId35" w:history="1">
        <w:r w:rsidRPr="003F29DB">
          <w:rPr>
            <w:rFonts w:ascii="Arial" w:eastAsia="Times New Roman" w:hAnsi="Arial" w:cs="Arial"/>
            <w:color w:val="0000FF"/>
            <w:sz w:val="24"/>
            <w:szCs w:val="24"/>
            <w:u w:val="single"/>
            <w:lang w:val="en-GB" w:eastAsia="en-GB"/>
          </w:rPr>
          <w:t>https://www.fairtrade.org.uk/</w:t>
        </w:r>
      </w:hyperlink>
      <w:r w:rsidRPr="003F29DB">
        <w:rPr>
          <w:rFonts w:ascii="Arial" w:eastAsia="Times New Roman" w:hAnsi="Arial" w:cs="Arial"/>
          <w:sz w:val="24"/>
          <w:szCs w:val="24"/>
          <w:lang w:val="en-GB" w:eastAsia="en-GB"/>
        </w:rPr>
        <w:t xml:space="preserve"> (Accessed: 24 September 2026).</w:t>
      </w:r>
    </w:p>
    <w:p w14:paraId="4CE3532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Ferreira, J.J., </w:t>
      </w:r>
      <w:proofErr w:type="spellStart"/>
      <w:r w:rsidRPr="003F29DB">
        <w:rPr>
          <w:rFonts w:ascii="Arial" w:eastAsia="Times New Roman" w:hAnsi="Arial" w:cs="Arial"/>
          <w:sz w:val="24"/>
          <w:szCs w:val="24"/>
          <w:lang w:val="en-GB" w:eastAsia="en-GB"/>
        </w:rPr>
        <w:t>Fernandes</w:t>
      </w:r>
      <w:proofErr w:type="spellEnd"/>
      <w:r w:rsidRPr="003F29DB">
        <w:rPr>
          <w:rFonts w:ascii="Arial" w:eastAsia="Times New Roman" w:hAnsi="Arial" w:cs="Arial"/>
          <w:sz w:val="24"/>
          <w:szCs w:val="24"/>
          <w:lang w:val="en-GB" w:eastAsia="en-GB"/>
        </w:rPr>
        <w:t xml:space="preserve">, C.I. and Ferreira, F.A.F. (2022) ‘To be or not to be sustainable: A bibliometric analysis of the sustainability literature’, </w:t>
      </w:r>
      <w:r w:rsidRPr="003F29DB">
        <w:rPr>
          <w:rFonts w:ascii="Arial" w:eastAsia="Times New Roman" w:hAnsi="Arial" w:cs="Arial"/>
          <w:i/>
          <w:iCs/>
          <w:sz w:val="24"/>
          <w:szCs w:val="24"/>
          <w:lang w:val="en-GB" w:eastAsia="en-GB"/>
        </w:rPr>
        <w:t>Journal of Cleaner Production</w:t>
      </w:r>
      <w:r w:rsidRPr="003F29DB">
        <w:rPr>
          <w:rFonts w:ascii="Arial" w:eastAsia="Times New Roman" w:hAnsi="Arial" w:cs="Arial"/>
          <w:sz w:val="24"/>
          <w:szCs w:val="24"/>
          <w:lang w:val="en-GB" w:eastAsia="en-GB"/>
        </w:rPr>
        <w:t xml:space="preserve">, 370, 133479. Available at: </w:t>
      </w:r>
      <w:hyperlink r:id="rId36" w:history="1">
        <w:r w:rsidRPr="003F29DB">
          <w:rPr>
            <w:rFonts w:ascii="Arial" w:eastAsia="Times New Roman" w:hAnsi="Arial" w:cs="Arial"/>
            <w:color w:val="0000FF"/>
            <w:sz w:val="24"/>
            <w:szCs w:val="24"/>
            <w:u w:val="single"/>
            <w:lang w:val="en-GB" w:eastAsia="en-GB"/>
          </w:rPr>
          <w:t>https://doi.org/10.1016/j.jclepro.2022.133479</w:t>
        </w:r>
      </w:hyperlink>
      <w:r w:rsidRPr="003F29DB">
        <w:rPr>
          <w:rFonts w:ascii="Arial" w:eastAsia="Times New Roman" w:hAnsi="Arial" w:cs="Arial"/>
          <w:sz w:val="24"/>
          <w:szCs w:val="24"/>
          <w:lang w:val="en-GB" w:eastAsia="en-GB"/>
        </w:rPr>
        <w:t xml:space="preserve"> (Accessed: 24 September 2026).</w:t>
      </w:r>
    </w:p>
    <w:p w14:paraId="47F9E79E"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Fuller, K. and </w:t>
      </w:r>
      <w:proofErr w:type="spellStart"/>
      <w:r w:rsidRPr="003F29DB">
        <w:rPr>
          <w:rFonts w:ascii="Arial" w:eastAsia="Times New Roman" w:hAnsi="Arial" w:cs="Arial"/>
          <w:sz w:val="24"/>
          <w:szCs w:val="24"/>
          <w:lang w:val="en-GB" w:eastAsia="en-GB"/>
        </w:rPr>
        <w:t>Grebitus</w:t>
      </w:r>
      <w:proofErr w:type="spellEnd"/>
      <w:r w:rsidRPr="003F29DB">
        <w:rPr>
          <w:rFonts w:ascii="Arial" w:eastAsia="Times New Roman" w:hAnsi="Arial" w:cs="Arial"/>
          <w:sz w:val="24"/>
          <w:szCs w:val="24"/>
          <w:lang w:val="en-GB" w:eastAsia="en-GB"/>
        </w:rPr>
        <w:t xml:space="preserve">, C. (2023) ‘Consumers’ preferences and willingness to pay for coffee sustainability labels’, </w:t>
      </w:r>
      <w:r w:rsidRPr="003F29DB">
        <w:rPr>
          <w:rFonts w:ascii="Arial" w:eastAsia="Times New Roman" w:hAnsi="Arial" w:cs="Arial"/>
          <w:i/>
          <w:iCs/>
          <w:sz w:val="24"/>
          <w:szCs w:val="24"/>
          <w:lang w:val="en-GB" w:eastAsia="en-GB"/>
        </w:rPr>
        <w:t>Agribusiness</w:t>
      </w:r>
      <w:r w:rsidRPr="003F29DB">
        <w:rPr>
          <w:rFonts w:ascii="Arial" w:eastAsia="Times New Roman" w:hAnsi="Arial" w:cs="Arial"/>
          <w:sz w:val="24"/>
          <w:szCs w:val="24"/>
          <w:lang w:val="en-GB" w:eastAsia="en-GB"/>
        </w:rPr>
        <w:t xml:space="preserve">, 39(4), pp. 1007–1025. Available at: </w:t>
      </w:r>
      <w:hyperlink r:id="rId37" w:history="1">
        <w:r w:rsidRPr="003F29DB">
          <w:rPr>
            <w:rFonts w:ascii="Arial" w:eastAsia="Times New Roman" w:hAnsi="Arial" w:cs="Arial"/>
            <w:color w:val="0000FF"/>
            <w:sz w:val="24"/>
            <w:szCs w:val="24"/>
            <w:u w:val="single"/>
            <w:lang w:val="en-GB" w:eastAsia="en-GB"/>
          </w:rPr>
          <w:t>https://doi.org/10.1002/agr.21810</w:t>
        </w:r>
      </w:hyperlink>
      <w:r w:rsidRPr="003F29DB">
        <w:rPr>
          <w:rFonts w:ascii="Arial" w:eastAsia="Times New Roman" w:hAnsi="Arial" w:cs="Arial"/>
          <w:sz w:val="24"/>
          <w:szCs w:val="24"/>
          <w:lang w:val="en-GB" w:eastAsia="en-GB"/>
        </w:rPr>
        <w:t xml:space="preserve"> (Accessed: 24 September 2026).</w:t>
      </w:r>
    </w:p>
    <w:p w14:paraId="59377A2E"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Fuller, K., </w:t>
      </w:r>
      <w:proofErr w:type="spellStart"/>
      <w:r w:rsidRPr="003F29DB">
        <w:rPr>
          <w:rFonts w:ascii="Arial" w:eastAsia="Times New Roman" w:hAnsi="Arial" w:cs="Arial"/>
          <w:sz w:val="24"/>
          <w:szCs w:val="24"/>
          <w:lang w:val="en-GB" w:eastAsia="en-GB"/>
        </w:rPr>
        <w:t>Grebitus</w:t>
      </w:r>
      <w:proofErr w:type="spellEnd"/>
      <w:r w:rsidRPr="003F29DB">
        <w:rPr>
          <w:rFonts w:ascii="Arial" w:eastAsia="Times New Roman" w:hAnsi="Arial" w:cs="Arial"/>
          <w:sz w:val="24"/>
          <w:szCs w:val="24"/>
          <w:lang w:val="en-GB" w:eastAsia="en-GB"/>
        </w:rPr>
        <w:t xml:space="preserve">, C. and Schmitz, T.G. (2022) ‘The effects of values and information on the willingness to pay for sustainability credence attributes for coffee’, </w:t>
      </w:r>
      <w:r w:rsidRPr="003F29DB">
        <w:rPr>
          <w:rFonts w:ascii="Arial" w:eastAsia="Times New Roman" w:hAnsi="Arial" w:cs="Arial"/>
          <w:i/>
          <w:iCs/>
          <w:sz w:val="24"/>
          <w:szCs w:val="24"/>
          <w:lang w:val="en-GB" w:eastAsia="en-GB"/>
        </w:rPr>
        <w:t>Agricultural Economics</w:t>
      </w:r>
      <w:r w:rsidRPr="003F29DB">
        <w:rPr>
          <w:rFonts w:ascii="Arial" w:eastAsia="Times New Roman" w:hAnsi="Arial" w:cs="Arial"/>
          <w:sz w:val="24"/>
          <w:szCs w:val="24"/>
          <w:lang w:val="en-GB" w:eastAsia="en-GB"/>
        </w:rPr>
        <w:t xml:space="preserve">, 53(5), pp. 775–791. Available at: </w:t>
      </w:r>
      <w:hyperlink r:id="rId38" w:history="1">
        <w:r w:rsidRPr="003F29DB">
          <w:rPr>
            <w:rFonts w:ascii="Arial" w:eastAsia="Times New Roman" w:hAnsi="Arial" w:cs="Arial"/>
            <w:color w:val="0000FF"/>
            <w:sz w:val="24"/>
            <w:szCs w:val="24"/>
            <w:u w:val="single"/>
            <w:lang w:val="en-GB" w:eastAsia="en-GB"/>
          </w:rPr>
          <w:t>https://doi.org/10.1111/agec.12706</w:t>
        </w:r>
      </w:hyperlink>
      <w:r w:rsidRPr="003F29DB">
        <w:rPr>
          <w:rFonts w:ascii="Arial" w:eastAsia="Times New Roman" w:hAnsi="Arial" w:cs="Arial"/>
          <w:sz w:val="24"/>
          <w:szCs w:val="24"/>
          <w:lang w:val="en-GB" w:eastAsia="en-GB"/>
        </w:rPr>
        <w:t xml:space="preserve"> (Accessed: 24 September 2026).</w:t>
      </w:r>
    </w:p>
    <w:p w14:paraId="40571220"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Gallenti</w:t>
      </w:r>
      <w:proofErr w:type="spellEnd"/>
      <w:r w:rsidRPr="003F29DB">
        <w:rPr>
          <w:rFonts w:ascii="Arial" w:eastAsia="Times New Roman" w:hAnsi="Arial" w:cs="Arial"/>
          <w:sz w:val="24"/>
          <w:szCs w:val="24"/>
          <w:lang w:val="en-GB" w:eastAsia="en-GB"/>
        </w:rPr>
        <w:t xml:space="preserve">, G., Troiano, S., </w:t>
      </w:r>
      <w:proofErr w:type="spellStart"/>
      <w:r w:rsidRPr="003F29DB">
        <w:rPr>
          <w:rFonts w:ascii="Arial" w:eastAsia="Times New Roman" w:hAnsi="Arial" w:cs="Arial"/>
          <w:sz w:val="24"/>
          <w:szCs w:val="24"/>
          <w:lang w:val="en-GB" w:eastAsia="en-GB"/>
        </w:rPr>
        <w:t>Cosmina</w:t>
      </w:r>
      <w:proofErr w:type="spellEnd"/>
      <w:r w:rsidRPr="003F29DB">
        <w:rPr>
          <w:rFonts w:ascii="Arial" w:eastAsia="Times New Roman" w:hAnsi="Arial" w:cs="Arial"/>
          <w:sz w:val="24"/>
          <w:szCs w:val="24"/>
          <w:lang w:val="en-GB" w:eastAsia="en-GB"/>
        </w:rPr>
        <w:t xml:space="preserve">, M. and </w:t>
      </w:r>
      <w:proofErr w:type="spellStart"/>
      <w:r w:rsidRPr="003F29DB">
        <w:rPr>
          <w:rFonts w:ascii="Arial" w:eastAsia="Times New Roman" w:hAnsi="Arial" w:cs="Arial"/>
          <w:sz w:val="24"/>
          <w:szCs w:val="24"/>
          <w:lang w:val="en-GB" w:eastAsia="en-GB"/>
        </w:rPr>
        <w:t>Marangon</w:t>
      </w:r>
      <w:proofErr w:type="spellEnd"/>
      <w:r w:rsidRPr="003F29DB">
        <w:rPr>
          <w:rFonts w:ascii="Arial" w:eastAsia="Times New Roman" w:hAnsi="Arial" w:cs="Arial"/>
          <w:sz w:val="24"/>
          <w:szCs w:val="24"/>
          <w:lang w:val="en-GB" w:eastAsia="en-GB"/>
        </w:rPr>
        <w:t xml:space="preserve">, F. (2016) ‘Ethical and sustainable consumption in the Italian coffee market: A choice experiment to analyse consumers’ willingness to pay’, </w:t>
      </w:r>
      <w:r w:rsidRPr="003F29DB">
        <w:rPr>
          <w:rFonts w:ascii="Arial" w:eastAsia="Times New Roman" w:hAnsi="Arial" w:cs="Arial"/>
          <w:i/>
          <w:iCs/>
          <w:sz w:val="24"/>
          <w:szCs w:val="24"/>
          <w:lang w:val="en-GB" w:eastAsia="en-GB"/>
        </w:rPr>
        <w:t xml:space="preserve">Italian Review of Agricultural </w:t>
      </w:r>
      <w:r w:rsidRPr="003F29DB">
        <w:rPr>
          <w:rFonts w:ascii="Arial" w:eastAsia="Times New Roman" w:hAnsi="Arial" w:cs="Arial"/>
          <w:i/>
          <w:iCs/>
          <w:sz w:val="24"/>
          <w:szCs w:val="24"/>
          <w:lang w:val="en-GB" w:eastAsia="en-GB"/>
        </w:rPr>
        <w:lastRenderedPageBreak/>
        <w:t>Economics</w:t>
      </w:r>
      <w:r w:rsidRPr="003F29DB">
        <w:rPr>
          <w:rFonts w:ascii="Arial" w:eastAsia="Times New Roman" w:hAnsi="Arial" w:cs="Arial"/>
          <w:sz w:val="24"/>
          <w:szCs w:val="24"/>
          <w:lang w:val="en-GB" w:eastAsia="en-GB"/>
        </w:rPr>
        <w:t xml:space="preserve">, 71(2), pp. 153–176. Available at: </w:t>
      </w:r>
      <w:hyperlink r:id="rId39" w:history="1">
        <w:r w:rsidRPr="003F29DB">
          <w:rPr>
            <w:rFonts w:ascii="Arial" w:eastAsia="Times New Roman" w:hAnsi="Arial" w:cs="Arial"/>
            <w:color w:val="0000FF"/>
            <w:sz w:val="24"/>
            <w:szCs w:val="24"/>
            <w:u w:val="single"/>
            <w:lang w:val="en-GB" w:eastAsia="en-GB"/>
          </w:rPr>
          <w:t>https://doi.org/10.13128/REA-20077</w:t>
        </w:r>
      </w:hyperlink>
      <w:r w:rsidRPr="003F29DB">
        <w:rPr>
          <w:rFonts w:ascii="Arial" w:eastAsia="Times New Roman" w:hAnsi="Arial" w:cs="Arial"/>
          <w:sz w:val="24"/>
          <w:szCs w:val="24"/>
          <w:lang w:val="en-GB" w:eastAsia="en-GB"/>
        </w:rPr>
        <w:t xml:space="preserve"> (Accessed: 24 September 2026).</w:t>
      </w:r>
    </w:p>
    <w:p w14:paraId="675F202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Gereffi</w:t>
      </w:r>
      <w:proofErr w:type="spellEnd"/>
      <w:r w:rsidRPr="003F29DB">
        <w:rPr>
          <w:rFonts w:ascii="Arial" w:eastAsia="Times New Roman" w:hAnsi="Arial" w:cs="Arial"/>
          <w:sz w:val="24"/>
          <w:szCs w:val="24"/>
          <w:lang w:val="en-GB" w:eastAsia="en-GB"/>
        </w:rPr>
        <w:t xml:space="preserve">, G., Humphrey, J. and Sturgeon, T. (2005) ‘The governance of global value chains’, </w:t>
      </w:r>
      <w:r w:rsidRPr="003F29DB">
        <w:rPr>
          <w:rFonts w:ascii="Arial" w:eastAsia="Times New Roman" w:hAnsi="Arial" w:cs="Arial"/>
          <w:i/>
          <w:iCs/>
          <w:sz w:val="24"/>
          <w:szCs w:val="24"/>
          <w:lang w:val="en-GB" w:eastAsia="en-GB"/>
        </w:rPr>
        <w:t>Review of International Political Economy</w:t>
      </w:r>
      <w:r w:rsidRPr="003F29DB">
        <w:rPr>
          <w:rFonts w:ascii="Arial" w:eastAsia="Times New Roman" w:hAnsi="Arial" w:cs="Arial"/>
          <w:sz w:val="24"/>
          <w:szCs w:val="24"/>
          <w:lang w:val="en-GB" w:eastAsia="en-GB"/>
        </w:rPr>
        <w:t xml:space="preserve">, 12(1), pp. 78–104. Available at: </w:t>
      </w:r>
      <w:hyperlink r:id="rId40" w:history="1">
        <w:r w:rsidRPr="003F29DB">
          <w:rPr>
            <w:rFonts w:ascii="Arial" w:eastAsia="Times New Roman" w:hAnsi="Arial" w:cs="Arial"/>
            <w:color w:val="0000FF"/>
            <w:sz w:val="24"/>
            <w:szCs w:val="24"/>
            <w:u w:val="single"/>
            <w:lang w:val="en-GB" w:eastAsia="en-GB"/>
          </w:rPr>
          <w:t>https://doi.org/10.1080/09692290500049805</w:t>
        </w:r>
      </w:hyperlink>
      <w:r w:rsidRPr="003F29DB">
        <w:rPr>
          <w:rFonts w:ascii="Arial" w:eastAsia="Times New Roman" w:hAnsi="Arial" w:cs="Arial"/>
          <w:sz w:val="24"/>
          <w:szCs w:val="24"/>
          <w:lang w:val="en-GB" w:eastAsia="en-GB"/>
        </w:rPr>
        <w:t xml:space="preserve"> (Accessed: 24 September 2026).</w:t>
      </w:r>
    </w:p>
    <w:p w14:paraId="4762544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GOV.UK (2026a) </w:t>
      </w:r>
      <w:r w:rsidRPr="003F29DB">
        <w:rPr>
          <w:rFonts w:ascii="Arial" w:eastAsia="Times New Roman" w:hAnsi="Arial" w:cs="Arial"/>
          <w:i/>
          <w:iCs/>
          <w:sz w:val="24"/>
          <w:szCs w:val="24"/>
          <w:lang w:val="en-GB" w:eastAsia="en-GB"/>
        </w:rPr>
        <w:t>Food business registration</w:t>
      </w:r>
      <w:r w:rsidRPr="003F29DB">
        <w:rPr>
          <w:rFonts w:ascii="Arial" w:eastAsia="Times New Roman" w:hAnsi="Arial" w:cs="Arial"/>
          <w:sz w:val="24"/>
          <w:szCs w:val="24"/>
          <w:lang w:val="en-GB" w:eastAsia="en-GB"/>
        </w:rPr>
        <w:t xml:space="preserve">. Available at: </w:t>
      </w:r>
      <w:hyperlink r:id="rId41" w:history="1">
        <w:r w:rsidRPr="003F29DB">
          <w:rPr>
            <w:rFonts w:ascii="Arial" w:eastAsia="Times New Roman" w:hAnsi="Arial" w:cs="Arial"/>
            <w:color w:val="0000FF"/>
            <w:sz w:val="24"/>
            <w:szCs w:val="24"/>
            <w:u w:val="single"/>
            <w:lang w:val="en-GB" w:eastAsia="en-GB"/>
          </w:rPr>
          <w:t>https://www.gov.uk/food-business-registration</w:t>
        </w:r>
      </w:hyperlink>
      <w:r w:rsidRPr="003F29DB">
        <w:rPr>
          <w:rFonts w:ascii="Arial" w:eastAsia="Times New Roman" w:hAnsi="Arial" w:cs="Arial"/>
          <w:sz w:val="24"/>
          <w:szCs w:val="24"/>
          <w:lang w:val="en-GB" w:eastAsia="en-GB"/>
        </w:rPr>
        <w:t xml:space="preserve"> (Accessed: 24 September 2026).</w:t>
      </w:r>
    </w:p>
    <w:p w14:paraId="22484A9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GOV.UK (2026b) </w:t>
      </w:r>
      <w:r w:rsidRPr="003F29DB">
        <w:rPr>
          <w:rFonts w:ascii="Arial" w:eastAsia="Times New Roman" w:hAnsi="Arial" w:cs="Arial"/>
          <w:i/>
          <w:iCs/>
          <w:sz w:val="24"/>
          <w:szCs w:val="24"/>
          <w:lang w:val="en-GB" w:eastAsia="en-GB"/>
        </w:rPr>
        <w:t>Employing people</w:t>
      </w:r>
      <w:r w:rsidRPr="003F29DB">
        <w:rPr>
          <w:rFonts w:ascii="Arial" w:eastAsia="Times New Roman" w:hAnsi="Arial" w:cs="Arial"/>
          <w:sz w:val="24"/>
          <w:szCs w:val="24"/>
          <w:lang w:val="en-GB" w:eastAsia="en-GB"/>
        </w:rPr>
        <w:t xml:space="preserve">. Available at: </w:t>
      </w:r>
      <w:hyperlink r:id="rId42" w:history="1">
        <w:r w:rsidRPr="003F29DB">
          <w:rPr>
            <w:rFonts w:ascii="Arial" w:eastAsia="Times New Roman" w:hAnsi="Arial" w:cs="Arial"/>
            <w:color w:val="0000FF"/>
            <w:sz w:val="24"/>
            <w:szCs w:val="24"/>
            <w:u w:val="single"/>
            <w:lang w:val="en-GB" w:eastAsia="en-GB"/>
          </w:rPr>
          <w:t>https://www.gov.uk/employing-staff</w:t>
        </w:r>
      </w:hyperlink>
      <w:r w:rsidRPr="003F29DB">
        <w:rPr>
          <w:rFonts w:ascii="Arial" w:eastAsia="Times New Roman" w:hAnsi="Arial" w:cs="Arial"/>
          <w:sz w:val="24"/>
          <w:szCs w:val="24"/>
          <w:lang w:val="en-GB" w:eastAsia="en-GB"/>
        </w:rPr>
        <w:t xml:space="preserve"> (Accessed: 24 September 2026).</w:t>
      </w:r>
    </w:p>
    <w:p w14:paraId="4A63378F"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GOV.UK (2026c) </w:t>
      </w:r>
      <w:r w:rsidRPr="003F29DB">
        <w:rPr>
          <w:rFonts w:ascii="Arial" w:eastAsia="Times New Roman" w:hAnsi="Arial" w:cs="Arial"/>
          <w:i/>
          <w:iCs/>
          <w:sz w:val="24"/>
          <w:szCs w:val="24"/>
          <w:lang w:val="en-GB" w:eastAsia="en-GB"/>
        </w:rPr>
        <w:t>National Minimum Wage and National Living Wage rates</w:t>
      </w:r>
      <w:r w:rsidRPr="003F29DB">
        <w:rPr>
          <w:rFonts w:ascii="Arial" w:eastAsia="Times New Roman" w:hAnsi="Arial" w:cs="Arial"/>
          <w:sz w:val="24"/>
          <w:szCs w:val="24"/>
          <w:lang w:val="en-GB" w:eastAsia="en-GB"/>
        </w:rPr>
        <w:t xml:space="preserve">. Available at: </w:t>
      </w:r>
      <w:hyperlink r:id="rId43" w:history="1">
        <w:r w:rsidRPr="003F29DB">
          <w:rPr>
            <w:rFonts w:ascii="Arial" w:eastAsia="Times New Roman" w:hAnsi="Arial" w:cs="Arial"/>
            <w:color w:val="0000FF"/>
            <w:sz w:val="24"/>
            <w:szCs w:val="24"/>
            <w:u w:val="single"/>
            <w:lang w:val="en-GB" w:eastAsia="en-GB"/>
          </w:rPr>
          <w:t>https://www.gov.uk/national-minimum-wage-rates</w:t>
        </w:r>
      </w:hyperlink>
      <w:r w:rsidRPr="003F29DB">
        <w:rPr>
          <w:rFonts w:ascii="Arial" w:eastAsia="Times New Roman" w:hAnsi="Arial" w:cs="Arial"/>
          <w:sz w:val="24"/>
          <w:szCs w:val="24"/>
          <w:lang w:val="en-GB" w:eastAsia="en-GB"/>
        </w:rPr>
        <w:t xml:space="preserve"> (Accessed: 24 September 2026).</w:t>
      </w:r>
    </w:p>
    <w:p w14:paraId="5B575093"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GOV.UK (2026d) </w:t>
      </w:r>
      <w:r w:rsidRPr="003F29DB">
        <w:rPr>
          <w:rFonts w:ascii="Arial" w:eastAsia="Times New Roman" w:hAnsi="Arial" w:cs="Arial"/>
          <w:i/>
          <w:iCs/>
          <w:sz w:val="24"/>
          <w:szCs w:val="24"/>
          <w:lang w:val="en-GB" w:eastAsia="en-GB"/>
        </w:rPr>
        <w:t>Register for VAT</w:t>
      </w:r>
      <w:r w:rsidRPr="003F29DB">
        <w:rPr>
          <w:rFonts w:ascii="Arial" w:eastAsia="Times New Roman" w:hAnsi="Arial" w:cs="Arial"/>
          <w:sz w:val="24"/>
          <w:szCs w:val="24"/>
          <w:lang w:val="en-GB" w:eastAsia="en-GB"/>
        </w:rPr>
        <w:t xml:space="preserve">. Available at: </w:t>
      </w:r>
      <w:hyperlink r:id="rId44" w:history="1">
        <w:r w:rsidRPr="003F29DB">
          <w:rPr>
            <w:rFonts w:ascii="Arial" w:eastAsia="Times New Roman" w:hAnsi="Arial" w:cs="Arial"/>
            <w:color w:val="0000FF"/>
            <w:sz w:val="24"/>
            <w:szCs w:val="24"/>
            <w:u w:val="single"/>
            <w:lang w:val="en-GB" w:eastAsia="en-GB"/>
          </w:rPr>
          <w:t>https://www.gov.uk/vat-registration</w:t>
        </w:r>
      </w:hyperlink>
      <w:r w:rsidRPr="003F29DB">
        <w:rPr>
          <w:rFonts w:ascii="Arial" w:eastAsia="Times New Roman" w:hAnsi="Arial" w:cs="Arial"/>
          <w:sz w:val="24"/>
          <w:szCs w:val="24"/>
          <w:lang w:val="en-GB" w:eastAsia="en-GB"/>
        </w:rPr>
        <w:t xml:space="preserve"> (Accessed: 24 September 2026).</w:t>
      </w:r>
    </w:p>
    <w:p w14:paraId="3FBAF942"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GOV.UK (2026e) </w:t>
      </w:r>
      <w:r w:rsidRPr="003F29DB">
        <w:rPr>
          <w:rFonts w:ascii="Arial" w:eastAsia="Times New Roman" w:hAnsi="Arial" w:cs="Arial"/>
          <w:i/>
          <w:iCs/>
          <w:sz w:val="24"/>
          <w:szCs w:val="24"/>
          <w:lang w:val="en-GB" w:eastAsia="en-GB"/>
        </w:rPr>
        <w:t>Health and safety at work</w:t>
      </w:r>
      <w:r w:rsidRPr="003F29DB">
        <w:rPr>
          <w:rFonts w:ascii="Arial" w:eastAsia="Times New Roman" w:hAnsi="Arial" w:cs="Arial"/>
          <w:sz w:val="24"/>
          <w:szCs w:val="24"/>
          <w:lang w:val="en-GB" w:eastAsia="en-GB"/>
        </w:rPr>
        <w:t xml:space="preserve">. Available at: </w:t>
      </w:r>
      <w:hyperlink r:id="rId45" w:history="1">
        <w:r w:rsidRPr="003F29DB">
          <w:rPr>
            <w:rFonts w:ascii="Arial" w:eastAsia="Times New Roman" w:hAnsi="Arial" w:cs="Arial"/>
            <w:color w:val="0000FF"/>
            <w:sz w:val="24"/>
            <w:szCs w:val="24"/>
            <w:u w:val="single"/>
            <w:lang w:val="en-GB" w:eastAsia="en-GB"/>
          </w:rPr>
          <w:t>https://www.gov.uk/browse/business/health-safety</w:t>
        </w:r>
      </w:hyperlink>
      <w:r w:rsidRPr="003F29DB">
        <w:rPr>
          <w:rFonts w:ascii="Arial" w:eastAsia="Times New Roman" w:hAnsi="Arial" w:cs="Arial"/>
          <w:sz w:val="24"/>
          <w:szCs w:val="24"/>
          <w:lang w:val="en-GB" w:eastAsia="en-GB"/>
        </w:rPr>
        <w:t xml:space="preserve"> (Accessed: 24 September 2026).</w:t>
      </w:r>
    </w:p>
    <w:p w14:paraId="02F93B5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HM Revenue &amp; Customs (2026a) </w:t>
      </w:r>
      <w:r w:rsidRPr="003F29DB">
        <w:rPr>
          <w:rFonts w:ascii="Arial" w:eastAsia="Times New Roman" w:hAnsi="Arial" w:cs="Arial"/>
          <w:i/>
          <w:iCs/>
          <w:sz w:val="24"/>
          <w:szCs w:val="24"/>
          <w:lang w:val="en-GB" w:eastAsia="en-GB"/>
        </w:rPr>
        <w:t>VAT thresholds</w:t>
      </w:r>
      <w:r w:rsidRPr="003F29DB">
        <w:rPr>
          <w:rFonts w:ascii="Arial" w:eastAsia="Times New Roman" w:hAnsi="Arial" w:cs="Arial"/>
          <w:sz w:val="24"/>
          <w:szCs w:val="24"/>
          <w:lang w:val="en-GB" w:eastAsia="en-GB"/>
        </w:rPr>
        <w:t xml:space="preserve">. GOV.UK. Available at: </w:t>
      </w:r>
      <w:hyperlink r:id="rId46" w:history="1">
        <w:r w:rsidRPr="003F29DB">
          <w:rPr>
            <w:rFonts w:ascii="Arial" w:eastAsia="Times New Roman" w:hAnsi="Arial" w:cs="Arial"/>
            <w:color w:val="0000FF"/>
            <w:sz w:val="24"/>
            <w:szCs w:val="24"/>
            <w:u w:val="single"/>
            <w:lang w:val="en-GB" w:eastAsia="en-GB"/>
          </w:rPr>
          <w:t>https://www.gov.uk/vat-registration/when-to-register</w:t>
        </w:r>
      </w:hyperlink>
      <w:r w:rsidRPr="003F29DB">
        <w:rPr>
          <w:rFonts w:ascii="Arial" w:eastAsia="Times New Roman" w:hAnsi="Arial" w:cs="Arial"/>
          <w:sz w:val="24"/>
          <w:szCs w:val="24"/>
          <w:lang w:val="en-GB" w:eastAsia="en-GB"/>
        </w:rPr>
        <w:t xml:space="preserve"> (Accessed: 24 September 2026).</w:t>
      </w:r>
    </w:p>
    <w:p w14:paraId="2E66FEDB"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HM Revenue &amp; Customs (2026b) </w:t>
      </w:r>
      <w:r w:rsidRPr="003F29DB">
        <w:rPr>
          <w:rFonts w:ascii="Arial" w:eastAsia="Times New Roman" w:hAnsi="Arial" w:cs="Arial"/>
          <w:i/>
          <w:iCs/>
          <w:sz w:val="24"/>
          <w:szCs w:val="24"/>
          <w:lang w:val="en-GB" w:eastAsia="en-GB"/>
        </w:rPr>
        <w:t>VAT rates on different goods and services</w:t>
      </w:r>
      <w:r w:rsidRPr="003F29DB">
        <w:rPr>
          <w:rFonts w:ascii="Arial" w:eastAsia="Times New Roman" w:hAnsi="Arial" w:cs="Arial"/>
          <w:sz w:val="24"/>
          <w:szCs w:val="24"/>
          <w:lang w:val="en-GB" w:eastAsia="en-GB"/>
        </w:rPr>
        <w:t xml:space="preserve">. GOV.UK. Available at: </w:t>
      </w:r>
      <w:hyperlink r:id="rId47" w:history="1">
        <w:r w:rsidRPr="003F29DB">
          <w:rPr>
            <w:rFonts w:ascii="Arial" w:eastAsia="Times New Roman" w:hAnsi="Arial" w:cs="Arial"/>
            <w:color w:val="0000FF"/>
            <w:sz w:val="24"/>
            <w:szCs w:val="24"/>
            <w:u w:val="single"/>
            <w:lang w:val="en-GB" w:eastAsia="en-GB"/>
          </w:rPr>
          <w:t>https://www.gov.uk/guidance/rates-of-vat-on-different-goods-and-services</w:t>
        </w:r>
      </w:hyperlink>
      <w:r w:rsidRPr="003F29DB">
        <w:rPr>
          <w:rFonts w:ascii="Arial" w:eastAsia="Times New Roman" w:hAnsi="Arial" w:cs="Arial"/>
          <w:sz w:val="24"/>
          <w:szCs w:val="24"/>
          <w:lang w:val="en-GB" w:eastAsia="en-GB"/>
        </w:rPr>
        <w:t xml:space="preserve"> (Accessed: 24 September 2026).</w:t>
      </w:r>
    </w:p>
    <w:p w14:paraId="404BE782"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HM Revenue &amp; Customs (2026c) </w:t>
      </w:r>
      <w:r w:rsidRPr="003F29DB">
        <w:rPr>
          <w:rFonts w:ascii="Arial" w:eastAsia="Times New Roman" w:hAnsi="Arial" w:cs="Arial"/>
          <w:i/>
          <w:iCs/>
          <w:sz w:val="24"/>
          <w:szCs w:val="24"/>
          <w:lang w:val="en-GB" w:eastAsia="en-GB"/>
        </w:rPr>
        <w:t>Corporation Tax rates and allowances</w:t>
      </w:r>
      <w:r w:rsidRPr="003F29DB">
        <w:rPr>
          <w:rFonts w:ascii="Arial" w:eastAsia="Times New Roman" w:hAnsi="Arial" w:cs="Arial"/>
          <w:sz w:val="24"/>
          <w:szCs w:val="24"/>
          <w:lang w:val="en-GB" w:eastAsia="en-GB"/>
        </w:rPr>
        <w:t xml:space="preserve">. GOV.UK. Available at: </w:t>
      </w:r>
      <w:hyperlink r:id="rId48" w:history="1">
        <w:r w:rsidRPr="003F29DB">
          <w:rPr>
            <w:rFonts w:ascii="Arial" w:eastAsia="Times New Roman" w:hAnsi="Arial" w:cs="Arial"/>
            <w:color w:val="0000FF"/>
            <w:sz w:val="24"/>
            <w:szCs w:val="24"/>
            <w:u w:val="single"/>
            <w:lang w:val="en-GB" w:eastAsia="en-GB"/>
          </w:rPr>
          <w:t>https://www.gov.uk/corporation-tax-rates</w:t>
        </w:r>
      </w:hyperlink>
      <w:r w:rsidRPr="003F29DB">
        <w:rPr>
          <w:rFonts w:ascii="Arial" w:eastAsia="Times New Roman" w:hAnsi="Arial" w:cs="Arial"/>
          <w:sz w:val="24"/>
          <w:szCs w:val="24"/>
          <w:lang w:val="en-GB" w:eastAsia="en-GB"/>
        </w:rPr>
        <w:t xml:space="preserve"> (Accessed: 24 September 2026).</w:t>
      </w:r>
    </w:p>
    <w:p w14:paraId="3AFD4FC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International Coffee Organization (2024) </w:t>
      </w:r>
      <w:r w:rsidRPr="003F29DB">
        <w:rPr>
          <w:rFonts w:ascii="Arial" w:eastAsia="Times New Roman" w:hAnsi="Arial" w:cs="Arial"/>
          <w:i/>
          <w:iCs/>
          <w:sz w:val="24"/>
          <w:szCs w:val="24"/>
          <w:lang w:val="en-GB" w:eastAsia="en-GB"/>
        </w:rPr>
        <w:t>Coffee Development Report</w:t>
      </w:r>
      <w:r w:rsidRPr="003F29DB">
        <w:rPr>
          <w:rFonts w:ascii="Arial" w:eastAsia="Times New Roman" w:hAnsi="Arial" w:cs="Arial"/>
          <w:sz w:val="24"/>
          <w:szCs w:val="24"/>
          <w:lang w:val="en-GB" w:eastAsia="en-GB"/>
        </w:rPr>
        <w:t xml:space="preserve">. Available at: </w:t>
      </w:r>
      <w:hyperlink r:id="rId49" w:history="1">
        <w:r w:rsidRPr="003F29DB">
          <w:rPr>
            <w:rFonts w:ascii="Arial" w:eastAsia="Times New Roman" w:hAnsi="Arial" w:cs="Arial"/>
            <w:color w:val="0000FF"/>
            <w:sz w:val="24"/>
            <w:szCs w:val="24"/>
            <w:u w:val="single"/>
            <w:lang w:val="en-GB" w:eastAsia="en-GB"/>
          </w:rPr>
          <w:t>https://ico.org/coffee-development-report/</w:t>
        </w:r>
      </w:hyperlink>
      <w:r w:rsidRPr="003F29DB">
        <w:rPr>
          <w:rFonts w:ascii="Arial" w:eastAsia="Times New Roman" w:hAnsi="Arial" w:cs="Arial"/>
          <w:sz w:val="24"/>
          <w:szCs w:val="24"/>
          <w:lang w:val="en-GB" w:eastAsia="en-GB"/>
        </w:rPr>
        <w:t xml:space="preserve"> (Accessed: 24 September 2026).</w:t>
      </w:r>
    </w:p>
    <w:p w14:paraId="22EB42B1"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Information Commissioner’s Office (2026a) </w:t>
      </w:r>
      <w:r w:rsidRPr="003F29DB">
        <w:rPr>
          <w:rFonts w:ascii="Arial" w:eastAsia="Times New Roman" w:hAnsi="Arial" w:cs="Arial"/>
          <w:i/>
          <w:iCs/>
          <w:sz w:val="24"/>
          <w:szCs w:val="24"/>
          <w:lang w:val="en-GB" w:eastAsia="en-GB"/>
        </w:rPr>
        <w:t>Guide to the UK General Data Protection Regulation</w:t>
      </w:r>
      <w:r w:rsidRPr="003F29DB">
        <w:rPr>
          <w:rFonts w:ascii="Arial" w:eastAsia="Times New Roman" w:hAnsi="Arial" w:cs="Arial"/>
          <w:sz w:val="24"/>
          <w:szCs w:val="24"/>
          <w:lang w:val="en-GB" w:eastAsia="en-GB"/>
        </w:rPr>
        <w:t xml:space="preserve">. Available at: </w:t>
      </w:r>
      <w:hyperlink r:id="rId50" w:history="1">
        <w:r w:rsidRPr="003F29DB">
          <w:rPr>
            <w:rFonts w:ascii="Arial" w:eastAsia="Times New Roman" w:hAnsi="Arial" w:cs="Arial"/>
            <w:color w:val="0000FF"/>
            <w:sz w:val="24"/>
            <w:szCs w:val="24"/>
            <w:u w:val="single"/>
            <w:lang w:val="en-GB" w:eastAsia="en-GB"/>
          </w:rPr>
          <w:t>https://ico.org.uk/for-organisations/uk-gdpr-guidance-and-resources/</w:t>
        </w:r>
      </w:hyperlink>
      <w:r w:rsidRPr="003F29DB">
        <w:rPr>
          <w:rFonts w:ascii="Arial" w:eastAsia="Times New Roman" w:hAnsi="Arial" w:cs="Arial"/>
          <w:sz w:val="24"/>
          <w:szCs w:val="24"/>
          <w:lang w:val="en-GB" w:eastAsia="en-GB"/>
        </w:rPr>
        <w:t xml:space="preserve"> (Accessed: 24 September 2026).</w:t>
      </w:r>
    </w:p>
    <w:p w14:paraId="366A4443"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lastRenderedPageBreak/>
        <w:t xml:space="preserve">Information Commissioner’s Office (2026b) </w:t>
      </w:r>
      <w:r w:rsidRPr="003F29DB">
        <w:rPr>
          <w:rFonts w:ascii="Arial" w:eastAsia="Times New Roman" w:hAnsi="Arial" w:cs="Arial"/>
          <w:i/>
          <w:iCs/>
          <w:sz w:val="24"/>
          <w:szCs w:val="24"/>
          <w:lang w:val="en-GB" w:eastAsia="en-GB"/>
        </w:rPr>
        <w:t>Data protection and small organisations</w:t>
      </w:r>
      <w:r w:rsidRPr="003F29DB">
        <w:rPr>
          <w:rFonts w:ascii="Arial" w:eastAsia="Times New Roman" w:hAnsi="Arial" w:cs="Arial"/>
          <w:sz w:val="24"/>
          <w:szCs w:val="24"/>
          <w:lang w:val="en-GB" w:eastAsia="en-GB"/>
        </w:rPr>
        <w:t xml:space="preserve">. Available at: </w:t>
      </w:r>
      <w:hyperlink r:id="rId51" w:history="1">
        <w:r w:rsidRPr="003F29DB">
          <w:rPr>
            <w:rFonts w:ascii="Arial" w:eastAsia="Times New Roman" w:hAnsi="Arial" w:cs="Arial"/>
            <w:color w:val="0000FF"/>
            <w:sz w:val="24"/>
            <w:szCs w:val="24"/>
            <w:u w:val="single"/>
            <w:lang w:val="en-GB" w:eastAsia="en-GB"/>
          </w:rPr>
          <w:t>https://ico.org.uk/for-organisations/sme-web-hub/</w:t>
        </w:r>
      </w:hyperlink>
      <w:r w:rsidRPr="003F29DB">
        <w:rPr>
          <w:rFonts w:ascii="Arial" w:eastAsia="Times New Roman" w:hAnsi="Arial" w:cs="Arial"/>
          <w:sz w:val="24"/>
          <w:szCs w:val="24"/>
          <w:lang w:val="en-GB" w:eastAsia="en-GB"/>
        </w:rPr>
        <w:t xml:space="preserve"> (Accessed: 24 September 2026).</w:t>
      </w:r>
    </w:p>
    <w:p w14:paraId="25C98E84"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International Trade Centre (2022) </w:t>
      </w:r>
      <w:r w:rsidRPr="003F29DB">
        <w:rPr>
          <w:rFonts w:ascii="Arial" w:eastAsia="Times New Roman" w:hAnsi="Arial" w:cs="Arial"/>
          <w:i/>
          <w:iCs/>
          <w:sz w:val="24"/>
          <w:szCs w:val="24"/>
          <w:lang w:val="en-GB" w:eastAsia="en-GB"/>
        </w:rPr>
        <w:t>The Coffee Guide</w:t>
      </w:r>
      <w:r w:rsidRPr="003F29DB">
        <w:rPr>
          <w:rFonts w:ascii="Arial" w:eastAsia="Times New Roman" w:hAnsi="Arial" w:cs="Arial"/>
          <w:sz w:val="24"/>
          <w:szCs w:val="24"/>
          <w:lang w:val="en-GB" w:eastAsia="en-GB"/>
        </w:rPr>
        <w:t xml:space="preserve">. 4th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Geneva: ITC. Available at: </w:t>
      </w:r>
      <w:hyperlink r:id="rId52" w:history="1">
        <w:r w:rsidRPr="003F29DB">
          <w:rPr>
            <w:rFonts w:ascii="Arial" w:eastAsia="Times New Roman" w:hAnsi="Arial" w:cs="Arial"/>
            <w:color w:val="0000FF"/>
            <w:sz w:val="24"/>
            <w:szCs w:val="24"/>
            <w:u w:val="single"/>
            <w:lang w:val="en-GB" w:eastAsia="en-GB"/>
          </w:rPr>
          <w:t>https://intracen.org/resources/publications/the-coffee-guide-fourth-edition</w:t>
        </w:r>
      </w:hyperlink>
      <w:r w:rsidRPr="003F29DB">
        <w:rPr>
          <w:rFonts w:ascii="Arial" w:eastAsia="Times New Roman" w:hAnsi="Arial" w:cs="Arial"/>
          <w:sz w:val="24"/>
          <w:szCs w:val="24"/>
          <w:lang w:val="en-GB" w:eastAsia="en-GB"/>
        </w:rPr>
        <w:t xml:space="preserve"> (Accessed: 24 September 2026).</w:t>
      </w:r>
    </w:p>
    <w:p w14:paraId="406D1F11"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Jenkins, H. (2006) ‘Small business champions for corporate social responsibility’, </w:t>
      </w:r>
      <w:r w:rsidRPr="003F29DB">
        <w:rPr>
          <w:rFonts w:ascii="Arial" w:eastAsia="Times New Roman" w:hAnsi="Arial" w:cs="Arial"/>
          <w:i/>
          <w:iCs/>
          <w:sz w:val="24"/>
          <w:szCs w:val="24"/>
          <w:lang w:val="en-GB" w:eastAsia="en-GB"/>
        </w:rPr>
        <w:t>Journal of Business Ethics</w:t>
      </w:r>
      <w:r w:rsidRPr="003F29DB">
        <w:rPr>
          <w:rFonts w:ascii="Arial" w:eastAsia="Times New Roman" w:hAnsi="Arial" w:cs="Arial"/>
          <w:sz w:val="24"/>
          <w:szCs w:val="24"/>
          <w:lang w:val="en-GB" w:eastAsia="en-GB"/>
        </w:rPr>
        <w:t xml:space="preserve">, 67, pp. 241–256. Available at: </w:t>
      </w:r>
      <w:hyperlink r:id="rId53" w:history="1">
        <w:r w:rsidRPr="003F29DB">
          <w:rPr>
            <w:rFonts w:ascii="Arial" w:eastAsia="Times New Roman" w:hAnsi="Arial" w:cs="Arial"/>
            <w:color w:val="0000FF"/>
            <w:sz w:val="24"/>
            <w:szCs w:val="24"/>
            <w:u w:val="single"/>
            <w:lang w:val="en-GB" w:eastAsia="en-GB"/>
          </w:rPr>
          <w:t>https://doi.org/10.1007/s10551-006-9182-6</w:t>
        </w:r>
      </w:hyperlink>
      <w:r w:rsidRPr="003F29DB">
        <w:rPr>
          <w:rFonts w:ascii="Arial" w:eastAsia="Times New Roman" w:hAnsi="Arial" w:cs="Arial"/>
          <w:sz w:val="24"/>
          <w:szCs w:val="24"/>
          <w:lang w:val="en-GB" w:eastAsia="en-GB"/>
        </w:rPr>
        <w:t xml:space="preserve"> (Accessed: 24 September 2026).</w:t>
      </w:r>
    </w:p>
    <w:p w14:paraId="354DA31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Kotler, P. and Keller, K.L. (2016) </w:t>
      </w:r>
      <w:r w:rsidRPr="003F29DB">
        <w:rPr>
          <w:rFonts w:ascii="Arial" w:eastAsia="Times New Roman" w:hAnsi="Arial" w:cs="Arial"/>
          <w:i/>
          <w:iCs/>
          <w:sz w:val="24"/>
          <w:szCs w:val="24"/>
          <w:lang w:val="en-GB" w:eastAsia="en-GB"/>
        </w:rPr>
        <w:t>Marketing Management</w:t>
      </w:r>
      <w:r w:rsidRPr="003F29DB">
        <w:rPr>
          <w:rFonts w:ascii="Arial" w:eastAsia="Times New Roman" w:hAnsi="Arial" w:cs="Arial"/>
          <w:sz w:val="24"/>
          <w:szCs w:val="24"/>
          <w:lang w:val="en-GB" w:eastAsia="en-GB"/>
        </w:rPr>
        <w:t xml:space="preserve">. 15th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Harlow: Pearson. Available at: </w:t>
      </w:r>
      <w:hyperlink r:id="rId54" w:history="1">
        <w:r w:rsidRPr="003F29DB">
          <w:rPr>
            <w:rFonts w:ascii="Arial" w:eastAsia="Times New Roman" w:hAnsi="Arial" w:cs="Arial"/>
            <w:color w:val="0000FF"/>
            <w:sz w:val="24"/>
            <w:szCs w:val="24"/>
            <w:u w:val="single"/>
            <w:lang w:val="en-GB" w:eastAsia="en-GB"/>
          </w:rPr>
          <w:t>https://www.pearson.com/en-gb/subject-catalog/p/marketing-management/P200000006067</w:t>
        </w:r>
      </w:hyperlink>
      <w:r w:rsidRPr="003F29DB">
        <w:rPr>
          <w:rFonts w:ascii="Arial" w:eastAsia="Times New Roman" w:hAnsi="Arial" w:cs="Arial"/>
          <w:sz w:val="24"/>
          <w:szCs w:val="24"/>
          <w:lang w:val="en-GB" w:eastAsia="en-GB"/>
        </w:rPr>
        <w:t xml:space="preserve"> (Accessed: 24 September 2026).</w:t>
      </w:r>
    </w:p>
    <w:p w14:paraId="7E76BA5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Kotler, P., Armstrong, G. and </w:t>
      </w:r>
      <w:proofErr w:type="spellStart"/>
      <w:r w:rsidRPr="003F29DB">
        <w:rPr>
          <w:rFonts w:ascii="Arial" w:eastAsia="Times New Roman" w:hAnsi="Arial" w:cs="Arial"/>
          <w:sz w:val="24"/>
          <w:szCs w:val="24"/>
          <w:lang w:val="en-GB" w:eastAsia="en-GB"/>
        </w:rPr>
        <w:t>Opresnik</w:t>
      </w:r>
      <w:proofErr w:type="spellEnd"/>
      <w:r w:rsidRPr="003F29DB">
        <w:rPr>
          <w:rFonts w:ascii="Arial" w:eastAsia="Times New Roman" w:hAnsi="Arial" w:cs="Arial"/>
          <w:sz w:val="24"/>
          <w:szCs w:val="24"/>
          <w:lang w:val="en-GB" w:eastAsia="en-GB"/>
        </w:rPr>
        <w:t xml:space="preserve">, M.O. (2021) </w:t>
      </w:r>
      <w:r w:rsidRPr="003F29DB">
        <w:rPr>
          <w:rFonts w:ascii="Arial" w:eastAsia="Times New Roman" w:hAnsi="Arial" w:cs="Arial"/>
          <w:i/>
          <w:iCs/>
          <w:sz w:val="24"/>
          <w:szCs w:val="24"/>
          <w:lang w:val="en-GB" w:eastAsia="en-GB"/>
        </w:rPr>
        <w:t>Principles of Marketing</w:t>
      </w:r>
      <w:r w:rsidRPr="003F29DB">
        <w:rPr>
          <w:rFonts w:ascii="Arial" w:eastAsia="Times New Roman" w:hAnsi="Arial" w:cs="Arial"/>
          <w:sz w:val="24"/>
          <w:szCs w:val="24"/>
          <w:lang w:val="en-GB" w:eastAsia="en-GB"/>
        </w:rPr>
        <w:t xml:space="preserve">. 18th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Pearson. Available at: </w:t>
      </w:r>
      <w:hyperlink r:id="rId55" w:history="1">
        <w:r w:rsidRPr="003F29DB">
          <w:rPr>
            <w:rFonts w:ascii="Arial" w:eastAsia="Times New Roman" w:hAnsi="Arial" w:cs="Arial"/>
            <w:color w:val="0000FF"/>
            <w:sz w:val="24"/>
            <w:szCs w:val="24"/>
            <w:u w:val="single"/>
            <w:lang w:val="en-GB" w:eastAsia="en-GB"/>
          </w:rPr>
          <w:t>https://www.pearson.com/en-us/subject-catalog/p/principles-of-marketing/P200000005951</w:t>
        </w:r>
      </w:hyperlink>
      <w:r w:rsidRPr="003F29DB">
        <w:rPr>
          <w:rFonts w:ascii="Arial" w:eastAsia="Times New Roman" w:hAnsi="Arial" w:cs="Arial"/>
          <w:sz w:val="24"/>
          <w:szCs w:val="24"/>
          <w:lang w:val="en-GB" w:eastAsia="en-GB"/>
        </w:rPr>
        <w:t xml:space="preserve"> (Accessed: 24 September 2026).</w:t>
      </w:r>
    </w:p>
    <w:p w14:paraId="2BD787A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Kumar, V., Rahman, Z. and </w:t>
      </w:r>
      <w:proofErr w:type="spellStart"/>
      <w:r w:rsidRPr="003F29DB">
        <w:rPr>
          <w:rFonts w:ascii="Arial" w:eastAsia="Times New Roman" w:hAnsi="Arial" w:cs="Arial"/>
          <w:sz w:val="24"/>
          <w:szCs w:val="24"/>
          <w:lang w:val="en-GB" w:eastAsia="en-GB"/>
        </w:rPr>
        <w:t>Kazmi</w:t>
      </w:r>
      <w:proofErr w:type="spellEnd"/>
      <w:r w:rsidRPr="003F29DB">
        <w:rPr>
          <w:rFonts w:ascii="Arial" w:eastAsia="Times New Roman" w:hAnsi="Arial" w:cs="Arial"/>
          <w:sz w:val="24"/>
          <w:szCs w:val="24"/>
          <w:lang w:val="en-GB" w:eastAsia="en-GB"/>
        </w:rPr>
        <w:t xml:space="preserve">, A.A. (2016) ‘Assessing the sustainability of supply chain management practices’, </w:t>
      </w:r>
      <w:r w:rsidRPr="003F29DB">
        <w:rPr>
          <w:rFonts w:ascii="Arial" w:eastAsia="Times New Roman" w:hAnsi="Arial" w:cs="Arial"/>
          <w:i/>
          <w:iCs/>
          <w:sz w:val="24"/>
          <w:szCs w:val="24"/>
          <w:lang w:val="en-GB" w:eastAsia="en-GB"/>
        </w:rPr>
        <w:t>Journal of Cleaner Production</w:t>
      </w:r>
      <w:r w:rsidRPr="003F29DB">
        <w:rPr>
          <w:rFonts w:ascii="Arial" w:eastAsia="Times New Roman" w:hAnsi="Arial" w:cs="Arial"/>
          <w:sz w:val="24"/>
          <w:szCs w:val="24"/>
          <w:lang w:val="en-GB" w:eastAsia="en-GB"/>
        </w:rPr>
        <w:t xml:space="preserve">, 142, pp. 302–313. Available at: </w:t>
      </w:r>
      <w:hyperlink r:id="rId56" w:history="1">
        <w:r w:rsidRPr="003F29DB">
          <w:rPr>
            <w:rFonts w:ascii="Arial" w:eastAsia="Times New Roman" w:hAnsi="Arial" w:cs="Arial"/>
            <w:color w:val="0000FF"/>
            <w:sz w:val="24"/>
            <w:szCs w:val="24"/>
            <w:u w:val="single"/>
            <w:lang w:val="en-GB" w:eastAsia="en-GB"/>
          </w:rPr>
          <w:t>https://doi.org/10.1016/j.jclepro.2016.05.009</w:t>
        </w:r>
      </w:hyperlink>
      <w:r w:rsidRPr="003F29DB">
        <w:rPr>
          <w:rFonts w:ascii="Arial" w:eastAsia="Times New Roman" w:hAnsi="Arial" w:cs="Arial"/>
          <w:sz w:val="24"/>
          <w:szCs w:val="24"/>
          <w:lang w:val="en-GB" w:eastAsia="en-GB"/>
        </w:rPr>
        <w:t xml:space="preserve"> (Accessed: 24 September 2026).</w:t>
      </w:r>
    </w:p>
    <w:p w14:paraId="067BE8D0"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Lee, K.H. and Kim, J.W. (2009) ‘Current status of CSR in the realm of supply chain management’, </w:t>
      </w:r>
      <w:r w:rsidRPr="003F29DB">
        <w:rPr>
          <w:rFonts w:ascii="Arial" w:eastAsia="Times New Roman" w:hAnsi="Arial" w:cs="Arial"/>
          <w:i/>
          <w:iCs/>
          <w:sz w:val="24"/>
          <w:szCs w:val="24"/>
          <w:lang w:val="en-GB" w:eastAsia="en-GB"/>
        </w:rPr>
        <w:t>Journal of Cleaner Production</w:t>
      </w:r>
      <w:r w:rsidRPr="003F29DB">
        <w:rPr>
          <w:rFonts w:ascii="Arial" w:eastAsia="Times New Roman" w:hAnsi="Arial" w:cs="Arial"/>
          <w:sz w:val="24"/>
          <w:szCs w:val="24"/>
          <w:lang w:val="en-GB" w:eastAsia="en-GB"/>
        </w:rPr>
        <w:t xml:space="preserve">, 17(2), pp. 175–179. Available at: </w:t>
      </w:r>
      <w:hyperlink r:id="rId57" w:history="1">
        <w:r w:rsidRPr="003F29DB">
          <w:rPr>
            <w:rFonts w:ascii="Arial" w:eastAsia="Times New Roman" w:hAnsi="Arial" w:cs="Arial"/>
            <w:color w:val="0000FF"/>
            <w:sz w:val="24"/>
            <w:szCs w:val="24"/>
            <w:u w:val="single"/>
            <w:lang w:val="en-GB" w:eastAsia="en-GB"/>
          </w:rPr>
          <w:t>https://doi.org/10.1016/j.jclepro.2008.06.037</w:t>
        </w:r>
      </w:hyperlink>
      <w:r w:rsidRPr="003F29DB">
        <w:rPr>
          <w:rFonts w:ascii="Arial" w:eastAsia="Times New Roman" w:hAnsi="Arial" w:cs="Arial"/>
          <w:sz w:val="24"/>
          <w:szCs w:val="24"/>
          <w:lang w:val="en-GB" w:eastAsia="en-GB"/>
        </w:rPr>
        <w:t xml:space="preserve"> (Accessed: 24 September 2026).</w:t>
      </w:r>
    </w:p>
    <w:p w14:paraId="5A9F308E"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Lingnau</w:t>
      </w:r>
      <w:proofErr w:type="spellEnd"/>
      <w:r w:rsidRPr="003F29DB">
        <w:rPr>
          <w:rFonts w:ascii="Arial" w:eastAsia="Times New Roman" w:hAnsi="Arial" w:cs="Arial"/>
          <w:sz w:val="24"/>
          <w:szCs w:val="24"/>
          <w:lang w:val="en-GB" w:eastAsia="en-GB"/>
        </w:rPr>
        <w:t xml:space="preserve">, V., Fuchs, F. and </w:t>
      </w:r>
      <w:proofErr w:type="spellStart"/>
      <w:r w:rsidRPr="003F29DB">
        <w:rPr>
          <w:rFonts w:ascii="Arial" w:eastAsia="Times New Roman" w:hAnsi="Arial" w:cs="Arial"/>
          <w:sz w:val="24"/>
          <w:szCs w:val="24"/>
          <w:lang w:val="en-GB" w:eastAsia="en-GB"/>
        </w:rPr>
        <w:t>Beham</w:t>
      </w:r>
      <w:proofErr w:type="spellEnd"/>
      <w:r w:rsidRPr="003F29DB">
        <w:rPr>
          <w:rFonts w:ascii="Arial" w:eastAsia="Times New Roman" w:hAnsi="Arial" w:cs="Arial"/>
          <w:sz w:val="24"/>
          <w:szCs w:val="24"/>
          <w:lang w:val="en-GB" w:eastAsia="en-GB"/>
        </w:rPr>
        <w:t xml:space="preserve">, F. (2019) ‘The impact of sustainability in coffee production on consumers’ willingness to pay – new evidence from the field of ethical consumption’, </w:t>
      </w:r>
      <w:r w:rsidRPr="003F29DB">
        <w:rPr>
          <w:rFonts w:ascii="Arial" w:eastAsia="Times New Roman" w:hAnsi="Arial" w:cs="Arial"/>
          <w:i/>
          <w:iCs/>
          <w:sz w:val="24"/>
          <w:szCs w:val="24"/>
          <w:lang w:val="en-GB" w:eastAsia="en-GB"/>
        </w:rPr>
        <w:t>Journal of Management Control</w:t>
      </w:r>
      <w:r w:rsidRPr="003F29DB">
        <w:rPr>
          <w:rFonts w:ascii="Arial" w:eastAsia="Times New Roman" w:hAnsi="Arial" w:cs="Arial"/>
          <w:sz w:val="24"/>
          <w:szCs w:val="24"/>
          <w:lang w:val="en-GB" w:eastAsia="en-GB"/>
        </w:rPr>
        <w:t xml:space="preserve">, 30(1), pp. 65–93. Available at: </w:t>
      </w:r>
      <w:hyperlink r:id="rId58" w:history="1">
        <w:r w:rsidRPr="003F29DB">
          <w:rPr>
            <w:rFonts w:ascii="Arial" w:eastAsia="Times New Roman" w:hAnsi="Arial" w:cs="Arial"/>
            <w:color w:val="0000FF"/>
            <w:sz w:val="24"/>
            <w:szCs w:val="24"/>
            <w:u w:val="single"/>
            <w:lang w:val="en-GB" w:eastAsia="en-GB"/>
          </w:rPr>
          <w:t>https://doi.org/10.1007/s00187-019-00276-x</w:t>
        </w:r>
      </w:hyperlink>
      <w:r w:rsidRPr="003F29DB">
        <w:rPr>
          <w:rFonts w:ascii="Arial" w:eastAsia="Times New Roman" w:hAnsi="Arial" w:cs="Arial"/>
          <w:sz w:val="24"/>
          <w:szCs w:val="24"/>
          <w:lang w:val="en-GB" w:eastAsia="en-GB"/>
        </w:rPr>
        <w:t xml:space="preserve"> (Accessed: 24 September 2026).</w:t>
      </w:r>
    </w:p>
    <w:p w14:paraId="28168BE2"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Liu, Y., Li, H. and Hu, F. (2013) ‘Website attributes in urging online impulse purchase: An empirical investigation on consumer perceptions’, </w:t>
      </w:r>
      <w:r w:rsidRPr="003F29DB">
        <w:rPr>
          <w:rFonts w:ascii="Arial" w:eastAsia="Times New Roman" w:hAnsi="Arial" w:cs="Arial"/>
          <w:i/>
          <w:iCs/>
          <w:sz w:val="24"/>
          <w:szCs w:val="24"/>
          <w:lang w:val="en-GB" w:eastAsia="en-GB"/>
        </w:rPr>
        <w:t>Decision Support Systems</w:t>
      </w:r>
      <w:r w:rsidRPr="003F29DB">
        <w:rPr>
          <w:rFonts w:ascii="Arial" w:eastAsia="Times New Roman" w:hAnsi="Arial" w:cs="Arial"/>
          <w:sz w:val="24"/>
          <w:szCs w:val="24"/>
          <w:lang w:val="en-GB" w:eastAsia="en-GB"/>
        </w:rPr>
        <w:t xml:space="preserve">, 55(3), pp. 829–837. Available at: </w:t>
      </w:r>
      <w:hyperlink r:id="rId59" w:history="1">
        <w:r w:rsidRPr="003F29DB">
          <w:rPr>
            <w:rFonts w:ascii="Arial" w:eastAsia="Times New Roman" w:hAnsi="Arial" w:cs="Arial"/>
            <w:color w:val="0000FF"/>
            <w:sz w:val="24"/>
            <w:szCs w:val="24"/>
            <w:u w:val="single"/>
            <w:lang w:val="en-GB" w:eastAsia="en-GB"/>
          </w:rPr>
          <w:t>https://doi.org/10.1016/j.dss.2013.04.001</w:t>
        </w:r>
      </w:hyperlink>
      <w:r w:rsidRPr="003F29DB">
        <w:rPr>
          <w:rFonts w:ascii="Arial" w:eastAsia="Times New Roman" w:hAnsi="Arial" w:cs="Arial"/>
          <w:sz w:val="24"/>
          <w:szCs w:val="24"/>
          <w:lang w:val="en-GB" w:eastAsia="en-GB"/>
        </w:rPr>
        <w:t xml:space="preserve"> (Accessed: 24 September 2026).</w:t>
      </w:r>
    </w:p>
    <w:p w14:paraId="04011DD8"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lastRenderedPageBreak/>
        <w:t>Luning</w:t>
      </w:r>
      <w:proofErr w:type="spellEnd"/>
      <w:r w:rsidRPr="003F29DB">
        <w:rPr>
          <w:rFonts w:ascii="Arial" w:eastAsia="Times New Roman" w:hAnsi="Arial" w:cs="Arial"/>
          <w:sz w:val="24"/>
          <w:szCs w:val="24"/>
          <w:lang w:val="en-GB" w:eastAsia="en-GB"/>
        </w:rPr>
        <w:t xml:space="preserve">, P.A. and </w:t>
      </w:r>
      <w:proofErr w:type="spellStart"/>
      <w:r w:rsidRPr="003F29DB">
        <w:rPr>
          <w:rFonts w:ascii="Arial" w:eastAsia="Times New Roman" w:hAnsi="Arial" w:cs="Arial"/>
          <w:sz w:val="24"/>
          <w:szCs w:val="24"/>
          <w:lang w:val="en-GB" w:eastAsia="en-GB"/>
        </w:rPr>
        <w:t>Marcelis</w:t>
      </w:r>
      <w:proofErr w:type="spellEnd"/>
      <w:r w:rsidRPr="003F29DB">
        <w:rPr>
          <w:rFonts w:ascii="Arial" w:eastAsia="Times New Roman" w:hAnsi="Arial" w:cs="Arial"/>
          <w:sz w:val="24"/>
          <w:szCs w:val="24"/>
          <w:lang w:val="en-GB" w:eastAsia="en-GB"/>
        </w:rPr>
        <w:t xml:space="preserve">, W.J. (2009) </w:t>
      </w:r>
      <w:r w:rsidRPr="003F29DB">
        <w:rPr>
          <w:rFonts w:ascii="Arial" w:eastAsia="Times New Roman" w:hAnsi="Arial" w:cs="Arial"/>
          <w:i/>
          <w:iCs/>
          <w:sz w:val="24"/>
          <w:szCs w:val="24"/>
          <w:lang w:val="en-GB" w:eastAsia="en-GB"/>
        </w:rPr>
        <w:t>Food Quality Management: Technological and Managerial Principles and Practices</w:t>
      </w:r>
      <w:r w:rsidRPr="003F29DB">
        <w:rPr>
          <w:rFonts w:ascii="Arial" w:eastAsia="Times New Roman" w:hAnsi="Arial" w:cs="Arial"/>
          <w:sz w:val="24"/>
          <w:szCs w:val="24"/>
          <w:lang w:val="en-GB" w:eastAsia="en-GB"/>
        </w:rPr>
        <w:t xml:space="preserve">. </w:t>
      </w:r>
      <w:proofErr w:type="spellStart"/>
      <w:r w:rsidRPr="003F29DB">
        <w:rPr>
          <w:rFonts w:ascii="Arial" w:eastAsia="Times New Roman" w:hAnsi="Arial" w:cs="Arial"/>
          <w:sz w:val="24"/>
          <w:szCs w:val="24"/>
          <w:lang w:val="en-GB" w:eastAsia="en-GB"/>
        </w:rPr>
        <w:t>Wageningen</w:t>
      </w:r>
      <w:proofErr w:type="spellEnd"/>
      <w:r w:rsidRPr="003F29DB">
        <w:rPr>
          <w:rFonts w:ascii="Arial" w:eastAsia="Times New Roman" w:hAnsi="Arial" w:cs="Arial"/>
          <w:sz w:val="24"/>
          <w:szCs w:val="24"/>
          <w:lang w:val="en-GB" w:eastAsia="en-GB"/>
        </w:rPr>
        <w:t xml:space="preserve">: </w:t>
      </w:r>
      <w:proofErr w:type="spellStart"/>
      <w:r w:rsidRPr="003F29DB">
        <w:rPr>
          <w:rFonts w:ascii="Arial" w:eastAsia="Times New Roman" w:hAnsi="Arial" w:cs="Arial"/>
          <w:sz w:val="24"/>
          <w:szCs w:val="24"/>
          <w:lang w:val="en-GB" w:eastAsia="en-GB"/>
        </w:rPr>
        <w:t>Wageningen</w:t>
      </w:r>
      <w:proofErr w:type="spellEnd"/>
      <w:r w:rsidRPr="003F29DB">
        <w:rPr>
          <w:rFonts w:ascii="Arial" w:eastAsia="Times New Roman" w:hAnsi="Arial" w:cs="Arial"/>
          <w:sz w:val="24"/>
          <w:szCs w:val="24"/>
          <w:lang w:val="en-GB" w:eastAsia="en-GB"/>
        </w:rPr>
        <w:t xml:space="preserve"> Academic Publishers. Available at: </w:t>
      </w:r>
      <w:hyperlink r:id="rId60" w:history="1">
        <w:r w:rsidRPr="003F29DB">
          <w:rPr>
            <w:rFonts w:ascii="Arial" w:eastAsia="Times New Roman" w:hAnsi="Arial" w:cs="Arial"/>
            <w:color w:val="0000FF"/>
            <w:sz w:val="24"/>
            <w:szCs w:val="24"/>
            <w:u w:val="single"/>
            <w:lang w:val="en-GB" w:eastAsia="en-GB"/>
          </w:rPr>
          <w:t>https://doi.org/10.3920/978-90-8686-652-8</w:t>
        </w:r>
      </w:hyperlink>
      <w:r w:rsidRPr="003F29DB">
        <w:rPr>
          <w:rFonts w:ascii="Arial" w:eastAsia="Times New Roman" w:hAnsi="Arial" w:cs="Arial"/>
          <w:sz w:val="24"/>
          <w:szCs w:val="24"/>
          <w:lang w:val="en-GB" w:eastAsia="en-GB"/>
        </w:rPr>
        <w:t xml:space="preserve"> (Accessed: 24 September 2026).</w:t>
      </w:r>
    </w:p>
    <w:p w14:paraId="39E2988C"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MacArthur, E. (2013) </w:t>
      </w:r>
      <w:r w:rsidRPr="003F29DB">
        <w:rPr>
          <w:rFonts w:ascii="Arial" w:eastAsia="Times New Roman" w:hAnsi="Arial" w:cs="Arial"/>
          <w:i/>
          <w:iCs/>
          <w:sz w:val="24"/>
          <w:szCs w:val="24"/>
          <w:lang w:val="en-GB" w:eastAsia="en-GB"/>
        </w:rPr>
        <w:t>Towards the Circular Economy: Opportunities for the Consumer Goods Sector</w:t>
      </w:r>
      <w:r w:rsidRPr="003F29DB">
        <w:rPr>
          <w:rFonts w:ascii="Arial" w:eastAsia="Times New Roman" w:hAnsi="Arial" w:cs="Arial"/>
          <w:sz w:val="24"/>
          <w:szCs w:val="24"/>
          <w:lang w:val="en-GB" w:eastAsia="en-GB"/>
        </w:rPr>
        <w:t xml:space="preserve">. Ellen MacArthur Foundation. Available at: </w:t>
      </w:r>
      <w:hyperlink r:id="rId61" w:history="1">
        <w:r w:rsidRPr="003F29DB">
          <w:rPr>
            <w:rFonts w:ascii="Arial" w:eastAsia="Times New Roman" w:hAnsi="Arial" w:cs="Arial"/>
            <w:color w:val="0000FF"/>
            <w:sz w:val="24"/>
            <w:szCs w:val="24"/>
            <w:u w:val="single"/>
            <w:lang w:val="en-GB" w:eastAsia="en-GB"/>
          </w:rPr>
          <w:t>https://www.ellenmacarthurfoundation.org/</w:t>
        </w:r>
      </w:hyperlink>
      <w:r w:rsidRPr="003F29DB">
        <w:rPr>
          <w:rFonts w:ascii="Arial" w:eastAsia="Times New Roman" w:hAnsi="Arial" w:cs="Arial"/>
          <w:sz w:val="24"/>
          <w:szCs w:val="24"/>
          <w:lang w:val="en-GB" w:eastAsia="en-GB"/>
        </w:rPr>
        <w:t xml:space="preserve"> (Accessed: 24 September 2026).</w:t>
      </w:r>
    </w:p>
    <w:p w14:paraId="45030BB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McKinsey &amp; Company (2024) </w:t>
      </w:r>
      <w:r w:rsidRPr="003F29DB">
        <w:rPr>
          <w:rFonts w:ascii="Arial" w:eastAsia="Times New Roman" w:hAnsi="Arial" w:cs="Arial"/>
          <w:i/>
          <w:iCs/>
          <w:sz w:val="24"/>
          <w:szCs w:val="24"/>
          <w:lang w:val="en-GB" w:eastAsia="en-GB"/>
        </w:rPr>
        <w:t>The State of Grocery Retail and Consumer Trends</w:t>
      </w:r>
      <w:r w:rsidRPr="003F29DB">
        <w:rPr>
          <w:rFonts w:ascii="Arial" w:eastAsia="Times New Roman" w:hAnsi="Arial" w:cs="Arial"/>
          <w:sz w:val="24"/>
          <w:szCs w:val="24"/>
          <w:lang w:val="en-GB" w:eastAsia="en-GB"/>
        </w:rPr>
        <w:t xml:space="preserve">. Available at: </w:t>
      </w:r>
      <w:hyperlink r:id="rId62" w:history="1">
        <w:r w:rsidRPr="003F29DB">
          <w:rPr>
            <w:rFonts w:ascii="Arial" w:eastAsia="Times New Roman" w:hAnsi="Arial" w:cs="Arial"/>
            <w:color w:val="0000FF"/>
            <w:sz w:val="24"/>
            <w:szCs w:val="24"/>
            <w:u w:val="single"/>
            <w:lang w:val="en-GB" w:eastAsia="en-GB"/>
          </w:rPr>
          <w:t>https://www.mckinsey.com/industries/retail/our-insights</w:t>
        </w:r>
      </w:hyperlink>
      <w:r w:rsidRPr="003F29DB">
        <w:rPr>
          <w:rFonts w:ascii="Arial" w:eastAsia="Times New Roman" w:hAnsi="Arial" w:cs="Arial"/>
          <w:sz w:val="24"/>
          <w:szCs w:val="24"/>
          <w:lang w:val="en-GB" w:eastAsia="en-GB"/>
        </w:rPr>
        <w:t xml:space="preserve"> (Accessed: 24 September 2026).</w:t>
      </w:r>
    </w:p>
    <w:p w14:paraId="20E5A262"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Monmouth Coffee Company (2026) </w:t>
      </w:r>
      <w:r w:rsidRPr="003F29DB">
        <w:rPr>
          <w:rFonts w:ascii="Arial" w:eastAsia="Times New Roman" w:hAnsi="Arial" w:cs="Arial"/>
          <w:i/>
          <w:iCs/>
          <w:sz w:val="24"/>
          <w:szCs w:val="24"/>
          <w:lang w:val="en-GB" w:eastAsia="en-GB"/>
        </w:rPr>
        <w:t>Monmouth Coffee Company</w:t>
      </w:r>
      <w:r w:rsidRPr="003F29DB">
        <w:rPr>
          <w:rFonts w:ascii="Arial" w:eastAsia="Times New Roman" w:hAnsi="Arial" w:cs="Arial"/>
          <w:sz w:val="24"/>
          <w:szCs w:val="24"/>
          <w:lang w:val="en-GB" w:eastAsia="en-GB"/>
        </w:rPr>
        <w:t xml:space="preserve">. Available at: </w:t>
      </w:r>
      <w:hyperlink r:id="rId63" w:history="1">
        <w:r w:rsidRPr="003F29DB">
          <w:rPr>
            <w:rFonts w:ascii="Arial" w:eastAsia="Times New Roman" w:hAnsi="Arial" w:cs="Arial"/>
            <w:color w:val="0000FF"/>
            <w:sz w:val="24"/>
            <w:szCs w:val="24"/>
            <w:u w:val="single"/>
            <w:lang w:val="en-GB" w:eastAsia="en-GB"/>
          </w:rPr>
          <w:t>https://monmouthcoffee.co.uk/</w:t>
        </w:r>
      </w:hyperlink>
      <w:r w:rsidRPr="003F29DB">
        <w:rPr>
          <w:rFonts w:ascii="Arial" w:eastAsia="Times New Roman" w:hAnsi="Arial" w:cs="Arial"/>
          <w:sz w:val="24"/>
          <w:szCs w:val="24"/>
          <w:lang w:val="en-GB" w:eastAsia="en-GB"/>
        </w:rPr>
        <w:t xml:space="preserve"> (Accessed: 24 September 2026).</w:t>
      </w:r>
    </w:p>
    <w:p w14:paraId="24934BD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Morgan, R.M. and Hunt, S.D. (1994) ‘The commitment-trust theory of relationship marketing’, </w:t>
      </w:r>
      <w:r w:rsidRPr="003F29DB">
        <w:rPr>
          <w:rFonts w:ascii="Arial" w:eastAsia="Times New Roman" w:hAnsi="Arial" w:cs="Arial"/>
          <w:i/>
          <w:iCs/>
          <w:sz w:val="24"/>
          <w:szCs w:val="24"/>
          <w:lang w:val="en-GB" w:eastAsia="en-GB"/>
        </w:rPr>
        <w:t>Journal of Marketing</w:t>
      </w:r>
      <w:r w:rsidRPr="003F29DB">
        <w:rPr>
          <w:rFonts w:ascii="Arial" w:eastAsia="Times New Roman" w:hAnsi="Arial" w:cs="Arial"/>
          <w:sz w:val="24"/>
          <w:szCs w:val="24"/>
          <w:lang w:val="en-GB" w:eastAsia="en-GB"/>
        </w:rPr>
        <w:t xml:space="preserve">, 58(3), pp. 20–38. Available at: </w:t>
      </w:r>
      <w:hyperlink r:id="rId64" w:history="1">
        <w:r w:rsidRPr="003F29DB">
          <w:rPr>
            <w:rFonts w:ascii="Arial" w:eastAsia="Times New Roman" w:hAnsi="Arial" w:cs="Arial"/>
            <w:color w:val="0000FF"/>
            <w:sz w:val="24"/>
            <w:szCs w:val="24"/>
            <w:u w:val="single"/>
            <w:lang w:val="en-GB" w:eastAsia="en-GB"/>
          </w:rPr>
          <w:t>https://doi.org/10.1177/002224299405800302</w:t>
        </w:r>
      </w:hyperlink>
      <w:r w:rsidRPr="003F29DB">
        <w:rPr>
          <w:rFonts w:ascii="Arial" w:eastAsia="Times New Roman" w:hAnsi="Arial" w:cs="Arial"/>
          <w:sz w:val="24"/>
          <w:szCs w:val="24"/>
          <w:lang w:val="en-GB" w:eastAsia="en-GB"/>
        </w:rPr>
        <w:t xml:space="preserve"> (Accessed: 24 September 2026).</w:t>
      </w:r>
    </w:p>
    <w:p w14:paraId="41D1407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Müller, M., </w:t>
      </w:r>
      <w:proofErr w:type="spellStart"/>
      <w:r w:rsidRPr="003F29DB">
        <w:rPr>
          <w:rFonts w:ascii="Arial" w:eastAsia="Times New Roman" w:hAnsi="Arial" w:cs="Arial"/>
          <w:sz w:val="24"/>
          <w:szCs w:val="24"/>
          <w:lang w:val="en-GB" w:eastAsia="en-GB"/>
        </w:rPr>
        <w:t>Vermeulen</w:t>
      </w:r>
      <w:proofErr w:type="spellEnd"/>
      <w:r w:rsidRPr="003F29DB">
        <w:rPr>
          <w:rFonts w:ascii="Arial" w:eastAsia="Times New Roman" w:hAnsi="Arial" w:cs="Arial"/>
          <w:sz w:val="24"/>
          <w:szCs w:val="24"/>
          <w:lang w:val="en-GB" w:eastAsia="en-GB"/>
        </w:rPr>
        <w:t xml:space="preserve">, W. and </w:t>
      </w:r>
      <w:proofErr w:type="spellStart"/>
      <w:r w:rsidRPr="003F29DB">
        <w:rPr>
          <w:rFonts w:ascii="Arial" w:eastAsia="Times New Roman" w:hAnsi="Arial" w:cs="Arial"/>
          <w:sz w:val="24"/>
          <w:szCs w:val="24"/>
          <w:lang w:val="en-GB" w:eastAsia="en-GB"/>
        </w:rPr>
        <w:t>Glasbergen</w:t>
      </w:r>
      <w:proofErr w:type="spellEnd"/>
      <w:r w:rsidRPr="003F29DB">
        <w:rPr>
          <w:rFonts w:ascii="Arial" w:eastAsia="Times New Roman" w:hAnsi="Arial" w:cs="Arial"/>
          <w:sz w:val="24"/>
          <w:szCs w:val="24"/>
          <w:lang w:val="en-GB" w:eastAsia="en-GB"/>
        </w:rPr>
        <w:t xml:space="preserve">, P. (2012) ‘Pushing or sharing as value-driven strategies for societal change in global supply chains’, </w:t>
      </w:r>
      <w:r w:rsidRPr="003F29DB">
        <w:rPr>
          <w:rFonts w:ascii="Arial" w:eastAsia="Times New Roman" w:hAnsi="Arial" w:cs="Arial"/>
          <w:i/>
          <w:iCs/>
          <w:sz w:val="24"/>
          <w:szCs w:val="24"/>
          <w:lang w:val="en-GB" w:eastAsia="en-GB"/>
        </w:rPr>
        <w:t>Business Strategy and the Environment</w:t>
      </w:r>
      <w:r w:rsidRPr="003F29DB">
        <w:rPr>
          <w:rFonts w:ascii="Arial" w:eastAsia="Times New Roman" w:hAnsi="Arial" w:cs="Arial"/>
          <w:sz w:val="24"/>
          <w:szCs w:val="24"/>
          <w:lang w:val="en-GB" w:eastAsia="en-GB"/>
        </w:rPr>
        <w:t xml:space="preserve">, 21(1), pp. 1–12. Available at: </w:t>
      </w:r>
      <w:hyperlink r:id="rId65" w:history="1">
        <w:r w:rsidRPr="003F29DB">
          <w:rPr>
            <w:rFonts w:ascii="Arial" w:eastAsia="Times New Roman" w:hAnsi="Arial" w:cs="Arial"/>
            <w:color w:val="0000FF"/>
            <w:sz w:val="24"/>
            <w:szCs w:val="24"/>
            <w:u w:val="single"/>
            <w:lang w:val="en-GB" w:eastAsia="en-GB"/>
          </w:rPr>
          <w:t>https://doi.org/10.1002/bse.725</w:t>
        </w:r>
      </w:hyperlink>
      <w:r w:rsidRPr="003F29DB">
        <w:rPr>
          <w:rFonts w:ascii="Arial" w:eastAsia="Times New Roman" w:hAnsi="Arial" w:cs="Arial"/>
          <w:sz w:val="24"/>
          <w:szCs w:val="24"/>
          <w:lang w:val="en-GB" w:eastAsia="en-GB"/>
        </w:rPr>
        <w:t xml:space="preserve"> (Accessed: 24 September 2026).</w:t>
      </w:r>
    </w:p>
    <w:p w14:paraId="13A2C20A"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OECD (2023) </w:t>
      </w:r>
      <w:r w:rsidRPr="003F29DB">
        <w:rPr>
          <w:rFonts w:ascii="Arial" w:eastAsia="Times New Roman" w:hAnsi="Arial" w:cs="Arial"/>
          <w:i/>
          <w:iCs/>
          <w:sz w:val="24"/>
          <w:szCs w:val="24"/>
          <w:lang w:val="en-GB" w:eastAsia="en-GB"/>
        </w:rPr>
        <w:t>OECD Guidelines for Multinational Enterprises on Responsible Business Conduct</w:t>
      </w:r>
      <w:r w:rsidRPr="003F29DB">
        <w:rPr>
          <w:rFonts w:ascii="Arial" w:eastAsia="Times New Roman" w:hAnsi="Arial" w:cs="Arial"/>
          <w:sz w:val="24"/>
          <w:szCs w:val="24"/>
          <w:lang w:val="en-GB" w:eastAsia="en-GB"/>
        </w:rPr>
        <w:t xml:space="preserve">. Paris: OECD Publishing. Available at: </w:t>
      </w:r>
      <w:hyperlink r:id="rId66" w:history="1">
        <w:r w:rsidRPr="003F29DB">
          <w:rPr>
            <w:rFonts w:ascii="Arial" w:eastAsia="Times New Roman" w:hAnsi="Arial" w:cs="Arial"/>
            <w:color w:val="0000FF"/>
            <w:sz w:val="24"/>
            <w:szCs w:val="24"/>
            <w:u w:val="single"/>
            <w:lang w:val="en-GB" w:eastAsia="en-GB"/>
          </w:rPr>
          <w:t>https://doi.org/10.1787/81f92357-en</w:t>
        </w:r>
      </w:hyperlink>
      <w:r w:rsidRPr="003F29DB">
        <w:rPr>
          <w:rFonts w:ascii="Arial" w:eastAsia="Times New Roman" w:hAnsi="Arial" w:cs="Arial"/>
          <w:sz w:val="24"/>
          <w:szCs w:val="24"/>
          <w:lang w:val="en-GB" w:eastAsia="en-GB"/>
        </w:rPr>
        <w:t xml:space="preserve"> (Accessed: 24 September 2026).</w:t>
      </w:r>
    </w:p>
    <w:p w14:paraId="65FAC4EF"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Office for National Statistics (2024a) </w:t>
      </w:r>
      <w:r w:rsidRPr="003F29DB">
        <w:rPr>
          <w:rFonts w:ascii="Arial" w:eastAsia="Times New Roman" w:hAnsi="Arial" w:cs="Arial"/>
          <w:i/>
          <w:iCs/>
          <w:sz w:val="24"/>
          <w:szCs w:val="24"/>
          <w:lang w:val="en-GB" w:eastAsia="en-GB"/>
        </w:rPr>
        <w:t>Business demography, UK</w:t>
      </w:r>
      <w:r w:rsidRPr="003F29DB">
        <w:rPr>
          <w:rFonts w:ascii="Arial" w:eastAsia="Times New Roman" w:hAnsi="Arial" w:cs="Arial"/>
          <w:sz w:val="24"/>
          <w:szCs w:val="24"/>
          <w:lang w:val="en-GB" w:eastAsia="en-GB"/>
        </w:rPr>
        <w:t xml:space="preserve">. Available at: </w:t>
      </w:r>
      <w:hyperlink r:id="rId67" w:history="1">
        <w:r w:rsidRPr="003F29DB">
          <w:rPr>
            <w:rFonts w:ascii="Arial" w:eastAsia="Times New Roman" w:hAnsi="Arial" w:cs="Arial"/>
            <w:color w:val="0000FF"/>
            <w:sz w:val="24"/>
            <w:szCs w:val="24"/>
            <w:u w:val="single"/>
            <w:lang w:val="en-GB" w:eastAsia="en-GB"/>
          </w:rPr>
          <w:t>https://www.ons.gov.uk/businessindustryandtrade/business/activitysizeandlocation</w:t>
        </w:r>
      </w:hyperlink>
      <w:r w:rsidRPr="003F29DB">
        <w:rPr>
          <w:rFonts w:ascii="Arial" w:eastAsia="Times New Roman" w:hAnsi="Arial" w:cs="Arial"/>
          <w:sz w:val="24"/>
          <w:szCs w:val="24"/>
          <w:lang w:val="en-GB" w:eastAsia="en-GB"/>
        </w:rPr>
        <w:t xml:space="preserve"> (Accessed: 24 September 2026).</w:t>
      </w:r>
    </w:p>
    <w:p w14:paraId="6061F3B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Office for National Statistics (2024b) </w:t>
      </w:r>
      <w:r w:rsidRPr="003F29DB">
        <w:rPr>
          <w:rFonts w:ascii="Arial" w:eastAsia="Times New Roman" w:hAnsi="Arial" w:cs="Arial"/>
          <w:i/>
          <w:iCs/>
          <w:sz w:val="24"/>
          <w:szCs w:val="24"/>
          <w:lang w:val="en-GB" w:eastAsia="en-GB"/>
        </w:rPr>
        <w:t>Consumer price inflation, UK</w:t>
      </w:r>
      <w:r w:rsidRPr="003F29DB">
        <w:rPr>
          <w:rFonts w:ascii="Arial" w:eastAsia="Times New Roman" w:hAnsi="Arial" w:cs="Arial"/>
          <w:sz w:val="24"/>
          <w:szCs w:val="24"/>
          <w:lang w:val="en-GB" w:eastAsia="en-GB"/>
        </w:rPr>
        <w:t xml:space="preserve">. Available at: </w:t>
      </w:r>
      <w:hyperlink r:id="rId68" w:history="1">
        <w:r w:rsidRPr="003F29DB">
          <w:rPr>
            <w:rFonts w:ascii="Arial" w:eastAsia="Times New Roman" w:hAnsi="Arial" w:cs="Arial"/>
            <w:color w:val="0000FF"/>
            <w:sz w:val="24"/>
            <w:szCs w:val="24"/>
            <w:u w:val="single"/>
            <w:lang w:val="en-GB" w:eastAsia="en-GB"/>
          </w:rPr>
          <w:t>https://www.ons.gov.uk/economy/inflationandpriceindices</w:t>
        </w:r>
      </w:hyperlink>
      <w:r w:rsidRPr="003F29DB">
        <w:rPr>
          <w:rFonts w:ascii="Arial" w:eastAsia="Times New Roman" w:hAnsi="Arial" w:cs="Arial"/>
          <w:sz w:val="24"/>
          <w:szCs w:val="24"/>
          <w:lang w:val="en-GB" w:eastAsia="en-GB"/>
        </w:rPr>
        <w:t xml:space="preserve"> (Accessed: 24 September 2026).</w:t>
      </w:r>
    </w:p>
    <w:p w14:paraId="28CFAD17"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Office for National Statistics (2025) </w:t>
      </w:r>
      <w:r w:rsidRPr="003F29DB">
        <w:rPr>
          <w:rFonts w:ascii="Arial" w:eastAsia="Times New Roman" w:hAnsi="Arial" w:cs="Arial"/>
          <w:i/>
          <w:iCs/>
          <w:sz w:val="24"/>
          <w:szCs w:val="24"/>
          <w:lang w:val="en-GB" w:eastAsia="en-GB"/>
        </w:rPr>
        <w:t>Business insights and conditions</w:t>
      </w:r>
      <w:r w:rsidRPr="003F29DB">
        <w:rPr>
          <w:rFonts w:ascii="Arial" w:eastAsia="Times New Roman" w:hAnsi="Arial" w:cs="Arial"/>
          <w:sz w:val="24"/>
          <w:szCs w:val="24"/>
          <w:lang w:val="en-GB" w:eastAsia="en-GB"/>
        </w:rPr>
        <w:t xml:space="preserve">. Available at: </w:t>
      </w:r>
      <w:hyperlink r:id="rId69" w:history="1">
        <w:r w:rsidRPr="003F29DB">
          <w:rPr>
            <w:rFonts w:ascii="Arial" w:eastAsia="Times New Roman" w:hAnsi="Arial" w:cs="Arial"/>
            <w:color w:val="0000FF"/>
            <w:sz w:val="24"/>
            <w:szCs w:val="24"/>
            <w:u w:val="single"/>
            <w:lang w:val="en-GB" w:eastAsia="en-GB"/>
          </w:rPr>
          <w:t>https://www.ons.gov.uk/businessindustryandtrade/business/businessservices</w:t>
        </w:r>
      </w:hyperlink>
      <w:r w:rsidRPr="003F29DB">
        <w:rPr>
          <w:rFonts w:ascii="Arial" w:eastAsia="Times New Roman" w:hAnsi="Arial" w:cs="Arial"/>
          <w:sz w:val="24"/>
          <w:szCs w:val="24"/>
          <w:lang w:val="en-GB" w:eastAsia="en-GB"/>
        </w:rPr>
        <w:t xml:space="preserve"> (Accessed: 24 September 2026).</w:t>
      </w:r>
    </w:p>
    <w:p w14:paraId="42301DA0"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lastRenderedPageBreak/>
        <w:t>Osterwalder</w:t>
      </w:r>
      <w:proofErr w:type="spellEnd"/>
      <w:r w:rsidRPr="003F29DB">
        <w:rPr>
          <w:rFonts w:ascii="Arial" w:eastAsia="Times New Roman" w:hAnsi="Arial" w:cs="Arial"/>
          <w:sz w:val="24"/>
          <w:szCs w:val="24"/>
          <w:lang w:val="en-GB" w:eastAsia="en-GB"/>
        </w:rPr>
        <w:t xml:space="preserve">, A. and </w:t>
      </w:r>
      <w:proofErr w:type="spellStart"/>
      <w:r w:rsidRPr="003F29DB">
        <w:rPr>
          <w:rFonts w:ascii="Arial" w:eastAsia="Times New Roman" w:hAnsi="Arial" w:cs="Arial"/>
          <w:sz w:val="24"/>
          <w:szCs w:val="24"/>
          <w:lang w:val="en-GB" w:eastAsia="en-GB"/>
        </w:rPr>
        <w:t>Pigneur</w:t>
      </w:r>
      <w:proofErr w:type="spellEnd"/>
      <w:r w:rsidRPr="003F29DB">
        <w:rPr>
          <w:rFonts w:ascii="Arial" w:eastAsia="Times New Roman" w:hAnsi="Arial" w:cs="Arial"/>
          <w:sz w:val="24"/>
          <w:szCs w:val="24"/>
          <w:lang w:val="en-GB" w:eastAsia="en-GB"/>
        </w:rPr>
        <w:t xml:space="preserve">, Y. (2010) </w:t>
      </w:r>
      <w:r w:rsidRPr="003F29DB">
        <w:rPr>
          <w:rFonts w:ascii="Arial" w:eastAsia="Times New Roman" w:hAnsi="Arial" w:cs="Arial"/>
          <w:i/>
          <w:iCs/>
          <w:sz w:val="24"/>
          <w:szCs w:val="24"/>
          <w:lang w:val="en-GB" w:eastAsia="en-GB"/>
        </w:rPr>
        <w:t>Business Model Generation</w:t>
      </w:r>
      <w:r w:rsidRPr="003F29DB">
        <w:rPr>
          <w:rFonts w:ascii="Arial" w:eastAsia="Times New Roman" w:hAnsi="Arial" w:cs="Arial"/>
          <w:sz w:val="24"/>
          <w:szCs w:val="24"/>
          <w:lang w:val="en-GB" w:eastAsia="en-GB"/>
        </w:rPr>
        <w:t xml:space="preserve">. Hoboken, NJ: John Wiley &amp; Sons. Available at: </w:t>
      </w:r>
      <w:hyperlink r:id="rId70" w:history="1">
        <w:r w:rsidRPr="003F29DB">
          <w:rPr>
            <w:rFonts w:ascii="Arial" w:eastAsia="Times New Roman" w:hAnsi="Arial" w:cs="Arial"/>
            <w:color w:val="0000FF"/>
            <w:sz w:val="24"/>
            <w:szCs w:val="24"/>
            <w:u w:val="single"/>
            <w:lang w:val="en-GB" w:eastAsia="en-GB"/>
          </w:rPr>
          <w:t>https://www.strategyzer.com/library/the-business-model-canvas</w:t>
        </w:r>
      </w:hyperlink>
      <w:r w:rsidRPr="003F29DB">
        <w:rPr>
          <w:rFonts w:ascii="Arial" w:eastAsia="Times New Roman" w:hAnsi="Arial" w:cs="Arial"/>
          <w:sz w:val="24"/>
          <w:szCs w:val="24"/>
          <w:lang w:val="en-GB" w:eastAsia="en-GB"/>
        </w:rPr>
        <w:t xml:space="preserve"> (Accessed: 24 September 2026).</w:t>
      </w:r>
    </w:p>
    <w:p w14:paraId="4AED6DE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Peattie, K. and Crane, A. (2005) ‘Green marketing: Legend, myth, farce or prophesy?’, </w:t>
      </w:r>
      <w:r w:rsidRPr="003F29DB">
        <w:rPr>
          <w:rFonts w:ascii="Arial" w:eastAsia="Times New Roman" w:hAnsi="Arial" w:cs="Arial"/>
          <w:i/>
          <w:iCs/>
          <w:sz w:val="24"/>
          <w:szCs w:val="24"/>
          <w:lang w:val="en-GB" w:eastAsia="en-GB"/>
        </w:rPr>
        <w:t>Qualitative Market Research</w:t>
      </w:r>
      <w:r w:rsidRPr="003F29DB">
        <w:rPr>
          <w:rFonts w:ascii="Arial" w:eastAsia="Times New Roman" w:hAnsi="Arial" w:cs="Arial"/>
          <w:sz w:val="24"/>
          <w:szCs w:val="24"/>
          <w:lang w:val="en-GB" w:eastAsia="en-GB"/>
        </w:rPr>
        <w:t xml:space="preserve">, 8(4), pp. 357–370. Available at: </w:t>
      </w:r>
      <w:hyperlink r:id="rId71" w:history="1">
        <w:r w:rsidRPr="003F29DB">
          <w:rPr>
            <w:rFonts w:ascii="Arial" w:eastAsia="Times New Roman" w:hAnsi="Arial" w:cs="Arial"/>
            <w:color w:val="0000FF"/>
            <w:sz w:val="24"/>
            <w:szCs w:val="24"/>
            <w:u w:val="single"/>
            <w:lang w:val="en-GB" w:eastAsia="en-GB"/>
          </w:rPr>
          <w:t>https://doi.org/10.1108/13522750510619733</w:t>
        </w:r>
      </w:hyperlink>
      <w:r w:rsidRPr="003F29DB">
        <w:rPr>
          <w:rFonts w:ascii="Arial" w:eastAsia="Times New Roman" w:hAnsi="Arial" w:cs="Arial"/>
          <w:sz w:val="24"/>
          <w:szCs w:val="24"/>
          <w:lang w:val="en-GB" w:eastAsia="en-GB"/>
        </w:rPr>
        <w:t xml:space="preserve"> (Accessed: 24 September 2026).</w:t>
      </w:r>
    </w:p>
    <w:p w14:paraId="119DE42E"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Porter, M.E. (1980) </w:t>
      </w:r>
      <w:r w:rsidRPr="003F29DB">
        <w:rPr>
          <w:rFonts w:ascii="Arial" w:eastAsia="Times New Roman" w:hAnsi="Arial" w:cs="Arial"/>
          <w:i/>
          <w:iCs/>
          <w:sz w:val="24"/>
          <w:szCs w:val="24"/>
          <w:lang w:val="en-GB" w:eastAsia="en-GB"/>
        </w:rPr>
        <w:t xml:space="preserve">Competitive Strategy: Techniques for </w:t>
      </w:r>
      <w:proofErr w:type="spellStart"/>
      <w:r w:rsidRPr="003F29DB">
        <w:rPr>
          <w:rFonts w:ascii="Arial" w:eastAsia="Times New Roman" w:hAnsi="Arial" w:cs="Arial"/>
          <w:i/>
          <w:iCs/>
          <w:sz w:val="24"/>
          <w:szCs w:val="24"/>
          <w:lang w:val="en-GB" w:eastAsia="en-GB"/>
        </w:rPr>
        <w:t>Analyzing</w:t>
      </w:r>
      <w:proofErr w:type="spellEnd"/>
      <w:r w:rsidRPr="003F29DB">
        <w:rPr>
          <w:rFonts w:ascii="Arial" w:eastAsia="Times New Roman" w:hAnsi="Arial" w:cs="Arial"/>
          <w:i/>
          <w:iCs/>
          <w:sz w:val="24"/>
          <w:szCs w:val="24"/>
          <w:lang w:val="en-GB" w:eastAsia="en-GB"/>
        </w:rPr>
        <w:t xml:space="preserve"> Industries and Competitors</w:t>
      </w:r>
      <w:r w:rsidRPr="003F29DB">
        <w:rPr>
          <w:rFonts w:ascii="Arial" w:eastAsia="Times New Roman" w:hAnsi="Arial" w:cs="Arial"/>
          <w:sz w:val="24"/>
          <w:szCs w:val="24"/>
          <w:lang w:val="en-GB" w:eastAsia="en-GB"/>
        </w:rPr>
        <w:t xml:space="preserve">. New York: Free Press. Available at: </w:t>
      </w:r>
      <w:hyperlink r:id="rId72" w:history="1">
        <w:r w:rsidRPr="003F29DB">
          <w:rPr>
            <w:rFonts w:ascii="Arial" w:eastAsia="Times New Roman" w:hAnsi="Arial" w:cs="Arial"/>
            <w:color w:val="0000FF"/>
            <w:sz w:val="24"/>
            <w:szCs w:val="24"/>
            <w:u w:val="single"/>
            <w:lang w:val="en-GB" w:eastAsia="en-GB"/>
          </w:rPr>
          <w:t>https://books.google.com/books?id=Hn1kNE0OcGsC</w:t>
        </w:r>
      </w:hyperlink>
      <w:r w:rsidRPr="003F29DB">
        <w:rPr>
          <w:rFonts w:ascii="Arial" w:eastAsia="Times New Roman" w:hAnsi="Arial" w:cs="Arial"/>
          <w:sz w:val="24"/>
          <w:szCs w:val="24"/>
          <w:lang w:val="en-GB" w:eastAsia="en-GB"/>
        </w:rPr>
        <w:t xml:space="preserve"> (Accessed: 24 September 2026).</w:t>
      </w:r>
    </w:p>
    <w:p w14:paraId="71476118"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Porter, M.E. (1985) </w:t>
      </w:r>
      <w:r w:rsidRPr="003F29DB">
        <w:rPr>
          <w:rFonts w:ascii="Arial" w:eastAsia="Times New Roman" w:hAnsi="Arial" w:cs="Arial"/>
          <w:i/>
          <w:iCs/>
          <w:sz w:val="24"/>
          <w:szCs w:val="24"/>
          <w:lang w:val="en-GB" w:eastAsia="en-GB"/>
        </w:rPr>
        <w:t>Competitive Advantage: Creating and Sustaining Superior Performance</w:t>
      </w:r>
      <w:r w:rsidRPr="003F29DB">
        <w:rPr>
          <w:rFonts w:ascii="Arial" w:eastAsia="Times New Roman" w:hAnsi="Arial" w:cs="Arial"/>
          <w:sz w:val="24"/>
          <w:szCs w:val="24"/>
          <w:lang w:val="en-GB" w:eastAsia="en-GB"/>
        </w:rPr>
        <w:t xml:space="preserve">. New York: Free Press. Available at: </w:t>
      </w:r>
      <w:hyperlink r:id="rId73" w:history="1">
        <w:r w:rsidRPr="003F29DB">
          <w:rPr>
            <w:rFonts w:ascii="Arial" w:eastAsia="Times New Roman" w:hAnsi="Arial" w:cs="Arial"/>
            <w:color w:val="0000FF"/>
            <w:sz w:val="24"/>
            <w:szCs w:val="24"/>
            <w:u w:val="single"/>
            <w:lang w:val="en-GB" w:eastAsia="en-GB"/>
          </w:rPr>
          <w:t>https://books.google.com/books?id=H9ReAQAAMAAJ</w:t>
        </w:r>
      </w:hyperlink>
      <w:r w:rsidRPr="003F29DB">
        <w:rPr>
          <w:rFonts w:ascii="Arial" w:eastAsia="Times New Roman" w:hAnsi="Arial" w:cs="Arial"/>
          <w:sz w:val="24"/>
          <w:szCs w:val="24"/>
          <w:lang w:val="en-GB" w:eastAsia="en-GB"/>
        </w:rPr>
        <w:t xml:space="preserve"> (Accessed: 24 September 2026).</w:t>
      </w:r>
    </w:p>
    <w:p w14:paraId="5A64D240"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Porter, M.E. (1996) ‘What is strategy?’, </w:t>
      </w:r>
      <w:r w:rsidRPr="003F29DB">
        <w:rPr>
          <w:rFonts w:ascii="Arial" w:eastAsia="Times New Roman" w:hAnsi="Arial" w:cs="Arial"/>
          <w:i/>
          <w:iCs/>
          <w:sz w:val="24"/>
          <w:szCs w:val="24"/>
          <w:lang w:val="en-GB" w:eastAsia="en-GB"/>
        </w:rPr>
        <w:t>Harvard Business Review</w:t>
      </w:r>
      <w:r w:rsidRPr="003F29DB">
        <w:rPr>
          <w:rFonts w:ascii="Arial" w:eastAsia="Times New Roman" w:hAnsi="Arial" w:cs="Arial"/>
          <w:sz w:val="24"/>
          <w:szCs w:val="24"/>
          <w:lang w:val="en-GB" w:eastAsia="en-GB"/>
        </w:rPr>
        <w:t xml:space="preserve">, 74(6), pp. 61–78. Available at: </w:t>
      </w:r>
      <w:hyperlink r:id="rId74" w:history="1">
        <w:r w:rsidRPr="003F29DB">
          <w:rPr>
            <w:rFonts w:ascii="Arial" w:eastAsia="Times New Roman" w:hAnsi="Arial" w:cs="Arial"/>
            <w:color w:val="0000FF"/>
            <w:sz w:val="24"/>
            <w:szCs w:val="24"/>
            <w:u w:val="single"/>
            <w:lang w:val="en-GB" w:eastAsia="en-GB"/>
          </w:rPr>
          <w:t>https://hbr.org/1996/11/what-is-strategy</w:t>
        </w:r>
      </w:hyperlink>
      <w:r w:rsidRPr="003F29DB">
        <w:rPr>
          <w:rFonts w:ascii="Arial" w:eastAsia="Times New Roman" w:hAnsi="Arial" w:cs="Arial"/>
          <w:sz w:val="24"/>
          <w:szCs w:val="24"/>
          <w:lang w:val="en-GB" w:eastAsia="en-GB"/>
        </w:rPr>
        <w:t xml:space="preserve"> (Accessed: 24 September 2026).</w:t>
      </w:r>
    </w:p>
    <w:p w14:paraId="68E2B6E4"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Porter, M.E. (2008) ‘The five competitive forces that shape strategy’, </w:t>
      </w:r>
      <w:r w:rsidRPr="003F29DB">
        <w:rPr>
          <w:rFonts w:ascii="Arial" w:eastAsia="Times New Roman" w:hAnsi="Arial" w:cs="Arial"/>
          <w:i/>
          <w:iCs/>
          <w:sz w:val="24"/>
          <w:szCs w:val="24"/>
          <w:lang w:val="en-GB" w:eastAsia="en-GB"/>
        </w:rPr>
        <w:t>Harvard Business Review</w:t>
      </w:r>
      <w:r w:rsidRPr="003F29DB">
        <w:rPr>
          <w:rFonts w:ascii="Arial" w:eastAsia="Times New Roman" w:hAnsi="Arial" w:cs="Arial"/>
          <w:sz w:val="24"/>
          <w:szCs w:val="24"/>
          <w:lang w:val="en-GB" w:eastAsia="en-GB"/>
        </w:rPr>
        <w:t xml:space="preserve">, 86(1), pp. 78–93. Available at: </w:t>
      </w:r>
      <w:hyperlink r:id="rId75" w:history="1">
        <w:r w:rsidRPr="003F29DB">
          <w:rPr>
            <w:rFonts w:ascii="Arial" w:eastAsia="Times New Roman" w:hAnsi="Arial" w:cs="Arial"/>
            <w:color w:val="0000FF"/>
            <w:sz w:val="24"/>
            <w:szCs w:val="24"/>
            <w:u w:val="single"/>
            <w:lang w:val="en-GB" w:eastAsia="en-GB"/>
          </w:rPr>
          <w:t>https://hbr.org/2008/01/the-five-competitive-forces-that-shape-strategy</w:t>
        </w:r>
      </w:hyperlink>
      <w:r w:rsidRPr="003F29DB">
        <w:rPr>
          <w:rFonts w:ascii="Arial" w:eastAsia="Times New Roman" w:hAnsi="Arial" w:cs="Arial"/>
          <w:sz w:val="24"/>
          <w:szCs w:val="24"/>
          <w:lang w:val="en-GB" w:eastAsia="en-GB"/>
        </w:rPr>
        <w:t xml:space="preserve"> (Accessed: 24 September 2026).</w:t>
      </w:r>
    </w:p>
    <w:p w14:paraId="5C8F3A45"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Rainforest Alliance (2024) </w:t>
      </w:r>
      <w:r w:rsidRPr="003F29DB">
        <w:rPr>
          <w:rFonts w:ascii="Arial" w:eastAsia="Times New Roman" w:hAnsi="Arial" w:cs="Arial"/>
          <w:i/>
          <w:iCs/>
          <w:sz w:val="24"/>
          <w:szCs w:val="24"/>
          <w:lang w:val="en-GB" w:eastAsia="en-GB"/>
        </w:rPr>
        <w:t>Coffee</w:t>
      </w:r>
      <w:r w:rsidRPr="003F29DB">
        <w:rPr>
          <w:rFonts w:ascii="Arial" w:eastAsia="Times New Roman" w:hAnsi="Arial" w:cs="Arial"/>
          <w:sz w:val="24"/>
          <w:szCs w:val="24"/>
          <w:lang w:val="en-GB" w:eastAsia="en-GB"/>
        </w:rPr>
        <w:t xml:space="preserve">. Available at: </w:t>
      </w:r>
      <w:hyperlink r:id="rId76" w:history="1">
        <w:r w:rsidRPr="003F29DB">
          <w:rPr>
            <w:rFonts w:ascii="Arial" w:eastAsia="Times New Roman" w:hAnsi="Arial" w:cs="Arial"/>
            <w:color w:val="0000FF"/>
            <w:sz w:val="24"/>
            <w:szCs w:val="24"/>
            <w:u w:val="single"/>
            <w:lang w:val="en-GB" w:eastAsia="en-GB"/>
          </w:rPr>
          <w:t>https://www.rainforest-alliance.org/commodities/coffee/</w:t>
        </w:r>
      </w:hyperlink>
      <w:r w:rsidRPr="003F29DB">
        <w:rPr>
          <w:rFonts w:ascii="Arial" w:eastAsia="Times New Roman" w:hAnsi="Arial" w:cs="Arial"/>
          <w:sz w:val="24"/>
          <w:szCs w:val="24"/>
          <w:lang w:val="en-GB" w:eastAsia="en-GB"/>
        </w:rPr>
        <w:t xml:space="preserve"> (Accessed: 24 September 2026).</w:t>
      </w:r>
    </w:p>
    <w:p w14:paraId="7DBB430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Reisch</w:t>
      </w:r>
      <w:proofErr w:type="spellEnd"/>
      <w:r w:rsidRPr="003F29DB">
        <w:rPr>
          <w:rFonts w:ascii="Arial" w:eastAsia="Times New Roman" w:hAnsi="Arial" w:cs="Arial"/>
          <w:sz w:val="24"/>
          <w:szCs w:val="24"/>
          <w:lang w:val="en-GB" w:eastAsia="en-GB"/>
        </w:rPr>
        <w:t xml:space="preserve">, L.A., </w:t>
      </w:r>
      <w:proofErr w:type="spellStart"/>
      <w:r w:rsidRPr="003F29DB">
        <w:rPr>
          <w:rFonts w:ascii="Arial" w:eastAsia="Times New Roman" w:hAnsi="Arial" w:cs="Arial"/>
          <w:sz w:val="24"/>
          <w:szCs w:val="24"/>
          <w:lang w:val="en-GB" w:eastAsia="en-GB"/>
        </w:rPr>
        <w:t>Eberle</w:t>
      </w:r>
      <w:proofErr w:type="spellEnd"/>
      <w:r w:rsidRPr="003F29DB">
        <w:rPr>
          <w:rFonts w:ascii="Arial" w:eastAsia="Times New Roman" w:hAnsi="Arial" w:cs="Arial"/>
          <w:sz w:val="24"/>
          <w:szCs w:val="24"/>
          <w:lang w:val="en-GB" w:eastAsia="en-GB"/>
        </w:rPr>
        <w:t xml:space="preserve">, U. and </w:t>
      </w:r>
      <w:proofErr w:type="spellStart"/>
      <w:r w:rsidRPr="003F29DB">
        <w:rPr>
          <w:rFonts w:ascii="Arial" w:eastAsia="Times New Roman" w:hAnsi="Arial" w:cs="Arial"/>
          <w:sz w:val="24"/>
          <w:szCs w:val="24"/>
          <w:lang w:val="en-GB" w:eastAsia="en-GB"/>
        </w:rPr>
        <w:t>Lorek</w:t>
      </w:r>
      <w:proofErr w:type="spellEnd"/>
      <w:r w:rsidRPr="003F29DB">
        <w:rPr>
          <w:rFonts w:ascii="Arial" w:eastAsia="Times New Roman" w:hAnsi="Arial" w:cs="Arial"/>
          <w:sz w:val="24"/>
          <w:szCs w:val="24"/>
          <w:lang w:val="en-GB" w:eastAsia="en-GB"/>
        </w:rPr>
        <w:t xml:space="preserve">, S. (2013) ‘Sustainable food consumption: An overview of contemporary issues and policies’, </w:t>
      </w:r>
      <w:r w:rsidRPr="003F29DB">
        <w:rPr>
          <w:rFonts w:ascii="Arial" w:eastAsia="Times New Roman" w:hAnsi="Arial" w:cs="Arial"/>
          <w:i/>
          <w:iCs/>
          <w:sz w:val="24"/>
          <w:szCs w:val="24"/>
          <w:lang w:val="en-GB" w:eastAsia="en-GB"/>
        </w:rPr>
        <w:t>Sustainability: Science, Practice and Policy</w:t>
      </w:r>
      <w:r w:rsidRPr="003F29DB">
        <w:rPr>
          <w:rFonts w:ascii="Arial" w:eastAsia="Times New Roman" w:hAnsi="Arial" w:cs="Arial"/>
          <w:sz w:val="24"/>
          <w:szCs w:val="24"/>
          <w:lang w:val="en-GB" w:eastAsia="en-GB"/>
        </w:rPr>
        <w:t xml:space="preserve">, 9(2), pp. 7–25. Available at: </w:t>
      </w:r>
      <w:hyperlink r:id="rId77" w:history="1">
        <w:r w:rsidRPr="003F29DB">
          <w:rPr>
            <w:rFonts w:ascii="Arial" w:eastAsia="Times New Roman" w:hAnsi="Arial" w:cs="Arial"/>
            <w:color w:val="0000FF"/>
            <w:sz w:val="24"/>
            <w:szCs w:val="24"/>
            <w:u w:val="single"/>
            <w:lang w:val="en-GB" w:eastAsia="en-GB"/>
          </w:rPr>
          <w:t>https://doi.org/10.1080/15487733.2013.11908111</w:t>
        </w:r>
      </w:hyperlink>
      <w:r w:rsidRPr="003F29DB">
        <w:rPr>
          <w:rFonts w:ascii="Arial" w:eastAsia="Times New Roman" w:hAnsi="Arial" w:cs="Arial"/>
          <w:sz w:val="24"/>
          <w:szCs w:val="24"/>
          <w:lang w:val="en-GB" w:eastAsia="en-GB"/>
        </w:rPr>
        <w:t xml:space="preserve"> (Accessed: 24 September 2026).</w:t>
      </w:r>
    </w:p>
    <w:p w14:paraId="14084FB3"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Rugman, A.M. and </w:t>
      </w:r>
      <w:proofErr w:type="spellStart"/>
      <w:r w:rsidRPr="003F29DB">
        <w:rPr>
          <w:rFonts w:ascii="Arial" w:eastAsia="Times New Roman" w:hAnsi="Arial" w:cs="Arial"/>
          <w:sz w:val="24"/>
          <w:szCs w:val="24"/>
          <w:lang w:val="en-GB" w:eastAsia="en-GB"/>
        </w:rPr>
        <w:t>Verbeke</w:t>
      </w:r>
      <w:proofErr w:type="spellEnd"/>
      <w:r w:rsidRPr="003F29DB">
        <w:rPr>
          <w:rFonts w:ascii="Arial" w:eastAsia="Times New Roman" w:hAnsi="Arial" w:cs="Arial"/>
          <w:sz w:val="24"/>
          <w:szCs w:val="24"/>
          <w:lang w:val="en-GB" w:eastAsia="en-GB"/>
        </w:rPr>
        <w:t xml:space="preserve">, A. (2008) ‘A regional solution to the strategy and structure of multinational enterprises’, </w:t>
      </w:r>
      <w:r w:rsidRPr="003F29DB">
        <w:rPr>
          <w:rFonts w:ascii="Arial" w:eastAsia="Times New Roman" w:hAnsi="Arial" w:cs="Arial"/>
          <w:i/>
          <w:iCs/>
          <w:sz w:val="24"/>
          <w:szCs w:val="24"/>
          <w:lang w:val="en-GB" w:eastAsia="en-GB"/>
        </w:rPr>
        <w:t>European Management Journal</w:t>
      </w:r>
      <w:r w:rsidRPr="003F29DB">
        <w:rPr>
          <w:rFonts w:ascii="Arial" w:eastAsia="Times New Roman" w:hAnsi="Arial" w:cs="Arial"/>
          <w:sz w:val="24"/>
          <w:szCs w:val="24"/>
          <w:lang w:val="en-GB" w:eastAsia="en-GB"/>
        </w:rPr>
        <w:t xml:space="preserve">, 26(5), pp. 305–313. Available at: </w:t>
      </w:r>
      <w:hyperlink r:id="rId78" w:history="1">
        <w:r w:rsidRPr="003F29DB">
          <w:rPr>
            <w:rFonts w:ascii="Arial" w:eastAsia="Times New Roman" w:hAnsi="Arial" w:cs="Arial"/>
            <w:color w:val="0000FF"/>
            <w:sz w:val="24"/>
            <w:szCs w:val="24"/>
            <w:u w:val="single"/>
            <w:lang w:val="en-GB" w:eastAsia="en-GB"/>
          </w:rPr>
          <w:t>https://doi.org/10.1016/j.emj.2008.06.004</w:t>
        </w:r>
      </w:hyperlink>
      <w:r w:rsidRPr="003F29DB">
        <w:rPr>
          <w:rFonts w:ascii="Arial" w:eastAsia="Times New Roman" w:hAnsi="Arial" w:cs="Arial"/>
          <w:sz w:val="24"/>
          <w:szCs w:val="24"/>
          <w:lang w:val="en-GB" w:eastAsia="en-GB"/>
        </w:rPr>
        <w:t xml:space="preserve"> (Accessed: 24 September 2026).</w:t>
      </w:r>
    </w:p>
    <w:p w14:paraId="1DE630D0"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Saunders, M., Lewis, P. and Thornhill, A. (2019) </w:t>
      </w:r>
      <w:r w:rsidRPr="003F29DB">
        <w:rPr>
          <w:rFonts w:ascii="Arial" w:eastAsia="Times New Roman" w:hAnsi="Arial" w:cs="Arial"/>
          <w:i/>
          <w:iCs/>
          <w:sz w:val="24"/>
          <w:szCs w:val="24"/>
          <w:lang w:val="en-GB" w:eastAsia="en-GB"/>
        </w:rPr>
        <w:t>Research Methods for Business Students</w:t>
      </w:r>
      <w:r w:rsidRPr="003F29DB">
        <w:rPr>
          <w:rFonts w:ascii="Arial" w:eastAsia="Times New Roman" w:hAnsi="Arial" w:cs="Arial"/>
          <w:sz w:val="24"/>
          <w:szCs w:val="24"/>
          <w:lang w:val="en-GB" w:eastAsia="en-GB"/>
        </w:rPr>
        <w:t xml:space="preserve">. 8th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Harlow: Pearson. Available at: </w:t>
      </w:r>
      <w:hyperlink r:id="rId79" w:history="1">
        <w:r w:rsidRPr="003F29DB">
          <w:rPr>
            <w:rFonts w:ascii="Arial" w:eastAsia="Times New Roman" w:hAnsi="Arial" w:cs="Arial"/>
            <w:color w:val="0000FF"/>
            <w:sz w:val="24"/>
            <w:szCs w:val="24"/>
            <w:u w:val="single"/>
            <w:lang w:val="en-GB" w:eastAsia="en-GB"/>
          </w:rPr>
          <w:t>https://www.pearson.com/en-gb/subject-catalog/p/research-methods-for-business-students/P200000005845</w:t>
        </w:r>
      </w:hyperlink>
      <w:r w:rsidRPr="003F29DB">
        <w:rPr>
          <w:rFonts w:ascii="Arial" w:eastAsia="Times New Roman" w:hAnsi="Arial" w:cs="Arial"/>
          <w:sz w:val="24"/>
          <w:szCs w:val="24"/>
          <w:lang w:val="en-GB" w:eastAsia="en-GB"/>
        </w:rPr>
        <w:t xml:space="preserve"> (Accessed: 24 September 2026).</w:t>
      </w:r>
    </w:p>
    <w:p w14:paraId="22EB6A8A"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Saunders, M., Lewis, P. and Thornhill, A. (2023) </w:t>
      </w:r>
      <w:r w:rsidRPr="003F29DB">
        <w:rPr>
          <w:rFonts w:ascii="Arial" w:eastAsia="Times New Roman" w:hAnsi="Arial" w:cs="Arial"/>
          <w:i/>
          <w:iCs/>
          <w:sz w:val="24"/>
          <w:szCs w:val="24"/>
          <w:lang w:val="en-GB" w:eastAsia="en-GB"/>
        </w:rPr>
        <w:t>Research Methods for Business Students</w:t>
      </w:r>
      <w:r w:rsidRPr="003F29DB">
        <w:rPr>
          <w:rFonts w:ascii="Arial" w:eastAsia="Times New Roman" w:hAnsi="Arial" w:cs="Arial"/>
          <w:sz w:val="24"/>
          <w:szCs w:val="24"/>
          <w:lang w:val="en-GB" w:eastAsia="en-GB"/>
        </w:rPr>
        <w:t xml:space="preserve">. 9th </w:t>
      </w:r>
      <w:proofErr w:type="spellStart"/>
      <w:r w:rsidRPr="003F29DB">
        <w:rPr>
          <w:rFonts w:ascii="Arial" w:eastAsia="Times New Roman" w:hAnsi="Arial" w:cs="Arial"/>
          <w:sz w:val="24"/>
          <w:szCs w:val="24"/>
          <w:lang w:val="en-GB" w:eastAsia="en-GB"/>
        </w:rPr>
        <w:t>edn</w:t>
      </w:r>
      <w:proofErr w:type="spellEnd"/>
      <w:r w:rsidRPr="003F29DB">
        <w:rPr>
          <w:rFonts w:ascii="Arial" w:eastAsia="Times New Roman" w:hAnsi="Arial" w:cs="Arial"/>
          <w:sz w:val="24"/>
          <w:szCs w:val="24"/>
          <w:lang w:val="en-GB" w:eastAsia="en-GB"/>
        </w:rPr>
        <w:t xml:space="preserve">. Harlow: Pearson. Available at: </w:t>
      </w:r>
      <w:hyperlink r:id="rId80" w:history="1">
        <w:r w:rsidRPr="003F29DB">
          <w:rPr>
            <w:rFonts w:ascii="Arial" w:eastAsia="Times New Roman" w:hAnsi="Arial" w:cs="Arial"/>
            <w:color w:val="0000FF"/>
            <w:sz w:val="24"/>
            <w:szCs w:val="24"/>
            <w:u w:val="single"/>
            <w:lang w:val="en-GB" w:eastAsia="en-GB"/>
          </w:rPr>
          <w:t>https://www.pearson.com/en-gb/subject-catalog/p/research-methods-for-business-students/P200000009102</w:t>
        </w:r>
      </w:hyperlink>
      <w:r w:rsidRPr="003F29DB">
        <w:rPr>
          <w:rFonts w:ascii="Arial" w:eastAsia="Times New Roman" w:hAnsi="Arial" w:cs="Arial"/>
          <w:sz w:val="24"/>
          <w:szCs w:val="24"/>
          <w:lang w:val="en-GB" w:eastAsia="en-GB"/>
        </w:rPr>
        <w:t xml:space="preserve"> (Accessed: 24 September 2026).</w:t>
      </w:r>
    </w:p>
    <w:p w14:paraId="3C62F4D8"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Schaltegger</w:t>
      </w:r>
      <w:proofErr w:type="spellEnd"/>
      <w:r w:rsidRPr="003F29DB">
        <w:rPr>
          <w:rFonts w:ascii="Arial" w:eastAsia="Times New Roman" w:hAnsi="Arial" w:cs="Arial"/>
          <w:sz w:val="24"/>
          <w:szCs w:val="24"/>
          <w:lang w:val="en-GB" w:eastAsia="en-GB"/>
        </w:rPr>
        <w:t xml:space="preserve">, S. and Burritt, R. (2018) ‘Business cases and corporate engagement with sustainability’, </w:t>
      </w:r>
      <w:r w:rsidRPr="003F29DB">
        <w:rPr>
          <w:rFonts w:ascii="Arial" w:eastAsia="Times New Roman" w:hAnsi="Arial" w:cs="Arial"/>
          <w:i/>
          <w:iCs/>
          <w:sz w:val="24"/>
          <w:szCs w:val="24"/>
          <w:lang w:val="en-GB" w:eastAsia="en-GB"/>
        </w:rPr>
        <w:t>Business Strategy and the Environment</w:t>
      </w:r>
      <w:r w:rsidRPr="003F29DB">
        <w:rPr>
          <w:rFonts w:ascii="Arial" w:eastAsia="Times New Roman" w:hAnsi="Arial" w:cs="Arial"/>
          <w:sz w:val="24"/>
          <w:szCs w:val="24"/>
          <w:lang w:val="en-GB" w:eastAsia="en-GB"/>
        </w:rPr>
        <w:t xml:space="preserve">, 27(1), pp. 1–8. Available at: </w:t>
      </w:r>
      <w:hyperlink r:id="rId81" w:history="1">
        <w:r w:rsidRPr="003F29DB">
          <w:rPr>
            <w:rFonts w:ascii="Arial" w:eastAsia="Times New Roman" w:hAnsi="Arial" w:cs="Arial"/>
            <w:color w:val="0000FF"/>
            <w:sz w:val="24"/>
            <w:szCs w:val="24"/>
            <w:u w:val="single"/>
            <w:lang w:val="en-GB" w:eastAsia="en-GB"/>
          </w:rPr>
          <w:t>https://doi.org/10.1002/bse.1986</w:t>
        </w:r>
      </w:hyperlink>
      <w:r w:rsidRPr="003F29DB">
        <w:rPr>
          <w:rFonts w:ascii="Arial" w:eastAsia="Times New Roman" w:hAnsi="Arial" w:cs="Arial"/>
          <w:sz w:val="24"/>
          <w:szCs w:val="24"/>
          <w:lang w:val="en-GB" w:eastAsia="en-GB"/>
        </w:rPr>
        <w:t xml:space="preserve"> (Accessed: 24 September 2026).</w:t>
      </w:r>
    </w:p>
    <w:p w14:paraId="3B57CB9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Seuring</w:t>
      </w:r>
      <w:proofErr w:type="spellEnd"/>
      <w:r w:rsidRPr="003F29DB">
        <w:rPr>
          <w:rFonts w:ascii="Arial" w:eastAsia="Times New Roman" w:hAnsi="Arial" w:cs="Arial"/>
          <w:sz w:val="24"/>
          <w:szCs w:val="24"/>
          <w:lang w:val="en-GB" w:eastAsia="en-GB"/>
        </w:rPr>
        <w:t xml:space="preserve">, S. and Müller, M. (2008) ‘From a literature review to a conceptual framework for sustainable supply chain management’, </w:t>
      </w:r>
      <w:r w:rsidRPr="003F29DB">
        <w:rPr>
          <w:rFonts w:ascii="Arial" w:eastAsia="Times New Roman" w:hAnsi="Arial" w:cs="Arial"/>
          <w:i/>
          <w:iCs/>
          <w:sz w:val="24"/>
          <w:szCs w:val="24"/>
          <w:lang w:val="en-GB" w:eastAsia="en-GB"/>
        </w:rPr>
        <w:t>Journal of Cleaner Production</w:t>
      </w:r>
      <w:r w:rsidRPr="003F29DB">
        <w:rPr>
          <w:rFonts w:ascii="Arial" w:eastAsia="Times New Roman" w:hAnsi="Arial" w:cs="Arial"/>
          <w:sz w:val="24"/>
          <w:szCs w:val="24"/>
          <w:lang w:val="en-GB" w:eastAsia="en-GB"/>
        </w:rPr>
        <w:t xml:space="preserve">, 16(15), pp. 1699–1710. Available at: </w:t>
      </w:r>
      <w:hyperlink r:id="rId82" w:history="1">
        <w:r w:rsidRPr="003F29DB">
          <w:rPr>
            <w:rFonts w:ascii="Arial" w:eastAsia="Times New Roman" w:hAnsi="Arial" w:cs="Arial"/>
            <w:color w:val="0000FF"/>
            <w:sz w:val="24"/>
            <w:szCs w:val="24"/>
            <w:u w:val="single"/>
            <w:lang w:val="en-GB" w:eastAsia="en-GB"/>
          </w:rPr>
          <w:t>https://doi.org/10.1016/j.jclepro.2008.04.020</w:t>
        </w:r>
      </w:hyperlink>
      <w:r w:rsidRPr="003F29DB">
        <w:rPr>
          <w:rFonts w:ascii="Arial" w:eastAsia="Times New Roman" w:hAnsi="Arial" w:cs="Arial"/>
          <w:sz w:val="24"/>
          <w:szCs w:val="24"/>
          <w:lang w:val="en-GB" w:eastAsia="en-GB"/>
        </w:rPr>
        <w:t xml:space="preserve"> (Accessed: 24 September 2026).</w:t>
      </w:r>
    </w:p>
    <w:p w14:paraId="322A913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Sinek, S. (2009) </w:t>
      </w:r>
      <w:r w:rsidRPr="003F29DB">
        <w:rPr>
          <w:rFonts w:ascii="Arial" w:eastAsia="Times New Roman" w:hAnsi="Arial" w:cs="Arial"/>
          <w:i/>
          <w:iCs/>
          <w:sz w:val="24"/>
          <w:szCs w:val="24"/>
          <w:lang w:val="en-GB" w:eastAsia="en-GB"/>
        </w:rPr>
        <w:t>Start with Why: How Great Leaders Inspire Everyone to Take Action</w:t>
      </w:r>
      <w:r w:rsidRPr="003F29DB">
        <w:rPr>
          <w:rFonts w:ascii="Arial" w:eastAsia="Times New Roman" w:hAnsi="Arial" w:cs="Arial"/>
          <w:sz w:val="24"/>
          <w:szCs w:val="24"/>
          <w:lang w:val="en-GB" w:eastAsia="en-GB"/>
        </w:rPr>
        <w:t xml:space="preserve">. New York: Portfolio. Available at: </w:t>
      </w:r>
      <w:hyperlink r:id="rId83" w:history="1">
        <w:r w:rsidRPr="003F29DB">
          <w:rPr>
            <w:rFonts w:ascii="Arial" w:eastAsia="Times New Roman" w:hAnsi="Arial" w:cs="Arial"/>
            <w:color w:val="0000FF"/>
            <w:sz w:val="24"/>
            <w:szCs w:val="24"/>
            <w:u w:val="single"/>
            <w:lang w:val="en-GB" w:eastAsia="en-GB"/>
          </w:rPr>
          <w:t>https://www.penguinrandomhouse.com/books/307418/start-with-why-by-simon-sinek/</w:t>
        </w:r>
      </w:hyperlink>
      <w:r w:rsidRPr="003F29DB">
        <w:rPr>
          <w:rFonts w:ascii="Arial" w:eastAsia="Times New Roman" w:hAnsi="Arial" w:cs="Arial"/>
          <w:sz w:val="24"/>
          <w:szCs w:val="24"/>
          <w:lang w:val="en-GB" w:eastAsia="en-GB"/>
        </w:rPr>
        <w:t xml:space="preserve"> (Accessed: 24 September 2026).</w:t>
      </w:r>
    </w:p>
    <w:p w14:paraId="26119C4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Slater, S.F. and </w:t>
      </w:r>
      <w:proofErr w:type="spellStart"/>
      <w:r w:rsidRPr="003F29DB">
        <w:rPr>
          <w:rFonts w:ascii="Arial" w:eastAsia="Times New Roman" w:hAnsi="Arial" w:cs="Arial"/>
          <w:sz w:val="24"/>
          <w:szCs w:val="24"/>
          <w:lang w:val="en-GB" w:eastAsia="en-GB"/>
        </w:rPr>
        <w:t>Narver</w:t>
      </w:r>
      <w:proofErr w:type="spellEnd"/>
      <w:r w:rsidRPr="003F29DB">
        <w:rPr>
          <w:rFonts w:ascii="Arial" w:eastAsia="Times New Roman" w:hAnsi="Arial" w:cs="Arial"/>
          <w:sz w:val="24"/>
          <w:szCs w:val="24"/>
          <w:lang w:val="en-GB" w:eastAsia="en-GB"/>
        </w:rPr>
        <w:t xml:space="preserve">, J.C. (1994) ‘Market orientation, customer value, and superior performance’, </w:t>
      </w:r>
      <w:r w:rsidRPr="003F29DB">
        <w:rPr>
          <w:rFonts w:ascii="Arial" w:eastAsia="Times New Roman" w:hAnsi="Arial" w:cs="Arial"/>
          <w:i/>
          <w:iCs/>
          <w:sz w:val="24"/>
          <w:szCs w:val="24"/>
          <w:lang w:val="en-GB" w:eastAsia="en-GB"/>
        </w:rPr>
        <w:t>Business Horizons</w:t>
      </w:r>
      <w:r w:rsidRPr="003F29DB">
        <w:rPr>
          <w:rFonts w:ascii="Arial" w:eastAsia="Times New Roman" w:hAnsi="Arial" w:cs="Arial"/>
          <w:sz w:val="24"/>
          <w:szCs w:val="24"/>
          <w:lang w:val="en-GB" w:eastAsia="en-GB"/>
        </w:rPr>
        <w:t xml:space="preserve">, 37(2), pp. 22–28. Available at: </w:t>
      </w:r>
      <w:hyperlink r:id="rId84" w:history="1">
        <w:r w:rsidRPr="003F29DB">
          <w:rPr>
            <w:rFonts w:ascii="Arial" w:eastAsia="Times New Roman" w:hAnsi="Arial" w:cs="Arial"/>
            <w:color w:val="0000FF"/>
            <w:sz w:val="24"/>
            <w:szCs w:val="24"/>
            <w:u w:val="single"/>
            <w:lang w:val="en-GB" w:eastAsia="en-GB"/>
          </w:rPr>
          <w:t>https://doi.org/10.1016/0007-6813(94)90029-9</w:t>
        </w:r>
      </w:hyperlink>
      <w:r w:rsidRPr="003F29DB">
        <w:rPr>
          <w:rFonts w:ascii="Arial" w:eastAsia="Times New Roman" w:hAnsi="Arial" w:cs="Arial"/>
          <w:sz w:val="24"/>
          <w:szCs w:val="24"/>
          <w:lang w:val="en-GB" w:eastAsia="en-GB"/>
        </w:rPr>
        <w:t xml:space="preserve"> (Accessed: 24 September 2026).</w:t>
      </w:r>
    </w:p>
    <w:p w14:paraId="0CA563EE"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Smith, A. (2020) ‘Sustainable coffee consumption and consumer behaviour’, </w:t>
      </w:r>
      <w:r w:rsidRPr="003F29DB">
        <w:rPr>
          <w:rFonts w:ascii="Arial" w:eastAsia="Times New Roman" w:hAnsi="Arial" w:cs="Arial"/>
          <w:i/>
          <w:iCs/>
          <w:sz w:val="24"/>
          <w:szCs w:val="24"/>
          <w:lang w:val="en-GB" w:eastAsia="en-GB"/>
        </w:rPr>
        <w:t>Sustainability</w:t>
      </w:r>
      <w:r w:rsidRPr="003F29DB">
        <w:rPr>
          <w:rFonts w:ascii="Arial" w:eastAsia="Times New Roman" w:hAnsi="Arial" w:cs="Arial"/>
          <w:sz w:val="24"/>
          <w:szCs w:val="24"/>
          <w:lang w:val="en-GB" w:eastAsia="en-GB"/>
        </w:rPr>
        <w:t xml:space="preserve">, 12(20), 8526. Available at: </w:t>
      </w:r>
      <w:hyperlink r:id="rId85" w:history="1">
        <w:r w:rsidRPr="003F29DB">
          <w:rPr>
            <w:rFonts w:ascii="Arial" w:eastAsia="Times New Roman" w:hAnsi="Arial" w:cs="Arial"/>
            <w:color w:val="0000FF"/>
            <w:sz w:val="24"/>
            <w:szCs w:val="24"/>
            <w:u w:val="single"/>
            <w:lang w:val="en-GB" w:eastAsia="en-GB"/>
          </w:rPr>
          <w:t>https://doi.org/10.3390/su12208526</w:t>
        </w:r>
      </w:hyperlink>
      <w:r w:rsidRPr="003F29DB">
        <w:rPr>
          <w:rFonts w:ascii="Arial" w:eastAsia="Times New Roman" w:hAnsi="Arial" w:cs="Arial"/>
          <w:sz w:val="24"/>
          <w:szCs w:val="24"/>
          <w:lang w:val="en-GB" w:eastAsia="en-GB"/>
        </w:rPr>
        <w:t xml:space="preserve"> (Accessed: 24 September 2026).</w:t>
      </w:r>
    </w:p>
    <w:p w14:paraId="3FF758E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Statista (2025) </w:t>
      </w:r>
      <w:r w:rsidRPr="003F29DB">
        <w:rPr>
          <w:rFonts w:ascii="Arial" w:eastAsia="Times New Roman" w:hAnsi="Arial" w:cs="Arial"/>
          <w:i/>
          <w:iCs/>
          <w:sz w:val="24"/>
          <w:szCs w:val="24"/>
          <w:lang w:val="en-GB" w:eastAsia="en-GB"/>
        </w:rPr>
        <w:t>Coffee market in the United Kingdom</w:t>
      </w:r>
      <w:r w:rsidRPr="003F29DB">
        <w:rPr>
          <w:rFonts w:ascii="Arial" w:eastAsia="Times New Roman" w:hAnsi="Arial" w:cs="Arial"/>
          <w:sz w:val="24"/>
          <w:szCs w:val="24"/>
          <w:lang w:val="en-GB" w:eastAsia="en-GB"/>
        </w:rPr>
        <w:t xml:space="preserve">. Available at: </w:t>
      </w:r>
      <w:hyperlink r:id="rId86" w:history="1">
        <w:r w:rsidRPr="003F29DB">
          <w:rPr>
            <w:rFonts w:ascii="Arial" w:eastAsia="Times New Roman" w:hAnsi="Arial" w:cs="Arial"/>
            <w:color w:val="0000FF"/>
            <w:sz w:val="24"/>
            <w:szCs w:val="24"/>
            <w:u w:val="single"/>
            <w:lang w:val="en-GB" w:eastAsia="en-GB"/>
          </w:rPr>
          <w:t>https://www.statista.com/topics/1381/coffee/</w:t>
        </w:r>
      </w:hyperlink>
      <w:r w:rsidRPr="003F29DB">
        <w:rPr>
          <w:rFonts w:ascii="Arial" w:eastAsia="Times New Roman" w:hAnsi="Arial" w:cs="Arial"/>
          <w:sz w:val="24"/>
          <w:szCs w:val="24"/>
          <w:lang w:val="en-GB" w:eastAsia="en-GB"/>
        </w:rPr>
        <w:t xml:space="preserve"> (Accessed: 24 September 2026).</w:t>
      </w:r>
    </w:p>
    <w:p w14:paraId="0F1AA602"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Teece</w:t>
      </w:r>
      <w:proofErr w:type="spellEnd"/>
      <w:r w:rsidRPr="003F29DB">
        <w:rPr>
          <w:rFonts w:ascii="Arial" w:eastAsia="Times New Roman" w:hAnsi="Arial" w:cs="Arial"/>
          <w:sz w:val="24"/>
          <w:szCs w:val="24"/>
          <w:lang w:val="en-GB" w:eastAsia="en-GB"/>
        </w:rPr>
        <w:t xml:space="preserve">, D.J. (2010) ‘Business models, business strategy and innovation’, </w:t>
      </w:r>
      <w:r w:rsidRPr="003F29DB">
        <w:rPr>
          <w:rFonts w:ascii="Arial" w:eastAsia="Times New Roman" w:hAnsi="Arial" w:cs="Arial"/>
          <w:i/>
          <w:iCs/>
          <w:sz w:val="24"/>
          <w:szCs w:val="24"/>
          <w:lang w:val="en-GB" w:eastAsia="en-GB"/>
        </w:rPr>
        <w:t>Long Range Planning</w:t>
      </w:r>
      <w:r w:rsidRPr="003F29DB">
        <w:rPr>
          <w:rFonts w:ascii="Arial" w:eastAsia="Times New Roman" w:hAnsi="Arial" w:cs="Arial"/>
          <w:sz w:val="24"/>
          <w:szCs w:val="24"/>
          <w:lang w:val="en-GB" w:eastAsia="en-GB"/>
        </w:rPr>
        <w:t xml:space="preserve">, 43(2–3), pp. 172–194. Available at: </w:t>
      </w:r>
      <w:hyperlink r:id="rId87" w:history="1">
        <w:r w:rsidRPr="003F29DB">
          <w:rPr>
            <w:rFonts w:ascii="Arial" w:eastAsia="Times New Roman" w:hAnsi="Arial" w:cs="Arial"/>
            <w:color w:val="0000FF"/>
            <w:sz w:val="24"/>
            <w:szCs w:val="24"/>
            <w:u w:val="single"/>
            <w:lang w:val="en-GB" w:eastAsia="en-GB"/>
          </w:rPr>
          <w:t>https://doi.org/10.1016/j.lrp.2009.07.003</w:t>
        </w:r>
      </w:hyperlink>
      <w:r w:rsidRPr="003F29DB">
        <w:rPr>
          <w:rFonts w:ascii="Arial" w:eastAsia="Times New Roman" w:hAnsi="Arial" w:cs="Arial"/>
          <w:sz w:val="24"/>
          <w:szCs w:val="24"/>
          <w:lang w:val="en-GB" w:eastAsia="en-GB"/>
        </w:rPr>
        <w:t xml:space="preserve"> (Accessed: 24 September 2026).</w:t>
      </w:r>
    </w:p>
    <w:p w14:paraId="0C5F5985"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Teece</w:t>
      </w:r>
      <w:proofErr w:type="spellEnd"/>
      <w:r w:rsidRPr="003F29DB">
        <w:rPr>
          <w:rFonts w:ascii="Arial" w:eastAsia="Times New Roman" w:hAnsi="Arial" w:cs="Arial"/>
          <w:sz w:val="24"/>
          <w:szCs w:val="24"/>
          <w:lang w:val="en-GB" w:eastAsia="en-GB"/>
        </w:rPr>
        <w:t xml:space="preserve">, D.J., Pisano, G. and </w:t>
      </w:r>
      <w:proofErr w:type="spellStart"/>
      <w:r w:rsidRPr="003F29DB">
        <w:rPr>
          <w:rFonts w:ascii="Arial" w:eastAsia="Times New Roman" w:hAnsi="Arial" w:cs="Arial"/>
          <w:sz w:val="24"/>
          <w:szCs w:val="24"/>
          <w:lang w:val="en-GB" w:eastAsia="en-GB"/>
        </w:rPr>
        <w:t>Shuen</w:t>
      </w:r>
      <w:proofErr w:type="spellEnd"/>
      <w:r w:rsidRPr="003F29DB">
        <w:rPr>
          <w:rFonts w:ascii="Arial" w:eastAsia="Times New Roman" w:hAnsi="Arial" w:cs="Arial"/>
          <w:sz w:val="24"/>
          <w:szCs w:val="24"/>
          <w:lang w:val="en-GB" w:eastAsia="en-GB"/>
        </w:rPr>
        <w:t xml:space="preserve">, A. (1997) ‘Dynamic capabilities and strategic management’, </w:t>
      </w:r>
      <w:r w:rsidRPr="003F29DB">
        <w:rPr>
          <w:rFonts w:ascii="Arial" w:eastAsia="Times New Roman" w:hAnsi="Arial" w:cs="Arial"/>
          <w:i/>
          <w:iCs/>
          <w:sz w:val="24"/>
          <w:szCs w:val="24"/>
          <w:lang w:val="en-GB" w:eastAsia="en-GB"/>
        </w:rPr>
        <w:t>Strategic Management Journal</w:t>
      </w:r>
      <w:r w:rsidRPr="003F29DB">
        <w:rPr>
          <w:rFonts w:ascii="Arial" w:eastAsia="Times New Roman" w:hAnsi="Arial" w:cs="Arial"/>
          <w:sz w:val="24"/>
          <w:szCs w:val="24"/>
          <w:lang w:val="en-GB" w:eastAsia="en-GB"/>
        </w:rPr>
        <w:t xml:space="preserve">, 18(7), pp. 509–533. Available at: </w:t>
      </w:r>
      <w:hyperlink r:id="rId88" w:history="1">
        <w:r w:rsidRPr="003F29DB">
          <w:rPr>
            <w:rFonts w:ascii="Arial" w:eastAsia="Times New Roman" w:hAnsi="Arial" w:cs="Arial"/>
            <w:color w:val="0000FF"/>
            <w:sz w:val="24"/>
            <w:szCs w:val="24"/>
            <w:u w:val="single"/>
            <w:lang w:val="en-GB" w:eastAsia="en-GB"/>
          </w:rPr>
          <w:t>https://doi.org/10.1002/(SICI)1097-</w:t>
        </w:r>
        <w:r w:rsidRPr="003F29DB">
          <w:rPr>
            <w:rFonts w:ascii="Arial" w:eastAsia="Times New Roman" w:hAnsi="Arial" w:cs="Arial"/>
            <w:color w:val="0000FF"/>
            <w:sz w:val="24"/>
            <w:szCs w:val="24"/>
            <w:u w:val="single"/>
            <w:lang w:val="en-GB" w:eastAsia="en-GB"/>
          </w:rPr>
          <w:lastRenderedPageBreak/>
          <w:t>0266(199708)18:7%3C509::AID-SMJ882%3E3.0.CO;2-Z</w:t>
        </w:r>
      </w:hyperlink>
      <w:r w:rsidRPr="003F29DB">
        <w:rPr>
          <w:rFonts w:ascii="Arial" w:eastAsia="Times New Roman" w:hAnsi="Arial" w:cs="Arial"/>
          <w:sz w:val="24"/>
          <w:szCs w:val="24"/>
          <w:lang w:val="en-GB" w:eastAsia="en-GB"/>
        </w:rPr>
        <w:t xml:space="preserve"> (Accessed: 24 September 2026).</w:t>
      </w:r>
    </w:p>
    <w:p w14:paraId="40F9FF0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United Nations (2015) </w:t>
      </w:r>
      <w:r w:rsidRPr="003F29DB">
        <w:rPr>
          <w:rFonts w:ascii="Arial" w:eastAsia="Times New Roman" w:hAnsi="Arial" w:cs="Arial"/>
          <w:i/>
          <w:iCs/>
          <w:sz w:val="24"/>
          <w:szCs w:val="24"/>
          <w:lang w:val="en-GB" w:eastAsia="en-GB"/>
        </w:rPr>
        <w:t>Transforming Our World: The 2030 Agenda for Sustainable Development</w:t>
      </w:r>
      <w:r w:rsidRPr="003F29DB">
        <w:rPr>
          <w:rFonts w:ascii="Arial" w:eastAsia="Times New Roman" w:hAnsi="Arial" w:cs="Arial"/>
          <w:sz w:val="24"/>
          <w:szCs w:val="24"/>
          <w:lang w:val="en-GB" w:eastAsia="en-GB"/>
        </w:rPr>
        <w:t xml:space="preserve">. Available at: </w:t>
      </w:r>
      <w:hyperlink r:id="rId89" w:history="1">
        <w:r w:rsidRPr="003F29DB">
          <w:rPr>
            <w:rFonts w:ascii="Arial" w:eastAsia="Times New Roman" w:hAnsi="Arial" w:cs="Arial"/>
            <w:color w:val="0000FF"/>
            <w:sz w:val="24"/>
            <w:szCs w:val="24"/>
            <w:u w:val="single"/>
            <w:lang w:val="en-GB" w:eastAsia="en-GB"/>
          </w:rPr>
          <w:t>https://sdgs.un.org/2030agenda</w:t>
        </w:r>
      </w:hyperlink>
      <w:r w:rsidRPr="003F29DB">
        <w:rPr>
          <w:rFonts w:ascii="Arial" w:eastAsia="Times New Roman" w:hAnsi="Arial" w:cs="Arial"/>
          <w:sz w:val="24"/>
          <w:szCs w:val="24"/>
          <w:lang w:val="en-GB" w:eastAsia="en-GB"/>
        </w:rPr>
        <w:t xml:space="preserve"> (Accessed: 24 September 2026).</w:t>
      </w:r>
    </w:p>
    <w:p w14:paraId="51B9CD31"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United Nations Environment Programme (2021) </w:t>
      </w:r>
      <w:r w:rsidRPr="003F29DB">
        <w:rPr>
          <w:rFonts w:ascii="Arial" w:eastAsia="Times New Roman" w:hAnsi="Arial" w:cs="Arial"/>
          <w:i/>
          <w:iCs/>
          <w:sz w:val="24"/>
          <w:szCs w:val="24"/>
          <w:lang w:val="en-GB" w:eastAsia="en-GB"/>
        </w:rPr>
        <w:t>Food Waste Index Report 2021</w:t>
      </w:r>
      <w:r w:rsidRPr="003F29DB">
        <w:rPr>
          <w:rFonts w:ascii="Arial" w:eastAsia="Times New Roman" w:hAnsi="Arial" w:cs="Arial"/>
          <w:sz w:val="24"/>
          <w:szCs w:val="24"/>
          <w:lang w:val="en-GB" w:eastAsia="en-GB"/>
        </w:rPr>
        <w:t xml:space="preserve">. Nairobi: UNEP. Available at: </w:t>
      </w:r>
      <w:hyperlink r:id="rId90" w:history="1">
        <w:r w:rsidRPr="003F29DB">
          <w:rPr>
            <w:rFonts w:ascii="Arial" w:eastAsia="Times New Roman" w:hAnsi="Arial" w:cs="Arial"/>
            <w:color w:val="0000FF"/>
            <w:sz w:val="24"/>
            <w:szCs w:val="24"/>
            <w:u w:val="single"/>
            <w:lang w:val="en-GB" w:eastAsia="en-GB"/>
          </w:rPr>
          <w:t>https://www.unep.org/resources/report/unep-food-waste-index-report-2021</w:t>
        </w:r>
      </w:hyperlink>
      <w:r w:rsidRPr="003F29DB">
        <w:rPr>
          <w:rFonts w:ascii="Arial" w:eastAsia="Times New Roman" w:hAnsi="Arial" w:cs="Arial"/>
          <w:sz w:val="24"/>
          <w:szCs w:val="24"/>
          <w:lang w:val="en-GB" w:eastAsia="en-GB"/>
        </w:rPr>
        <w:t xml:space="preserve"> (Accessed: 24 September 2026).</w:t>
      </w:r>
    </w:p>
    <w:p w14:paraId="6001B13B"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Ut-tha</w:t>
      </w:r>
      <w:proofErr w:type="spellEnd"/>
      <w:r w:rsidRPr="003F29DB">
        <w:rPr>
          <w:rFonts w:ascii="Arial" w:eastAsia="Times New Roman" w:hAnsi="Arial" w:cs="Arial"/>
          <w:sz w:val="24"/>
          <w:szCs w:val="24"/>
          <w:lang w:val="en-GB" w:eastAsia="en-GB"/>
        </w:rPr>
        <w:t xml:space="preserve">, V., Lee, P.-P. and Chung, R. (2021) ‘Willingness to pay for sustainable coffee: A case of Thai consumers’, </w:t>
      </w:r>
      <w:r w:rsidRPr="003F29DB">
        <w:rPr>
          <w:rFonts w:ascii="Arial" w:eastAsia="Times New Roman" w:hAnsi="Arial" w:cs="Arial"/>
          <w:i/>
          <w:iCs/>
          <w:sz w:val="24"/>
          <w:szCs w:val="24"/>
          <w:lang w:val="en-GB" w:eastAsia="en-GB"/>
        </w:rPr>
        <w:t>SAGE Open</w:t>
      </w:r>
      <w:r w:rsidRPr="003F29DB">
        <w:rPr>
          <w:rFonts w:ascii="Arial" w:eastAsia="Times New Roman" w:hAnsi="Arial" w:cs="Arial"/>
          <w:sz w:val="24"/>
          <w:szCs w:val="24"/>
          <w:lang w:val="en-GB" w:eastAsia="en-GB"/>
        </w:rPr>
        <w:t xml:space="preserve">, 11(4). Available at: </w:t>
      </w:r>
      <w:hyperlink r:id="rId91" w:history="1">
        <w:r w:rsidRPr="003F29DB">
          <w:rPr>
            <w:rFonts w:ascii="Arial" w:eastAsia="Times New Roman" w:hAnsi="Arial" w:cs="Arial"/>
            <w:color w:val="0000FF"/>
            <w:sz w:val="24"/>
            <w:szCs w:val="24"/>
            <w:u w:val="single"/>
            <w:lang w:val="en-GB" w:eastAsia="en-GB"/>
          </w:rPr>
          <w:t>https://doi.org/10.1177/21582440211052956</w:t>
        </w:r>
      </w:hyperlink>
      <w:r w:rsidRPr="003F29DB">
        <w:rPr>
          <w:rFonts w:ascii="Arial" w:eastAsia="Times New Roman" w:hAnsi="Arial" w:cs="Arial"/>
          <w:sz w:val="24"/>
          <w:szCs w:val="24"/>
          <w:lang w:val="en-GB" w:eastAsia="en-GB"/>
        </w:rPr>
        <w:t xml:space="preserve"> (Accessed: 24 September 2026).</w:t>
      </w:r>
    </w:p>
    <w:p w14:paraId="3BF91BDF"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WatchHouse</w:t>
      </w:r>
      <w:proofErr w:type="spellEnd"/>
      <w:r w:rsidRPr="003F29DB">
        <w:rPr>
          <w:rFonts w:ascii="Arial" w:eastAsia="Times New Roman" w:hAnsi="Arial" w:cs="Arial"/>
          <w:sz w:val="24"/>
          <w:szCs w:val="24"/>
          <w:lang w:val="en-GB" w:eastAsia="en-GB"/>
        </w:rPr>
        <w:t xml:space="preserve"> (2026a) </w:t>
      </w:r>
      <w:r w:rsidRPr="003F29DB">
        <w:rPr>
          <w:rFonts w:ascii="Arial" w:eastAsia="Times New Roman" w:hAnsi="Arial" w:cs="Arial"/>
          <w:i/>
          <w:iCs/>
          <w:sz w:val="24"/>
          <w:szCs w:val="24"/>
          <w:lang w:val="en-GB" w:eastAsia="en-GB"/>
        </w:rPr>
        <w:t xml:space="preserve">Covent Garden – </w:t>
      </w:r>
      <w:proofErr w:type="spellStart"/>
      <w:r w:rsidRPr="003F29DB">
        <w:rPr>
          <w:rFonts w:ascii="Arial" w:eastAsia="Times New Roman" w:hAnsi="Arial" w:cs="Arial"/>
          <w:i/>
          <w:iCs/>
          <w:sz w:val="24"/>
          <w:szCs w:val="24"/>
          <w:lang w:val="en-GB" w:eastAsia="en-GB"/>
        </w:rPr>
        <w:t>WatchHouse</w:t>
      </w:r>
      <w:proofErr w:type="spellEnd"/>
      <w:r w:rsidRPr="003F29DB">
        <w:rPr>
          <w:rFonts w:ascii="Arial" w:eastAsia="Times New Roman" w:hAnsi="Arial" w:cs="Arial"/>
          <w:sz w:val="24"/>
          <w:szCs w:val="24"/>
          <w:lang w:val="en-GB" w:eastAsia="en-GB"/>
        </w:rPr>
        <w:t xml:space="preserve">. Available at: </w:t>
      </w:r>
      <w:hyperlink r:id="rId92" w:history="1">
        <w:r w:rsidRPr="003F29DB">
          <w:rPr>
            <w:rFonts w:ascii="Arial" w:eastAsia="Times New Roman" w:hAnsi="Arial" w:cs="Arial"/>
            <w:color w:val="0000FF"/>
            <w:sz w:val="24"/>
            <w:szCs w:val="24"/>
            <w:u w:val="single"/>
            <w:lang w:val="en-GB" w:eastAsia="en-GB"/>
          </w:rPr>
          <w:t>https://watchhouse.com/pages/covent-garden</w:t>
        </w:r>
      </w:hyperlink>
      <w:r w:rsidRPr="003F29DB">
        <w:rPr>
          <w:rFonts w:ascii="Arial" w:eastAsia="Times New Roman" w:hAnsi="Arial" w:cs="Arial"/>
          <w:sz w:val="24"/>
          <w:szCs w:val="24"/>
          <w:lang w:val="en-GB" w:eastAsia="en-GB"/>
        </w:rPr>
        <w:t xml:space="preserve"> (Accessed: 24 September 2026).</w:t>
      </w:r>
    </w:p>
    <w:p w14:paraId="5EAF0204"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WatchHouse</w:t>
      </w:r>
      <w:proofErr w:type="spellEnd"/>
      <w:r w:rsidRPr="003F29DB">
        <w:rPr>
          <w:rFonts w:ascii="Arial" w:eastAsia="Times New Roman" w:hAnsi="Arial" w:cs="Arial"/>
          <w:sz w:val="24"/>
          <w:szCs w:val="24"/>
          <w:lang w:val="en-GB" w:eastAsia="en-GB"/>
        </w:rPr>
        <w:t xml:space="preserve"> (2026b) </w:t>
      </w:r>
      <w:proofErr w:type="spellStart"/>
      <w:r w:rsidRPr="003F29DB">
        <w:rPr>
          <w:rFonts w:ascii="Arial" w:eastAsia="Times New Roman" w:hAnsi="Arial" w:cs="Arial"/>
          <w:i/>
          <w:iCs/>
          <w:sz w:val="24"/>
          <w:szCs w:val="24"/>
          <w:lang w:val="en-GB" w:eastAsia="en-GB"/>
        </w:rPr>
        <w:t>WatchHouse</w:t>
      </w:r>
      <w:proofErr w:type="spellEnd"/>
      <w:r w:rsidRPr="003F29DB">
        <w:rPr>
          <w:rFonts w:ascii="Arial" w:eastAsia="Times New Roman" w:hAnsi="Arial" w:cs="Arial"/>
          <w:i/>
          <w:iCs/>
          <w:sz w:val="24"/>
          <w:szCs w:val="24"/>
          <w:lang w:val="en-GB" w:eastAsia="en-GB"/>
        </w:rPr>
        <w:t xml:space="preserve"> Coffee</w:t>
      </w:r>
      <w:r w:rsidRPr="003F29DB">
        <w:rPr>
          <w:rFonts w:ascii="Arial" w:eastAsia="Times New Roman" w:hAnsi="Arial" w:cs="Arial"/>
          <w:sz w:val="24"/>
          <w:szCs w:val="24"/>
          <w:lang w:val="en-GB" w:eastAsia="en-GB"/>
        </w:rPr>
        <w:t xml:space="preserve">. Available at: </w:t>
      </w:r>
      <w:hyperlink r:id="rId93" w:history="1">
        <w:r w:rsidRPr="003F29DB">
          <w:rPr>
            <w:rFonts w:ascii="Arial" w:eastAsia="Times New Roman" w:hAnsi="Arial" w:cs="Arial"/>
            <w:color w:val="0000FF"/>
            <w:sz w:val="24"/>
            <w:szCs w:val="24"/>
            <w:u w:val="single"/>
            <w:lang w:val="en-GB" w:eastAsia="en-GB"/>
          </w:rPr>
          <w:t>https://watchhouse.com/</w:t>
        </w:r>
      </w:hyperlink>
      <w:r w:rsidRPr="003F29DB">
        <w:rPr>
          <w:rFonts w:ascii="Arial" w:eastAsia="Times New Roman" w:hAnsi="Arial" w:cs="Arial"/>
          <w:sz w:val="24"/>
          <w:szCs w:val="24"/>
          <w:lang w:val="en-GB" w:eastAsia="en-GB"/>
        </w:rPr>
        <w:t xml:space="preserve"> (Accessed: 24 September 2026).</w:t>
      </w:r>
    </w:p>
    <w:p w14:paraId="7AED42A5"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F29DB">
        <w:rPr>
          <w:rFonts w:ascii="Arial" w:eastAsia="Times New Roman" w:hAnsi="Arial" w:cs="Arial"/>
          <w:sz w:val="24"/>
          <w:szCs w:val="24"/>
          <w:lang w:val="en-GB" w:eastAsia="en-GB"/>
        </w:rPr>
        <w:t>WatchHouse</w:t>
      </w:r>
      <w:proofErr w:type="spellEnd"/>
      <w:r w:rsidRPr="003F29DB">
        <w:rPr>
          <w:rFonts w:ascii="Arial" w:eastAsia="Times New Roman" w:hAnsi="Arial" w:cs="Arial"/>
          <w:sz w:val="24"/>
          <w:szCs w:val="24"/>
          <w:lang w:val="en-GB" w:eastAsia="en-GB"/>
        </w:rPr>
        <w:t xml:space="preserve"> (2026c) </w:t>
      </w:r>
      <w:proofErr w:type="spellStart"/>
      <w:r w:rsidRPr="003F29DB">
        <w:rPr>
          <w:rFonts w:ascii="Arial" w:eastAsia="Times New Roman" w:hAnsi="Arial" w:cs="Arial"/>
          <w:i/>
          <w:iCs/>
          <w:sz w:val="24"/>
          <w:szCs w:val="24"/>
          <w:lang w:val="en-GB" w:eastAsia="en-GB"/>
        </w:rPr>
        <w:t>WatchHouse</w:t>
      </w:r>
      <w:proofErr w:type="spellEnd"/>
      <w:r w:rsidRPr="003F29DB">
        <w:rPr>
          <w:rFonts w:ascii="Arial" w:eastAsia="Times New Roman" w:hAnsi="Arial" w:cs="Arial"/>
          <w:i/>
          <w:iCs/>
          <w:sz w:val="24"/>
          <w:szCs w:val="24"/>
          <w:lang w:val="en-GB" w:eastAsia="en-GB"/>
        </w:rPr>
        <w:t xml:space="preserve"> Menu</w:t>
      </w:r>
      <w:r w:rsidRPr="003F29DB">
        <w:rPr>
          <w:rFonts w:ascii="Arial" w:eastAsia="Times New Roman" w:hAnsi="Arial" w:cs="Arial"/>
          <w:sz w:val="24"/>
          <w:szCs w:val="24"/>
          <w:lang w:val="en-GB" w:eastAsia="en-GB"/>
        </w:rPr>
        <w:t xml:space="preserve">. Available at: </w:t>
      </w:r>
      <w:hyperlink r:id="rId94" w:history="1">
        <w:r w:rsidRPr="003F29DB">
          <w:rPr>
            <w:rFonts w:ascii="Arial" w:eastAsia="Times New Roman" w:hAnsi="Arial" w:cs="Arial"/>
            <w:color w:val="0000FF"/>
            <w:sz w:val="24"/>
            <w:szCs w:val="24"/>
            <w:u w:val="single"/>
            <w:lang w:val="en-GB" w:eastAsia="en-GB"/>
          </w:rPr>
          <w:t>https://watchhouse.com/</w:t>
        </w:r>
      </w:hyperlink>
      <w:r w:rsidRPr="003F29DB">
        <w:rPr>
          <w:rFonts w:ascii="Arial" w:eastAsia="Times New Roman" w:hAnsi="Arial" w:cs="Arial"/>
          <w:sz w:val="24"/>
          <w:szCs w:val="24"/>
          <w:lang w:val="en-GB" w:eastAsia="en-GB"/>
        </w:rPr>
        <w:t xml:space="preserve"> (Accessed: 24 September 2026).</w:t>
      </w:r>
    </w:p>
    <w:p w14:paraId="7B22A30F"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Westminster City Council (2025) </w:t>
      </w:r>
      <w:r w:rsidRPr="003F29DB">
        <w:rPr>
          <w:rFonts w:ascii="Arial" w:eastAsia="Times New Roman" w:hAnsi="Arial" w:cs="Arial"/>
          <w:i/>
          <w:iCs/>
          <w:sz w:val="24"/>
          <w:szCs w:val="24"/>
          <w:lang w:val="en-GB" w:eastAsia="en-GB"/>
        </w:rPr>
        <w:t>Westminster Visitor Economy / Visitor Data</w:t>
      </w:r>
      <w:r w:rsidRPr="003F29DB">
        <w:rPr>
          <w:rFonts w:ascii="Arial" w:eastAsia="Times New Roman" w:hAnsi="Arial" w:cs="Arial"/>
          <w:sz w:val="24"/>
          <w:szCs w:val="24"/>
          <w:lang w:val="en-GB" w:eastAsia="en-GB"/>
        </w:rPr>
        <w:t xml:space="preserve">. Available at: </w:t>
      </w:r>
      <w:hyperlink r:id="rId95" w:history="1">
        <w:r w:rsidRPr="003F29DB">
          <w:rPr>
            <w:rFonts w:ascii="Arial" w:eastAsia="Times New Roman" w:hAnsi="Arial" w:cs="Arial"/>
            <w:color w:val="0000FF"/>
            <w:sz w:val="24"/>
            <w:szCs w:val="24"/>
            <w:u w:val="single"/>
            <w:lang w:val="en-GB" w:eastAsia="en-GB"/>
          </w:rPr>
          <w:t>https://www.westminster.gov.uk/business-and-trade/tourism-and-visitor-economy</w:t>
        </w:r>
      </w:hyperlink>
      <w:r w:rsidRPr="003F29DB">
        <w:rPr>
          <w:rFonts w:ascii="Arial" w:eastAsia="Times New Roman" w:hAnsi="Arial" w:cs="Arial"/>
          <w:sz w:val="24"/>
          <w:szCs w:val="24"/>
          <w:lang w:val="en-GB" w:eastAsia="en-GB"/>
        </w:rPr>
        <w:t xml:space="preserve"> (Accessed: 24 September 2026).</w:t>
      </w:r>
    </w:p>
    <w:p w14:paraId="7AD65EAC"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Bank (2023) </w:t>
      </w:r>
      <w:r w:rsidRPr="003F29DB">
        <w:rPr>
          <w:rFonts w:ascii="Arial" w:eastAsia="Times New Roman" w:hAnsi="Arial" w:cs="Arial"/>
          <w:i/>
          <w:iCs/>
          <w:sz w:val="24"/>
          <w:szCs w:val="24"/>
          <w:lang w:val="en-GB" w:eastAsia="en-GB"/>
        </w:rPr>
        <w:t>Commodity Markets</w:t>
      </w:r>
      <w:r w:rsidRPr="003F29DB">
        <w:rPr>
          <w:rFonts w:ascii="Arial" w:eastAsia="Times New Roman" w:hAnsi="Arial" w:cs="Arial"/>
          <w:sz w:val="24"/>
          <w:szCs w:val="24"/>
          <w:lang w:val="en-GB" w:eastAsia="en-GB"/>
        </w:rPr>
        <w:t xml:space="preserve">. Available at: </w:t>
      </w:r>
      <w:hyperlink r:id="rId96" w:history="1">
        <w:r w:rsidRPr="003F29DB">
          <w:rPr>
            <w:rFonts w:ascii="Arial" w:eastAsia="Times New Roman" w:hAnsi="Arial" w:cs="Arial"/>
            <w:color w:val="0000FF"/>
            <w:sz w:val="24"/>
            <w:szCs w:val="24"/>
            <w:u w:val="single"/>
            <w:lang w:val="en-GB" w:eastAsia="en-GB"/>
          </w:rPr>
          <w:t>https://www.worldbank.org/en/research/commodity-markets</w:t>
        </w:r>
      </w:hyperlink>
      <w:r w:rsidRPr="003F29DB">
        <w:rPr>
          <w:rFonts w:ascii="Arial" w:eastAsia="Times New Roman" w:hAnsi="Arial" w:cs="Arial"/>
          <w:sz w:val="24"/>
          <w:szCs w:val="24"/>
          <w:lang w:val="en-GB" w:eastAsia="en-GB"/>
        </w:rPr>
        <w:t xml:space="preserve"> (Accessed: 24 September 2026).</w:t>
      </w:r>
    </w:p>
    <w:p w14:paraId="0CFADFC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Coffee Research (2024) </w:t>
      </w:r>
      <w:r w:rsidRPr="003F29DB">
        <w:rPr>
          <w:rFonts w:ascii="Arial" w:eastAsia="Times New Roman" w:hAnsi="Arial" w:cs="Arial"/>
          <w:i/>
          <w:iCs/>
          <w:sz w:val="24"/>
          <w:szCs w:val="24"/>
          <w:lang w:val="en-GB" w:eastAsia="en-GB"/>
        </w:rPr>
        <w:t>Coffee Sustainability and Research</w:t>
      </w:r>
      <w:r w:rsidRPr="003F29DB">
        <w:rPr>
          <w:rFonts w:ascii="Arial" w:eastAsia="Times New Roman" w:hAnsi="Arial" w:cs="Arial"/>
          <w:sz w:val="24"/>
          <w:szCs w:val="24"/>
          <w:lang w:val="en-GB" w:eastAsia="en-GB"/>
        </w:rPr>
        <w:t xml:space="preserve">. Available at: </w:t>
      </w:r>
      <w:hyperlink r:id="rId97" w:history="1">
        <w:r w:rsidRPr="003F29DB">
          <w:rPr>
            <w:rFonts w:ascii="Arial" w:eastAsia="Times New Roman" w:hAnsi="Arial" w:cs="Arial"/>
            <w:color w:val="0000FF"/>
            <w:sz w:val="24"/>
            <w:szCs w:val="24"/>
            <w:u w:val="single"/>
            <w:lang w:val="en-GB" w:eastAsia="en-GB"/>
          </w:rPr>
          <w:t>https://worldcoffeeresearch.org/</w:t>
        </w:r>
      </w:hyperlink>
      <w:r w:rsidRPr="003F29DB">
        <w:rPr>
          <w:rFonts w:ascii="Arial" w:eastAsia="Times New Roman" w:hAnsi="Arial" w:cs="Arial"/>
          <w:sz w:val="24"/>
          <w:szCs w:val="24"/>
          <w:lang w:val="en-GB" w:eastAsia="en-GB"/>
        </w:rPr>
        <w:t xml:space="preserve"> (Accessed: 24 September 2026).</w:t>
      </w:r>
    </w:p>
    <w:p w14:paraId="0F6883EE"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Coffee Portal (2025a) </w:t>
      </w:r>
      <w:r w:rsidRPr="003F29DB">
        <w:rPr>
          <w:rFonts w:ascii="Arial" w:eastAsia="Times New Roman" w:hAnsi="Arial" w:cs="Arial"/>
          <w:i/>
          <w:iCs/>
          <w:sz w:val="24"/>
          <w:szCs w:val="24"/>
          <w:lang w:val="en-GB" w:eastAsia="en-GB"/>
        </w:rPr>
        <w:t>Project Café UK 2025</w:t>
      </w:r>
      <w:r w:rsidRPr="003F29DB">
        <w:rPr>
          <w:rFonts w:ascii="Arial" w:eastAsia="Times New Roman" w:hAnsi="Arial" w:cs="Arial"/>
          <w:sz w:val="24"/>
          <w:szCs w:val="24"/>
          <w:lang w:val="en-GB" w:eastAsia="en-GB"/>
        </w:rPr>
        <w:t xml:space="preserve">. Available at: </w:t>
      </w:r>
      <w:hyperlink r:id="rId98" w:history="1">
        <w:r w:rsidRPr="003F29DB">
          <w:rPr>
            <w:rFonts w:ascii="Arial" w:eastAsia="Times New Roman" w:hAnsi="Arial" w:cs="Arial"/>
            <w:color w:val="0000FF"/>
            <w:sz w:val="24"/>
            <w:szCs w:val="24"/>
            <w:u w:val="single"/>
            <w:lang w:val="en-GB" w:eastAsia="en-GB"/>
          </w:rPr>
          <w:t>https://www.worldcoffeeportal.com/</w:t>
        </w:r>
      </w:hyperlink>
      <w:r w:rsidRPr="003F29DB">
        <w:rPr>
          <w:rFonts w:ascii="Arial" w:eastAsia="Times New Roman" w:hAnsi="Arial" w:cs="Arial"/>
          <w:sz w:val="24"/>
          <w:szCs w:val="24"/>
          <w:lang w:val="en-GB" w:eastAsia="en-GB"/>
        </w:rPr>
        <w:t xml:space="preserve"> (Accessed: 24 September 2026).</w:t>
      </w:r>
    </w:p>
    <w:p w14:paraId="379A0DBD"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Coffee Portal (2025b) </w:t>
      </w:r>
      <w:r w:rsidRPr="003F29DB">
        <w:rPr>
          <w:rFonts w:ascii="Arial" w:eastAsia="Times New Roman" w:hAnsi="Arial" w:cs="Arial"/>
          <w:i/>
          <w:iCs/>
          <w:sz w:val="24"/>
          <w:szCs w:val="24"/>
          <w:lang w:val="en-GB" w:eastAsia="en-GB"/>
        </w:rPr>
        <w:t>The UK Coffee Shop Market</w:t>
      </w:r>
      <w:r w:rsidRPr="003F29DB">
        <w:rPr>
          <w:rFonts w:ascii="Arial" w:eastAsia="Times New Roman" w:hAnsi="Arial" w:cs="Arial"/>
          <w:sz w:val="24"/>
          <w:szCs w:val="24"/>
          <w:lang w:val="en-GB" w:eastAsia="en-GB"/>
        </w:rPr>
        <w:t xml:space="preserve">. Available at: </w:t>
      </w:r>
      <w:hyperlink r:id="rId99" w:history="1">
        <w:r w:rsidRPr="003F29DB">
          <w:rPr>
            <w:rFonts w:ascii="Arial" w:eastAsia="Times New Roman" w:hAnsi="Arial" w:cs="Arial"/>
            <w:color w:val="0000FF"/>
            <w:sz w:val="24"/>
            <w:szCs w:val="24"/>
            <w:u w:val="single"/>
            <w:lang w:val="en-GB" w:eastAsia="en-GB"/>
          </w:rPr>
          <w:t>https://www.worldcoffeeportal.com/</w:t>
        </w:r>
      </w:hyperlink>
      <w:r w:rsidRPr="003F29DB">
        <w:rPr>
          <w:rFonts w:ascii="Arial" w:eastAsia="Times New Roman" w:hAnsi="Arial" w:cs="Arial"/>
          <w:sz w:val="24"/>
          <w:szCs w:val="24"/>
          <w:lang w:val="en-GB" w:eastAsia="en-GB"/>
        </w:rPr>
        <w:t xml:space="preserve"> (Accessed: 24 September 2026).</w:t>
      </w:r>
    </w:p>
    <w:p w14:paraId="2C0DE20E"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Coffee Portal (2026a) </w:t>
      </w:r>
      <w:r w:rsidRPr="003F29DB">
        <w:rPr>
          <w:rFonts w:ascii="Arial" w:eastAsia="Times New Roman" w:hAnsi="Arial" w:cs="Arial"/>
          <w:i/>
          <w:iCs/>
          <w:sz w:val="24"/>
          <w:szCs w:val="24"/>
          <w:lang w:val="en-GB" w:eastAsia="en-GB"/>
        </w:rPr>
        <w:t>Project Café UK 2026</w:t>
      </w:r>
      <w:r w:rsidRPr="003F29DB">
        <w:rPr>
          <w:rFonts w:ascii="Arial" w:eastAsia="Times New Roman" w:hAnsi="Arial" w:cs="Arial"/>
          <w:sz w:val="24"/>
          <w:szCs w:val="24"/>
          <w:lang w:val="en-GB" w:eastAsia="en-GB"/>
        </w:rPr>
        <w:t xml:space="preserve">. Available at: </w:t>
      </w:r>
      <w:hyperlink r:id="rId100" w:history="1">
        <w:r w:rsidRPr="003F29DB">
          <w:rPr>
            <w:rFonts w:ascii="Arial" w:eastAsia="Times New Roman" w:hAnsi="Arial" w:cs="Arial"/>
            <w:color w:val="0000FF"/>
            <w:sz w:val="24"/>
            <w:szCs w:val="24"/>
            <w:u w:val="single"/>
            <w:lang w:val="en-GB" w:eastAsia="en-GB"/>
          </w:rPr>
          <w:t>https://www.worldcoffeeportal.com/project-cafe-uk-2026-debrief/</w:t>
        </w:r>
      </w:hyperlink>
      <w:r w:rsidRPr="003F29DB">
        <w:rPr>
          <w:rFonts w:ascii="Arial" w:eastAsia="Times New Roman" w:hAnsi="Arial" w:cs="Arial"/>
          <w:sz w:val="24"/>
          <w:szCs w:val="24"/>
          <w:lang w:val="en-GB" w:eastAsia="en-GB"/>
        </w:rPr>
        <w:t xml:space="preserve"> (Accessed: 24 September 2026).</w:t>
      </w:r>
    </w:p>
    <w:p w14:paraId="2BA5F71F"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lastRenderedPageBreak/>
        <w:t xml:space="preserve">World Coffee Portal (2026b) </w:t>
      </w:r>
      <w:r w:rsidRPr="003F29DB">
        <w:rPr>
          <w:rFonts w:ascii="Arial" w:eastAsia="Times New Roman" w:hAnsi="Arial" w:cs="Arial"/>
          <w:i/>
          <w:iCs/>
          <w:sz w:val="24"/>
          <w:szCs w:val="24"/>
          <w:lang w:val="en-GB" w:eastAsia="en-GB"/>
        </w:rPr>
        <w:t>The Independents Report UK 2026</w:t>
      </w:r>
      <w:r w:rsidRPr="003F29DB">
        <w:rPr>
          <w:rFonts w:ascii="Arial" w:eastAsia="Times New Roman" w:hAnsi="Arial" w:cs="Arial"/>
          <w:sz w:val="24"/>
          <w:szCs w:val="24"/>
          <w:lang w:val="en-GB" w:eastAsia="en-GB"/>
        </w:rPr>
        <w:t xml:space="preserve">. Available at: </w:t>
      </w:r>
      <w:hyperlink r:id="rId101" w:history="1">
        <w:r w:rsidRPr="003F29DB">
          <w:rPr>
            <w:rFonts w:ascii="Arial" w:eastAsia="Times New Roman" w:hAnsi="Arial" w:cs="Arial"/>
            <w:color w:val="0000FF"/>
            <w:sz w:val="24"/>
            <w:szCs w:val="24"/>
            <w:u w:val="single"/>
            <w:lang w:val="en-GB" w:eastAsia="en-GB"/>
          </w:rPr>
          <w:t>https://www.worldcoffeeportal.com/analysis/3-key-findings-from-world-coffee-portals-latest-report-on-the-uk-independent-coffee-shop-market/</w:t>
        </w:r>
      </w:hyperlink>
      <w:r w:rsidRPr="003F29DB">
        <w:rPr>
          <w:rFonts w:ascii="Arial" w:eastAsia="Times New Roman" w:hAnsi="Arial" w:cs="Arial"/>
          <w:sz w:val="24"/>
          <w:szCs w:val="24"/>
          <w:lang w:val="en-GB" w:eastAsia="en-GB"/>
        </w:rPr>
        <w:t xml:space="preserve"> (Accessed: 24 September 2026).</w:t>
      </w:r>
    </w:p>
    <w:p w14:paraId="19063768"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Coffee Portal (2026c) </w:t>
      </w:r>
      <w:r w:rsidRPr="003F29DB">
        <w:rPr>
          <w:rFonts w:ascii="Arial" w:eastAsia="Times New Roman" w:hAnsi="Arial" w:cs="Arial"/>
          <w:i/>
          <w:iCs/>
          <w:sz w:val="24"/>
          <w:szCs w:val="24"/>
          <w:lang w:val="en-GB" w:eastAsia="en-GB"/>
        </w:rPr>
        <w:t>Latest Coffee Market Reports</w:t>
      </w:r>
      <w:r w:rsidRPr="003F29DB">
        <w:rPr>
          <w:rFonts w:ascii="Arial" w:eastAsia="Times New Roman" w:hAnsi="Arial" w:cs="Arial"/>
          <w:sz w:val="24"/>
          <w:szCs w:val="24"/>
          <w:lang w:val="en-GB" w:eastAsia="en-GB"/>
        </w:rPr>
        <w:t xml:space="preserve">. Available at: </w:t>
      </w:r>
      <w:hyperlink r:id="rId102" w:history="1">
        <w:r w:rsidRPr="003F29DB">
          <w:rPr>
            <w:rFonts w:ascii="Arial" w:eastAsia="Times New Roman" w:hAnsi="Arial" w:cs="Arial"/>
            <w:color w:val="0000FF"/>
            <w:sz w:val="24"/>
            <w:szCs w:val="24"/>
            <w:u w:val="single"/>
            <w:lang w:val="en-GB" w:eastAsia="en-GB"/>
          </w:rPr>
          <w:t>https://www.worldcoffeeportal.com/latest-reports/</w:t>
        </w:r>
      </w:hyperlink>
      <w:r w:rsidRPr="003F29DB">
        <w:rPr>
          <w:rFonts w:ascii="Arial" w:eastAsia="Times New Roman" w:hAnsi="Arial" w:cs="Arial"/>
          <w:sz w:val="24"/>
          <w:szCs w:val="24"/>
          <w:lang w:val="en-GB" w:eastAsia="en-GB"/>
        </w:rPr>
        <w:t xml:space="preserve"> (Accessed: 24 September 2026).</w:t>
      </w:r>
    </w:p>
    <w:p w14:paraId="1E884DC6"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Economic Forum (2023) </w:t>
      </w:r>
      <w:r w:rsidRPr="003F29DB">
        <w:rPr>
          <w:rFonts w:ascii="Arial" w:eastAsia="Times New Roman" w:hAnsi="Arial" w:cs="Arial"/>
          <w:i/>
          <w:iCs/>
          <w:sz w:val="24"/>
          <w:szCs w:val="24"/>
          <w:lang w:val="en-GB" w:eastAsia="en-GB"/>
        </w:rPr>
        <w:t>The Future of Growth and Sustainability</w:t>
      </w:r>
      <w:r w:rsidRPr="003F29DB">
        <w:rPr>
          <w:rFonts w:ascii="Arial" w:eastAsia="Times New Roman" w:hAnsi="Arial" w:cs="Arial"/>
          <w:sz w:val="24"/>
          <w:szCs w:val="24"/>
          <w:lang w:val="en-GB" w:eastAsia="en-GB"/>
        </w:rPr>
        <w:t xml:space="preserve">. Available at: </w:t>
      </w:r>
      <w:hyperlink r:id="rId103" w:history="1">
        <w:r w:rsidRPr="003F29DB">
          <w:rPr>
            <w:rFonts w:ascii="Arial" w:eastAsia="Times New Roman" w:hAnsi="Arial" w:cs="Arial"/>
            <w:color w:val="0000FF"/>
            <w:sz w:val="24"/>
            <w:szCs w:val="24"/>
            <w:u w:val="single"/>
            <w:lang w:val="en-GB" w:eastAsia="en-GB"/>
          </w:rPr>
          <w:t>https://www.weforum.org/publications/</w:t>
        </w:r>
      </w:hyperlink>
      <w:r w:rsidRPr="003F29DB">
        <w:rPr>
          <w:rFonts w:ascii="Arial" w:eastAsia="Times New Roman" w:hAnsi="Arial" w:cs="Arial"/>
          <w:sz w:val="24"/>
          <w:szCs w:val="24"/>
          <w:lang w:val="en-GB" w:eastAsia="en-GB"/>
        </w:rPr>
        <w:t xml:space="preserve"> (Accessed: 24 September 2026).</w:t>
      </w:r>
    </w:p>
    <w:p w14:paraId="6E1C7939"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World Resources Institute (2021) </w:t>
      </w:r>
      <w:r w:rsidRPr="003F29DB">
        <w:rPr>
          <w:rFonts w:ascii="Arial" w:eastAsia="Times New Roman" w:hAnsi="Arial" w:cs="Arial"/>
          <w:i/>
          <w:iCs/>
          <w:sz w:val="24"/>
          <w:szCs w:val="24"/>
          <w:lang w:val="en-GB" w:eastAsia="en-GB"/>
        </w:rPr>
        <w:t>Reducing Food Loss and Waste</w:t>
      </w:r>
      <w:r w:rsidRPr="003F29DB">
        <w:rPr>
          <w:rFonts w:ascii="Arial" w:eastAsia="Times New Roman" w:hAnsi="Arial" w:cs="Arial"/>
          <w:sz w:val="24"/>
          <w:szCs w:val="24"/>
          <w:lang w:val="en-GB" w:eastAsia="en-GB"/>
        </w:rPr>
        <w:t xml:space="preserve">. Available at: </w:t>
      </w:r>
      <w:hyperlink r:id="rId104" w:history="1">
        <w:r w:rsidRPr="003F29DB">
          <w:rPr>
            <w:rFonts w:ascii="Arial" w:eastAsia="Times New Roman" w:hAnsi="Arial" w:cs="Arial"/>
            <w:color w:val="0000FF"/>
            <w:sz w:val="24"/>
            <w:szCs w:val="24"/>
            <w:u w:val="single"/>
            <w:lang w:val="en-GB" w:eastAsia="en-GB"/>
          </w:rPr>
          <w:t>https://www.wri.org/initiatives/food-loss-and-waste</w:t>
        </w:r>
      </w:hyperlink>
      <w:r w:rsidRPr="003F29DB">
        <w:rPr>
          <w:rFonts w:ascii="Arial" w:eastAsia="Times New Roman" w:hAnsi="Arial" w:cs="Arial"/>
          <w:sz w:val="24"/>
          <w:szCs w:val="24"/>
          <w:lang w:val="en-GB" w:eastAsia="en-GB"/>
        </w:rPr>
        <w:t xml:space="preserve"> (Accessed: 24 September 2026).</w:t>
      </w:r>
    </w:p>
    <w:p w14:paraId="556366CF"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Wright, M., et al. (2024) ‘Sustainability and the future of coffee production’, </w:t>
      </w:r>
      <w:r w:rsidRPr="003F29DB">
        <w:rPr>
          <w:rFonts w:ascii="Arial" w:eastAsia="Times New Roman" w:hAnsi="Arial" w:cs="Arial"/>
          <w:i/>
          <w:iCs/>
          <w:sz w:val="24"/>
          <w:szCs w:val="24"/>
          <w:lang w:val="en-GB" w:eastAsia="en-GB"/>
        </w:rPr>
        <w:t>Sustainability</w:t>
      </w:r>
      <w:r w:rsidRPr="003F29DB">
        <w:rPr>
          <w:rFonts w:ascii="Arial" w:eastAsia="Times New Roman" w:hAnsi="Arial" w:cs="Arial"/>
          <w:sz w:val="24"/>
          <w:szCs w:val="24"/>
          <w:lang w:val="en-GB" w:eastAsia="en-GB"/>
        </w:rPr>
        <w:t xml:space="preserve">, 16. Available at: </w:t>
      </w:r>
      <w:hyperlink r:id="rId105" w:history="1">
        <w:r w:rsidRPr="003F29DB">
          <w:rPr>
            <w:rFonts w:ascii="Arial" w:eastAsia="Times New Roman" w:hAnsi="Arial" w:cs="Arial"/>
            <w:color w:val="0000FF"/>
            <w:sz w:val="24"/>
            <w:szCs w:val="24"/>
            <w:u w:val="single"/>
            <w:lang w:val="en-GB" w:eastAsia="en-GB"/>
          </w:rPr>
          <w:t>https://www.mdpi.com/journal/sustainability</w:t>
        </w:r>
      </w:hyperlink>
      <w:r w:rsidRPr="003F29DB">
        <w:rPr>
          <w:rFonts w:ascii="Arial" w:eastAsia="Times New Roman" w:hAnsi="Arial" w:cs="Arial"/>
          <w:sz w:val="24"/>
          <w:szCs w:val="24"/>
          <w:lang w:val="en-GB" w:eastAsia="en-GB"/>
        </w:rPr>
        <w:t xml:space="preserve"> (Accessed: 24 September 2026).</w:t>
      </w:r>
    </w:p>
    <w:p w14:paraId="616BEAA4"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Yadav, R. and Pathak, G.S. (2016) ‘Young consumers’ intention towards buying green products in a developing nation: Extending the theory of planned </w:t>
      </w:r>
      <w:proofErr w:type="spellStart"/>
      <w:r w:rsidRPr="003F29DB">
        <w:rPr>
          <w:rFonts w:ascii="Arial" w:eastAsia="Times New Roman" w:hAnsi="Arial" w:cs="Arial"/>
          <w:sz w:val="24"/>
          <w:szCs w:val="24"/>
          <w:lang w:val="en-GB" w:eastAsia="en-GB"/>
        </w:rPr>
        <w:t>behavior</w:t>
      </w:r>
      <w:proofErr w:type="spellEnd"/>
      <w:r w:rsidRPr="003F29DB">
        <w:rPr>
          <w:rFonts w:ascii="Arial" w:eastAsia="Times New Roman" w:hAnsi="Arial" w:cs="Arial"/>
          <w:sz w:val="24"/>
          <w:szCs w:val="24"/>
          <w:lang w:val="en-GB" w:eastAsia="en-GB"/>
        </w:rPr>
        <w:t xml:space="preserve">’, </w:t>
      </w:r>
      <w:r w:rsidRPr="003F29DB">
        <w:rPr>
          <w:rFonts w:ascii="Arial" w:eastAsia="Times New Roman" w:hAnsi="Arial" w:cs="Arial"/>
          <w:i/>
          <w:iCs/>
          <w:sz w:val="24"/>
          <w:szCs w:val="24"/>
          <w:lang w:val="en-GB" w:eastAsia="en-GB"/>
        </w:rPr>
        <w:t>Journal of Cleaner Production</w:t>
      </w:r>
      <w:r w:rsidRPr="003F29DB">
        <w:rPr>
          <w:rFonts w:ascii="Arial" w:eastAsia="Times New Roman" w:hAnsi="Arial" w:cs="Arial"/>
          <w:sz w:val="24"/>
          <w:szCs w:val="24"/>
          <w:lang w:val="en-GB" w:eastAsia="en-GB"/>
        </w:rPr>
        <w:t xml:space="preserve">, 135, pp. 732–739. Available at: </w:t>
      </w:r>
      <w:hyperlink r:id="rId106" w:history="1">
        <w:r w:rsidRPr="003F29DB">
          <w:rPr>
            <w:rFonts w:ascii="Arial" w:eastAsia="Times New Roman" w:hAnsi="Arial" w:cs="Arial"/>
            <w:color w:val="0000FF"/>
            <w:sz w:val="24"/>
            <w:szCs w:val="24"/>
            <w:u w:val="single"/>
            <w:lang w:val="en-GB" w:eastAsia="en-GB"/>
          </w:rPr>
          <w:t>https://doi.org/10.1016/j.jclepro.2016.06.120</w:t>
        </w:r>
      </w:hyperlink>
      <w:r w:rsidRPr="003F29DB">
        <w:rPr>
          <w:rFonts w:ascii="Arial" w:eastAsia="Times New Roman" w:hAnsi="Arial" w:cs="Arial"/>
          <w:sz w:val="24"/>
          <w:szCs w:val="24"/>
          <w:lang w:val="en-GB" w:eastAsia="en-GB"/>
        </w:rPr>
        <w:t xml:space="preserve"> (Accessed: 24 September 2026).</w:t>
      </w:r>
    </w:p>
    <w:p w14:paraId="04156E72" w14:textId="77777777" w:rsidR="003F29DB" w:rsidRPr="003F29DB" w:rsidRDefault="003F29DB" w:rsidP="003F29DB">
      <w:pPr>
        <w:pStyle w:val="ListParagraph"/>
        <w:numPr>
          <w:ilvl w:val="0"/>
          <w:numId w:val="43"/>
        </w:numPr>
        <w:spacing w:before="100" w:beforeAutospacing="1" w:after="100" w:afterAutospacing="1" w:line="360" w:lineRule="auto"/>
        <w:jc w:val="both"/>
        <w:rPr>
          <w:rFonts w:ascii="Arial" w:eastAsia="Times New Roman" w:hAnsi="Arial" w:cs="Arial"/>
          <w:sz w:val="24"/>
          <w:szCs w:val="24"/>
          <w:lang w:val="en-GB" w:eastAsia="en-GB"/>
        </w:rPr>
      </w:pPr>
      <w:r w:rsidRPr="003F29DB">
        <w:rPr>
          <w:rFonts w:ascii="Arial" w:eastAsia="Times New Roman" w:hAnsi="Arial" w:cs="Arial"/>
          <w:sz w:val="24"/>
          <w:szCs w:val="24"/>
          <w:lang w:val="en-GB" w:eastAsia="en-GB"/>
        </w:rPr>
        <w:t xml:space="preserve">Zhu, Q., </w:t>
      </w:r>
      <w:proofErr w:type="spellStart"/>
      <w:r w:rsidRPr="003F29DB">
        <w:rPr>
          <w:rFonts w:ascii="Arial" w:eastAsia="Times New Roman" w:hAnsi="Arial" w:cs="Arial"/>
          <w:sz w:val="24"/>
          <w:szCs w:val="24"/>
          <w:lang w:val="en-GB" w:eastAsia="en-GB"/>
        </w:rPr>
        <w:t>Sarkis</w:t>
      </w:r>
      <w:proofErr w:type="spellEnd"/>
      <w:r w:rsidRPr="003F29DB">
        <w:rPr>
          <w:rFonts w:ascii="Arial" w:eastAsia="Times New Roman" w:hAnsi="Arial" w:cs="Arial"/>
          <w:sz w:val="24"/>
          <w:szCs w:val="24"/>
          <w:lang w:val="en-GB" w:eastAsia="en-GB"/>
        </w:rPr>
        <w:t xml:space="preserve">, J. and Lai, K.-H. (2008) ‘Confirmation of a measurement model for green supply chain management practices implementation’, </w:t>
      </w:r>
      <w:r w:rsidRPr="003F29DB">
        <w:rPr>
          <w:rFonts w:ascii="Arial" w:eastAsia="Times New Roman" w:hAnsi="Arial" w:cs="Arial"/>
          <w:i/>
          <w:iCs/>
          <w:sz w:val="24"/>
          <w:szCs w:val="24"/>
          <w:lang w:val="en-GB" w:eastAsia="en-GB"/>
        </w:rPr>
        <w:t>International Journal of Production Economics</w:t>
      </w:r>
      <w:r w:rsidRPr="003F29DB">
        <w:rPr>
          <w:rFonts w:ascii="Arial" w:eastAsia="Times New Roman" w:hAnsi="Arial" w:cs="Arial"/>
          <w:sz w:val="24"/>
          <w:szCs w:val="24"/>
          <w:lang w:val="en-GB" w:eastAsia="en-GB"/>
        </w:rPr>
        <w:t xml:space="preserve">, 111(2), pp. 261–273. Available at: </w:t>
      </w:r>
      <w:hyperlink r:id="rId107" w:history="1">
        <w:r w:rsidRPr="003F29DB">
          <w:rPr>
            <w:rFonts w:ascii="Arial" w:eastAsia="Times New Roman" w:hAnsi="Arial" w:cs="Arial"/>
            <w:color w:val="0000FF"/>
            <w:sz w:val="24"/>
            <w:szCs w:val="24"/>
            <w:u w:val="single"/>
            <w:lang w:val="en-GB" w:eastAsia="en-GB"/>
          </w:rPr>
          <w:t>https://doi.org/10.1016/j.ijpe.2007.11.011</w:t>
        </w:r>
      </w:hyperlink>
      <w:r w:rsidRPr="003F29DB">
        <w:rPr>
          <w:rFonts w:ascii="Arial" w:eastAsia="Times New Roman" w:hAnsi="Arial" w:cs="Arial"/>
          <w:sz w:val="24"/>
          <w:szCs w:val="24"/>
          <w:lang w:val="en-GB" w:eastAsia="en-GB"/>
        </w:rPr>
        <w:t xml:space="preserve"> (Accessed: 24 September 2026).</w:t>
      </w:r>
    </w:p>
    <w:p w14:paraId="593A3087" w14:textId="527C1E19" w:rsidR="007C7435" w:rsidRDefault="007C7435" w:rsidP="00296B61">
      <w:pPr>
        <w:spacing w:before="240" w:line="360" w:lineRule="auto"/>
        <w:jc w:val="both"/>
        <w:rPr>
          <w:rFonts w:ascii="Arial" w:hAnsi="Arial" w:cs="Arial"/>
          <w:sz w:val="24"/>
          <w:szCs w:val="24"/>
          <w:lang w:val="en-GB" w:eastAsia="en-GB"/>
        </w:rPr>
      </w:pPr>
    </w:p>
    <w:p w14:paraId="7E9B7840" w14:textId="47D0331F" w:rsidR="007C7435" w:rsidRDefault="007C7435" w:rsidP="00296B61">
      <w:pPr>
        <w:spacing w:before="240" w:line="360" w:lineRule="auto"/>
        <w:jc w:val="both"/>
        <w:rPr>
          <w:rFonts w:ascii="Arial" w:hAnsi="Arial" w:cs="Arial"/>
          <w:sz w:val="24"/>
          <w:szCs w:val="24"/>
          <w:lang w:val="en-GB" w:eastAsia="en-GB"/>
        </w:rPr>
      </w:pPr>
    </w:p>
    <w:p w14:paraId="1945F937" w14:textId="0943F867" w:rsidR="003F29DB" w:rsidRDefault="003F29DB" w:rsidP="00296B61">
      <w:pPr>
        <w:spacing w:before="240" w:line="360" w:lineRule="auto"/>
        <w:jc w:val="both"/>
        <w:rPr>
          <w:rFonts w:ascii="Arial" w:hAnsi="Arial" w:cs="Arial"/>
          <w:sz w:val="24"/>
          <w:szCs w:val="24"/>
          <w:lang w:val="en-GB" w:eastAsia="en-GB"/>
        </w:rPr>
      </w:pPr>
    </w:p>
    <w:p w14:paraId="0F9D2E3C" w14:textId="47CF457B" w:rsidR="003F29DB" w:rsidRDefault="003F29DB" w:rsidP="00296B61">
      <w:pPr>
        <w:spacing w:before="240" w:line="360" w:lineRule="auto"/>
        <w:jc w:val="both"/>
        <w:rPr>
          <w:rFonts w:ascii="Arial" w:hAnsi="Arial" w:cs="Arial"/>
          <w:sz w:val="24"/>
          <w:szCs w:val="24"/>
          <w:lang w:val="en-GB" w:eastAsia="en-GB"/>
        </w:rPr>
      </w:pPr>
    </w:p>
    <w:p w14:paraId="75A954E0" w14:textId="77777777" w:rsidR="003F29DB" w:rsidRDefault="003F29DB" w:rsidP="00296B61">
      <w:pPr>
        <w:spacing w:before="240" w:line="360" w:lineRule="auto"/>
        <w:jc w:val="both"/>
        <w:rPr>
          <w:rFonts w:ascii="Arial" w:hAnsi="Arial" w:cs="Arial"/>
          <w:sz w:val="24"/>
          <w:szCs w:val="24"/>
          <w:lang w:val="en-GB" w:eastAsia="en-GB"/>
        </w:rPr>
      </w:pPr>
    </w:p>
    <w:p w14:paraId="2DAE1C3E" w14:textId="77777777" w:rsidR="008D65F1" w:rsidRPr="008D65F1" w:rsidRDefault="008D65F1" w:rsidP="008D65F1">
      <w:pPr>
        <w:pStyle w:val="Heading1"/>
        <w:rPr>
          <w:rFonts w:eastAsia="Times New Roman"/>
          <w:lang w:val="en-GB" w:eastAsia="en-GB"/>
        </w:rPr>
      </w:pPr>
      <w:bookmarkStart w:id="137" w:name="_Toc241167525"/>
      <w:r w:rsidRPr="008D65F1">
        <w:rPr>
          <w:rFonts w:eastAsia="Times New Roman"/>
          <w:lang w:val="en-GB" w:eastAsia="en-GB"/>
        </w:rPr>
        <w:lastRenderedPageBreak/>
        <w:t>Appendix 8</w:t>
      </w:r>
      <w:bookmarkEnd w:id="137"/>
    </w:p>
    <w:p w14:paraId="0B7E4A99" w14:textId="47A0699A" w:rsidR="008D65F1" w:rsidRDefault="008D65F1" w:rsidP="008D65F1">
      <w:pPr>
        <w:jc w:val="both"/>
        <w:rPr>
          <w:rFonts w:ascii="Arial" w:hAnsi="Arial" w:cs="Arial"/>
          <w:b/>
          <w:sz w:val="24"/>
          <w:lang w:val="en-GB" w:eastAsia="en-GB"/>
        </w:rPr>
      </w:pPr>
      <w:r w:rsidRPr="008D65F1">
        <w:rPr>
          <w:rFonts w:ascii="Arial" w:hAnsi="Arial" w:cs="Arial"/>
          <w:b/>
          <w:sz w:val="24"/>
          <w:lang w:val="en-GB" w:eastAsia="en-GB"/>
        </w:rPr>
        <w:t>Completed Visual Business Model Canvas</w:t>
      </w:r>
    </w:p>
    <w:p w14:paraId="70001FF8" w14:textId="79C992E8" w:rsidR="008D65F1" w:rsidRDefault="00154FCD" w:rsidP="008D65F1">
      <w:pPr>
        <w:jc w:val="both"/>
        <w:rPr>
          <w:rFonts w:ascii="Arial" w:hAnsi="Arial" w:cs="Arial"/>
          <w:b/>
          <w:sz w:val="24"/>
          <w:lang w:val="en-GB" w:eastAsia="en-GB"/>
        </w:rPr>
      </w:pPr>
      <w:r>
        <w:rPr>
          <w:rFonts w:ascii="Arial" w:hAnsi="Arial" w:cs="Arial"/>
          <w:b/>
          <w:noProof/>
          <w:sz w:val="24"/>
          <w:lang w:val="en-GB" w:eastAsia="en-GB"/>
          <w14:ligatures w14:val="standardContextual"/>
        </w:rPr>
        <w:drawing>
          <wp:inline distT="0" distB="0" distL="0" distR="0" wp14:anchorId="7C292FCE" wp14:editId="5D84C56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910_114251.pn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15CFFB" w14:textId="77777777" w:rsidR="00154FCD" w:rsidRPr="008D65F1" w:rsidRDefault="00154FCD" w:rsidP="008D65F1">
      <w:pPr>
        <w:jc w:val="both"/>
        <w:rPr>
          <w:rFonts w:ascii="Arial" w:hAnsi="Arial" w:cs="Arial"/>
          <w:b/>
          <w:sz w:val="24"/>
          <w:lang w:val="en-GB" w:eastAsia="en-GB"/>
        </w:rPr>
      </w:pPr>
    </w:p>
    <w:p w14:paraId="6C45C13E" w14:textId="3CF43519" w:rsidR="007C7435" w:rsidRDefault="007C7435" w:rsidP="00296B61">
      <w:pPr>
        <w:spacing w:before="240" w:line="360" w:lineRule="auto"/>
        <w:jc w:val="both"/>
        <w:rPr>
          <w:rFonts w:ascii="Arial" w:hAnsi="Arial" w:cs="Arial"/>
          <w:sz w:val="24"/>
          <w:szCs w:val="24"/>
          <w:lang w:val="en-GB" w:eastAsia="en-GB"/>
        </w:rPr>
      </w:pPr>
    </w:p>
    <w:p w14:paraId="7FA5C649" w14:textId="70BFE7E9" w:rsidR="007C7435" w:rsidRDefault="007C7435" w:rsidP="00296B61">
      <w:pPr>
        <w:spacing w:before="240" w:line="360" w:lineRule="auto"/>
        <w:jc w:val="both"/>
        <w:rPr>
          <w:rFonts w:ascii="Arial" w:hAnsi="Arial" w:cs="Arial"/>
          <w:sz w:val="24"/>
          <w:szCs w:val="24"/>
          <w:lang w:val="en-GB" w:eastAsia="en-GB"/>
        </w:rPr>
      </w:pPr>
    </w:p>
    <w:p w14:paraId="0D30C2D2" w14:textId="2FF9BCC4" w:rsidR="007C7435" w:rsidRDefault="007C7435" w:rsidP="00296B61">
      <w:pPr>
        <w:spacing w:before="240" w:line="360" w:lineRule="auto"/>
        <w:jc w:val="both"/>
        <w:rPr>
          <w:rFonts w:ascii="Arial" w:hAnsi="Arial" w:cs="Arial"/>
          <w:sz w:val="24"/>
          <w:szCs w:val="24"/>
          <w:lang w:val="en-GB" w:eastAsia="en-GB"/>
        </w:rPr>
      </w:pPr>
    </w:p>
    <w:p w14:paraId="1ACB7011" w14:textId="7851C3BA" w:rsidR="007C7435" w:rsidRDefault="007C7435" w:rsidP="00296B61">
      <w:pPr>
        <w:spacing w:before="240" w:line="360" w:lineRule="auto"/>
        <w:jc w:val="both"/>
        <w:rPr>
          <w:rFonts w:ascii="Arial" w:hAnsi="Arial" w:cs="Arial"/>
          <w:sz w:val="24"/>
          <w:szCs w:val="24"/>
          <w:lang w:val="en-GB" w:eastAsia="en-GB"/>
        </w:rPr>
      </w:pPr>
    </w:p>
    <w:p w14:paraId="73CEB126" w14:textId="081ADF53" w:rsidR="007C7435" w:rsidRDefault="007C7435" w:rsidP="00296B61">
      <w:pPr>
        <w:spacing w:before="240" w:line="360" w:lineRule="auto"/>
        <w:jc w:val="both"/>
        <w:rPr>
          <w:rFonts w:ascii="Arial" w:hAnsi="Arial" w:cs="Arial"/>
          <w:sz w:val="24"/>
          <w:szCs w:val="24"/>
          <w:lang w:val="en-GB" w:eastAsia="en-GB"/>
        </w:rPr>
      </w:pPr>
    </w:p>
    <w:p w14:paraId="09F63445" w14:textId="1F0B6F2B" w:rsidR="007C7435" w:rsidRDefault="007C7435" w:rsidP="00296B61">
      <w:pPr>
        <w:spacing w:before="240" w:line="360" w:lineRule="auto"/>
        <w:jc w:val="both"/>
        <w:rPr>
          <w:rFonts w:ascii="Arial" w:hAnsi="Arial" w:cs="Arial"/>
          <w:sz w:val="24"/>
          <w:szCs w:val="24"/>
          <w:lang w:val="en-GB" w:eastAsia="en-GB"/>
        </w:rPr>
      </w:pPr>
    </w:p>
    <w:p w14:paraId="14B48789" w14:textId="388BBBFC" w:rsidR="007C7435" w:rsidRDefault="007C7435" w:rsidP="00296B61">
      <w:pPr>
        <w:spacing w:before="240" w:line="360" w:lineRule="auto"/>
        <w:jc w:val="both"/>
        <w:rPr>
          <w:rFonts w:ascii="Arial" w:hAnsi="Arial" w:cs="Arial"/>
          <w:sz w:val="24"/>
          <w:szCs w:val="24"/>
          <w:lang w:val="en-GB" w:eastAsia="en-GB"/>
        </w:rPr>
      </w:pPr>
    </w:p>
    <w:p w14:paraId="63B79167" w14:textId="013CB7A5" w:rsidR="007C7435" w:rsidRDefault="007C7435" w:rsidP="00296B61">
      <w:pPr>
        <w:spacing w:before="240" w:line="360" w:lineRule="auto"/>
        <w:jc w:val="both"/>
        <w:rPr>
          <w:rFonts w:ascii="Arial" w:hAnsi="Arial" w:cs="Arial"/>
          <w:sz w:val="24"/>
          <w:szCs w:val="24"/>
          <w:lang w:val="en-GB" w:eastAsia="en-GB"/>
        </w:rPr>
      </w:pPr>
    </w:p>
    <w:p w14:paraId="115DD444" w14:textId="29505342" w:rsidR="007C7435" w:rsidRDefault="007C7435" w:rsidP="00296B61">
      <w:pPr>
        <w:spacing w:before="240" w:line="360" w:lineRule="auto"/>
        <w:jc w:val="both"/>
        <w:rPr>
          <w:rFonts w:ascii="Arial" w:hAnsi="Arial" w:cs="Arial"/>
          <w:sz w:val="24"/>
          <w:szCs w:val="24"/>
          <w:lang w:val="en-GB" w:eastAsia="en-GB"/>
        </w:rPr>
      </w:pPr>
    </w:p>
    <w:p w14:paraId="0996DB3A" w14:textId="26FDE1CE" w:rsidR="007C7435" w:rsidRDefault="007C7435" w:rsidP="00296B61">
      <w:pPr>
        <w:spacing w:before="240" w:line="360" w:lineRule="auto"/>
        <w:jc w:val="both"/>
        <w:rPr>
          <w:rFonts w:ascii="Arial" w:hAnsi="Arial" w:cs="Arial"/>
          <w:sz w:val="24"/>
          <w:szCs w:val="24"/>
          <w:lang w:val="en-GB" w:eastAsia="en-GB"/>
        </w:rPr>
      </w:pPr>
    </w:p>
    <w:p w14:paraId="773E2DE7" w14:textId="3280C93B" w:rsidR="007C7435" w:rsidRDefault="007C7435" w:rsidP="00296B61">
      <w:pPr>
        <w:spacing w:before="240" w:line="360" w:lineRule="auto"/>
        <w:jc w:val="both"/>
        <w:rPr>
          <w:rFonts w:ascii="Arial" w:hAnsi="Arial" w:cs="Arial"/>
          <w:sz w:val="24"/>
          <w:szCs w:val="24"/>
          <w:lang w:val="en-GB" w:eastAsia="en-GB"/>
        </w:rPr>
      </w:pPr>
    </w:p>
    <w:sectPr w:rsidR="007C7435" w:rsidSect="00B50C6B">
      <w:headerReference w:type="default" r:id="rId109"/>
      <w:footerReference w:type="default" r:id="rId1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54E879" w14:textId="77777777" w:rsidR="0057594C" w:rsidRDefault="0057594C" w:rsidP="00226B65">
      <w:pPr>
        <w:spacing w:after="0" w:line="240" w:lineRule="auto"/>
      </w:pPr>
      <w:r>
        <w:separator/>
      </w:r>
    </w:p>
  </w:endnote>
  <w:endnote w:type="continuationSeparator" w:id="0">
    <w:p w14:paraId="21D6D5CC" w14:textId="77777777" w:rsidR="0057594C" w:rsidRDefault="0057594C"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435508"/>
      <w:docPartObj>
        <w:docPartGallery w:val="Page Numbers (Bottom of Page)"/>
        <w:docPartUnique/>
      </w:docPartObj>
    </w:sdtPr>
    <w:sdtEndPr>
      <w:rPr>
        <w:noProof/>
      </w:rPr>
    </w:sdtEndPr>
    <w:sdtContent>
      <w:p w14:paraId="11FBF282" w14:textId="436674C3" w:rsidR="00804066" w:rsidRDefault="00804066">
        <w:pPr>
          <w:pStyle w:val="Footer"/>
          <w:jc w:val="center"/>
        </w:pPr>
        <w:r>
          <w:fldChar w:fldCharType="begin"/>
        </w:r>
        <w:r>
          <w:instrText xml:space="preserve"> PAGE   \* MERGEFORMAT </w:instrText>
        </w:r>
        <w:r>
          <w:fldChar w:fldCharType="separate"/>
        </w:r>
        <w:r w:rsidR="003246D3">
          <w:rPr>
            <w:noProof/>
          </w:rPr>
          <w:t>xi</w:t>
        </w:r>
        <w:r>
          <w:rPr>
            <w:noProof/>
          </w:rPr>
          <w:fldChar w:fldCharType="end"/>
        </w:r>
      </w:p>
    </w:sdtContent>
  </w:sdt>
  <w:p w14:paraId="09932598" w14:textId="77777777" w:rsidR="00804066" w:rsidRDefault="0080406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0DDE733B" w:rsidR="00804066" w:rsidRDefault="00804066">
        <w:pPr>
          <w:pStyle w:val="Footer"/>
          <w:jc w:val="center"/>
        </w:pPr>
        <w:r>
          <w:fldChar w:fldCharType="begin"/>
        </w:r>
        <w:r>
          <w:instrText xml:space="preserve"> PAGE   \* MERGEFORMAT </w:instrText>
        </w:r>
        <w:r>
          <w:fldChar w:fldCharType="separate"/>
        </w:r>
        <w:r w:rsidR="003246D3">
          <w:rPr>
            <w:noProof/>
          </w:rPr>
          <w:t>2</w:t>
        </w:r>
        <w:r>
          <w:rPr>
            <w:noProof/>
          </w:rPr>
          <w:fldChar w:fldCharType="end"/>
        </w:r>
      </w:p>
    </w:sdtContent>
  </w:sdt>
  <w:p w14:paraId="751981B7" w14:textId="77777777" w:rsidR="00804066" w:rsidRPr="00F706E3" w:rsidRDefault="00804066">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BE872B" w14:textId="77777777" w:rsidR="0057594C" w:rsidRDefault="0057594C" w:rsidP="00226B65">
      <w:pPr>
        <w:spacing w:after="0" w:line="240" w:lineRule="auto"/>
      </w:pPr>
      <w:r>
        <w:separator/>
      </w:r>
    </w:p>
  </w:footnote>
  <w:footnote w:type="continuationSeparator" w:id="0">
    <w:p w14:paraId="512507FF" w14:textId="77777777" w:rsidR="0057594C" w:rsidRDefault="0057594C"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804066" w:rsidRDefault="0080406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E7D89"/>
    <w:multiLevelType w:val="multilevel"/>
    <w:tmpl w:val="A190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73141"/>
    <w:multiLevelType w:val="hybridMultilevel"/>
    <w:tmpl w:val="80523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C0687"/>
    <w:multiLevelType w:val="hybridMultilevel"/>
    <w:tmpl w:val="6738620C"/>
    <w:lvl w:ilvl="0" w:tplc="08090001">
      <w:start w:val="1"/>
      <w:numFmt w:val="bullet"/>
      <w:lvlText w:val=""/>
      <w:lvlJc w:val="left"/>
      <w:pPr>
        <w:ind w:left="720" w:hanging="360"/>
      </w:pPr>
      <w:rPr>
        <w:rFonts w:ascii="Symbol" w:hAnsi="Symbol" w:hint="default"/>
      </w:rPr>
    </w:lvl>
    <w:lvl w:ilvl="1" w:tplc="C2CED430">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B3613"/>
    <w:multiLevelType w:val="multilevel"/>
    <w:tmpl w:val="69C88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582967"/>
    <w:multiLevelType w:val="multilevel"/>
    <w:tmpl w:val="16B4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1F395F"/>
    <w:multiLevelType w:val="hybridMultilevel"/>
    <w:tmpl w:val="4606B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3337CA"/>
    <w:multiLevelType w:val="multilevel"/>
    <w:tmpl w:val="FA66E7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1A0D06"/>
    <w:multiLevelType w:val="multilevel"/>
    <w:tmpl w:val="A2A64B74"/>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8045EC"/>
    <w:multiLevelType w:val="multilevel"/>
    <w:tmpl w:val="3E70C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007E1F"/>
    <w:multiLevelType w:val="multilevel"/>
    <w:tmpl w:val="6C904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900039"/>
    <w:multiLevelType w:val="multilevel"/>
    <w:tmpl w:val="83666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A52865"/>
    <w:multiLevelType w:val="multilevel"/>
    <w:tmpl w:val="D7D24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ED2DF4"/>
    <w:multiLevelType w:val="multilevel"/>
    <w:tmpl w:val="46440108"/>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944A39"/>
    <w:multiLevelType w:val="hybridMultilevel"/>
    <w:tmpl w:val="6238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0C757D"/>
    <w:multiLevelType w:val="multilevel"/>
    <w:tmpl w:val="16D08C76"/>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D43FED"/>
    <w:multiLevelType w:val="multilevel"/>
    <w:tmpl w:val="61C401D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9F77E7"/>
    <w:multiLevelType w:val="multilevel"/>
    <w:tmpl w:val="5DD8A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AB5A9B"/>
    <w:multiLevelType w:val="multilevel"/>
    <w:tmpl w:val="4BBE2FA2"/>
    <w:lvl w:ilvl="0">
      <w:start w:val="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6C21AE"/>
    <w:multiLevelType w:val="multilevel"/>
    <w:tmpl w:val="A52E55A2"/>
    <w:lvl w:ilvl="0">
      <w:start w:val="7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6C1434A"/>
    <w:multiLevelType w:val="multilevel"/>
    <w:tmpl w:val="801E8BD2"/>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C0639A"/>
    <w:multiLevelType w:val="multilevel"/>
    <w:tmpl w:val="C0D2C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ED5A4B"/>
    <w:multiLevelType w:val="multilevel"/>
    <w:tmpl w:val="5EE61CF8"/>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727DF8"/>
    <w:multiLevelType w:val="multilevel"/>
    <w:tmpl w:val="CBAAE95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3E7CAB"/>
    <w:multiLevelType w:val="multilevel"/>
    <w:tmpl w:val="0B6EB806"/>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E04CAA"/>
    <w:multiLevelType w:val="multilevel"/>
    <w:tmpl w:val="BEDEBA6E"/>
    <w:lvl w:ilvl="0">
      <w:start w:val="6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A35FC0"/>
    <w:multiLevelType w:val="multilevel"/>
    <w:tmpl w:val="40FA0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9C30E2"/>
    <w:multiLevelType w:val="multilevel"/>
    <w:tmpl w:val="FA8433C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2042BE"/>
    <w:multiLevelType w:val="multilevel"/>
    <w:tmpl w:val="58ECCF1E"/>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A44298A"/>
    <w:multiLevelType w:val="hybridMultilevel"/>
    <w:tmpl w:val="931E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6C7BBA"/>
    <w:multiLevelType w:val="multilevel"/>
    <w:tmpl w:val="DFD0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014A1D"/>
    <w:multiLevelType w:val="multilevel"/>
    <w:tmpl w:val="19AC2CF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7E32ED1"/>
    <w:multiLevelType w:val="hybridMultilevel"/>
    <w:tmpl w:val="6EFE6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0E3608"/>
    <w:multiLevelType w:val="multilevel"/>
    <w:tmpl w:val="3CE0B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1A44EC"/>
    <w:multiLevelType w:val="multilevel"/>
    <w:tmpl w:val="86002C10"/>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F036D1"/>
    <w:multiLevelType w:val="multilevel"/>
    <w:tmpl w:val="5A4A5A52"/>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170DC5"/>
    <w:multiLevelType w:val="multilevel"/>
    <w:tmpl w:val="C33E9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C165586"/>
    <w:multiLevelType w:val="multilevel"/>
    <w:tmpl w:val="58703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553623"/>
    <w:multiLevelType w:val="multilevel"/>
    <w:tmpl w:val="1DCC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A77473"/>
    <w:multiLevelType w:val="multilevel"/>
    <w:tmpl w:val="71AE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405741"/>
    <w:multiLevelType w:val="multilevel"/>
    <w:tmpl w:val="3A6251F0"/>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C9659E3"/>
    <w:multiLevelType w:val="multilevel"/>
    <w:tmpl w:val="533A6B96"/>
    <w:lvl w:ilvl="0">
      <w:start w:val="2"/>
      <w:numFmt w:val="decimal"/>
      <w:lvlText w:val="%1"/>
      <w:lvlJc w:val="left"/>
      <w:pPr>
        <w:ind w:left="405" w:hanging="405"/>
      </w:pPr>
      <w:rPr>
        <w:rFonts w:hint="default"/>
      </w:rPr>
    </w:lvl>
    <w:lvl w:ilvl="1">
      <w:start w:val="5"/>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DB56047"/>
    <w:multiLevelType w:val="hybridMultilevel"/>
    <w:tmpl w:val="9E1AD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E560D82"/>
    <w:multiLevelType w:val="multilevel"/>
    <w:tmpl w:val="D708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930FA2"/>
    <w:multiLevelType w:val="multilevel"/>
    <w:tmpl w:val="CC3A5800"/>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FBA5CDA"/>
    <w:multiLevelType w:val="multilevel"/>
    <w:tmpl w:val="DE3A0D5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1"/>
  </w:num>
  <w:num w:numId="3">
    <w:abstractNumId w:val="28"/>
  </w:num>
  <w:num w:numId="4">
    <w:abstractNumId w:val="13"/>
  </w:num>
  <w:num w:numId="5">
    <w:abstractNumId w:val="1"/>
  </w:num>
  <w:num w:numId="6">
    <w:abstractNumId w:val="25"/>
  </w:num>
  <w:num w:numId="7">
    <w:abstractNumId w:val="6"/>
  </w:num>
  <w:num w:numId="8">
    <w:abstractNumId w:val="26"/>
  </w:num>
  <w:num w:numId="9">
    <w:abstractNumId w:val="30"/>
  </w:num>
  <w:num w:numId="10">
    <w:abstractNumId w:val="15"/>
  </w:num>
  <w:num w:numId="11">
    <w:abstractNumId w:val="12"/>
  </w:num>
  <w:num w:numId="12">
    <w:abstractNumId w:val="44"/>
  </w:num>
  <w:num w:numId="13">
    <w:abstractNumId w:val="22"/>
  </w:num>
  <w:num w:numId="14">
    <w:abstractNumId w:val="43"/>
  </w:num>
  <w:num w:numId="15">
    <w:abstractNumId w:val="14"/>
  </w:num>
  <w:num w:numId="16">
    <w:abstractNumId w:val="7"/>
  </w:num>
  <w:num w:numId="17">
    <w:abstractNumId w:val="39"/>
  </w:num>
  <w:num w:numId="18">
    <w:abstractNumId w:val="34"/>
  </w:num>
  <w:num w:numId="19">
    <w:abstractNumId w:val="19"/>
  </w:num>
  <w:num w:numId="20">
    <w:abstractNumId w:val="21"/>
  </w:num>
  <w:num w:numId="21">
    <w:abstractNumId w:val="27"/>
  </w:num>
  <w:num w:numId="22">
    <w:abstractNumId w:val="17"/>
  </w:num>
  <w:num w:numId="23">
    <w:abstractNumId w:val="33"/>
  </w:num>
  <w:num w:numId="24">
    <w:abstractNumId w:val="24"/>
  </w:num>
  <w:num w:numId="25">
    <w:abstractNumId w:val="23"/>
  </w:num>
  <w:num w:numId="26">
    <w:abstractNumId w:val="18"/>
  </w:num>
  <w:num w:numId="27">
    <w:abstractNumId w:val="20"/>
  </w:num>
  <w:num w:numId="28">
    <w:abstractNumId w:val="8"/>
  </w:num>
  <w:num w:numId="29">
    <w:abstractNumId w:val="38"/>
  </w:num>
  <w:num w:numId="30">
    <w:abstractNumId w:val="4"/>
  </w:num>
  <w:num w:numId="31">
    <w:abstractNumId w:val="9"/>
  </w:num>
  <w:num w:numId="32">
    <w:abstractNumId w:val="35"/>
  </w:num>
  <w:num w:numId="33">
    <w:abstractNumId w:val="36"/>
  </w:num>
  <w:num w:numId="34">
    <w:abstractNumId w:val="42"/>
  </w:num>
  <w:num w:numId="35">
    <w:abstractNumId w:val="0"/>
  </w:num>
  <w:num w:numId="36">
    <w:abstractNumId w:val="3"/>
  </w:num>
  <w:num w:numId="37">
    <w:abstractNumId w:val="16"/>
  </w:num>
  <w:num w:numId="38">
    <w:abstractNumId w:val="37"/>
  </w:num>
  <w:num w:numId="39">
    <w:abstractNumId w:val="10"/>
  </w:num>
  <w:num w:numId="40">
    <w:abstractNumId w:val="29"/>
  </w:num>
  <w:num w:numId="41">
    <w:abstractNumId w:val="11"/>
  </w:num>
  <w:num w:numId="42">
    <w:abstractNumId w:val="32"/>
  </w:num>
  <w:num w:numId="43">
    <w:abstractNumId w:val="31"/>
  </w:num>
  <w:num w:numId="44">
    <w:abstractNumId w:val="2"/>
  </w:num>
  <w:num w:numId="45">
    <w:abstractNumId w:val="40"/>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D04"/>
    <w:rsid w:val="00004D6C"/>
    <w:rsid w:val="00007A02"/>
    <w:rsid w:val="00010ECF"/>
    <w:rsid w:val="000117E4"/>
    <w:rsid w:val="00013335"/>
    <w:rsid w:val="0001370B"/>
    <w:rsid w:val="00014A2F"/>
    <w:rsid w:val="00020A7C"/>
    <w:rsid w:val="0002406A"/>
    <w:rsid w:val="000249D4"/>
    <w:rsid w:val="0002780B"/>
    <w:rsid w:val="000314AE"/>
    <w:rsid w:val="00032031"/>
    <w:rsid w:val="00036444"/>
    <w:rsid w:val="00036E37"/>
    <w:rsid w:val="0003742F"/>
    <w:rsid w:val="00040F04"/>
    <w:rsid w:val="00043172"/>
    <w:rsid w:val="000438AB"/>
    <w:rsid w:val="00044370"/>
    <w:rsid w:val="000447C7"/>
    <w:rsid w:val="00046046"/>
    <w:rsid w:val="00046CE1"/>
    <w:rsid w:val="000573C7"/>
    <w:rsid w:val="0006073E"/>
    <w:rsid w:val="000621B1"/>
    <w:rsid w:val="00062B3E"/>
    <w:rsid w:val="00064403"/>
    <w:rsid w:val="00065291"/>
    <w:rsid w:val="00066DDC"/>
    <w:rsid w:val="00067740"/>
    <w:rsid w:val="00067EB2"/>
    <w:rsid w:val="00070B55"/>
    <w:rsid w:val="000720BB"/>
    <w:rsid w:val="00072CF9"/>
    <w:rsid w:val="00073190"/>
    <w:rsid w:val="000755AF"/>
    <w:rsid w:val="00076333"/>
    <w:rsid w:val="00082254"/>
    <w:rsid w:val="00085A64"/>
    <w:rsid w:val="000866B5"/>
    <w:rsid w:val="0009016E"/>
    <w:rsid w:val="000903B3"/>
    <w:rsid w:val="0009299D"/>
    <w:rsid w:val="00094C6A"/>
    <w:rsid w:val="0009581C"/>
    <w:rsid w:val="00095B12"/>
    <w:rsid w:val="000974F7"/>
    <w:rsid w:val="00097FF4"/>
    <w:rsid w:val="000A0440"/>
    <w:rsid w:val="000A297B"/>
    <w:rsid w:val="000A2CAF"/>
    <w:rsid w:val="000A3049"/>
    <w:rsid w:val="000A65E5"/>
    <w:rsid w:val="000A7D86"/>
    <w:rsid w:val="000A7E8F"/>
    <w:rsid w:val="000B1A01"/>
    <w:rsid w:val="000B2756"/>
    <w:rsid w:val="000B3E28"/>
    <w:rsid w:val="000B4733"/>
    <w:rsid w:val="000B5512"/>
    <w:rsid w:val="000C2786"/>
    <w:rsid w:val="000C454F"/>
    <w:rsid w:val="000C4DA0"/>
    <w:rsid w:val="000C6B7F"/>
    <w:rsid w:val="000C7D8E"/>
    <w:rsid w:val="000C7FAD"/>
    <w:rsid w:val="000D1721"/>
    <w:rsid w:val="000D1D98"/>
    <w:rsid w:val="000D3408"/>
    <w:rsid w:val="000D4671"/>
    <w:rsid w:val="000D57BD"/>
    <w:rsid w:val="000D5F4B"/>
    <w:rsid w:val="000D73AA"/>
    <w:rsid w:val="000E1B28"/>
    <w:rsid w:val="000E76ED"/>
    <w:rsid w:val="000F0747"/>
    <w:rsid w:val="000F1E62"/>
    <w:rsid w:val="000F301D"/>
    <w:rsid w:val="000F5846"/>
    <w:rsid w:val="000F5EA9"/>
    <w:rsid w:val="000F7440"/>
    <w:rsid w:val="0010090E"/>
    <w:rsid w:val="00100F99"/>
    <w:rsid w:val="0010342D"/>
    <w:rsid w:val="00104C38"/>
    <w:rsid w:val="00105DB6"/>
    <w:rsid w:val="0010663A"/>
    <w:rsid w:val="00106CC9"/>
    <w:rsid w:val="00114D7F"/>
    <w:rsid w:val="0011548C"/>
    <w:rsid w:val="00120896"/>
    <w:rsid w:val="00122C26"/>
    <w:rsid w:val="00124FA6"/>
    <w:rsid w:val="001254F4"/>
    <w:rsid w:val="001269B6"/>
    <w:rsid w:val="001306B9"/>
    <w:rsid w:val="001335F2"/>
    <w:rsid w:val="001346AE"/>
    <w:rsid w:val="00134C55"/>
    <w:rsid w:val="00140358"/>
    <w:rsid w:val="001404A5"/>
    <w:rsid w:val="001431EA"/>
    <w:rsid w:val="00145DC2"/>
    <w:rsid w:val="0014628F"/>
    <w:rsid w:val="0014739F"/>
    <w:rsid w:val="00154BCB"/>
    <w:rsid w:val="00154FCD"/>
    <w:rsid w:val="00155F79"/>
    <w:rsid w:val="001560A9"/>
    <w:rsid w:val="00160C1C"/>
    <w:rsid w:val="001640E8"/>
    <w:rsid w:val="001667FD"/>
    <w:rsid w:val="00167BEF"/>
    <w:rsid w:val="00167C72"/>
    <w:rsid w:val="00171F62"/>
    <w:rsid w:val="001801FE"/>
    <w:rsid w:val="001815EA"/>
    <w:rsid w:val="00183A1B"/>
    <w:rsid w:val="001840FF"/>
    <w:rsid w:val="00184D21"/>
    <w:rsid w:val="00187F30"/>
    <w:rsid w:val="001906A4"/>
    <w:rsid w:val="001929B4"/>
    <w:rsid w:val="00193B10"/>
    <w:rsid w:val="00194468"/>
    <w:rsid w:val="001962E4"/>
    <w:rsid w:val="001A08AB"/>
    <w:rsid w:val="001A0C09"/>
    <w:rsid w:val="001A0C2E"/>
    <w:rsid w:val="001A2504"/>
    <w:rsid w:val="001A70A9"/>
    <w:rsid w:val="001B41A5"/>
    <w:rsid w:val="001B4ADA"/>
    <w:rsid w:val="001B5058"/>
    <w:rsid w:val="001C26FD"/>
    <w:rsid w:val="001C6534"/>
    <w:rsid w:val="001C6F8C"/>
    <w:rsid w:val="001C78C7"/>
    <w:rsid w:val="001D0D7C"/>
    <w:rsid w:val="001D1268"/>
    <w:rsid w:val="001D3EBB"/>
    <w:rsid w:val="001D4053"/>
    <w:rsid w:val="001D5EF2"/>
    <w:rsid w:val="001E0746"/>
    <w:rsid w:val="001E49BA"/>
    <w:rsid w:val="001F27A2"/>
    <w:rsid w:val="001F2E2C"/>
    <w:rsid w:val="001F60C6"/>
    <w:rsid w:val="002003D0"/>
    <w:rsid w:val="00201851"/>
    <w:rsid w:val="002049FF"/>
    <w:rsid w:val="002068A4"/>
    <w:rsid w:val="00206C54"/>
    <w:rsid w:val="00211196"/>
    <w:rsid w:val="002119EB"/>
    <w:rsid w:val="002129FD"/>
    <w:rsid w:val="00212ED5"/>
    <w:rsid w:val="002154D2"/>
    <w:rsid w:val="00217C41"/>
    <w:rsid w:val="00220160"/>
    <w:rsid w:val="00220A5E"/>
    <w:rsid w:val="00221378"/>
    <w:rsid w:val="00221E59"/>
    <w:rsid w:val="00226B65"/>
    <w:rsid w:val="00227CB2"/>
    <w:rsid w:val="00231238"/>
    <w:rsid w:val="00235395"/>
    <w:rsid w:val="00235792"/>
    <w:rsid w:val="00236100"/>
    <w:rsid w:val="0024004B"/>
    <w:rsid w:val="00241AE4"/>
    <w:rsid w:val="00244702"/>
    <w:rsid w:val="00244CCB"/>
    <w:rsid w:val="00245424"/>
    <w:rsid w:val="00250651"/>
    <w:rsid w:val="002563BD"/>
    <w:rsid w:val="002612D9"/>
    <w:rsid w:val="00261A39"/>
    <w:rsid w:val="00262AF0"/>
    <w:rsid w:val="00265497"/>
    <w:rsid w:val="00272CF0"/>
    <w:rsid w:val="002757F5"/>
    <w:rsid w:val="00281166"/>
    <w:rsid w:val="002827E8"/>
    <w:rsid w:val="00282863"/>
    <w:rsid w:val="00284522"/>
    <w:rsid w:val="00284693"/>
    <w:rsid w:val="00286E94"/>
    <w:rsid w:val="00287FB7"/>
    <w:rsid w:val="00291878"/>
    <w:rsid w:val="002920E6"/>
    <w:rsid w:val="00292DCA"/>
    <w:rsid w:val="002930B6"/>
    <w:rsid w:val="00293DE1"/>
    <w:rsid w:val="00294FF8"/>
    <w:rsid w:val="00295019"/>
    <w:rsid w:val="00296721"/>
    <w:rsid w:val="00296B61"/>
    <w:rsid w:val="002A0E77"/>
    <w:rsid w:val="002A1E74"/>
    <w:rsid w:val="002A422B"/>
    <w:rsid w:val="002A624C"/>
    <w:rsid w:val="002A72BC"/>
    <w:rsid w:val="002B0809"/>
    <w:rsid w:val="002B3460"/>
    <w:rsid w:val="002B4CB9"/>
    <w:rsid w:val="002B719C"/>
    <w:rsid w:val="002B7538"/>
    <w:rsid w:val="002B7691"/>
    <w:rsid w:val="002C23A0"/>
    <w:rsid w:val="002C2417"/>
    <w:rsid w:val="002C6544"/>
    <w:rsid w:val="002D09B1"/>
    <w:rsid w:val="002D105E"/>
    <w:rsid w:val="002D1910"/>
    <w:rsid w:val="002D3C6B"/>
    <w:rsid w:val="002D4A25"/>
    <w:rsid w:val="002D6462"/>
    <w:rsid w:val="002D693C"/>
    <w:rsid w:val="002D7021"/>
    <w:rsid w:val="002E019E"/>
    <w:rsid w:val="002E279B"/>
    <w:rsid w:val="002E2D64"/>
    <w:rsid w:val="002E4865"/>
    <w:rsid w:val="002E4CF4"/>
    <w:rsid w:val="002E4D5A"/>
    <w:rsid w:val="002E4DF0"/>
    <w:rsid w:val="002E5287"/>
    <w:rsid w:val="002E7130"/>
    <w:rsid w:val="002F13B3"/>
    <w:rsid w:val="002F2E2F"/>
    <w:rsid w:val="002F54CA"/>
    <w:rsid w:val="002F6A3D"/>
    <w:rsid w:val="002F7B54"/>
    <w:rsid w:val="003009C6"/>
    <w:rsid w:val="00302170"/>
    <w:rsid w:val="00302559"/>
    <w:rsid w:val="00304029"/>
    <w:rsid w:val="00304B5F"/>
    <w:rsid w:val="00306545"/>
    <w:rsid w:val="00310DA3"/>
    <w:rsid w:val="00311667"/>
    <w:rsid w:val="00312AF4"/>
    <w:rsid w:val="003145AB"/>
    <w:rsid w:val="0031596D"/>
    <w:rsid w:val="00317588"/>
    <w:rsid w:val="00323C66"/>
    <w:rsid w:val="003246D3"/>
    <w:rsid w:val="00325211"/>
    <w:rsid w:val="00326EBB"/>
    <w:rsid w:val="0032756A"/>
    <w:rsid w:val="00332C7B"/>
    <w:rsid w:val="003343CF"/>
    <w:rsid w:val="00334DD7"/>
    <w:rsid w:val="00335E27"/>
    <w:rsid w:val="0034076E"/>
    <w:rsid w:val="00340969"/>
    <w:rsid w:val="00345B65"/>
    <w:rsid w:val="00346CF3"/>
    <w:rsid w:val="00347300"/>
    <w:rsid w:val="00351CD2"/>
    <w:rsid w:val="00354F2D"/>
    <w:rsid w:val="003554EF"/>
    <w:rsid w:val="003560CB"/>
    <w:rsid w:val="00361E3B"/>
    <w:rsid w:val="003647E7"/>
    <w:rsid w:val="0037334C"/>
    <w:rsid w:val="00376A06"/>
    <w:rsid w:val="00376D86"/>
    <w:rsid w:val="0038198C"/>
    <w:rsid w:val="00383247"/>
    <w:rsid w:val="0038379F"/>
    <w:rsid w:val="0039036A"/>
    <w:rsid w:val="003916FE"/>
    <w:rsid w:val="00393F92"/>
    <w:rsid w:val="0039798E"/>
    <w:rsid w:val="003A3A60"/>
    <w:rsid w:val="003A5A93"/>
    <w:rsid w:val="003B280D"/>
    <w:rsid w:val="003B2EA6"/>
    <w:rsid w:val="003B6F9C"/>
    <w:rsid w:val="003C1271"/>
    <w:rsid w:val="003C26CE"/>
    <w:rsid w:val="003C45F7"/>
    <w:rsid w:val="003C5276"/>
    <w:rsid w:val="003C550C"/>
    <w:rsid w:val="003C7318"/>
    <w:rsid w:val="003D071E"/>
    <w:rsid w:val="003D088D"/>
    <w:rsid w:val="003D0BE2"/>
    <w:rsid w:val="003D212E"/>
    <w:rsid w:val="003D61F8"/>
    <w:rsid w:val="003D7187"/>
    <w:rsid w:val="003D7356"/>
    <w:rsid w:val="003E280D"/>
    <w:rsid w:val="003E3983"/>
    <w:rsid w:val="003E554F"/>
    <w:rsid w:val="003E7AA0"/>
    <w:rsid w:val="003F047C"/>
    <w:rsid w:val="003F0BC2"/>
    <w:rsid w:val="003F2012"/>
    <w:rsid w:val="003F29DB"/>
    <w:rsid w:val="00400289"/>
    <w:rsid w:val="004005C8"/>
    <w:rsid w:val="00403881"/>
    <w:rsid w:val="0040562E"/>
    <w:rsid w:val="004071F9"/>
    <w:rsid w:val="00410EE2"/>
    <w:rsid w:val="00412244"/>
    <w:rsid w:val="00415A7C"/>
    <w:rsid w:val="00416524"/>
    <w:rsid w:val="004229B7"/>
    <w:rsid w:val="00422ACC"/>
    <w:rsid w:val="00426935"/>
    <w:rsid w:val="00433D54"/>
    <w:rsid w:val="00435FC7"/>
    <w:rsid w:val="00436403"/>
    <w:rsid w:val="00437EEF"/>
    <w:rsid w:val="004439A2"/>
    <w:rsid w:val="0045002C"/>
    <w:rsid w:val="00450098"/>
    <w:rsid w:val="0045322A"/>
    <w:rsid w:val="004537D1"/>
    <w:rsid w:val="00453801"/>
    <w:rsid w:val="004605D6"/>
    <w:rsid w:val="004618F7"/>
    <w:rsid w:val="00464637"/>
    <w:rsid w:val="004664C0"/>
    <w:rsid w:val="0047344A"/>
    <w:rsid w:val="00475CF8"/>
    <w:rsid w:val="00477077"/>
    <w:rsid w:val="004774F6"/>
    <w:rsid w:val="00480147"/>
    <w:rsid w:val="004809C8"/>
    <w:rsid w:val="00482C55"/>
    <w:rsid w:val="00486CBA"/>
    <w:rsid w:val="0048704A"/>
    <w:rsid w:val="00487FF5"/>
    <w:rsid w:val="00493CD3"/>
    <w:rsid w:val="00494567"/>
    <w:rsid w:val="00495D09"/>
    <w:rsid w:val="00497383"/>
    <w:rsid w:val="004A3190"/>
    <w:rsid w:val="004A3578"/>
    <w:rsid w:val="004A3ACD"/>
    <w:rsid w:val="004A4D7C"/>
    <w:rsid w:val="004B2D5C"/>
    <w:rsid w:val="004B4887"/>
    <w:rsid w:val="004B4FB7"/>
    <w:rsid w:val="004B56A6"/>
    <w:rsid w:val="004B66F2"/>
    <w:rsid w:val="004C0434"/>
    <w:rsid w:val="004C0444"/>
    <w:rsid w:val="004C0D0F"/>
    <w:rsid w:val="004C1558"/>
    <w:rsid w:val="004C3838"/>
    <w:rsid w:val="004C5F1B"/>
    <w:rsid w:val="004C6A98"/>
    <w:rsid w:val="004C6BDB"/>
    <w:rsid w:val="004C6FA5"/>
    <w:rsid w:val="004D0A7B"/>
    <w:rsid w:val="004D1478"/>
    <w:rsid w:val="004D734C"/>
    <w:rsid w:val="004E1559"/>
    <w:rsid w:val="004E1586"/>
    <w:rsid w:val="004E25D5"/>
    <w:rsid w:val="004E5561"/>
    <w:rsid w:val="004F1B8C"/>
    <w:rsid w:val="005007A7"/>
    <w:rsid w:val="0050370C"/>
    <w:rsid w:val="0050713D"/>
    <w:rsid w:val="0051277B"/>
    <w:rsid w:val="00512825"/>
    <w:rsid w:val="0051296B"/>
    <w:rsid w:val="00517427"/>
    <w:rsid w:val="005174E7"/>
    <w:rsid w:val="00520D8F"/>
    <w:rsid w:val="00523927"/>
    <w:rsid w:val="00526E02"/>
    <w:rsid w:val="00527C4D"/>
    <w:rsid w:val="0053125B"/>
    <w:rsid w:val="005317CE"/>
    <w:rsid w:val="00532B48"/>
    <w:rsid w:val="00532D9A"/>
    <w:rsid w:val="00533BA6"/>
    <w:rsid w:val="00534005"/>
    <w:rsid w:val="005356A2"/>
    <w:rsid w:val="00537C9D"/>
    <w:rsid w:val="00540AE7"/>
    <w:rsid w:val="005410CD"/>
    <w:rsid w:val="00541CF1"/>
    <w:rsid w:val="0054245B"/>
    <w:rsid w:val="005438A3"/>
    <w:rsid w:val="00547219"/>
    <w:rsid w:val="005508A7"/>
    <w:rsid w:val="005521E9"/>
    <w:rsid w:val="00552EAB"/>
    <w:rsid w:val="005572AB"/>
    <w:rsid w:val="00560D18"/>
    <w:rsid w:val="00561388"/>
    <w:rsid w:val="00562A0A"/>
    <w:rsid w:val="005663BE"/>
    <w:rsid w:val="00566FE1"/>
    <w:rsid w:val="00572CAA"/>
    <w:rsid w:val="00573E08"/>
    <w:rsid w:val="00573EAA"/>
    <w:rsid w:val="0057480F"/>
    <w:rsid w:val="00574F1A"/>
    <w:rsid w:val="0057579E"/>
    <w:rsid w:val="0057594C"/>
    <w:rsid w:val="00576058"/>
    <w:rsid w:val="00583BA8"/>
    <w:rsid w:val="005846CF"/>
    <w:rsid w:val="005859A6"/>
    <w:rsid w:val="005862EB"/>
    <w:rsid w:val="0059125D"/>
    <w:rsid w:val="005923B1"/>
    <w:rsid w:val="005935D1"/>
    <w:rsid w:val="00596E37"/>
    <w:rsid w:val="005A3143"/>
    <w:rsid w:val="005A3854"/>
    <w:rsid w:val="005A40ED"/>
    <w:rsid w:val="005A4E1A"/>
    <w:rsid w:val="005A5378"/>
    <w:rsid w:val="005A5A78"/>
    <w:rsid w:val="005A6570"/>
    <w:rsid w:val="005B01FD"/>
    <w:rsid w:val="005B1786"/>
    <w:rsid w:val="005B203B"/>
    <w:rsid w:val="005B2C4B"/>
    <w:rsid w:val="005B3ADB"/>
    <w:rsid w:val="005B4BC5"/>
    <w:rsid w:val="005B5A20"/>
    <w:rsid w:val="005C08FE"/>
    <w:rsid w:val="005C5A1B"/>
    <w:rsid w:val="005D16B3"/>
    <w:rsid w:val="005D5DFF"/>
    <w:rsid w:val="005D7E96"/>
    <w:rsid w:val="005E302E"/>
    <w:rsid w:val="005E651E"/>
    <w:rsid w:val="005F32BF"/>
    <w:rsid w:val="005F43F5"/>
    <w:rsid w:val="00604954"/>
    <w:rsid w:val="00610C07"/>
    <w:rsid w:val="00610DDF"/>
    <w:rsid w:val="006119A3"/>
    <w:rsid w:val="006130A6"/>
    <w:rsid w:val="00614ED4"/>
    <w:rsid w:val="00617BB4"/>
    <w:rsid w:val="00622191"/>
    <w:rsid w:val="00624EC2"/>
    <w:rsid w:val="006255E9"/>
    <w:rsid w:val="00627208"/>
    <w:rsid w:val="0063171D"/>
    <w:rsid w:val="0063242F"/>
    <w:rsid w:val="00636318"/>
    <w:rsid w:val="00637CBC"/>
    <w:rsid w:val="00641A51"/>
    <w:rsid w:val="00642665"/>
    <w:rsid w:val="006447AA"/>
    <w:rsid w:val="006524E6"/>
    <w:rsid w:val="00652D38"/>
    <w:rsid w:val="0065437D"/>
    <w:rsid w:val="006562F7"/>
    <w:rsid w:val="00656CC7"/>
    <w:rsid w:val="00657903"/>
    <w:rsid w:val="00661BE0"/>
    <w:rsid w:val="00665665"/>
    <w:rsid w:val="006657D1"/>
    <w:rsid w:val="00665C21"/>
    <w:rsid w:val="00666BD6"/>
    <w:rsid w:val="0066772B"/>
    <w:rsid w:val="0067434B"/>
    <w:rsid w:val="006748BB"/>
    <w:rsid w:val="006759BF"/>
    <w:rsid w:val="00680BC4"/>
    <w:rsid w:val="00681A46"/>
    <w:rsid w:val="00682321"/>
    <w:rsid w:val="006826F6"/>
    <w:rsid w:val="006828AF"/>
    <w:rsid w:val="00683B26"/>
    <w:rsid w:val="006844F3"/>
    <w:rsid w:val="00685B04"/>
    <w:rsid w:val="00685E78"/>
    <w:rsid w:val="0069005D"/>
    <w:rsid w:val="0069026C"/>
    <w:rsid w:val="00691DE2"/>
    <w:rsid w:val="0069736A"/>
    <w:rsid w:val="006A46D9"/>
    <w:rsid w:val="006A5392"/>
    <w:rsid w:val="006A67AF"/>
    <w:rsid w:val="006B0B70"/>
    <w:rsid w:val="006B0F74"/>
    <w:rsid w:val="006B10AA"/>
    <w:rsid w:val="006B176F"/>
    <w:rsid w:val="006B2BF5"/>
    <w:rsid w:val="006B2C43"/>
    <w:rsid w:val="006B2F97"/>
    <w:rsid w:val="006B37AD"/>
    <w:rsid w:val="006B39BF"/>
    <w:rsid w:val="006B4CFC"/>
    <w:rsid w:val="006B68BD"/>
    <w:rsid w:val="006C1E78"/>
    <w:rsid w:val="006C2520"/>
    <w:rsid w:val="006C7061"/>
    <w:rsid w:val="006D021F"/>
    <w:rsid w:val="006D0F86"/>
    <w:rsid w:val="006D1ABF"/>
    <w:rsid w:val="006D3621"/>
    <w:rsid w:val="006D4429"/>
    <w:rsid w:val="006D527A"/>
    <w:rsid w:val="006D7D71"/>
    <w:rsid w:val="006E03B6"/>
    <w:rsid w:val="006E19FF"/>
    <w:rsid w:val="006E29E7"/>
    <w:rsid w:val="006E45FD"/>
    <w:rsid w:val="006E4CEC"/>
    <w:rsid w:val="006E6B3E"/>
    <w:rsid w:val="006F1D89"/>
    <w:rsid w:val="006F1DCD"/>
    <w:rsid w:val="006F43F9"/>
    <w:rsid w:val="006F5AA8"/>
    <w:rsid w:val="006F62D4"/>
    <w:rsid w:val="006F6940"/>
    <w:rsid w:val="00702FAC"/>
    <w:rsid w:val="00706755"/>
    <w:rsid w:val="007074E6"/>
    <w:rsid w:val="00710133"/>
    <w:rsid w:val="0071138A"/>
    <w:rsid w:val="007122FC"/>
    <w:rsid w:val="0071448B"/>
    <w:rsid w:val="00714606"/>
    <w:rsid w:val="00717230"/>
    <w:rsid w:val="007212B5"/>
    <w:rsid w:val="00721AC8"/>
    <w:rsid w:val="007238C4"/>
    <w:rsid w:val="0072483D"/>
    <w:rsid w:val="007277BC"/>
    <w:rsid w:val="0073066F"/>
    <w:rsid w:val="007313BE"/>
    <w:rsid w:val="0073240C"/>
    <w:rsid w:val="00732841"/>
    <w:rsid w:val="00737EF2"/>
    <w:rsid w:val="00740BB6"/>
    <w:rsid w:val="00741047"/>
    <w:rsid w:val="00741A4B"/>
    <w:rsid w:val="00741EE0"/>
    <w:rsid w:val="00747973"/>
    <w:rsid w:val="007510F2"/>
    <w:rsid w:val="007534E4"/>
    <w:rsid w:val="007544AD"/>
    <w:rsid w:val="00754550"/>
    <w:rsid w:val="00756C75"/>
    <w:rsid w:val="007575A5"/>
    <w:rsid w:val="007603EF"/>
    <w:rsid w:val="00761279"/>
    <w:rsid w:val="007614A2"/>
    <w:rsid w:val="00761D30"/>
    <w:rsid w:val="007632BF"/>
    <w:rsid w:val="007645A0"/>
    <w:rsid w:val="00764905"/>
    <w:rsid w:val="007650F8"/>
    <w:rsid w:val="0076720A"/>
    <w:rsid w:val="00767602"/>
    <w:rsid w:val="007732CB"/>
    <w:rsid w:val="00773DB6"/>
    <w:rsid w:val="0077435E"/>
    <w:rsid w:val="00776EF3"/>
    <w:rsid w:val="00777EF1"/>
    <w:rsid w:val="00783B82"/>
    <w:rsid w:val="00783E97"/>
    <w:rsid w:val="00786C09"/>
    <w:rsid w:val="00787832"/>
    <w:rsid w:val="0078792F"/>
    <w:rsid w:val="00787ACA"/>
    <w:rsid w:val="00791F80"/>
    <w:rsid w:val="007958E5"/>
    <w:rsid w:val="00796EBD"/>
    <w:rsid w:val="007A04BD"/>
    <w:rsid w:val="007A2F5B"/>
    <w:rsid w:val="007A7768"/>
    <w:rsid w:val="007B0227"/>
    <w:rsid w:val="007B0C7A"/>
    <w:rsid w:val="007B159C"/>
    <w:rsid w:val="007B17AF"/>
    <w:rsid w:val="007B2D07"/>
    <w:rsid w:val="007B5032"/>
    <w:rsid w:val="007B585F"/>
    <w:rsid w:val="007B5990"/>
    <w:rsid w:val="007B7149"/>
    <w:rsid w:val="007C175A"/>
    <w:rsid w:val="007C50AF"/>
    <w:rsid w:val="007C5C09"/>
    <w:rsid w:val="007C7435"/>
    <w:rsid w:val="007D20A3"/>
    <w:rsid w:val="007D55EC"/>
    <w:rsid w:val="007D6B38"/>
    <w:rsid w:val="007D762A"/>
    <w:rsid w:val="007E1958"/>
    <w:rsid w:val="007E238F"/>
    <w:rsid w:val="007E3FEA"/>
    <w:rsid w:val="007E55AA"/>
    <w:rsid w:val="007F44DE"/>
    <w:rsid w:val="007F46AC"/>
    <w:rsid w:val="00801A51"/>
    <w:rsid w:val="00803AAA"/>
    <w:rsid w:val="00803BF2"/>
    <w:rsid w:val="00804066"/>
    <w:rsid w:val="008058A4"/>
    <w:rsid w:val="0081009F"/>
    <w:rsid w:val="00830680"/>
    <w:rsid w:val="00830A28"/>
    <w:rsid w:val="00835E9A"/>
    <w:rsid w:val="00836DB6"/>
    <w:rsid w:val="0083785C"/>
    <w:rsid w:val="00840199"/>
    <w:rsid w:val="00842053"/>
    <w:rsid w:val="0084379F"/>
    <w:rsid w:val="00844237"/>
    <w:rsid w:val="00846ED2"/>
    <w:rsid w:val="008505D3"/>
    <w:rsid w:val="00856BBB"/>
    <w:rsid w:val="00857494"/>
    <w:rsid w:val="00864625"/>
    <w:rsid w:val="0086473A"/>
    <w:rsid w:val="00873C00"/>
    <w:rsid w:val="008740F8"/>
    <w:rsid w:val="0087441C"/>
    <w:rsid w:val="00874FBB"/>
    <w:rsid w:val="00877D14"/>
    <w:rsid w:val="0088501A"/>
    <w:rsid w:val="00886549"/>
    <w:rsid w:val="00886A83"/>
    <w:rsid w:val="00887DE5"/>
    <w:rsid w:val="00892027"/>
    <w:rsid w:val="00893394"/>
    <w:rsid w:val="00894CF0"/>
    <w:rsid w:val="008A0DD0"/>
    <w:rsid w:val="008A240B"/>
    <w:rsid w:val="008A3253"/>
    <w:rsid w:val="008A35A3"/>
    <w:rsid w:val="008A5186"/>
    <w:rsid w:val="008A5580"/>
    <w:rsid w:val="008B0B6B"/>
    <w:rsid w:val="008B2414"/>
    <w:rsid w:val="008B30B6"/>
    <w:rsid w:val="008B3134"/>
    <w:rsid w:val="008B4BD8"/>
    <w:rsid w:val="008B519F"/>
    <w:rsid w:val="008B52D5"/>
    <w:rsid w:val="008B596B"/>
    <w:rsid w:val="008C346C"/>
    <w:rsid w:val="008C55D9"/>
    <w:rsid w:val="008D295A"/>
    <w:rsid w:val="008D3C5B"/>
    <w:rsid w:val="008D61E6"/>
    <w:rsid w:val="008D65F1"/>
    <w:rsid w:val="008E02DF"/>
    <w:rsid w:val="008E24D2"/>
    <w:rsid w:val="008E50C2"/>
    <w:rsid w:val="008F4FBF"/>
    <w:rsid w:val="008F5256"/>
    <w:rsid w:val="008F64A8"/>
    <w:rsid w:val="00901795"/>
    <w:rsid w:val="00901A0B"/>
    <w:rsid w:val="009037D0"/>
    <w:rsid w:val="00903846"/>
    <w:rsid w:val="00904AF2"/>
    <w:rsid w:val="009058BE"/>
    <w:rsid w:val="00906685"/>
    <w:rsid w:val="009077E6"/>
    <w:rsid w:val="0091026B"/>
    <w:rsid w:val="009130C1"/>
    <w:rsid w:val="009132F1"/>
    <w:rsid w:val="00913951"/>
    <w:rsid w:val="00915D41"/>
    <w:rsid w:val="009169D7"/>
    <w:rsid w:val="0092313B"/>
    <w:rsid w:val="00925321"/>
    <w:rsid w:val="0092558D"/>
    <w:rsid w:val="00940400"/>
    <w:rsid w:val="00941029"/>
    <w:rsid w:val="00941DF1"/>
    <w:rsid w:val="00942173"/>
    <w:rsid w:val="009437F7"/>
    <w:rsid w:val="00943A03"/>
    <w:rsid w:val="0094493F"/>
    <w:rsid w:val="009449D4"/>
    <w:rsid w:val="009478CB"/>
    <w:rsid w:val="009508B0"/>
    <w:rsid w:val="00950D3E"/>
    <w:rsid w:val="00952067"/>
    <w:rsid w:val="00954966"/>
    <w:rsid w:val="009578FD"/>
    <w:rsid w:val="009613ED"/>
    <w:rsid w:val="00961EBF"/>
    <w:rsid w:val="009640BC"/>
    <w:rsid w:val="009658A9"/>
    <w:rsid w:val="00972EE7"/>
    <w:rsid w:val="00974088"/>
    <w:rsid w:val="009764C4"/>
    <w:rsid w:val="00976909"/>
    <w:rsid w:val="00981890"/>
    <w:rsid w:val="0098403E"/>
    <w:rsid w:val="009860C8"/>
    <w:rsid w:val="009870A4"/>
    <w:rsid w:val="00991CF9"/>
    <w:rsid w:val="00992C35"/>
    <w:rsid w:val="00993C8B"/>
    <w:rsid w:val="00996042"/>
    <w:rsid w:val="00996061"/>
    <w:rsid w:val="0099792B"/>
    <w:rsid w:val="009A06B6"/>
    <w:rsid w:val="009A4E85"/>
    <w:rsid w:val="009A6ADF"/>
    <w:rsid w:val="009A710A"/>
    <w:rsid w:val="009B2B4A"/>
    <w:rsid w:val="009B5010"/>
    <w:rsid w:val="009B5F1A"/>
    <w:rsid w:val="009C31FA"/>
    <w:rsid w:val="009C4671"/>
    <w:rsid w:val="009C66FC"/>
    <w:rsid w:val="009C7909"/>
    <w:rsid w:val="009C79DE"/>
    <w:rsid w:val="009D0EBC"/>
    <w:rsid w:val="009D12BC"/>
    <w:rsid w:val="009D48DB"/>
    <w:rsid w:val="009D7571"/>
    <w:rsid w:val="009E22C0"/>
    <w:rsid w:val="009E2322"/>
    <w:rsid w:val="009E4370"/>
    <w:rsid w:val="009E77E0"/>
    <w:rsid w:val="009F083A"/>
    <w:rsid w:val="009F2906"/>
    <w:rsid w:val="009F613F"/>
    <w:rsid w:val="009F734A"/>
    <w:rsid w:val="00A01094"/>
    <w:rsid w:val="00A01A77"/>
    <w:rsid w:val="00A02DC5"/>
    <w:rsid w:val="00A0466A"/>
    <w:rsid w:val="00A11C56"/>
    <w:rsid w:val="00A13C75"/>
    <w:rsid w:val="00A14AD2"/>
    <w:rsid w:val="00A1593B"/>
    <w:rsid w:val="00A15DC3"/>
    <w:rsid w:val="00A161D9"/>
    <w:rsid w:val="00A31DCA"/>
    <w:rsid w:val="00A32809"/>
    <w:rsid w:val="00A32A5A"/>
    <w:rsid w:val="00A359D9"/>
    <w:rsid w:val="00A403D9"/>
    <w:rsid w:val="00A40432"/>
    <w:rsid w:val="00A40A61"/>
    <w:rsid w:val="00A40B5A"/>
    <w:rsid w:val="00A41950"/>
    <w:rsid w:val="00A46CDF"/>
    <w:rsid w:val="00A553F3"/>
    <w:rsid w:val="00A6148D"/>
    <w:rsid w:val="00A61981"/>
    <w:rsid w:val="00A61A46"/>
    <w:rsid w:val="00A629F8"/>
    <w:rsid w:val="00A64FC6"/>
    <w:rsid w:val="00A6667F"/>
    <w:rsid w:val="00A7047A"/>
    <w:rsid w:val="00A73062"/>
    <w:rsid w:val="00A77B97"/>
    <w:rsid w:val="00A819B9"/>
    <w:rsid w:val="00A8463F"/>
    <w:rsid w:val="00A8520D"/>
    <w:rsid w:val="00A8578D"/>
    <w:rsid w:val="00A85AAC"/>
    <w:rsid w:val="00A86D90"/>
    <w:rsid w:val="00A91B34"/>
    <w:rsid w:val="00A94694"/>
    <w:rsid w:val="00A94EA7"/>
    <w:rsid w:val="00A96708"/>
    <w:rsid w:val="00A9718C"/>
    <w:rsid w:val="00AA0F05"/>
    <w:rsid w:val="00AA315B"/>
    <w:rsid w:val="00AA38D5"/>
    <w:rsid w:val="00AA4C37"/>
    <w:rsid w:val="00AA4DC9"/>
    <w:rsid w:val="00AA5615"/>
    <w:rsid w:val="00AA7181"/>
    <w:rsid w:val="00AB0EEB"/>
    <w:rsid w:val="00AB1400"/>
    <w:rsid w:val="00AB2619"/>
    <w:rsid w:val="00AB2863"/>
    <w:rsid w:val="00AB3864"/>
    <w:rsid w:val="00AB3C93"/>
    <w:rsid w:val="00AB400A"/>
    <w:rsid w:val="00AB5361"/>
    <w:rsid w:val="00AB5E8C"/>
    <w:rsid w:val="00AC02D7"/>
    <w:rsid w:val="00AC1E2D"/>
    <w:rsid w:val="00AC24F6"/>
    <w:rsid w:val="00AC6AF5"/>
    <w:rsid w:val="00AC7CF3"/>
    <w:rsid w:val="00AD0545"/>
    <w:rsid w:val="00AD06AC"/>
    <w:rsid w:val="00AD2217"/>
    <w:rsid w:val="00AD2BD0"/>
    <w:rsid w:val="00AD36AD"/>
    <w:rsid w:val="00AD47A8"/>
    <w:rsid w:val="00AD507F"/>
    <w:rsid w:val="00AD5653"/>
    <w:rsid w:val="00AD5FB7"/>
    <w:rsid w:val="00AD7940"/>
    <w:rsid w:val="00AE0597"/>
    <w:rsid w:val="00AE453F"/>
    <w:rsid w:val="00AE6E2A"/>
    <w:rsid w:val="00AF0A56"/>
    <w:rsid w:val="00AF137C"/>
    <w:rsid w:val="00AF152B"/>
    <w:rsid w:val="00AF1DB0"/>
    <w:rsid w:val="00AF39EE"/>
    <w:rsid w:val="00B00717"/>
    <w:rsid w:val="00B01263"/>
    <w:rsid w:val="00B01EDF"/>
    <w:rsid w:val="00B0462B"/>
    <w:rsid w:val="00B07B63"/>
    <w:rsid w:val="00B121DB"/>
    <w:rsid w:val="00B12DD9"/>
    <w:rsid w:val="00B13A0C"/>
    <w:rsid w:val="00B1495C"/>
    <w:rsid w:val="00B16A7A"/>
    <w:rsid w:val="00B16CDD"/>
    <w:rsid w:val="00B20042"/>
    <w:rsid w:val="00B205B6"/>
    <w:rsid w:val="00B20E22"/>
    <w:rsid w:val="00B213BD"/>
    <w:rsid w:val="00B226A4"/>
    <w:rsid w:val="00B2409B"/>
    <w:rsid w:val="00B24162"/>
    <w:rsid w:val="00B241EE"/>
    <w:rsid w:val="00B261B1"/>
    <w:rsid w:val="00B30498"/>
    <w:rsid w:val="00B31988"/>
    <w:rsid w:val="00B31F13"/>
    <w:rsid w:val="00B3781B"/>
    <w:rsid w:val="00B37F80"/>
    <w:rsid w:val="00B41158"/>
    <w:rsid w:val="00B413F3"/>
    <w:rsid w:val="00B43E62"/>
    <w:rsid w:val="00B44053"/>
    <w:rsid w:val="00B4444B"/>
    <w:rsid w:val="00B46763"/>
    <w:rsid w:val="00B4723C"/>
    <w:rsid w:val="00B50C6B"/>
    <w:rsid w:val="00B534C1"/>
    <w:rsid w:val="00B5456C"/>
    <w:rsid w:val="00B546C9"/>
    <w:rsid w:val="00B603F1"/>
    <w:rsid w:val="00B60E67"/>
    <w:rsid w:val="00B6513D"/>
    <w:rsid w:val="00B652C6"/>
    <w:rsid w:val="00B66630"/>
    <w:rsid w:val="00B72AA4"/>
    <w:rsid w:val="00B7405D"/>
    <w:rsid w:val="00B753F2"/>
    <w:rsid w:val="00B76827"/>
    <w:rsid w:val="00B76C33"/>
    <w:rsid w:val="00B82C18"/>
    <w:rsid w:val="00B84A59"/>
    <w:rsid w:val="00B85E87"/>
    <w:rsid w:val="00B92C9F"/>
    <w:rsid w:val="00B93C09"/>
    <w:rsid w:val="00B96911"/>
    <w:rsid w:val="00B978B6"/>
    <w:rsid w:val="00BA160D"/>
    <w:rsid w:val="00BA765C"/>
    <w:rsid w:val="00BA7F88"/>
    <w:rsid w:val="00BB0352"/>
    <w:rsid w:val="00BB0967"/>
    <w:rsid w:val="00BB2AF0"/>
    <w:rsid w:val="00BC30E7"/>
    <w:rsid w:val="00BC3E68"/>
    <w:rsid w:val="00BC7B8A"/>
    <w:rsid w:val="00BD2270"/>
    <w:rsid w:val="00BD377A"/>
    <w:rsid w:val="00BD74DA"/>
    <w:rsid w:val="00BE121A"/>
    <w:rsid w:val="00BE1268"/>
    <w:rsid w:val="00BE3014"/>
    <w:rsid w:val="00BE37DF"/>
    <w:rsid w:val="00BE38B7"/>
    <w:rsid w:val="00BE3E18"/>
    <w:rsid w:val="00BE4713"/>
    <w:rsid w:val="00BE751F"/>
    <w:rsid w:val="00BF0DEC"/>
    <w:rsid w:val="00BF2C43"/>
    <w:rsid w:val="00BF7FC6"/>
    <w:rsid w:val="00C01F59"/>
    <w:rsid w:val="00C0389B"/>
    <w:rsid w:val="00C04AA0"/>
    <w:rsid w:val="00C0563D"/>
    <w:rsid w:val="00C056A3"/>
    <w:rsid w:val="00C12460"/>
    <w:rsid w:val="00C13F03"/>
    <w:rsid w:val="00C14FFA"/>
    <w:rsid w:val="00C25348"/>
    <w:rsid w:val="00C26FE0"/>
    <w:rsid w:val="00C332E0"/>
    <w:rsid w:val="00C33D12"/>
    <w:rsid w:val="00C34222"/>
    <w:rsid w:val="00C34763"/>
    <w:rsid w:val="00C35696"/>
    <w:rsid w:val="00C36142"/>
    <w:rsid w:val="00C36711"/>
    <w:rsid w:val="00C370CE"/>
    <w:rsid w:val="00C37F76"/>
    <w:rsid w:val="00C41F83"/>
    <w:rsid w:val="00C42C0F"/>
    <w:rsid w:val="00C5065E"/>
    <w:rsid w:val="00C506B4"/>
    <w:rsid w:val="00C5161A"/>
    <w:rsid w:val="00C53B43"/>
    <w:rsid w:val="00C563FA"/>
    <w:rsid w:val="00C61789"/>
    <w:rsid w:val="00C635DE"/>
    <w:rsid w:val="00C65345"/>
    <w:rsid w:val="00C666C9"/>
    <w:rsid w:val="00C7150E"/>
    <w:rsid w:val="00C7359C"/>
    <w:rsid w:val="00C75AE8"/>
    <w:rsid w:val="00C810A4"/>
    <w:rsid w:val="00C811B6"/>
    <w:rsid w:val="00C8299C"/>
    <w:rsid w:val="00C83FB3"/>
    <w:rsid w:val="00C9147D"/>
    <w:rsid w:val="00C93FA1"/>
    <w:rsid w:val="00C9473E"/>
    <w:rsid w:val="00C95F86"/>
    <w:rsid w:val="00C963C3"/>
    <w:rsid w:val="00CA1CE2"/>
    <w:rsid w:val="00CA2F9F"/>
    <w:rsid w:val="00CA31B4"/>
    <w:rsid w:val="00CA4146"/>
    <w:rsid w:val="00CA5379"/>
    <w:rsid w:val="00CA6CF2"/>
    <w:rsid w:val="00CB058D"/>
    <w:rsid w:val="00CB1DDB"/>
    <w:rsid w:val="00CB2519"/>
    <w:rsid w:val="00CB6282"/>
    <w:rsid w:val="00CC1A9A"/>
    <w:rsid w:val="00CC4CCC"/>
    <w:rsid w:val="00CC6916"/>
    <w:rsid w:val="00CC7EF2"/>
    <w:rsid w:val="00CD0909"/>
    <w:rsid w:val="00CD1582"/>
    <w:rsid w:val="00CD28A4"/>
    <w:rsid w:val="00CD442F"/>
    <w:rsid w:val="00CD50C7"/>
    <w:rsid w:val="00CD5640"/>
    <w:rsid w:val="00CE5501"/>
    <w:rsid w:val="00CE730D"/>
    <w:rsid w:val="00CF1B54"/>
    <w:rsid w:val="00CF4B19"/>
    <w:rsid w:val="00CF5763"/>
    <w:rsid w:val="00D00092"/>
    <w:rsid w:val="00D00841"/>
    <w:rsid w:val="00D02F0E"/>
    <w:rsid w:val="00D049AE"/>
    <w:rsid w:val="00D0754A"/>
    <w:rsid w:val="00D11636"/>
    <w:rsid w:val="00D124C6"/>
    <w:rsid w:val="00D15B0A"/>
    <w:rsid w:val="00D26325"/>
    <w:rsid w:val="00D26AC0"/>
    <w:rsid w:val="00D31B03"/>
    <w:rsid w:val="00D34C90"/>
    <w:rsid w:val="00D441EA"/>
    <w:rsid w:val="00D44498"/>
    <w:rsid w:val="00D44CCC"/>
    <w:rsid w:val="00D45A22"/>
    <w:rsid w:val="00D47C5A"/>
    <w:rsid w:val="00D51484"/>
    <w:rsid w:val="00D518BC"/>
    <w:rsid w:val="00D6283B"/>
    <w:rsid w:val="00D67855"/>
    <w:rsid w:val="00D71118"/>
    <w:rsid w:val="00D77754"/>
    <w:rsid w:val="00D814EC"/>
    <w:rsid w:val="00D859A2"/>
    <w:rsid w:val="00D90E1F"/>
    <w:rsid w:val="00D935CC"/>
    <w:rsid w:val="00D938DF"/>
    <w:rsid w:val="00D94CC0"/>
    <w:rsid w:val="00D9693D"/>
    <w:rsid w:val="00DA3BA9"/>
    <w:rsid w:val="00DA3D95"/>
    <w:rsid w:val="00DA59A3"/>
    <w:rsid w:val="00DB4F88"/>
    <w:rsid w:val="00DB6657"/>
    <w:rsid w:val="00DC0322"/>
    <w:rsid w:val="00DC15FD"/>
    <w:rsid w:val="00DC2C68"/>
    <w:rsid w:val="00DC2FBB"/>
    <w:rsid w:val="00DC4E73"/>
    <w:rsid w:val="00DD3D48"/>
    <w:rsid w:val="00DE255D"/>
    <w:rsid w:val="00DE2DBB"/>
    <w:rsid w:val="00DE4ADA"/>
    <w:rsid w:val="00DE5877"/>
    <w:rsid w:val="00DE6ADF"/>
    <w:rsid w:val="00DE7AA6"/>
    <w:rsid w:val="00DF0DAA"/>
    <w:rsid w:val="00DF1267"/>
    <w:rsid w:val="00DF1613"/>
    <w:rsid w:val="00DF2271"/>
    <w:rsid w:val="00DF4A3C"/>
    <w:rsid w:val="00DF51D0"/>
    <w:rsid w:val="00DF6E27"/>
    <w:rsid w:val="00DF6F73"/>
    <w:rsid w:val="00DF7256"/>
    <w:rsid w:val="00E005EF"/>
    <w:rsid w:val="00E00DD9"/>
    <w:rsid w:val="00E010BA"/>
    <w:rsid w:val="00E036D0"/>
    <w:rsid w:val="00E04D4C"/>
    <w:rsid w:val="00E05FD2"/>
    <w:rsid w:val="00E0797A"/>
    <w:rsid w:val="00E10813"/>
    <w:rsid w:val="00E10BC4"/>
    <w:rsid w:val="00E122C3"/>
    <w:rsid w:val="00E1314E"/>
    <w:rsid w:val="00E16034"/>
    <w:rsid w:val="00E23192"/>
    <w:rsid w:val="00E2542F"/>
    <w:rsid w:val="00E2725F"/>
    <w:rsid w:val="00E27471"/>
    <w:rsid w:val="00E277A8"/>
    <w:rsid w:val="00E31336"/>
    <w:rsid w:val="00E358F4"/>
    <w:rsid w:val="00E37815"/>
    <w:rsid w:val="00E43989"/>
    <w:rsid w:val="00E46B80"/>
    <w:rsid w:val="00E50839"/>
    <w:rsid w:val="00E5320C"/>
    <w:rsid w:val="00E53AA4"/>
    <w:rsid w:val="00E554F1"/>
    <w:rsid w:val="00E60E89"/>
    <w:rsid w:val="00E61039"/>
    <w:rsid w:val="00E614A3"/>
    <w:rsid w:val="00E625EF"/>
    <w:rsid w:val="00E6469B"/>
    <w:rsid w:val="00E66D18"/>
    <w:rsid w:val="00E67EE9"/>
    <w:rsid w:val="00E721DF"/>
    <w:rsid w:val="00E72ADD"/>
    <w:rsid w:val="00E75DE2"/>
    <w:rsid w:val="00E76418"/>
    <w:rsid w:val="00E82CB1"/>
    <w:rsid w:val="00E857CE"/>
    <w:rsid w:val="00E86635"/>
    <w:rsid w:val="00E91C72"/>
    <w:rsid w:val="00E929E3"/>
    <w:rsid w:val="00E9427E"/>
    <w:rsid w:val="00E95158"/>
    <w:rsid w:val="00E9640E"/>
    <w:rsid w:val="00E976E0"/>
    <w:rsid w:val="00E97712"/>
    <w:rsid w:val="00EA0C6A"/>
    <w:rsid w:val="00EB0C66"/>
    <w:rsid w:val="00EB0DF1"/>
    <w:rsid w:val="00EB14CF"/>
    <w:rsid w:val="00EB2DD2"/>
    <w:rsid w:val="00EB2FB5"/>
    <w:rsid w:val="00EB36E3"/>
    <w:rsid w:val="00EB56F0"/>
    <w:rsid w:val="00EB59AF"/>
    <w:rsid w:val="00EB6C90"/>
    <w:rsid w:val="00EC0791"/>
    <w:rsid w:val="00EC3740"/>
    <w:rsid w:val="00EC390E"/>
    <w:rsid w:val="00EC3E5F"/>
    <w:rsid w:val="00EC5206"/>
    <w:rsid w:val="00ED0921"/>
    <w:rsid w:val="00ED2724"/>
    <w:rsid w:val="00ED2EA7"/>
    <w:rsid w:val="00ED60A8"/>
    <w:rsid w:val="00ED6E75"/>
    <w:rsid w:val="00EE27B8"/>
    <w:rsid w:val="00EE305D"/>
    <w:rsid w:val="00EF1C26"/>
    <w:rsid w:val="00EF430A"/>
    <w:rsid w:val="00EF654D"/>
    <w:rsid w:val="00F016D5"/>
    <w:rsid w:val="00F0627D"/>
    <w:rsid w:val="00F10817"/>
    <w:rsid w:val="00F10F8D"/>
    <w:rsid w:val="00F11686"/>
    <w:rsid w:val="00F12DAD"/>
    <w:rsid w:val="00F132E8"/>
    <w:rsid w:val="00F179A0"/>
    <w:rsid w:val="00F21C9E"/>
    <w:rsid w:val="00F22236"/>
    <w:rsid w:val="00F252C2"/>
    <w:rsid w:val="00F25E76"/>
    <w:rsid w:val="00F303A1"/>
    <w:rsid w:val="00F331CA"/>
    <w:rsid w:val="00F343AD"/>
    <w:rsid w:val="00F356CD"/>
    <w:rsid w:val="00F35AF2"/>
    <w:rsid w:val="00F446C6"/>
    <w:rsid w:val="00F44C9E"/>
    <w:rsid w:val="00F4746D"/>
    <w:rsid w:val="00F5170D"/>
    <w:rsid w:val="00F521F8"/>
    <w:rsid w:val="00F5577F"/>
    <w:rsid w:val="00F56501"/>
    <w:rsid w:val="00F5794C"/>
    <w:rsid w:val="00F57D71"/>
    <w:rsid w:val="00F634F3"/>
    <w:rsid w:val="00F660EC"/>
    <w:rsid w:val="00F6797D"/>
    <w:rsid w:val="00F706E3"/>
    <w:rsid w:val="00F72EAF"/>
    <w:rsid w:val="00F74612"/>
    <w:rsid w:val="00F75133"/>
    <w:rsid w:val="00F76BAB"/>
    <w:rsid w:val="00F77B85"/>
    <w:rsid w:val="00F833B7"/>
    <w:rsid w:val="00F83A12"/>
    <w:rsid w:val="00F84131"/>
    <w:rsid w:val="00F856DC"/>
    <w:rsid w:val="00FA1545"/>
    <w:rsid w:val="00FA1DD5"/>
    <w:rsid w:val="00FA67F3"/>
    <w:rsid w:val="00FB7982"/>
    <w:rsid w:val="00FB7E3E"/>
    <w:rsid w:val="00FC016B"/>
    <w:rsid w:val="00FC12C2"/>
    <w:rsid w:val="00FC1555"/>
    <w:rsid w:val="00FC239A"/>
    <w:rsid w:val="00FC2848"/>
    <w:rsid w:val="00FC44BA"/>
    <w:rsid w:val="00FD07B4"/>
    <w:rsid w:val="00FD2C9A"/>
    <w:rsid w:val="00FD3315"/>
    <w:rsid w:val="00FD72A6"/>
    <w:rsid w:val="00FD748D"/>
    <w:rsid w:val="00FE0FC3"/>
    <w:rsid w:val="00FE100F"/>
    <w:rsid w:val="00FE27F9"/>
    <w:rsid w:val="00FE5731"/>
    <w:rsid w:val="00FE5886"/>
    <w:rsid w:val="00FE6FF5"/>
    <w:rsid w:val="00FE7477"/>
    <w:rsid w:val="00FF313A"/>
    <w:rsid w:val="00FF4EA5"/>
    <w:rsid w:val="00FF4E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8F4"/>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04317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4">
    <w:name w:val="toc 4"/>
    <w:basedOn w:val="Normal"/>
    <w:next w:val="Normal"/>
    <w:autoRedefine/>
    <w:uiPriority w:val="39"/>
    <w:unhideWhenUsed/>
    <w:rsid w:val="00416524"/>
    <w:pPr>
      <w:spacing w:after="100"/>
      <w:ind w:left="660"/>
    </w:pPr>
    <w:rPr>
      <w:rFonts w:eastAsiaTheme="minorEastAsia"/>
      <w:lang w:val="en-GB" w:eastAsia="en-GB"/>
    </w:rPr>
  </w:style>
  <w:style w:type="paragraph" w:styleId="TOC5">
    <w:name w:val="toc 5"/>
    <w:basedOn w:val="Normal"/>
    <w:next w:val="Normal"/>
    <w:autoRedefine/>
    <w:uiPriority w:val="39"/>
    <w:unhideWhenUsed/>
    <w:rsid w:val="00416524"/>
    <w:pPr>
      <w:spacing w:after="100"/>
      <w:ind w:left="880"/>
    </w:pPr>
    <w:rPr>
      <w:rFonts w:eastAsiaTheme="minorEastAsia"/>
      <w:lang w:val="en-GB" w:eastAsia="en-GB"/>
    </w:rPr>
  </w:style>
  <w:style w:type="paragraph" w:styleId="TOC6">
    <w:name w:val="toc 6"/>
    <w:basedOn w:val="Normal"/>
    <w:next w:val="Normal"/>
    <w:autoRedefine/>
    <w:uiPriority w:val="39"/>
    <w:unhideWhenUsed/>
    <w:rsid w:val="00416524"/>
    <w:pPr>
      <w:spacing w:after="100"/>
      <w:ind w:left="1100"/>
    </w:pPr>
    <w:rPr>
      <w:rFonts w:eastAsiaTheme="minorEastAsia"/>
      <w:lang w:val="en-GB" w:eastAsia="en-GB"/>
    </w:rPr>
  </w:style>
  <w:style w:type="paragraph" w:styleId="TOC7">
    <w:name w:val="toc 7"/>
    <w:basedOn w:val="Normal"/>
    <w:next w:val="Normal"/>
    <w:autoRedefine/>
    <w:uiPriority w:val="39"/>
    <w:unhideWhenUsed/>
    <w:rsid w:val="00416524"/>
    <w:pPr>
      <w:spacing w:after="100"/>
      <w:ind w:left="1320"/>
    </w:pPr>
    <w:rPr>
      <w:rFonts w:eastAsiaTheme="minorEastAsia"/>
      <w:lang w:val="en-GB" w:eastAsia="en-GB"/>
    </w:rPr>
  </w:style>
  <w:style w:type="paragraph" w:styleId="TOC8">
    <w:name w:val="toc 8"/>
    <w:basedOn w:val="Normal"/>
    <w:next w:val="Normal"/>
    <w:autoRedefine/>
    <w:uiPriority w:val="39"/>
    <w:unhideWhenUsed/>
    <w:rsid w:val="00416524"/>
    <w:pPr>
      <w:spacing w:after="100"/>
      <w:ind w:left="1540"/>
    </w:pPr>
    <w:rPr>
      <w:rFonts w:eastAsiaTheme="minorEastAsia"/>
      <w:lang w:val="en-GB" w:eastAsia="en-GB"/>
    </w:rPr>
  </w:style>
  <w:style w:type="paragraph" w:styleId="TOC9">
    <w:name w:val="toc 9"/>
    <w:basedOn w:val="Normal"/>
    <w:next w:val="Normal"/>
    <w:autoRedefine/>
    <w:uiPriority w:val="39"/>
    <w:unhideWhenUsed/>
    <w:rsid w:val="00416524"/>
    <w:pPr>
      <w:spacing w:after="100"/>
      <w:ind w:left="1760"/>
    </w:pPr>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328942">
      <w:bodyDiv w:val="1"/>
      <w:marLeft w:val="0"/>
      <w:marRight w:val="0"/>
      <w:marTop w:val="0"/>
      <w:marBottom w:val="0"/>
      <w:divBdr>
        <w:top w:val="none" w:sz="0" w:space="0" w:color="auto"/>
        <w:left w:val="none" w:sz="0" w:space="0" w:color="auto"/>
        <w:bottom w:val="none" w:sz="0" w:space="0" w:color="auto"/>
        <w:right w:val="none" w:sz="0" w:space="0" w:color="auto"/>
      </w:divBdr>
    </w:div>
    <w:div w:id="246771693">
      <w:bodyDiv w:val="1"/>
      <w:marLeft w:val="0"/>
      <w:marRight w:val="0"/>
      <w:marTop w:val="0"/>
      <w:marBottom w:val="0"/>
      <w:divBdr>
        <w:top w:val="none" w:sz="0" w:space="0" w:color="auto"/>
        <w:left w:val="none" w:sz="0" w:space="0" w:color="auto"/>
        <w:bottom w:val="none" w:sz="0" w:space="0" w:color="auto"/>
        <w:right w:val="none" w:sz="0" w:space="0" w:color="auto"/>
      </w:divBdr>
    </w:div>
    <w:div w:id="280918208">
      <w:bodyDiv w:val="1"/>
      <w:marLeft w:val="0"/>
      <w:marRight w:val="0"/>
      <w:marTop w:val="0"/>
      <w:marBottom w:val="0"/>
      <w:divBdr>
        <w:top w:val="none" w:sz="0" w:space="0" w:color="auto"/>
        <w:left w:val="none" w:sz="0" w:space="0" w:color="auto"/>
        <w:bottom w:val="none" w:sz="0" w:space="0" w:color="auto"/>
        <w:right w:val="none" w:sz="0" w:space="0" w:color="auto"/>
      </w:divBdr>
    </w:div>
    <w:div w:id="371152770">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53333512">
      <w:bodyDiv w:val="1"/>
      <w:marLeft w:val="0"/>
      <w:marRight w:val="0"/>
      <w:marTop w:val="0"/>
      <w:marBottom w:val="0"/>
      <w:divBdr>
        <w:top w:val="none" w:sz="0" w:space="0" w:color="auto"/>
        <w:left w:val="none" w:sz="0" w:space="0" w:color="auto"/>
        <w:bottom w:val="none" w:sz="0" w:space="0" w:color="auto"/>
        <w:right w:val="none" w:sz="0" w:space="0" w:color="auto"/>
      </w:divBdr>
    </w:div>
    <w:div w:id="486828178">
      <w:bodyDiv w:val="1"/>
      <w:marLeft w:val="0"/>
      <w:marRight w:val="0"/>
      <w:marTop w:val="0"/>
      <w:marBottom w:val="0"/>
      <w:divBdr>
        <w:top w:val="none" w:sz="0" w:space="0" w:color="auto"/>
        <w:left w:val="none" w:sz="0" w:space="0" w:color="auto"/>
        <w:bottom w:val="none" w:sz="0" w:space="0" w:color="auto"/>
        <w:right w:val="none" w:sz="0" w:space="0" w:color="auto"/>
      </w:divBdr>
      <w:divsChild>
        <w:div w:id="1299336956">
          <w:marLeft w:val="0"/>
          <w:marRight w:val="0"/>
          <w:marTop w:val="0"/>
          <w:marBottom w:val="0"/>
          <w:divBdr>
            <w:top w:val="none" w:sz="0" w:space="0" w:color="auto"/>
            <w:left w:val="none" w:sz="0" w:space="0" w:color="auto"/>
            <w:bottom w:val="none" w:sz="0" w:space="0" w:color="auto"/>
            <w:right w:val="none" w:sz="0" w:space="0" w:color="auto"/>
          </w:divBdr>
          <w:divsChild>
            <w:div w:id="2097091561">
              <w:marLeft w:val="0"/>
              <w:marRight w:val="0"/>
              <w:marTop w:val="0"/>
              <w:marBottom w:val="0"/>
              <w:divBdr>
                <w:top w:val="none" w:sz="0" w:space="0" w:color="auto"/>
                <w:left w:val="none" w:sz="0" w:space="0" w:color="auto"/>
                <w:bottom w:val="none" w:sz="0" w:space="0" w:color="auto"/>
                <w:right w:val="none" w:sz="0" w:space="0" w:color="auto"/>
              </w:divBdr>
            </w:div>
          </w:divsChild>
        </w:div>
        <w:div w:id="1882397218">
          <w:marLeft w:val="0"/>
          <w:marRight w:val="0"/>
          <w:marTop w:val="0"/>
          <w:marBottom w:val="0"/>
          <w:divBdr>
            <w:top w:val="none" w:sz="0" w:space="0" w:color="auto"/>
            <w:left w:val="none" w:sz="0" w:space="0" w:color="auto"/>
            <w:bottom w:val="none" w:sz="0" w:space="0" w:color="auto"/>
            <w:right w:val="none" w:sz="0" w:space="0" w:color="auto"/>
          </w:divBdr>
          <w:divsChild>
            <w:div w:id="182997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794610">
      <w:bodyDiv w:val="1"/>
      <w:marLeft w:val="0"/>
      <w:marRight w:val="0"/>
      <w:marTop w:val="0"/>
      <w:marBottom w:val="0"/>
      <w:divBdr>
        <w:top w:val="none" w:sz="0" w:space="0" w:color="auto"/>
        <w:left w:val="none" w:sz="0" w:space="0" w:color="auto"/>
        <w:bottom w:val="none" w:sz="0" w:space="0" w:color="auto"/>
        <w:right w:val="none" w:sz="0" w:space="0" w:color="auto"/>
      </w:divBdr>
    </w:div>
    <w:div w:id="693966831">
      <w:bodyDiv w:val="1"/>
      <w:marLeft w:val="0"/>
      <w:marRight w:val="0"/>
      <w:marTop w:val="0"/>
      <w:marBottom w:val="0"/>
      <w:divBdr>
        <w:top w:val="none" w:sz="0" w:space="0" w:color="auto"/>
        <w:left w:val="none" w:sz="0" w:space="0" w:color="auto"/>
        <w:bottom w:val="none" w:sz="0" w:space="0" w:color="auto"/>
        <w:right w:val="none" w:sz="0" w:space="0" w:color="auto"/>
      </w:divBdr>
    </w:div>
    <w:div w:id="750737638">
      <w:bodyDiv w:val="1"/>
      <w:marLeft w:val="0"/>
      <w:marRight w:val="0"/>
      <w:marTop w:val="0"/>
      <w:marBottom w:val="0"/>
      <w:divBdr>
        <w:top w:val="none" w:sz="0" w:space="0" w:color="auto"/>
        <w:left w:val="none" w:sz="0" w:space="0" w:color="auto"/>
        <w:bottom w:val="none" w:sz="0" w:space="0" w:color="auto"/>
        <w:right w:val="none" w:sz="0" w:space="0" w:color="auto"/>
      </w:divBdr>
    </w:div>
    <w:div w:id="754210904">
      <w:bodyDiv w:val="1"/>
      <w:marLeft w:val="0"/>
      <w:marRight w:val="0"/>
      <w:marTop w:val="0"/>
      <w:marBottom w:val="0"/>
      <w:divBdr>
        <w:top w:val="none" w:sz="0" w:space="0" w:color="auto"/>
        <w:left w:val="none" w:sz="0" w:space="0" w:color="auto"/>
        <w:bottom w:val="none" w:sz="0" w:space="0" w:color="auto"/>
        <w:right w:val="none" w:sz="0" w:space="0" w:color="auto"/>
      </w:divBdr>
      <w:divsChild>
        <w:div w:id="1862545515">
          <w:marLeft w:val="0"/>
          <w:marRight w:val="0"/>
          <w:marTop w:val="0"/>
          <w:marBottom w:val="0"/>
          <w:divBdr>
            <w:top w:val="none" w:sz="0" w:space="0" w:color="auto"/>
            <w:left w:val="none" w:sz="0" w:space="0" w:color="auto"/>
            <w:bottom w:val="none" w:sz="0" w:space="0" w:color="auto"/>
            <w:right w:val="none" w:sz="0" w:space="0" w:color="auto"/>
          </w:divBdr>
          <w:divsChild>
            <w:div w:id="1513883071">
              <w:marLeft w:val="0"/>
              <w:marRight w:val="0"/>
              <w:marTop w:val="0"/>
              <w:marBottom w:val="0"/>
              <w:divBdr>
                <w:top w:val="none" w:sz="0" w:space="0" w:color="auto"/>
                <w:left w:val="none" w:sz="0" w:space="0" w:color="auto"/>
                <w:bottom w:val="none" w:sz="0" w:space="0" w:color="auto"/>
                <w:right w:val="none" w:sz="0" w:space="0" w:color="auto"/>
              </w:divBdr>
            </w:div>
          </w:divsChild>
        </w:div>
        <w:div w:id="834078810">
          <w:blockQuote w:val="1"/>
          <w:marLeft w:val="720"/>
          <w:marRight w:val="720"/>
          <w:marTop w:val="100"/>
          <w:marBottom w:val="100"/>
          <w:divBdr>
            <w:top w:val="none" w:sz="0" w:space="0" w:color="auto"/>
            <w:left w:val="none" w:sz="0" w:space="0" w:color="auto"/>
            <w:bottom w:val="none" w:sz="0" w:space="0" w:color="auto"/>
            <w:right w:val="none" w:sz="0" w:space="0" w:color="auto"/>
          </w:divBdr>
        </w:div>
        <w:div w:id="2132622615">
          <w:blockQuote w:val="1"/>
          <w:marLeft w:val="720"/>
          <w:marRight w:val="720"/>
          <w:marTop w:val="100"/>
          <w:marBottom w:val="100"/>
          <w:divBdr>
            <w:top w:val="none" w:sz="0" w:space="0" w:color="auto"/>
            <w:left w:val="none" w:sz="0" w:space="0" w:color="auto"/>
            <w:bottom w:val="none" w:sz="0" w:space="0" w:color="auto"/>
            <w:right w:val="none" w:sz="0" w:space="0" w:color="auto"/>
          </w:divBdr>
        </w:div>
        <w:div w:id="739252079">
          <w:blockQuote w:val="1"/>
          <w:marLeft w:val="720"/>
          <w:marRight w:val="720"/>
          <w:marTop w:val="100"/>
          <w:marBottom w:val="100"/>
          <w:divBdr>
            <w:top w:val="none" w:sz="0" w:space="0" w:color="auto"/>
            <w:left w:val="none" w:sz="0" w:space="0" w:color="auto"/>
            <w:bottom w:val="none" w:sz="0" w:space="0" w:color="auto"/>
            <w:right w:val="none" w:sz="0" w:space="0" w:color="auto"/>
          </w:divBdr>
        </w:div>
        <w:div w:id="970548802">
          <w:marLeft w:val="0"/>
          <w:marRight w:val="0"/>
          <w:marTop w:val="0"/>
          <w:marBottom w:val="0"/>
          <w:divBdr>
            <w:top w:val="none" w:sz="0" w:space="0" w:color="auto"/>
            <w:left w:val="none" w:sz="0" w:space="0" w:color="auto"/>
            <w:bottom w:val="none" w:sz="0" w:space="0" w:color="auto"/>
            <w:right w:val="none" w:sz="0" w:space="0" w:color="auto"/>
          </w:divBdr>
          <w:divsChild>
            <w:div w:id="1205555060">
              <w:marLeft w:val="0"/>
              <w:marRight w:val="0"/>
              <w:marTop w:val="0"/>
              <w:marBottom w:val="0"/>
              <w:divBdr>
                <w:top w:val="none" w:sz="0" w:space="0" w:color="auto"/>
                <w:left w:val="none" w:sz="0" w:space="0" w:color="auto"/>
                <w:bottom w:val="none" w:sz="0" w:space="0" w:color="auto"/>
                <w:right w:val="none" w:sz="0" w:space="0" w:color="auto"/>
              </w:divBdr>
            </w:div>
          </w:divsChild>
        </w:div>
        <w:div w:id="569733956">
          <w:blockQuote w:val="1"/>
          <w:marLeft w:val="720"/>
          <w:marRight w:val="720"/>
          <w:marTop w:val="100"/>
          <w:marBottom w:val="100"/>
          <w:divBdr>
            <w:top w:val="none" w:sz="0" w:space="0" w:color="auto"/>
            <w:left w:val="none" w:sz="0" w:space="0" w:color="auto"/>
            <w:bottom w:val="none" w:sz="0" w:space="0" w:color="auto"/>
            <w:right w:val="none" w:sz="0" w:space="0" w:color="auto"/>
          </w:divBdr>
        </w:div>
        <w:div w:id="847871728">
          <w:marLeft w:val="0"/>
          <w:marRight w:val="0"/>
          <w:marTop w:val="0"/>
          <w:marBottom w:val="0"/>
          <w:divBdr>
            <w:top w:val="none" w:sz="0" w:space="0" w:color="auto"/>
            <w:left w:val="none" w:sz="0" w:space="0" w:color="auto"/>
            <w:bottom w:val="none" w:sz="0" w:space="0" w:color="auto"/>
            <w:right w:val="none" w:sz="0" w:space="0" w:color="auto"/>
          </w:divBdr>
          <w:divsChild>
            <w:div w:id="551306519">
              <w:marLeft w:val="0"/>
              <w:marRight w:val="0"/>
              <w:marTop w:val="0"/>
              <w:marBottom w:val="0"/>
              <w:divBdr>
                <w:top w:val="none" w:sz="0" w:space="0" w:color="auto"/>
                <w:left w:val="none" w:sz="0" w:space="0" w:color="auto"/>
                <w:bottom w:val="none" w:sz="0" w:space="0" w:color="auto"/>
                <w:right w:val="none" w:sz="0" w:space="0" w:color="auto"/>
              </w:divBdr>
            </w:div>
          </w:divsChild>
        </w:div>
        <w:div w:id="1593776244">
          <w:blockQuote w:val="1"/>
          <w:marLeft w:val="720"/>
          <w:marRight w:val="720"/>
          <w:marTop w:val="100"/>
          <w:marBottom w:val="100"/>
          <w:divBdr>
            <w:top w:val="none" w:sz="0" w:space="0" w:color="auto"/>
            <w:left w:val="none" w:sz="0" w:space="0" w:color="auto"/>
            <w:bottom w:val="none" w:sz="0" w:space="0" w:color="auto"/>
            <w:right w:val="none" w:sz="0" w:space="0" w:color="auto"/>
          </w:divBdr>
        </w:div>
        <w:div w:id="549850531">
          <w:blockQuote w:val="1"/>
          <w:marLeft w:val="720"/>
          <w:marRight w:val="720"/>
          <w:marTop w:val="100"/>
          <w:marBottom w:val="100"/>
          <w:divBdr>
            <w:top w:val="none" w:sz="0" w:space="0" w:color="auto"/>
            <w:left w:val="none" w:sz="0" w:space="0" w:color="auto"/>
            <w:bottom w:val="none" w:sz="0" w:space="0" w:color="auto"/>
            <w:right w:val="none" w:sz="0" w:space="0" w:color="auto"/>
          </w:divBdr>
        </w:div>
        <w:div w:id="1523007053">
          <w:marLeft w:val="0"/>
          <w:marRight w:val="0"/>
          <w:marTop w:val="0"/>
          <w:marBottom w:val="0"/>
          <w:divBdr>
            <w:top w:val="none" w:sz="0" w:space="0" w:color="auto"/>
            <w:left w:val="none" w:sz="0" w:space="0" w:color="auto"/>
            <w:bottom w:val="none" w:sz="0" w:space="0" w:color="auto"/>
            <w:right w:val="none" w:sz="0" w:space="0" w:color="auto"/>
          </w:divBdr>
          <w:divsChild>
            <w:div w:id="2006593645">
              <w:marLeft w:val="0"/>
              <w:marRight w:val="0"/>
              <w:marTop w:val="0"/>
              <w:marBottom w:val="0"/>
              <w:divBdr>
                <w:top w:val="none" w:sz="0" w:space="0" w:color="auto"/>
                <w:left w:val="none" w:sz="0" w:space="0" w:color="auto"/>
                <w:bottom w:val="none" w:sz="0" w:space="0" w:color="auto"/>
                <w:right w:val="none" w:sz="0" w:space="0" w:color="auto"/>
              </w:divBdr>
            </w:div>
          </w:divsChild>
        </w:div>
        <w:div w:id="651712349">
          <w:blockQuote w:val="1"/>
          <w:marLeft w:val="720"/>
          <w:marRight w:val="720"/>
          <w:marTop w:val="100"/>
          <w:marBottom w:val="100"/>
          <w:divBdr>
            <w:top w:val="none" w:sz="0" w:space="0" w:color="auto"/>
            <w:left w:val="none" w:sz="0" w:space="0" w:color="auto"/>
            <w:bottom w:val="none" w:sz="0" w:space="0" w:color="auto"/>
            <w:right w:val="none" w:sz="0" w:space="0" w:color="auto"/>
          </w:divBdr>
        </w:div>
        <w:div w:id="1462504004">
          <w:marLeft w:val="0"/>
          <w:marRight w:val="0"/>
          <w:marTop w:val="0"/>
          <w:marBottom w:val="0"/>
          <w:divBdr>
            <w:top w:val="none" w:sz="0" w:space="0" w:color="auto"/>
            <w:left w:val="none" w:sz="0" w:space="0" w:color="auto"/>
            <w:bottom w:val="none" w:sz="0" w:space="0" w:color="auto"/>
            <w:right w:val="none" w:sz="0" w:space="0" w:color="auto"/>
          </w:divBdr>
          <w:divsChild>
            <w:div w:id="335498818">
              <w:marLeft w:val="0"/>
              <w:marRight w:val="0"/>
              <w:marTop w:val="0"/>
              <w:marBottom w:val="0"/>
              <w:divBdr>
                <w:top w:val="none" w:sz="0" w:space="0" w:color="auto"/>
                <w:left w:val="none" w:sz="0" w:space="0" w:color="auto"/>
                <w:bottom w:val="none" w:sz="0" w:space="0" w:color="auto"/>
                <w:right w:val="none" w:sz="0" w:space="0" w:color="auto"/>
              </w:divBdr>
            </w:div>
          </w:divsChild>
        </w:div>
        <w:div w:id="1727072026">
          <w:blockQuote w:val="1"/>
          <w:marLeft w:val="720"/>
          <w:marRight w:val="720"/>
          <w:marTop w:val="100"/>
          <w:marBottom w:val="100"/>
          <w:divBdr>
            <w:top w:val="none" w:sz="0" w:space="0" w:color="auto"/>
            <w:left w:val="none" w:sz="0" w:space="0" w:color="auto"/>
            <w:bottom w:val="none" w:sz="0" w:space="0" w:color="auto"/>
            <w:right w:val="none" w:sz="0" w:space="0" w:color="auto"/>
          </w:divBdr>
        </w:div>
        <w:div w:id="8790558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39930390">
      <w:bodyDiv w:val="1"/>
      <w:marLeft w:val="0"/>
      <w:marRight w:val="0"/>
      <w:marTop w:val="0"/>
      <w:marBottom w:val="0"/>
      <w:divBdr>
        <w:top w:val="none" w:sz="0" w:space="0" w:color="auto"/>
        <w:left w:val="none" w:sz="0" w:space="0" w:color="auto"/>
        <w:bottom w:val="none" w:sz="0" w:space="0" w:color="auto"/>
        <w:right w:val="none" w:sz="0" w:space="0" w:color="auto"/>
      </w:divBdr>
    </w:div>
    <w:div w:id="853611727">
      <w:bodyDiv w:val="1"/>
      <w:marLeft w:val="0"/>
      <w:marRight w:val="0"/>
      <w:marTop w:val="0"/>
      <w:marBottom w:val="0"/>
      <w:divBdr>
        <w:top w:val="none" w:sz="0" w:space="0" w:color="auto"/>
        <w:left w:val="none" w:sz="0" w:space="0" w:color="auto"/>
        <w:bottom w:val="none" w:sz="0" w:space="0" w:color="auto"/>
        <w:right w:val="none" w:sz="0" w:space="0" w:color="auto"/>
      </w:divBdr>
    </w:div>
    <w:div w:id="876430354">
      <w:bodyDiv w:val="1"/>
      <w:marLeft w:val="0"/>
      <w:marRight w:val="0"/>
      <w:marTop w:val="0"/>
      <w:marBottom w:val="0"/>
      <w:divBdr>
        <w:top w:val="none" w:sz="0" w:space="0" w:color="auto"/>
        <w:left w:val="none" w:sz="0" w:space="0" w:color="auto"/>
        <w:bottom w:val="none" w:sz="0" w:space="0" w:color="auto"/>
        <w:right w:val="none" w:sz="0" w:space="0" w:color="auto"/>
      </w:divBdr>
      <w:divsChild>
        <w:div w:id="1652634669">
          <w:marLeft w:val="0"/>
          <w:marRight w:val="0"/>
          <w:marTop w:val="0"/>
          <w:marBottom w:val="0"/>
          <w:divBdr>
            <w:top w:val="none" w:sz="0" w:space="0" w:color="auto"/>
            <w:left w:val="none" w:sz="0" w:space="0" w:color="auto"/>
            <w:bottom w:val="none" w:sz="0" w:space="0" w:color="auto"/>
            <w:right w:val="none" w:sz="0" w:space="0" w:color="auto"/>
          </w:divBdr>
          <w:divsChild>
            <w:div w:id="146931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932013">
      <w:bodyDiv w:val="1"/>
      <w:marLeft w:val="0"/>
      <w:marRight w:val="0"/>
      <w:marTop w:val="0"/>
      <w:marBottom w:val="0"/>
      <w:divBdr>
        <w:top w:val="none" w:sz="0" w:space="0" w:color="auto"/>
        <w:left w:val="none" w:sz="0" w:space="0" w:color="auto"/>
        <w:bottom w:val="none" w:sz="0" w:space="0" w:color="auto"/>
        <w:right w:val="none" w:sz="0" w:space="0" w:color="auto"/>
      </w:divBdr>
    </w:div>
    <w:div w:id="937326862">
      <w:bodyDiv w:val="1"/>
      <w:marLeft w:val="0"/>
      <w:marRight w:val="0"/>
      <w:marTop w:val="0"/>
      <w:marBottom w:val="0"/>
      <w:divBdr>
        <w:top w:val="none" w:sz="0" w:space="0" w:color="auto"/>
        <w:left w:val="none" w:sz="0" w:space="0" w:color="auto"/>
        <w:bottom w:val="none" w:sz="0" w:space="0" w:color="auto"/>
        <w:right w:val="none" w:sz="0" w:space="0" w:color="auto"/>
      </w:divBdr>
    </w:div>
    <w:div w:id="992566435">
      <w:bodyDiv w:val="1"/>
      <w:marLeft w:val="0"/>
      <w:marRight w:val="0"/>
      <w:marTop w:val="0"/>
      <w:marBottom w:val="0"/>
      <w:divBdr>
        <w:top w:val="none" w:sz="0" w:space="0" w:color="auto"/>
        <w:left w:val="none" w:sz="0" w:space="0" w:color="auto"/>
        <w:bottom w:val="none" w:sz="0" w:space="0" w:color="auto"/>
        <w:right w:val="none" w:sz="0" w:space="0" w:color="auto"/>
      </w:divBdr>
      <w:divsChild>
        <w:div w:id="8965495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4646070">
      <w:bodyDiv w:val="1"/>
      <w:marLeft w:val="0"/>
      <w:marRight w:val="0"/>
      <w:marTop w:val="0"/>
      <w:marBottom w:val="0"/>
      <w:divBdr>
        <w:top w:val="none" w:sz="0" w:space="0" w:color="auto"/>
        <w:left w:val="none" w:sz="0" w:space="0" w:color="auto"/>
        <w:bottom w:val="none" w:sz="0" w:space="0" w:color="auto"/>
        <w:right w:val="none" w:sz="0" w:space="0" w:color="auto"/>
      </w:divBdr>
    </w:div>
    <w:div w:id="1106197401">
      <w:bodyDiv w:val="1"/>
      <w:marLeft w:val="0"/>
      <w:marRight w:val="0"/>
      <w:marTop w:val="0"/>
      <w:marBottom w:val="0"/>
      <w:divBdr>
        <w:top w:val="none" w:sz="0" w:space="0" w:color="auto"/>
        <w:left w:val="none" w:sz="0" w:space="0" w:color="auto"/>
        <w:bottom w:val="none" w:sz="0" w:space="0" w:color="auto"/>
        <w:right w:val="none" w:sz="0" w:space="0" w:color="auto"/>
      </w:divBdr>
    </w:div>
    <w:div w:id="1114012966">
      <w:bodyDiv w:val="1"/>
      <w:marLeft w:val="0"/>
      <w:marRight w:val="0"/>
      <w:marTop w:val="0"/>
      <w:marBottom w:val="0"/>
      <w:divBdr>
        <w:top w:val="none" w:sz="0" w:space="0" w:color="auto"/>
        <w:left w:val="none" w:sz="0" w:space="0" w:color="auto"/>
        <w:bottom w:val="none" w:sz="0" w:space="0" w:color="auto"/>
        <w:right w:val="none" w:sz="0" w:space="0" w:color="auto"/>
      </w:divBdr>
    </w:div>
    <w:div w:id="1247693429">
      <w:bodyDiv w:val="1"/>
      <w:marLeft w:val="0"/>
      <w:marRight w:val="0"/>
      <w:marTop w:val="0"/>
      <w:marBottom w:val="0"/>
      <w:divBdr>
        <w:top w:val="none" w:sz="0" w:space="0" w:color="auto"/>
        <w:left w:val="none" w:sz="0" w:space="0" w:color="auto"/>
        <w:bottom w:val="none" w:sz="0" w:space="0" w:color="auto"/>
        <w:right w:val="none" w:sz="0" w:space="0" w:color="auto"/>
      </w:divBdr>
      <w:divsChild>
        <w:div w:id="509836774">
          <w:marLeft w:val="0"/>
          <w:marRight w:val="0"/>
          <w:marTop w:val="0"/>
          <w:marBottom w:val="0"/>
          <w:divBdr>
            <w:top w:val="none" w:sz="0" w:space="0" w:color="auto"/>
            <w:left w:val="none" w:sz="0" w:space="0" w:color="auto"/>
            <w:bottom w:val="none" w:sz="0" w:space="0" w:color="auto"/>
            <w:right w:val="none" w:sz="0" w:space="0" w:color="auto"/>
          </w:divBdr>
          <w:divsChild>
            <w:div w:id="14579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5127673">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29489807">
      <w:bodyDiv w:val="1"/>
      <w:marLeft w:val="0"/>
      <w:marRight w:val="0"/>
      <w:marTop w:val="0"/>
      <w:marBottom w:val="0"/>
      <w:divBdr>
        <w:top w:val="none" w:sz="0" w:space="0" w:color="auto"/>
        <w:left w:val="none" w:sz="0" w:space="0" w:color="auto"/>
        <w:bottom w:val="none" w:sz="0" w:space="0" w:color="auto"/>
        <w:right w:val="none" w:sz="0" w:space="0" w:color="auto"/>
      </w:divBdr>
    </w:div>
    <w:div w:id="1549681869">
      <w:bodyDiv w:val="1"/>
      <w:marLeft w:val="0"/>
      <w:marRight w:val="0"/>
      <w:marTop w:val="0"/>
      <w:marBottom w:val="0"/>
      <w:divBdr>
        <w:top w:val="none" w:sz="0" w:space="0" w:color="auto"/>
        <w:left w:val="none" w:sz="0" w:space="0" w:color="auto"/>
        <w:bottom w:val="none" w:sz="0" w:space="0" w:color="auto"/>
        <w:right w:val="none" w:sz="0" w:space="0" w:color="auto"/>
      </w:divBdr>
    </w:div>
    <w:div w:id="1598752126">
      <w:bodyDiv w:val="1"/>
      <w:marLeft w:val="0"/>
      <w:marRight w:val="0"/>
      <w:marTop w:val="0"/>
      <w:marBottom w:val="0"/>
      <w:divBdr>
        <w:top w:val="none" w:sz="0" w:space="0" w:color="auto"/>
        <w:left w:val="none" w:sz="0" w:space="0" w:color="auto"/>
        <w:bottom w:val="none" w:sz="0" w:space="0" w:color="auto"/>
        <w:right w:val="none" w:sz="0" w:space="0" w:color="auto"/>
      </w:divBdr>
      <w:divsChild>
        <w:div w:id="857499096">
          <w:marLeft w:val="0"/>
          <w:marRight w:val="0"/>
          <w:marTop w:val="0"/>
          <w:marBottom w:val="0"/>
          <w:divBdr>
            <w:top w:val="none" w:sz="0" w:space="0" w:color="auto"/>
            <w:left w:val="none" w:sz="0" w:space="0" w:color="auto"/>
            <w:bottom w:val="none" w:sz="0" w:space="0" w:color="auto"/>
            <w:right w:val="none" w:sz="0" w:space="0" w:color="auto"/>
          </w:divBdr>
          <w:divsChild>
            <w:div w:id="727343042">
              <w:marLeft w:val="0"/>
              <w:marRight w:val="0"/>
              <w:marTop w:val="0"/>
              <w:marBottom w:val="0"/>
              <w:divBdr>
                <w:top w:val="none" w:sz="0" w:space="0" w:color="auto"/>
                <w:left w:val="none" w:sz="0" w:space="0" w:color="auto"/>
                <w:bottom w:val="none" w:sz="0" w:space="0" w:color="auto"/>
                <w:right w:val="none" w:sz="0" w:space="0" w:color="auto"/>
              </w:divBdr>
            </w:div>
          </w:divsChild>
        </w:div>
        <w:div w:id="1522360019">
          <w:marLeft w:val="0"/>
          <w:marRight w:val="0"/>
          <w:marTop w:val="0"/>
          <w:marBottom w:val="0"/>
          <w:divBdr>
            <w:top w:val="none" w:sz="0" w:space="0" w:color="auto"/>
            <w:left w:val="none" w:sz="0" w:space="0" w:color="auto"/>
            <w:bottom w:val="none" w:sz="0" w:space="0" w:color="auto"/>
            <w:right w:val="none" w:sz="0" w:space="0" w:color="auto"/>
          </w:divBdr>
          <w:divsChild>
            <w:div w:id="15117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486672">
      <w:bodyDiv w:val="1"/>
      <w:marLeft w:val="0"/>
      <w:marRight w:val="0"/>
      <w:marTop w:val="0"/>
      <w:marBottom w:val="0"/>
      <w:divBdr>
        <w:top w:val="none" w:sz="0" w:space="0" w:color="auto"/>
        <w:left w:val="none" w:sz="0" w:space="0" w:color="auto"/>
        <w:bottom w:val="none" w:sz="0" w:space="0" w:color="auto"/>
        <w:right w:val="none" w:sz="0" w:space="0" w:color="auto"/>
      </w:divBdr>
    </w:div>
    <w:div w:id="1805468839">
      <w:bodyDiv w:val="1"/>
      <w:marLeft w:val="0"/>
      <w:marRight w:val="0"/>
      <w:marTop w:val="0"/>
      <w:marBottom w:val="0"/>
      <w:divBdr>
        <w:top w:val="none" w:sz="0" w:space="0" w:color="auto"/>
        <w:left w:val="none" w:sz="0" w:space="0" w:color="auto"/>
        <w:bottom w:val="none" w:sz="0" w:space="0" w:color="auto"/>
        <w:right w:val="none" w:sz="0" w:space="0" w:color="auto"/>
      </w:divBdr>
    </w:div>
    <w:div w:id="1806316896">
      <w:bodyDiv w:val="1"/>
      <w:marLeft w:val="0"/>
      <w:marRight w:val="0"/>
      <w:marTop w:val="0"/>
      <w:marBottom w:val="0"/>
      <w:divBdr>
        <w:top w:val="none" w:sz="0" w:space="0" w:color="auto"/>
        <w:left w:val="none" w:sz="0" w:space="0" w:color="auto"/>
        <w:bottom w:val="none" w:sz="0" w:space="0" w:color="auto"/>
        <w:right w:val="none" w:sz="0" w:space="0" w:color="auto"/>
      </w:divBdr>
    </w:div>
    <w:div w:id="185684769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6/323733" TargetMode="External"/><Relationship Id="rId21" Type="http://schemas.openxmlformats.org/officeDocument/2006/relationships/hyperlink" Target="https://doi.org/10.1108/09600030810882816" TargetMode="External"/><Relationship Id="rId42" Type="http://schemas.openxmlformats.org/officeDocument/2006/relationships/hyperlink" Target="https://www.gov.uk/employing-staff" TargetMode="External"/><Relationship Id="rId47" Type="http://schemas.openxmlformats.org/officeDocument/2006/relationships/hyperlink" Target="https://www.gov.uk/guidance/rates-of-vat-on-different-goods-and-services" TargetMode="External"/><Relationship Id="rId63" Type="http://schemas.openxmlformats.org/officeDocument/2006/relationships/hyperlink" Target="https://monmouthcoffee.co.uk/" TargetMode="External"/><Relationship Id="rId68" Type="http://schemas.openxmlformats.org/officeDocument/2006/relationships/hyperlink" Target="https://www.ons.gov.uk/economy/inflationandpriceindices" TargetMode="External"/><Relationship Id="rId84" Type="http://schemas.openxmlformats.org/officeDocument/2006/relationships/hyperlink" Target="https://doi.org/10.1016/0007-6813(94)90029-9" TargetMode="External"/><Relationship Id="rId89" Type="http://schemas.openxmlformats.org/officeDocument/2006/relationships/hyperlink" Target="https://sdgs.un.org/2030agenda" TargetMode="External"/><Relationship Id="rId11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jbusres.2015.10.029" TargetMode="External"/><Relationship Id="rId29" Type="http://schemas.openxmlformats.org/officeDocument/2006/relationships/hyperlink" Target="https://www.gov.uk/government/organisations/department-for-environment-food-rural-affairs" TargetMode="External"/><Relationship Id="rId107" Type="http://schemas.openxmlformats.org/officeDocument/2006/relationships/hyperlink" Target="https://doi.org/10.1016/j.ijpe.2007.11.011" TargetMode="External"/><Relationship Id="rId11" Type="http://schemas.openxmlformats.org/officeDocument/2006/relationships/footer" Target="footer1.xml"/><Relationship Id="rId24" Type="http://schemas.openxmlformats.org/officeDocument/2006/relationships/hyperlink" Target="https://www.coventgarden.london/food-drink/coffee-shops/" TargetMode="External"/><Relationship Id="rId32" Type="http://schemas.openxmlformats.org/officeDocument/2006/relationships/hyperlink" Target="https://www.ellenmacarthurfoundation.org/towards-the-circular-economy-vol-1-an-economic-and-business-rationale-for-an" TargetMode="External"/><Relationship Id="rId37" Type="http://schemas.openxmlformats.org/officeDocument/2006/relationships/hyperlink" Target="https://doi.org/10.1002/agr.21810" TargetMode="External"/><Relationship Id="rId40" Type="http://schemas.openxmlformats.org/officeDocument/2006/relationships/hyperlink" Target="https://doi.org/10.1080/09692290500049805" TargetMode="External"/><Relationship Id="rId45" Type="http://schemas.openxmlformats.org/officeDocument/2006/relationships/hyperlink" Target="https://www.gov.uk/browse/business/health-safety" TargetMode="External"/><Relationship Id="rId53" Type="http://schemas.openxmlformats.org/officeDocument/2006/relationships/hyperlink" Target="https://doi.org/10.1007/s10551-006-9182-6" TargetMode="External"/><Relationship Id="rId58" Type="http://schemas.openxmlformats.org/officeDocument/2006/relationships/hyperlink" Target="https://doi.org/10.1007/s00187-019-00276-x" TargetMode="External"/><Relationship Id="rId66" Type="http://schemas.openxmlformats.org/officeDocument/2006/relationships/hyperlink" Target="https://doi.org/10.1787/81f92357-en" TargetMode="External"/><Relationship Id="rId74" Type="http://schemas.openxmlformats.org/officeDocument/2006/relationships/hyperlink" Target="https://hbr.org/1996/11/what-is-strategy" TargetMode="External"/><Relationship Id="rId79" Type="http://schemas.openxmlformats.org/officeDocument/2006/relationships/hyperlink" Target="https://www.pearson.com/en-gb/subject-catalog/p/research-methods-for-business-students/P200000005845" TargetMode="External"/><Relationship Id="rId87" Type="http://schemas.openxmlformats.org/officeDocument/2006/relationships/hyperlink" Target="https://doi.org/10.1016/j.lrp.2009.07.003" TargetMode="External"/><Relationship Id="rId102" Type="http://schemas.openxmlformats.org/officeDocument/2006/relationships/hyperlink" Target="https://www.worldcoffeeportal.com/latest-reports/" TargetMode="External"/><Relationship Id="rId110"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ellenmacarthurfoundation.org/" TargetMode="External"/><Relationship Id="rId82" Type="http://schemas.openxmlformats.org/officeDocument/2006/relationships/hyperlink" Target="https://doi.org/10.1016/j.jclepro.2008.04.020" TargetMode="External"/><Relationship Id="rId90" Type="http://schemas.openxmlformats.org/officeDocument/2006/relationships/hyperlink" Target="https://www.unep.org/resources/report/unep-food-waste-index-report-2021" TargetMode="External"/><Relationship Id="rId95" Type="http://schemas.openxmlformats.org/officeDocument/2006/relationships/hyperlink" Target="https://www.westminster.gov.uk/business-and-trade/tourism-and-visitor-economy" TargetMode="External"/><Relationship Id="rId19" Type="http://schemas.openxmlformats.org/officeDocument/2006/relationships/hyperlink" Target="https://britishcoffeeassociation.org/" TargetMode="External"/><Relationship Id="rId14" Type="http://schemas.openxmlformats.org/officeDocument/2006/relationships/hyperlink" Target="https://books.google.com/books?id=r_TSY5sxnO8C" TargetMode="External"/><Relationship Id="rId22" Type="http://schemas.openxmlformats.org/officeDocument/2006/relationships/hyperlink" Target="https://www.pearson.com/en-us/subject-catalog/p/international-business-the-new-realities/P200000006273" TargetMode="External"/><Relationship Id="rId27" Type="http://schemas.openxmlformats.org/officeDocument/2006/relationships/hyperlink" Target="https://doi.org/10.1111/j.1745-6606.2005.00019.x" TargetMode="External"/><Relationship Id="rId30" Type="http://schemas.openxmlformats.org/officeDocument/2006/relationships/hyperlink" Target="https://www.gov.uk/government/publications/resources-and-waste-strategy-for-england" TargetMode="External"/><Relationship Id="rId35" Type="http://schemas.openxmlformats.org/officeDocument/2006/relationships/hyperlink" Target="https://www.fairtrade.org.uk/" TargetMode="External"/><Relationship Id="rId43" Type="http://schemas.openxmlformats.org/officeDocument/2006/relationships/hyperlink" Target="https://www.gov.uk/national-minimum-wage-rates" TargetMode="External"/><Relationship Id="rId48" Type="http://schemas.openxmlformats.org/officeDocument/2006/relationships/hyperlink" Target="https://www.gov.uk/corporation-tax-rates" TargetMode="External"/><Relationship Id="rId56" Type="http://schemas.openxmlformats.org/officeDocument/2006/relationships/hyperlink" Target="https://doi.org/10.1016/j.jclepro.2016.05.009" TargetMode="External"/><Relationship Id="rId64" Type="http://schemas.openxmlformats.org/officeDocument/2006/relationships/hyperlink" Target="https://doi.org/10.1177/002224299405800302" TargetMode="External"/><Relationship Id="rId69" Type="http://schemas.openxmlformats.org/officeDocument/2006/relationships/hyperlink" Target="https://www.ons.gov.uk/businessindustryandtrade/business/businessservices" TargetMode="External"/><Relationship Id="rId77" Type="http://schemas.openxmlformats.org/officeDocument/2006/relationships/hyperlink" Target="https://doi.org/10.1080/15487733.2013.11908111" TargetMode="External"/><Relationship Id="rId100" Type="http://schemas.openxmlformats.org/officeDocument/2006/relationships/hyperlink" Target="https://www.worldcoffeeportal.com/project-cafe-uk-2026-debrief/" TargetMode="External"/><Relationship Id="rId105" Type="http://schemas.openxmlformats.org/officeDocument/2006/relationships/hyperlink" Target="https://www.mdpi.com/journal/sustainability" TargetMode="External"/><Relationship Id="rId8" Type="http://schemas.openxmlformats.org/officeDocument/2006/relationships/image" Target="media/image1.png"/><Relationship Id="rId51" Type="http://schemas.openxmlformats.org/officeDocument/2006/relationships/hyperlink" Target="https://ico.org.uk/for-organisations/sme-web-hub/" TargetMode="External"/><Relationship Id="rId72" Type="http://schemas.openxmlformats.org/officeDocument/2006/relationships/hyperlink" Target="https://books.google.com/books?id=Hn1kNE0OcGsC" TargetMode="External"/><Relationship Id="rId80" Type="http://schemas.openxmlformats.org/officeDocument/2006/relationships/hyperlink" Target="https://www.pearson.com/en-gb/subject-catalog/p/research-methods-for-business-students/P200000009102" TargetMode="External"/><Relationship Id="rId85" Type="http://schemas.openxmlformats.org/officeDocument/2006/relationships/hyperlink" Target="https://doi.org/10.3390/su12208526" TargetMode="External"/><Relationship Id="rId93" Type="http://schemas.openxmlformats.org/officeDocument/2006/relationships/hyperlink" Target="https://watchhouse.com/" TargetMode="External"/><Relationship Id="rId98" Type="http://schemas.openxmlformats.org/officeDocument/2006/relationships/hyperlink" Target="https://www.worldcoffeeportal.com/"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177/014920639101700108" TargetMode="External"/><Relationship Id="rId25" Type="http://schemas.openxmlformats.org/officeDocument/2006/relationships/hyperlink" Target="https://us.sagepub.com/en-us/nam/research-design/book255675" TargetMode="External"/><Relationship Id="rId33" Type="http://schemas.openxmlformats.org/officeDocument/2006/relationships/hyperlink" Target="https://www.ellenmacarthurfoundation.org/topics/circular-economy-introduction/overview" TargetMode="External"/><Relationship Id="rId38" Type="http://schemas.openxmlformats.org/officeDocument/2006/relationships/hyperlink" Target="https://doi.org/10.1111/agec.12706" TargetMode="External"/><Relationship Id="rId46" Type="http://schemas.openxmlformats.org/officeDocument/2006/relationships/hyperlink" Target="https://www.gov.uk/vat-registration/when-to-register" TargetMode="External"/><Relationship Id="rId59" Type="http://schemas.openxmlformats.org/officeDocument/2006/relationships/hyperlink" Target="https://doi.org/10.1016/j.dss.2013.04.001" TargetMode="External"/><Relationship Id="rId67" Type="http://schemas.openxmlformats.org/officeDocument/2006/relationships/hyperlink" Target="https://www.ons.gov.uk/businessindustryandtrade/business/activitysizeandlocation" TargetMode="External"/><Relationship Id="rId103" Type="http://schemas.openxmlformats.org/officeDocument/2006/relationships/hyperlink" Target="https://www.weforum.org/publications/" TargetMode="External"/><Relationship Id="rId108" Type="http://schemas.openxmlformats.org/officeDocument/2006/relationships/image" Target="media/image4.png"/><Relationship Id="rId20" Type="http://schemas.openxmlformats.org/officeDocument/2006/relationships/hyperlink" Target="https://global.oup.com/academic/product/social-research-methods-9780199689453" TargetMode="External"/><Relationship Id="rId41" Type="http://schemas.openxmlformats.org/officeDocument/2006/relationships/hyperlink" Target="https://www.gov.uk/food-business-registration" TargetMode="External"/><Relationship Id="rId54" Type="http://schemas.openxmlformats.org/officeDocument/2006/relationships/hyperlink" Target="https://www.pearson.com/en-gb/subject-catalog/p/marketing-management/P200000006067" TargetMode="External"/><Relationship Id="rId62" Type="http://schemas.openxmlformats.org/officeDocument/2006/relationships/hyperlink" Target="https://www.mckinsey.com/industries/retail/our-insights" TargetMode="External"/><Relationship Id="rId70" Type="http://schemas.openxmlformats.org/officeDocument/2006/relationships/hyperlink" Target="https://www.strategyzer.com/library/the-business-model-canvas" TargetMode="External"/><Relationship Id="rId75" Type="http://schemas.openxmlformats.org/officeDocument/2006/relationships/hyperlink" Target="https://hbr.org/2008/01/the-five-competitive-forces-that-shape-strategy" TargetMode="External"/><Relationship Id="rId83" Type="http://schemas.openxmlformats.org/officeDocument/2006/relationships/hyperlink" Target="https://www.penguinrandomhouse.com/books/307418/start-with-why-by-simon-sinek/" TargetMode="External"/><Relationship Id="rId88" Type="http://schemas.openxmlformats.org/officeDocument/2006/relationships/hyperlink" Target="https://doi.org/10.1002/(SICI)1097-0266(199708)18:7%3C509::AID-SMJ882%3E3.0.CO;2-Z" TargetMode="External"/><Relationship Id="rId91" Type="http://schemas.openxmlformats.org/officeDocument/2006/relationships/hyperlink" Target="https://doi.org/10.1177/21582440211052956" TargetMode="External"/><Relationship Id="rId96" Type="http://schemas.openxmlformats.org/officeDocument/2006/relationships/hyperlink" Target="https://www.worldbank.org/en/research/commodity-markets" TargetMode="Externa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jclepro.2013.02.018" TargetMode="External"/><Relationship Id="rId23" Type="http://schemas.openxmlformats.org/officeDocument/2006/relationships/hyperlink" Target="https://doi.org/10.1016/j.jbusvent.2004.12.001" TargetMode="External"/><Relationship Id="rId28" Type="http://schemas.openxmlformats.org/officeDocument/2006/relationships/hyperlink" Target="https://www.gov.uk/government/organisations/department-for-business-and-trade" TargetMode="External"/><Relationship Id="rId36" Type="http://schemas.openxmlformats.org/officeDocument/2006/relationships/hyperlink" Target="https://doi.org/10.1016/j.jclepro.2022.133479" TargetMode="External"/><Relationship Id="rId49" Type="http://schemas.openxmlformats.org/officeDocument/2006/relationships/hyperlink" Target="https://ico.org/coffee-development-report/" TargetMode="External"/><Relationship Id="rId57" Type="http://schemas.openxmlformats.org/officeDocument/2006/relationships/hyperlink" Target="https://doi.org/10.1016/j.jclepro.2008.06.037" TargetMode="External"/><Relationship Id="rId106" Type="http://schemas.openxmlformats.org/officeDocument/2006/relationships/hyperlink" Target="https://doi.org/10.1016/j.jclepro.2016.06.120" TargetMode="External"/><Relationship Id="rId10" Type="http://schemas.openxmlformats.org/officeDocument/2006/relationships/image" Target="media/image2.png"/><Relationship Id="rId31" Type="http://schemas.openxmlformats.org/officeDocument/2006/relationships/hyperlink" Target="https://books.google.com/books?id=Z1YvAQAAMAAJ" TargetMode="External"/><Relationship Id="rId44" Type="http://schemas.openxmlformats.org/officeDocument/2006/relationships/hyperlink" Target="https://www.gov.uk/vat-registration" TargetMode="External"/><Relationship Id="rId52" Type="http://schemas.openxmlformats.org/officeDocument/2006/relationships/hyperlink" Target="https://intracen.org/resources/publications/the-coffee-guide-fourth-edition" TargetMode="External"/><Relationship Id="rId60" Type="http://schemas.openxmlformats.org/officeDocument/2006/relationships/hyperlink" Target="https://doi.org/10.3920/978-90-8686-652-8" TargetMode="External"/><Relationship Id="rId65" Type="http://schemas.openxmlformats.org/officeDocument/2006/relationships/hyperlink" Target="https://doi.org/10.1002/bse.725" TargetMode="External"/><Relationship Id="rId73" Type="http://schemas.openxmlformats.org/officeDocument/2006/relationships/hyperlink" Target="https://books.google.com/books?id=H9ReAQAAMAAJ" TargetMode="External"/><Relationship Id="rId78" Type="http://schemas.openxmlformats.org/officeDocument/2006/relationships/hyperlink" Target="https://doi.org/10.1016/j.emj.2008.06.004" TargetMode="External"/><Relationship Id="rId81" Type="http://schemas.openxmlformats.org/officeDocument/2006/relationships/hyperlink" Target="https://doi.org/10.1002/bse.1986" TargetMode="External"/><Relationship Id="rId86" Type="http://schemas.openxmlformats.org/officeDocument/2006/relationships/hyperlink" Target="https://www.statista.com/topics/1381/coffee/" TargetMode="External"/><Relationship Id="rId94" Type="http://schemas.openxmlformats.org/officeDocument/2006/relationships/hyperlink" Target="https://watchhouse.com/" TargetMode="External"/><Relationship Id="rId99" Type="http://schemas.openxmlformats.org/officeDocument/2006/relationships/hyperlink" Target="https://www.worldcoffeeportal.com/" TargetMode="External"/><Relationship Id="rId101" Type="http://schemas.openxmlformats.org/officeDocument/2006/relationships/hyperlink" Target="https://www.worldcoffeeportal.com/analysis/3-key-findings-from-world-coffee-portals-latest-report-on-the-uk-independent-coffee-shop-market/"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hyperlink" Target="https://doi.org/10.1016/j.heliyon.2021.e07043" TargetMode="External"/><Relationship Id="rId18" Type="http://schemas.openxmlformats.org/officeDocument/2006/relationships/hyperlink" Target="https://britishcoffeeassociation.org/" TargetMode="External"/><Relationship Id="rId39" Type="http://schemas.openxmlformats.org/officeDocument/2006/relationships/hyperlink" Target="https://doi.org/10.13128/REA-20077" TargetMode="External"/><Relationship Id="rId109" Type="http://schemas.openxmlformats.org/officeDocument/2006/relationships/header" Target="header1.xml"/><Relationship Id="rId34" Type="http://schemas.openxmlformats.org/officeDocument/2006/relationships/hyperlink" Target="https://www.fairtrade.org.uk/farmers-and-workers/coffee/" TargetMode="External"/><Relationship Id="rId50" Type="http://schemas.openxmlformats.org/officeDocument/2006/relationships/hyperlink" Target="https://ico.org.uk/for-organisations/uk-gdpr-guidance-and-resources/" TargetMode="External"/><Relationship Id="rId55" Type="http://schemas.openxmlformats.org/officeDocument/2006/relationships/hyperlink" Target="https://www.pearson.com/en-us/subject-catalog/p/principles-of-marketing/P200000005951" TargetMode="External"/><Relationship Id="rId76" Type="http://schemas.openxmlformats.org/officeDocument/2006/relationships/hyperlink" Target="https://www.rainforest-alliance.org/commodities/coffee/" TargetMode="External"/><Relationship Id="rId97" Type="http://schemas.openxmlformats.org/officeDocument/2006/relationships/hyperlink" Target="https://worldcoffeeresearch.org/" TargetMode="External"/><Relationship Id="rId104" Type="http://schemas.openxmlformats.org/officeDocument/2006/relationships/hyperlink" Target="https://www.wri.org/initiatives/food-loss-and-waste" TargetMode="External"/><Relationship Id="rId7" Type="http://schemas.openxmlformats.org/officeDocument/2006/relationships/endnotes" Target="endnotes.xml"/><Relationship Id="rId71" Type="http://schemas.openxmlformats.org/officeDocument/2006/relationships/hyperlink" Target="https://doi.org/10.1108/13522750510619733" TargetMode="External"/><Relationship Id="rId92" Type="http://schemas.openxmlformats.org/officeDocument/2006/relationships/hyperlink" Target="https://watchhouse.com/pages/covent-gard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B4204-9A70-4424-9394-79D2CB754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90</Pages>
  <Words>24541</Words>
  <Characters>139885</Characters>
  <Application>Microsoft Office Word</Application>
  <DocSecurity>0</DocSecurity>
  <Lines>1165</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Sonet Islam</dc:creator>
  <cp:keywords/>
  <dc:description/>
  <cp:lastModifiedBy>MLC</cp:lastModifiedBy>
  <cp:revision>651</cp:revision>
  <cp:lastPrinted>2025-09-29T07:23:00Z</cp:lastPrinted>
  <dcterms:created xsi:type="dcterms:W3CDTF">2026-07-06T07:10:00Z</dcterms:created>
  <dcterms:modified xsi:type="dcterms:W3CDTF">2026-09-24T13:34:00Z</dcterms:modified>
</cp:coreProperties>
</file>