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A0152" w14:textId="77777777" w:rsidR="004F2E62" w:rsidRDefault="00000000">
      <w:pPr>
        <w:pBdr>
          <w:top w:val="nil"/>
          <w:left w:val="nil"/>
          <w:bottom w:val="nil"/>
          <w:right w:val="nil"/>
          <w:between w:val="nil"/>
        </w:pBdr>
        <w:spacing w:after="240" w:line="275" w:lineRule="auto"/>
        <w:rPr>
          <w:b/>
          <w:bCs/>
          <w:sz w:val="32"/>
          <w:szCs w:val="32"/>
        </w:rPr>
      </w:pPr>
      <w:r>
        <w:rPr>
          <w:b/>
          <w:bCs/>
          <w:noProof/>
          <w:sz w:val="32"/>
          <w:szCs w:val="32"/>
        </w:rPr>
        <w:drawing>
          <wp:inline distT="114300" distB="114300" distL="114300" distR="114300" wp14:anchorId="4DCD223B" wp14:editId="51A7201A">
            <wp:extent cx="5943600" cy="2476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2476500"/>
                    </a:xfrm>
                    <a:prstGeom prst="rect">
                      <a:avLst/>
                    </a:prstGeom>
                    <a:ln/>
                  </pic:spPr>
                </pic:pic>
              </a:graphicData>
            </a:graphic>
          </wp:inline>
        </w:drawing>
      </w:r>
    </w:p>
    <w:p w14:paraId="36E18161" w14:textId="77777777" w:rsidR="004F2E62" w:rsidRDefault="00000000">
      <w:pPr>
        <w:spacing w:before="240" w:after="240" w:line="275" w:lineRule="auto"/>
        <w:jc w:val="center"/>
        <w:rPr>
          <w:b/>
          <w:bCs/>
          <w:sz w:val="32"/>
          <w:szCs w:val="32"/>
        </w:rPr>
      </w:pPr>
      <w:r>
        <w:rPr>
          <w:b/>
          <w:bCs/>
          <w:sz w:val="32"/>
          <w:szCs w:val="32"/>
        </w:rPr>
        <w:t xml:space="preserve"> </w:t>
      </w:r>
    </w:p>
    <w:p w14:paraId="042D30DF" w14:textId="77777777" w:rsidR="004F2E62" w:rsidRDefault="00000000">
      <w:pPr>
        <w:spacing w:before="240" w:after="240" w:line="275" w:lineRule="auto"/>
        <w:jc w:val="center"/>
        <w:rPr>
          <w:b/>
          <w:bCs/>
          <w:sz w:val="32"/>
          <w:szCs w:val="32"/>
        </w:rPr>
      </w:pPr>
      <w:r>
        <w:rPr>
          <w:b/>
          <w:bCs/>
          <w:sz w:val="32"/>
          <w:szCs w:val="32"/>
        </w:rPr>
        <w:t>Module: Introduction to Physiology</w:t>
      </w:r>
    </w:p>
    <w:p w14:paraId="54B88B31" w14:textId="77777777" w:rsidR="004F2E62" w:rsidRDefault="00000000">
      <w:pPr>
        <w:spacing w:before="240" w:after="240" w:line="275" w:lineRule="auto"/>
        <w:jc w:val="center"/>
        <w:rPr>
          <w:b/>
          <w:bCs/>
          <w:sz w:val="32"/>
          <w:szCs w:val="32"/>
        </w:rPr>
      </w:pPr>
      <w:r>
        <w:rPr>
          <w:b/>
          <w:bCs/>
          <w:sz w:val="32"/>
          <w:szCs w:val="32"/>
        </w:rPr>
        <w:t>Module code: BMHP5023</w:t>
      </w:r>
    </w:p>
    <w:p w14:paraId="46C0A8C6" w14:textId="77777777" w:rsidR="004F2E62" w:rsidRDefault="00000000">
      <w:pPr>
        <w:spacing w:before="240" w:after="240" w:line="275" w:lineRule="auto"/>
        <w:rPr>
          <w:b/>
          <w:bCs/>
          <w:sz w:val="32"/>
          <w:szCs w:val="32"/>
        </w:rPr>
      </w:pPr>
      <w:r>
        <w:rPr>
          <w:b/>
          <w:bCs/>
          <w:sz w:val="32"/>
          <w:szCs w:val="32"/>
        </w:rPr>
        <w:t xml:space="preserve">   </w:t>
      </w:r>
    </w:p>
    <w:p w14:paraId="681782D4" w14:textId="77777777" w:rsidR="004F2E62" w:rsidRDefault="00000000">
      <w:pPr>
        <w:spacing w:before="240" w:after="240" w:line="275" w:lineRule="auto"/>
        <w:ind w:left="2160"/>
        <w:rPr>
          <w:b/>
          <w:bCs/>
          <w:sz w:val="32"/>
          <w:szCs w:val="32"/>
        </w:rPr>
      </w:pPr>
      <w:r>
        <w:rPr>
          <w:b/>
          <w:bCs/>
          <w:sz w:val="32"/>
          <w:szCs w:val="32"/>
        </w:rPr>
        <w:t xml:space="preserve">Name         </w:t>
      </w:r>
      <w:r>
        <w:rPr>
          <w:b/>
          <w:bCs/>
          <w:sz w:val="32"/>
          <w:szCs w:val="32"/>
        </w:rPr>
        <w:tab/>
        <w:t>: Busra Akter Rusi</w:t>
      </w:r>
    </w:p>
    <w:p w14:paraId="6902E31E" w14:textId="77777777" w:rsidR="004F2E62" w:rsidRDefault="00000000">
      <w:pPr>
        <w:spacing w:before="240" w:after="240" w:line="275" w:lineRule="auto"/>
        <w:ind w:left="2160"/>
        <w:rPr>
          <w:b/>
          <w:bCs/>
          <w:sz w:val="32"/>
          <w:szCs w:val="32"/>
        </w:rPr>
      </w:pPr>
      <w:r>
        <w:rPr>
          <w:b/>
          <w:bCs/>
          <w:sz w:val="32"/>
          <w:szCs w:val="32"/>
        </w:rPr>
        <w:t xml:space="preserve">Student ID  </w:t>
      </w:r>
      <w:r>
        <w:rPr>
          <w:b/>
          <w:bCs/>
          <w:sz w:val="32"/>
          <w:szCs w:val="32"/>
        </w:rPr>
        <w:tab/>
        <w:t>: 2413161</w:t>
      </w:r>
    </w:p>
    <w:p w14:paraId="2ECFE984" w14:textId="77777777" w:rsidR="004F2E62" w:rsidRDefault="00000000">
      <w:pPr>
        <w:spacing w:before="240" w:after="240" w:line="275" w:lineRule="auto"/>
        <w:ind w:left="2160"/>
        <w:rPr>
          <w:b/>
          <w:bCs/>
          <w:sz w:val="32"/>
          <w:szCs w:val="32"/>
        </w:rPr>
      </w:pPr>
      <w:r>
        <w:rPr>
          <w:b/>
          <w:bCs/>
          <w:sz w:val="32"/>
          <w:szCs w:val="32"/>
        </w:rPr>
        <w:t xml:space="preserve"> </w:t>
      </w:r>
    </w:p>
    <w:p w14:paraId="793E2AD7" w14:textId="77777777" w:rsidR="004F2E62" w:rsidRDefault="00000000">
      <w:pPr>
        <w:spacing w:before="240" w:after="240" w:line="275" w:lineRule="auto"/>
        <w:ind w:left="2160"/>
        <w:rPr>
          <w:b/>
          <w:bCs/>
          <w:sz w:val="32"/>
          <w:szCs w:val="32"/>
        </w:rPr>
      </w:pPr>
      <w:r>
        <w:rPr>
          <w:b/>
          <w:bCs/>
          <w:sz w:val="32"/>
          <w:szCs w:val="32"/>
        </w:rPr>
        <w:t>Assignment   : 01</w:t>
      </w:r>
    </w:p>
    <w:p w14:paraId="60FE7BA8" w14:textId="77777777" w:rsidR="004F2E62" w:rsidRDefault="00000000">
      <w:pPr>
        <w:spacing w:before="240" w:after="240" w:line="275" w:lineRule="auto"/>
        <w:ind w:left="2160"/>
        <w:rPr>
          <w:b/>
          <w:bCs/>
          <w:sz w:val="32"/>
          <w:szCs w:val="32"/>
        </w:rPr>
      </w:pPr>
      <w:r>
        <w:rPr>
          <w:b/>
          <w:bCs/>
          <w:sz w:val="32"/>
          <w:szCs w:val="32"/>
        </w:rPr>
        <w:t xml:space="preserve"> </w:t>
      </w:r>
    </w:p>
    <w:p w14:paraId="1DDAB81F" w14:textId="77777777" w:rsidR="004F2E62" w:rsidRDefault="00000000">
      <w:pPr>
        <w:spacing w:before="240" w:after="240" w:line="275" w:lineRule="auto"/>
        <w:ind w:left="2160"/>
        <w:rPr>
          <w:b/>
          <w:bCs/>
          <w:sz w:val="32"/>
          <w:szCs w:val="32"/>
        </w:rPr>
      </w:pPr>
      <w:r>
        <w:rPr>
          <w:b/>
          <w:bCs/>
          <w:sz w:val="32"/>
          <w:szCs w:val="32"/>
        </w:rPr>
        <w:t>Lecturer Name: Shaila Hussain</w:t>
      </w:r>
    </w:p>
    <w:p w14:paraId="6AD639CD" w14:textId="77777777" w:rsidR="004F2E62" w:rsidRDefault="004F2E62">
      <w:pPr>
        <w:pBdr>
          <w:top w:val="nil"/>
          <w:left w:val="nil"/>
          <w:bottom w:val="nil"/>
          <w:right w:val="nil"/>
          <w:between w:val="nil"/>
        </w:pBdr>
        <w:spacing w:after="240" w:line="275" w:lineRule="auto"/>
        <w:rPr>
          <w:b/>
          <w:bCs/>
          <w:sz w:val="32"/>
          <w:szCs w:val="32"/>
        </w:rPr>
      </w:pPr>
    </w:p>
    <w:p w14:paraId="377464AF" w14:textId="77777777" w:rsidR="004F2E62" w:rsidRDefault="00000000">
      <w:pPr>
        <w:pBdr>
          <w:top w:val="nil"/>
          <w:left w:val="nil"/>
          <w:bottom w:val="nil"/>
          <w:right w:val="nil"/>
          <w:between w:val="nil"/>
        </w:pBdr>
        <w:spacing w:after="240" w:line="275" w:lineRule="auto"/>
        <w:rPr>
          <w:b/>
          <w:bCs/>
          <w:sz w:val="32"/>
          <w:szCs w:val="32"/>
        </w:rPr>
      </w:pPr>
      <w:r>
        <w:br w:type="page"/>
      </w:r>
    </w:p>
    <w:p w14:paraId="0747671E" w14:textId="77777777" w:rsidR="004F2E62" w:rsidRDefault="00000000">
      <w:pPr>
        <w:pBdr>
          <w:top w:val="nil"/>
          <w:left w:val="nil"/>
          <w:bottom w:val="nil"/>
          <w:right w:val="nil"/>
          <w:between w:val="nil"/>
        </w:pBdr>
        <w:spacing w:after="240" w:line="275" w:lineRule="auto"/>
        <w:jc w:val="center"/>
        <w:rPr>
          <w:b/>
          <w:bCs/>
          <w:sz w:val="32"/>
          <w:szCs w:val="32"/>
        </w:rPr>
      </w:pPr>
      <w:r>
        <w:rPr>
          <w:b/>
          <w:bCs/>
          <w:sz w:val="32"/>
          <w:szCs w:val="32"/>
        </w:rPr>
        <w:lastRenderedPageBreak/>
        <w:t xml:space="preserve">Table of Contents </w:t>
      </w:r>
    </w:p>
    <w:sdt>
      <w:sdtPr>
        <w:id w:val="-553590293"/>
        <w:docPartObj>
          <w:docPartGallery w:val="Table of Contents"/>
          <w:docPartUnique/>
        </w:docPartObj>
      </w:sdtPr>
      <w:sdtContent>
        <w:p w14:paraId="594B9FB2" w14:textId="77777777" w:rsidR="004F2E62" w:rsidRDefault="00000000">
          <w:pPr>
            <w:tabs>
              <w:tab w:val="right" w:leader="dot" w:pos="9360"/>
            </w:tabs>
            <w:spacing w:before="60"/>
            <w:rPr>
              <w:b/>
              <w:bCs/>
              <w:color w:val="000000"/>
            </w:rPr>
          </w:pPr>
          <w:r>
            <w:fldChar w:fldCharType="begin"/>
          </w:r>
          <w:r>
            <w:instrText xml:space="preserve"> TOC \h \u \z \t "Heading 1,1,Heading 2,2,Heading 3,3,Heading 4,4,Heading 5,5,Heading 6,6,"</w:instrText>
          </w:r>
          <w:r>
            <w:fldChar w:fldCharType="separate"/>
          </w:r>
          <w:hyperlink>
            <w:r>
              <w:rPr>
                <w:b/>
                <w:bCs/>
                <w:color w:val="000000"/>
              </w:rPr>
              <w:t>1.0 Introduction to Type 2 Diabetes Mellitus (T2DM)</w:t>
            </w:r>
            <w:r>
              <w:rPr>
                <w:b/>
                <w:bCs/>
                <w:color w:val="000000"/>
              </w:rPr>
              <w:tab/>
            </w:r>
          </w:hyperlink>
          <w:r>
            <w:fldChar w:fldCharType="begin"/>
          </w:r>
          <w:r>
            <w:instrText xml:space="preserve"> PAGEREF  \h </w:instrText>
          </w:r>
          <w:r>
            <w:fldChar w:fldCharType="separate"/>
          </w:r>
          <w:r>
            <w:rPr>
              <w:b/>
              <w:bCs/>
            </w:rPr>
            <w:t>2</w:t>
          </w:r>
          <w:r>
            <w:fldChar w:fldCharType="end"/>
          </w:r>
        </w:p>
        <w:p w14:paraId="453A598A" w14:textId="77777777" w:rsidR="004F2E62" w:rsidRDefault="00000000">
          <w:pPr>
            <w:tabs>
              <w:tab w:val="right" w:leader="dot" w:pos="9360"/>
            </w:tabs>
            <w:spacing w:before="60"/>
            <w:ind w:left="360"/>
            <w:rPr>
              <w:color w:val="000000"/>
            </w:rPr>
          </w:pPr>
          <w:hyperlink>
            <w:r>
              <w:rPr>
                <w:color w:val="000000"/>
              </w:rPr>
              <w:t>1.1 Defining Type 2 Diabetes Mellitus and the Clinical Context</w:t>
            </w:r>
            <w:r>
              <w:rPr>
                <w:color w:val="000000"/>
              </w:rPr>
              <w:tab/>
            </w:r>
          </w:hyperlink>
          <w:r>
            <w:fldChar w:fldCharType="begin"/>
          </w:r>
          <w:r>
            <w:instrText xml:space="preserve"> PAGEREF  \h </w:instrText>
          </w:r>
          <w:r>
            <w:fldChar w:fldCharType="separate"/>
          </w:r>
          <w:r>
            <w:t>2</w:t>
          </w:r>
          <w:r>
            <w:fldChar w:fldCharType="end"/>
          </w:r>
        </w:p>
        <w:p w14:paraId="6A89CFDB" w14:textId="77777777" w:rsidR="004F2E62" w:rsidRDefault="00000000">
          <w:pPr>
            <w:tabs>
              <w:tab w:val="right" w:leader="dot" w:pos="9360"/>
            </w:tabs>
            <w:spacing w:before="60"/>
            <w:ind w:left="360"/>
            <w:rPr>
              <w:color w:val="000000"/>
            </w:rPr>
          </w:pPr>
          <w:hyperlink>
            <w:r>
              <w:rPr>
                <w:color w:val="000000"/>
              </w:rPr>
              <w:t>1.2 Primary Etiological and Modifiable Risk Factors</w:t>
            </w:r>
            <w:r>
              <w:rPr>
                <w:color w:val="000000"/>
              </w:rPr>
              <w:tab/>
            </w:r>
          </w:hyperlink>
          <w:r>
            <w:fldChar w:fldCharType="begin"/>
          </w:r>
          <w:r>
            <w:instrText xml:space="preserve"> PAGEREF  \h </w:instrText>
          </w:r>
          <w:r>
            <w:fldChar w:fldCharType="separate"/>
          </w:r>
          <w:r>
            <w:t>2</w:t>
          </w:r>
          <w:r>
            <w:fldChar w:fldCharType="end"/>
          </w:r>
        </w:p>
        <w:p w14:paraId="43F804C3" w14:textId="77777777" w:rsidR="004F2E62" w:rsidRDefault="00000000">
          <w:pPr>
            <w:tabs>
              <w:tab w:val="right" w:leader="dot" w:pos="9360"/>
            </w:tabs>
            <w:spacing w:before="60"/>
            <w:rPr>
              <w:b/>
              <w:bCs/>
              <w:color w:val="000000"/>
            </w:rPr>
          </w:pPr>
          <w:hyperlink>
            <w:r>
              <w:rPr>
                <w:b/>
                <w:bCs/>
                <w:color w:val="000000"/>
              </w:rPr>
              <w:t>2.0 The Mechanisms of Glucose Homeostasis</w:t>
            </w:r>
            <w:r>
              <w:rPr>
                <w:b/>
                <w:bCs/>
                <w:color w:val="000000"/>
              </w:rPr>
              <w:tab/>
            </w:r>
          </w:hyperlink>
          <w:r>
            <w:fldChar w:fldCharType="begin"/>
          </w:r>
          <w:r>
            <w:instrText xml:space="preserve"> PAGEREF  \h </w:instrText>
          </w:r>
          <w:r>
            <w:fldChar w:fldCharType="separate"/>
          </w:r>
          <w:r>
            <w:rPr>
              <w:b/>
              <w:bCs/>
            </w:rPr>
            <w:t>3</w:t>
          </w:r>
          <w:r>
            <w:fldChar w:fldCharType="end"/>
          </w:r>
        </w:p>
        <w:p w14:paraId="1CDB7E84" w14:textId="77777777" w:rsidR="004F2E62" w:rsidRDefault="00000000">
          <w:pPr>
            <w:tabs>
              <w:tab w:val="right" w:leader="dot" w:pos="9360"/>
            </w:tabs>
            <w:spacing w:before="60"/>
            <w:ind w:left="360"/>
            <w:rPr>
              <w:color w:val="000000"/>
            </w:rPr>
          </w:pPr>
          <w:hyperlink>
            <w:r>
              <w:rPr>
                <w:color w:val="000000"/>
              </w:rPr>
              <w:t>2.1 The Concept of Euglycemia and Autonomic Control</w:t>
            </w:r>
            <w:r>
              <w:rPr>
                <w:color w:val="000000"/>
              </w:rPr>
              <w:tab/>
            </w:r>
          </w:hyperlink>
          <w:r>
            <w:fldChar w:fldCharType="begin"/>
          </w:r>
          <w:r>
            <w:instrText xml:space="preserve"> PAGEREF  \h </w:instrText>
          </w:r>
          <w:r>
            <w:fldChar w:fldCharType="separate"/>
          </w:r>
          <w:r>
            <w:t>3</w:t>
          </w:r>
          <w:r>
            <w:fldChar w:fldCharType="end"/>
          </w:r>
        </w:p>
        <w:p w14:paraId="2B9140FB" w14:textId="77777777" w:rsidR="004F2E62" w:rsidRDefault="00000000">
          <w:pPr>
            <w:tabs>
              <w:tab w:val="right" w:leader="dot" w:pos="9360"/>
            </w:tabs>
            <w:spacing w:before="60"/>
            <w:ind w:left="360"/>
            <w:rPr>
              <w:color w:val="000000"/>
            </w:rPr>
          </w:pPr>
          <w:hyperlink>
            <w:r>
              <w:rPr>
                <w:color w:val="000000"/>
              </w:rPr>
              <w:t>2.2 Dual Roles of Pancreatic Hormones: Insulin and Glucagon</w:t>
            </w:r>
            <w:r>
              <w:rPr>
                <w:color w:val="000000"/>
              </w:rPr>
              <w:tab/>
            </w:r>
          </w:hyperlink>
          <w:r>
            <w:fldChar w:fldCharType="begin"/>
          </w:r>
          <w:r>
            <w:instrText xml:space="preserve"> PAGEREF  \h </w:instrText>
          </w:r>
          <w:r>
            <w:fldChar w:fldCharType="separate"/>
          </w:r>
          <w:r>
            <w:t>3</w:t>
          </w:r>
          <w:r>
            <w:fldChar w:fldCharType="end"/>
          </w:r>
        </w:p>
        <w:p w14:paraId="7E76AB68" w14:textId="77777777" w:rsidR="004F2E62" w:rsidRDefault="00000000">
          <w:pPr>
            <w:tabs>
              <w:tab w:val="right" w:leader="dot" w:pos="9360"/>
            </w:tabs>
            <w:spacing w:before="60"/>
            <w:ind w:left="720"/>
            <w:rPr>
              <w:color w:val="000000"/>
            </w:rPr>
          </w:pPr>
          <w:hyperlink>
            <w:r>
              <w:rPr>
                <w:color w:val="000000"/>
              </w:rPr>
              <w:t>Insulin's Anabolic Function</w:t>
            </w:r>
            <w:r>
              <w:rPr>
                <w:color w:val="000000"/>
              </w:rPr>
              <w:tab/>
            </w:r>
          </w:hyperlink>
          <w:r>
            <w:fldChar w:fldCharType="begin"/>
          </w:r>
          <w:r>
            <w:instrText xml:space="preserve"> PAGEREF  \h </w:instrText>
          </w:r>
          <w:r>
            <w:fldChar w:fldCharType="separate"/>
          </w:r>
          <w:r>
            <w:t>3</w:t>
          </w:r>
          <w:r>
            <w:fldChar w:fldCharType="end"/>
          </w:r>
        </w:p>
        <w:p w14:paraId="299AA6E6" w14:textId="77777777" w:rsidR="004F2E62" w:rsidRDefault="00000000">
          <w:pPr>
            <w:tabs>
              <w:tab w:val="right" w:leader="dot" w:pos="9360"/>
            </w:tabs>
            <w:spacing w:before="60"/>
            <w:ind w:left="720"/>
            <w:rPr>
              <w:color w:val="000000"/>
            </w:rPr>
          </w:pPr>
          <w:hyperlink>
            <w:r>
              <w:rPr>
                <w:color w:val="000000"/>
              </w:rPr>
              <w:t>Glucagon's Catabolic Function</w:t>
            </w:r>
            <w:r>
              <w:rPr>
                <w:color w:val="000000"/>
              </w:rPr>
              <w:tab/>
            </w:r>
          </w:hyperlink>
          <w:r>
            <w:fldChar w:fldCharType="begin"/>
          </w:r>
          <w:r>
            <w:instrText xml:space="preserve"> PAGEREF  \h </w:instrText>
          </w:r>
          <w:r>
            <w:fldChar w:fldCharType="separate"/>
          </w:r>
          <w:r>
            <w:t>4</w:t>
          </w:r>
          <w:r>
            <w:fldChar w:fldCharType="end"/>
          </w:r>
        </w:p>
        <w:p w14:paraId="2D01919C" w14:textId="77777777" w:rsidR="004F2E62" w:rsidRDefault="00000000">
          <w:pPr>
            <w:tabs>
              <w:tab w:val="right" w:leader="dot" w:pos="9360"/>
            </w:tabs>
            <w:spacing w:before="60"/>
            <w:ind w:left="360"/>
            <w:rPr>
              <w:color w:val="000000"/>
            </w:rPr>
          </w:pPr>
          <w:hyperlink>
            <w:r>
              <w:rPr>
                <w:color w:val="000000"/>
              </w:rPr>
              <w:t>2.3 The Progression of Pancreatic Failure in T2DM</w:t>
            </w:r>
            <w:r>
              <w:rPr>
                <w:color w:val="000000"/>
              </w:rPr>
              <w:tab/>
            </w:r>
          </w:hyperlink>
          <w:r>
            <w:fldChar w:fldCharType="begin"/>
          </w:r>
          <w:r>
            <w:instrText xml:space="preserve"> PAGEREF  \h </w:instrText>
          </w:r>
          <w:r>
            <w:fldChar w:fldCharType="separate"/>
          </w:r>
          <w:r>
            <w:t>4</w:t>
          </w:r>
          <w:r>
            <w:fldChar w:fldCharType="end"/>
          </w:r>
        </w:p>
        <w:p w14:paraId="303BCF29" w14:textId="77777777" w:rsidR="004F2E62" w:rsidRDefault="00000000">
          <w:pPr>
            <w:tabs>
              <w:tab w:val="right" w:leader="dot" w:pos="9360"/>
            </w:tabs>
            <w:spacing w:before="60"/>
            <w:rPr>
              <w:b/>
              <w:bCs/>
              <w:color w:val="000000"/>
            </w:rPr>
          </w:pPr>
          <w:hyperlink>
            <w:r>
              <w:rPr>
                <w:b/>
                <w:bCs/>
                <w:color w:val="000000"/>
              </w:rPr>
              <w:t>3.0 Cellular Energy Production: Oxygen and Glucose Metabolism</w:t>
            </w:r>
            <w:r>
              <w:rPr>
                <w:b/>
                <w:bCs/>
                <w:color w:val="000000"/>
              </w:rPr>
              <w:tab/>
            </w:r>
          </w:hyperlink>
          <w:r>
            <w:fldChar w:fldCharType="begin"/>
          </w:r>
          <w:r>
            <w:instrText xml:space="preserve"> PAGEREF  \h </w:instrText>
          </w:r>
          <w:r>
            <w:fldChar w:fldCharType="separate"/>
          </w:r>
          <w:r>
            <w:rPr>
              <w:b/>
              <w:bCs/>
            </w:rPr>
            <w:t>4</w:t>
          </w:r>
          <w:r>
            <w:fldChar w:fldCharType="end"/>
          </w:r>
        </w:p>
        <w:p w14:paraId="0187284C" w14:textId="77777777" w:rsidR="004F2E62" w:rsidRDefault="00000000">
          <w:pPr>
            <w:tabs>
              <w:tab w:val="right" w:leader="dot" w:pos="9360"/>
            </w:tabs>
            <w:spacing w:before="60"/>
            <w:ind w:left="360"/>
            <w:rPr>
              <w:color w:val="000000"/>
            </w:rPr>
          </w:pPr>
          <w:hyperlink>
            <w:r>
              <w:rPr>
                <w:color w:val="000000"/>
              </w:rPr>
              <w:t>3.1 The Purpose and Location of Aerobic Respiration</w:t>
            </w:r>
            <w:r>
              <w:rPr>
                <w:color w:val="000000"/>
              </w:rPr>
              <w:tab/>
            </w:r>
          </w:hyperlink>
          <w:r>
            <w:fldChar w:fldCharType="begin"/>
          </w:r>
          <w:r>
            <w:instrText xml:space="preserve"> PAGEREF  \h </w:instrText>
          </w:r>
          <w:r>
            <w:fldChar w:fldCharType="separate"/>
          </w:r>
          <w:r>
            <w:t>4</w:t>
          </w:r>
          <w:r>
            <w:fldChar w:fldCharType="end"/>
          </w:r>
        </w:p>
        <w:p w14:paraId="39219B44" w14:textId="77777777" w:rsidR="004F2E62" w:rsidRDefault="00000000">
          <w:pPr>
            <w:tabs>
              <w:tab w:val="right" w:leader="dot" w:pos="9360"/>
            </w:tabs>
            <w:spacing w:before="60"/>
            <w:ind w:left="360"/>
            <w:rPr>
              <w:color w:val="000000"/>
            </w:rPr>
          </w:pPr>
          <w:hyperlink>
            <w:r>
              <w:rPr>
                <w:color w:val="000000"/>
              </w:rPr>
              <w:t>3.2 Detailed Stages of Aerobic Respiration</w:t>
            </w:r>
            <w:r>
              <w:rPr>
                <w:color w:val="000000"/>
              </w:rPr>
              <w:tab/>
            </w:r>
          </w:hyperlink>
          <w:r>
            <w:fldChar w:fldCharType="begin"/>
          </w:r>
          <w:r>
            <w:instrText xml:space="preserve"> PAGEREF  \h </w:instrText>
          </w:r>
          <w:r>
            <w:fldChar w:fldCharType="separate"/>
          </w:r>
          <w:r>
            <w:t>5</w:t>
          </w:r>
          <w:r>
            <w:fldChar w:fldCharType="end"/>
          </w:r>
        </w:p>
        <w:p w14:paraId="594E4742" w14:textId="77777777" w:rsidR="004F2E62" w:rsidRDefault="00000000">
          <w:pPr>
            <w:tabs>
              <w:tab w:val="right" w:leader="dot" w:pos="9360"/>
            </w:tabs>
            <w:spacing w:before="60"/>
            <w:ind w:left="720"/>
            <w:rPr>
              <w:color w:val="000000"/>
            </w:rPr>
          </w:pPr>
          <w:hyperlink>
            <w:r>
              <w:rPr>
                <w:color w:val="000000"/>
              </w:rPr>
              <w:t>Glycolysis</w:t>
            </w:r>
            <w:r>
              <w:rPr>
                <w:color w:val="000000"/>
              </w:rPr>
              <w:tab/>
            </w:r>
          </w:hyperlink>
          <w:r>
            <w:fldChar w:fldCharType="begin"/>
          </w:r>
          <w:r>
            <w:instrText xml:space="preserve"> PAGEREF  \h </w:instrText>
          </w:r>
          <w:r>
            <w:fldChar w:fldCharType="separate"/>
          </w:r>
          <w:r>
            <w:t>5</w:t>
          </w:r>
          <w:r>
            <w:fldChar w:fldCharType="end"/>
          </w:r>
        </w:p>
        <w:p w14:paraId="2B10A630" w14:textId="77777777" w:rsidR="004F2E62" w:rsidRDefault="00000000">
          <w:pPr>
            <w:tabs>
              <w:tab w:val="right" w:leader="dot" w:pos="9360"/>
            </w:tabs>
            <w:spacing w:before="60"/>
            <w:ind w:left="720"/>
            <w:rPr>
              <w:color w:val="000000"/>
            </w:rPr>
          </w:pPr>
          <w:hyperlink>
            <w:r>
              <w:rPr>
                <w:color w:val="000000"/>
              </w:rPr>
              <w:t>The Krebs Cycle (Citric Acid Cycle)</w:t>
            </w:r>
            <w:r>
              <w:rPr>
                <w:color w:val="000000"/>
              </w:rPr>
              <w:tab/>
            </w:r>
          </w:hyperlink>
          <w:r>
            <w:fldChar w:fldCharType="begin"/>
          </w:r>
          <w:r>
            <w:instrText xml:space="preserve"> PAGEREF  \h </w:instrText>
          </w:r>
          <w:r>
            <w:fldChar w:fldCharType="separate"/>
          </w:r>
          <w:r>
            <w:t>5</w:t>
          </w:r>
          <w:r>
            <w:fldChar w:fldCharType="end"/>
          </w:r>
        </w:p>
        <w:p w14:paraId="38C458E7" w14:textId="77777777" w:rsidR="004F2E62" w:rsidRDefault="00000000">
          <w:pPr>
            <w:tabs>
              <w:tab w:val="right" w:leader="dot" w:pos="9360"/>
            </w:tabs>
            <w:spacing w:before="60"/>
            <w:ind w:left="720"/>
            <w:rPr>
              <w:color w:val="000000"/>
            </w:rPr>
          </w:pPr>
          <w:hyperlink>
            <w:r>
              <w:rPr>
                <w:color w:val="000000"/>
              </w:rPr>
              <w:t>The Electron Transport Chain (ETC)</w:t>
            </w:r>
            <w:r>
              <w:rPr>
                <w:color w:val="000000"/>
              </w:rPr>
              <w:tab/>
            </w:r>
          </w:hyperlink>
          <w:r>
            <w:fldChar w:fldCharType="begin"/>
          </w:r>
          <w:r>
            <w:instrText xml:space="preserve"> PAGEREF  \h </w:instrText>
          </w:r>
          <w:r>
            <w:fldChar w:fldCharType="separate"/>
          </w:r>
          <w:r>
            <w:t>5</w:t>
          </w:r>
          <w:r>
            <w:fldChar w:fldCharType="end"/>
          </w:r>
        </w:p>
        <w:p w14:paraId="5F936B1C" w14:textId="77777777" w:rsidR="004F2E62" w:rsidRDefault="00000000">
          <w:pPr>
            <w:tabs>
              <w:tab w:val="right" w:leader="dot" w:pos="9360"/>
            </w:tabs>
            <w:spacing w:before="60"/>
            <w:ind w:left="360"/>
            <w:rPr>
              <w:color w:val="000000"/>
            </w:rPr>
          </w:pPr>
          <w:hyperlink>
            <w:r>
              <w:rPr>
                <w:color w:val="000000"/>
              </w:rPr>
              <w:t>3.3 Metabolic Implication in Type 2 Diabetes</w:t>
            </w:r>
            <w:r>
              <w:rPr>
                <w:color w:val="000000"/>
              </w:rPr>
              <w:tab/>
            </w:r>
          </w:hyperlink>
          <w:r>
            <w:fldChar w:fldCharType="begin"/>
          </w:r>
          <w:r>
            <w:instrText xml:space="preserve"> PAGEREF  \h </w:instrText>
          </w:r>
          <w:r>
            <w:fldChar w:fldCharType="separate"/>
          </w:r>
          <w:r>
            <w:t>6</w:t>
          </w:r>
          <w:r>
            <w:fldChar w:fldCharType="end"/>
          </w:r>
        </w:p>
        <w:p w14:paraId="3580FF2B" w14:textId="77777777" w:rsidR="004F2E62" w:rsidRDefault="00000000">
          <w:pPr>
            <w:tabs>
              <w:tab w:val="right" w:leader="dot" w:pos="9360"/>
            </w:tabs>
            <w:spacing w:before="60"/>
            <w:rPr>
              <w:b/>
              <w:bCs/>
              <w:color w:val="000000"/>
            </w:rPr>
          </w:pPr>
          <w:hyperlink>
            <w:r>
              <w:rPr>
                <w:b/>
                <w:bCs/>
                <w:color w:val="000000"/>
              </w:rPr>
              <w:t>4.0 Clinical Rationale for Tracking Blood Glucose Levels</w:t>
            </w:r>
            <w:r>
              <w:rPr>
                <w:b/>
                <w:bCs/>
                <w:color w:val="000000"/>
              </w:rPr>
              <w:tab/>
            </w:r>
          </w:hyperlink>
          <w:r>
            <w:fldChar w:fldCharType="begin"/>
          </w:r>
          <w:r>
            <w:instrText xml:space="preserve"> PAGEREF  \h </w:instrText>
          </w:r>
          <w:r>
            <w:fldChar w:fldCharType="separate"/>
          </w:r>
          <w:r>
            <w:rPr>
              <w:b/>
              <w:bCs/>
            </w:rPr>
            <w:t>6</w:t>
          </w:r>
          <w:r>
            <w:fldChar w:fldCharType="end"/>
          </w:r>
        </w:p>
        <w:p w14:paraId="30C9E0F9" w14:textId="77777777" w:rsidR="004F2E62" w:rsidRDefault="00000000">
          <w:pPr>
            <w:tabs>
              <w:tab w:val="right" w:leader="dot" w:pos="9360"/>
            </w:tabs>
            <w:spacing w:before="60"/>
            <w:ind w:left="360"/>
            <w:rPr>
              <w:color w:val="000000"/>
            </w:rPr>
          </w:pPr>
          <w:hyperlink>
            <w:r>
              <w:rPr>
                <w:color w:val="000000"/>
              </w:rPr>
              <w:t>4.1 The Importance of Data for Personalized Management</w:t>
            </w:r>
            <w:r>
              <w:rPr>
                <w:color w:val="000000"/>
              </w:rPr>
              <w:tab/>
            </w:r>
          </w:hyperlink>
          <w:r>
            <w:fldChar w:fldCharType="begin"/>
          </w:r>
          <w:r>
            <w:instrText xml:space="preserve"> PAGEREF  \h </w:instrText>
          </w:r>
          <w:r>
            <w:fldChar w:fldCharType="separate"/>
          </w:r>
          <w:r>
            <w:t>6</w:t>
          </w:r>
          <w:r>
            <w:fldChar w:fldCharType="end"/>
          </w:r>
        </w:p>
        <w:p w14:paraId="4BC88DD1" w14:textId="77777777" w:rsidR="004F2E62" w:rsidRDefault="00000000">
          <w:pPr>
            <w:tabs>
              <w:tab w:val="right" w:leader="dot" w:pos="9360"/>
            </w:tabs>
            <w:spacing w:before="60"/>
            <w:ind w:left="360"/>
            <w:rPr>
              <w:color w:val="000000"/>
            </w:rPr>
          </w:pPr>
          <w:hyperlink>
            <w:r>
              <w:rPr>
                <w:color w:val="000000"/>
              </w:rPr>
              <w:t>4.2 Leveraging Continuous Glucose Monitoring (CGM) and Advanced Analytics</w:t>
            </w:r>
            <w:r>
              <w:rPr>
                <w:color w:val="000000"/>
              </w:rPr>
              <w:tab/>
            </w:r>
          </w:hyperlink>
          <w:r>
            <w:fldChar w:fldCharType="begin"/>
          </w:r>
          <w:r>
            <w:instrText xml:space="preserve"> PAGEREF  \h </w:instrText>
          </w:r>
          <w:r>
            <w:fldChar w:fldCharType="separate"/>
          </w:r>
          <w:r>
            <w:t>7</w:t>
          </w:r>
          <w:r>
            <w:fldChar w:fldCharType="end"/>
          </w:r>
        </w:p>
        <w:p w14:paraId="67F57133" w14:textId="77777777" w:rsidR="004F2E62" w:rsidRDefault="00000000">
          <w:pPr>
            <w:tabs>
              <w:tab w:val="right" w:leader="dot" w:pos="9360"/>
            </w:tabs>
            <w:spacing w:before="60"/>
            <w:ind w:left="360"/>
            <w:rPr>
              <w:color w:val="000000"/>
            </w:rPr>
          </w:pPr>
          <w:hyperlink>
            <w:r>
              <w:rPr>
                <w:color w:val="000000"/>
              </w:rPr>
              <w:t>4.3 Transition to Predictive Metabolic Analysis</w:t>
            </w:r>
            <w:r>
              <w:rPr>
                <w:color w:val="000000"/>
              </w:rPr>
              <w:tab/>
            </w:r>
          </w:hyperlink>
          <w:r>
            <w:fldChar w:fldCharType="begin"/>
          </w:r>
          <w:r>
            <w:instrText xml:space="preserve"> PAGEREF  \h </w:instrText>
          </w:r>
          <w:r>
            <w:fldChar w:fldCharType="separate"/>
          </w:r>
          <w:r>
            <w:t>8</w:t>
          </w:r>
          <w:r>
            <w:fldChar w:fldCharType="end"/>
          </w:r>
        </w:p>
        <w:p w14:paraId="4E04AF68" w14:textId="77777777" w:rsidR="004F2E62" w:rsidRDefault="00000000">
          <w:pPr>
            <w:tabs>
              <w:tab w:val="right" w:leader="dot" w:pos="9360"/>
            </w:tabs>
            <w:spacing w:before="60"/>
            <w:rPr>
              <w:b/>
              <w:bCs/>
              <w:color w:val="000000"/>
            </w:rPr>
          </w:pPr>
          <w:hyperlink>
            <w:r>
              <w:rPr>
                <w:b/>
                <w:bCs/>
                <w:color w:val="000000"/>
              </w:rPr>
              <w:t>5.0 Evidence-Based Recommendations for Lifestyle Modification</w:t>
            </w:r>
            <w:r>
              <w:rPr>
                <w:b/>
                <w:bCs/>
                <w:color w:val="000000"/>
              </w:rPr>
              <w:tab/>
            </w:r>
          </w:hyperlink>
          <w:r>
            <w:fldChar w:fldCharType="begin"/>
          </w:r>
          <w:r>
            <w:instrText xml:space="preserve"> PAGEREF  \h </w:instrText>
          </w:r>
          <w:r>
            <w:fldChar w:fldCharType="separate"/>
          </w:r>
          <w:r>
            <w:rPr>
              <w:b/>
              <w:bCs/>
            </w:rPr>
            <w:t>8</w:t>
          </w:r>
          <w:r>
            <w:fldChar w:fldCharType="end"/>
          </w:r>
        </w:p>
        <w:p w14:paraId="24CA089E" w14:textId="77777777" w:rsidR="004F2E62" w:rsidRDefault="00000000">
          <w:pPr>
            <w:tabs>
              <w:tab w:val="right" w:leader="dot" w:pos="9360"/>
            </w:tabs>
            <w:spacing w:before="60"/>
            <w:ind w:left="360"/>
            <w:rPr>
              <w:color w:val="000000"/>
            </w:rPr>
          </w:pPr>
          <w:hyperlink>
            <w:r>
              <w:rPr>
                <w:color w:val="000000"/>
              </w:rPr>
              <w:t>5.1 Comprehensive Weight and Dietary Interventions</w:t>
            </w:r>
            <w:r>
              <w:rPr>
                <w:color w:val="000000"/>
              </w:rPr>
              <w:tab/>
            </w:r>
          </w:hyperlink>
          <w:r>
            <w:fldChar w:fldCharType="begin"/>
          </w:r>
          <w:r>
            <w:instrText xml:space="preserve"> PAGEREF  \h </w:instrText>
          </w:r>
          <w:r>
            <w:fldChar w:fldCharType="separate"/>
          </w:r>
          <w:r>
            <w:t>9</w:t>
          </w:r>
          <w:r>
            <w:fldChar w:fldCharType="end"/>
          </w:r>
        </w:p>
        <w:p w14:paraId="75B95516" w14:textId="77777777" w:rsidR="004F2E62" w:rsidRDefault="00000000">
          <w:pPr>
            <w:tabs>
              <w:tab w:val="right" w:leader="dot" w:pos="9360"/>
            </w:tabs>
            <w:spacing w:before="60"/>
            <w:ind w:left="360"/>
            <w:rPr>
              <w:color w:val="000000"/>
            </w:rPr>
          </w:pPr>
          <w:hyperlink>
            <w:r>
              <w:rPr>
                <w:color w:val="000000"/>
              </w:rPr>
              <w:t>5.2 Physical Activity and Mitigation of Insulin Resistance</w:t>
            </w:r>
            <w:r>
              <w:rPr>
                <w:color w:val="000000"/>
              </w:rPr>
              <w:tab/>
            </w:r>
          </w:hyperlink>
          <w:r>
            <w:fldChar w:fldCharType="begin"/>
          </w:r>
          <w:r>
            <w:instrText xml:space="preserve"> PAGEREF  \h </w:instrText>
          </w:r>
          <w:r>
            <w:fldChar w:fldCharType="separate"/>
          </w:r>
          <w:r>
            <w:t>9</w:t>
          </w:r>
          <w:r>
            <w:fldChar w:fldCharType="end"/>
          </w:r>
        </w:p>
        <w:p w14:paraId="620215F7" w14:textId="77777777" w:rsidR="004F2E62" w:rsidRDefault="00000000">
          <w:pPr>
            <w:tabs>
              <w:tab w:val="right" w:leader="dot" w:pos="9360"/>
            </w:tabs>
            <w:spacing w:before="60"/>
            <w:ind w:left="360"/>
            <w:rPr>
              <w:color w:val="000000"/>
            </w:rPr>
          </w:pPr>
          <w:hyperlink>
            <w:r>
              <w:rPr>
                <w:color w:val="000000"/>
              </w:rPr>
              <w:t>5.3 Addressing Systemic Inflammation and Tobacco Use</w:t>
            </w:r>
            <w:r>
              <w:rPr>
                <w:color w:val="000000"/>
              </w:rPr>
              <w:tab/>
            </w:r>
          </w:hyperlink>
          <w:r>
            <w:fldChar w:fldCharType="begin"/>
          </w:r>
          <w:r>
            <w:instrText xml:space="preserve"> PAGEREF  \h </w:instrText>
          </w:r>
          <w:r>
            <w:fldChar w:fldCharType="separate"/>
          </w:r>
          <w:r>
            <w:t>9</w:t>
          </w:r>
          <w:r>
            <w:fldChar w:fldCharType="end"/>
          </w:r>
        </w:p>
        <w:p w14:paraId="05119101" w14:textId="77777777" w:rsidR="004F2E62" w:rsidRDefault="00000000">
          <w:pPr>
            <w:tabs>
              <w:tab w:val="right" w:leader="dot" w:pos="9360"/>
            </w:tabs>
            <w:spacing w:before="60"/>
            <w:rPr>
              <w:b/>
              <w:bCs/>
              <w:color w:val="000000"/>
            </w:rPr>
          </w:pPr>
          <w:hyperlink>
            <w:r>
              <w:rPr>
                <w:b/>
                <w:bCs/>
                <w:color w:val="000000"/>
              </w:rPr>
              <w:t>6.0 Conclusion</w:t>
            </w:r>
            <w:r>
              <w:rPr>
                <w:b/>
                <w:bCs/>
                <w:color w:val="000000"/>
              </w:rPr>
              <w:tab/>
            </w:r>
          </w:hyperlink>
          <w:r>
            <w:fldChar w:fldCharType="begin"/>
          </w:r>
          <w:r>
            <w:instrText xml:space="preserve"> PAGEREF  \h </w:instrText>
          </w:r>
          <w:r>
            <w:fldChar w:fldCharType="separate"/>
          </w:r>
          <w:r>
            <w:rPr>
              <w:b/>
              <w:bCs/>
            </w:rPr>
            <w:t>10</w:t>
          </w:r>
          <w:r>
            <w:fldChar w:fldCharType="end"/>
          </w:r>
        </w:p>
        <w:p w14:paraId="0DF498E6" w14:textId="77777777" w:rsidR="004F2E62" w:rsidRDefault="00000000">
          <w:pPr>
            <w:tabs>
              <w:tab w:val="right" w:leader="dot" w:pos="9360"/>
            </w:tabs>
            <w:spacing w:before="60"/>
            <w:rPr>
              <w:b/>
              <w:bCs/>
              <w:color w:val="000000"/>
            </w:rPr>
          </w:pPr>
          <w:hyperlink>
            <w:r>
              <w:rPr>
                <w:b/>
                <w:bCs/>
                <w:color w:val="000000"/>
              </w:rPr>
              <w:t>7.0 Reference List</w:t>
            </w:r>
            <w:r>
              <w:rPr>
                <w:b/>
                <w:bCs/>
                <w:color w:val="000000"/>
              </w:rPr>
              <w:tab/>
            </w:r>
          </w:hyperlink>
          <w:r>
            <w:fldChar w:fldCharType="begin"/>
          </w:r>
          <w:r>
            <w:instrText xml:space="preserve"> PAGEREF  \h </w:instrText>
          </w:r>
          <w:r>
            <w:fldChar w:fldCharType="separate"/>
          </w:r>
          <w:r>
            <w:rPr>
              <w:b/>
              <w:bCs/>
            </w:rPr>
            <w:t>12</w:t>
          </w:r>
          <w:r>
            <w:fldChar w:fldCharType="end"/>
          </w:r>
          <w:r>
            <w:fldChar w:fldCharType="end"/>
          </w:r>
        </w:p>
      </w:sdtContent>
    </w:sdt>
    <w:p w14:paraId="7B9A789B" w14:textId="77777777" w:rsidR="004F2E62" w:rsidRDefault="004F2E62">
      <w:pPr>
        <w:pBdr>
          <w:top w:val="nil"/>
          <w:left w:val="nil"/>
          <w:bottom w:val="nil"/>
          <w:right w:val="nil"/>
          <w:between w:val="nil"/>
        </w:pBdr>
        <w:spacing w:after="240" w:line="275" w:lineRule="auto"/>
        <w:jc w:val="center"/>
        <w:rPr>
          <w:b/>
          <w:bCs/>
          <w:sz w:val="32"/>
          <w:szCs w:val="32"/>
        </w:rPr>
      </w:pPr>
    </w:p>
    <w:p w14:paraId="7011D654" w14:textId="77777777" w:rsidR="004F2E62" w:rsidRDefault="00000000">
      <w:pPr>
        <w:pStyle w:val="Heading1"/>
        <w:spacing w:before="0" w:after="120" w:line="275" w:lineRule="auto"/>
        <w:jc w:val="both"/>
        <w:rPr>
          <w:color w:val="1F1F1F"/>
        </w:rPr>
      </w:pPr>
      <w:r>
        <w:br w:type="page"/>
      </w:r>
    </w:p>
    <w:p w14:paraId="775856D0" w14:textId="77777777" w:rsidR="004F2E62" w:rsidRPr="00133B80" w:rsidRDefault="00000000">
      <w:pPr>
        <w:pStyle w:val="Heading2"/>
        <w:spacing w:before="0" w:after="80" w:line="276" w:lineRule="auto"/>
        <w:jc w:val="both"/>
        <w:rPr>
          <w:color w:val="1F1F1F"/>
          <w:sz w:val="34"/>
          <w:szCs w:val="34"/>
          <w:lang w:val="fr-FR"/>
        </w:rPr>
      </w:pPr>
      <w:bookmarkStart w:id="0" w:name="_ey4ak0xiiibg" w:colFirst="0" w:colLast="0"/>
      <w:bookmarkEnd w:id="0"/>
      <w:r w:rsidRPr="00133B80">
        <w:rPr>
          <w:color w:val="1F1F1F"/>
          <w:sz w:val="34"/>
          <w:szCs w:val="34"/>
          <w:lang w:val="fr-FR"/>
        </w:rPr>
        <w:lastRenderedPageBreak/>
        <w:t xml:space="preserve">1.0 Introduction to Type 2 </w:t>
      </w:r>
      <w:proofErr w:type="spellStart"/>
      <w:r w:rsidRPr="00133B80">
        <w:rPr>
          <w:color w:val="1F1F1F"/>
          <w:sz w:val="34"/>
          <w:szCs w:val="34"/>
          <w:lang w:val="fr-FR"/>
        </w:rPr>
        <w:t>Diabetes</w:t>
      </w:r>
      <w:proofErr w:type="spellEnd"/>
      <w:r w:rsidRPr="00133B80">
        <w:rPr>
          <w:color w:val="1F1F1F"/>
          <w:sz w:val="34"/>
          <w:szCs w:val="34"/>
          <w:lang w:val="fr-FR"/>
        </w:rPr>
        <w:t xml:space="preserve"> </w:t>
      </w:r>
      <w:proofErr w:type="spellStart"/>
      <w:r w:rsidRPr="00133B80">
        <w:rPr>
          <w:color w:val="1F1F1F"/>
          <w:sz w:val="34"/>
          <w:szCs w:val="34"/>
          <w:lang w:val="fr-FR"/>
        </w:rPr>
        <w:t>Mellitus</w:t>
      </w:r>
      <w:proofErr w:type="spellEnd"/>
      <w:r w:rsidRPr="00133B80">
        <w:rPr>
          <w:color w:val="1F1F1F"/>
          <w:sz w:val="34"/>
          <w:szCs w:val="34"/>
          <w:lang w:val="fr-FR"/>
        </w:rPr>
        <w:t xml:space="preserve"> (T2DM)</w:t>
      </w:r>
    </w:p>
    <w:p w14:paraId="130764F9" w14:textId="77777777" w:rsidR="004F2E62" w:rsidRDefault="00000000">
      <w:pPr>
        <w:pStyle w:val="Heading3"/>
        <w:spacing w:before="0" w:after="80" w:line="276" w:lineRule="auto"/>
        <w:jc w:val="both"/>
        <w:rPr>
          <w:color w:val="1F1F1F"/>
          <w:sz w:val="26"/>
          <w:szCs w:val="26"/>
        </w:rPr>
      </w:pPr>
      <w:bookmarkStart w:id="1" w:name="_qkg9vyqpjivj" w:colFirst="0" w:colLast="0"/>
      <w:bookmarkEnd w:id="1"/>
      <w:r>
        <w:rPr>
          <w:color w:val="1F1F1F"/>
          <w:sz w:val="26"/>
          <w:szCs w:val="26"/>
        </w:rPr>
        <w:t>1.1 Defining Type 2 Diabetes Mellitus and the Clinical Context</w:t>
      </w:r>
    </w:p>
    <w:p w14:paraId="1DB95E3B" w14:textId="77777777" w:rsidR="004F2E62" w:rsidRDefault="00000000">
      <w:pPr>
        <w:spacing w:after="240" w:line="276" w:lineRule="auto"/>
        <w:jc w:val="both"/>
        <w:rPr>
          <w:color w:val="1F1F1F"/>
        </w:rPr>
      </w:pPr>
      <w:r>
        <w:rPr>
          <w:color w:val="1F1F1F"/>
        </w:rPr>
        <w:t>This report synthesizes the physiology, pathology, and management of Type 2 Diabetes Mellitus (T2DM). It serves as an educational resource for practice nurses, enhancing patient understanding and facilitating effective self-management care plans.</w:t>
      </w:r>
    </w:p>
    <w:p w14:paraId="6B60B2A1" w14:textId="77777777" w:rsidR="004F2E62" w:rsidRDefault="00000000">
      <w:pPr>
        <w:spacing w:after="240" w:line="276" w:lineRule="auto"/>
        <w:jc w:val="both"/>
        <w:rPr>
          <w:color w:val="1F1F1F"/>
        </w:rPr>
      </w:pPr>
      <w:r>
        <w:rPr>
          <w:color w:val="1F1F1F"/>
        </w:rPr>
        <w:t xml:space="preserve">T2DM is the predominant form of diabetes, accounting for approximately 90% of all diagnosed cases (Anon, 2023a). </w:t>
      </w:r>
      <w:proofErr w:type="spellStart"/>
      <w:r>
        <w:rPr>
          <w:color w:val="1F1F1F"/>
        </w:rPr>
        <w:t>Pathophysiologically</w:t>
      </w:r>
      <w:proofErr w:type="spellEnd"/>
      <w:r>
        <w:rPr>
          <w:color w:val="1F1F1F"/>
        </w:rPr>
        <w:t xml:space="preserve">, the condition begins with </w:t>
      </w:r>
      <w:r>
        <w:rPr>
          <w:b/>
          <w:bCs/>
          <w:color w:val="1F1F1F"/>
        </w:rPr>
        <w:t>insulin resistance</w:t>
      </w:r>
      <w:r>
        <w:rPr>
          <w:color w:val="1F1F1F"/>
        </w:rPr>
        <w:t>, a state where peripheral tissues fail to respond adequately to the hormone (Anon, 2023a; ADA, 2024). Pancreatic beta cells initially increase insulin production for glucose homeostasis, but this compensatory hypersecretion is unsustainable. The pancreas eventually loses the capacity to produce sufficient insulin, leading to chronic hyperglycemia (Anon, 2023a; ADA, 2024). Common signs include polyuria, polydipsia, fatigue, and blurred vision (ADA, 2024). Early detection and aggressive management are critical for preventing long-term microvascular and macrovascular complications (ADA, 2024).</w:t>
      </w:r>
    </w:p>
    <w:p w14:paraId="77B1C957" w14:textId="77777777" w:rsidR="004F2E62" w:rsidRDefault="00000000">
      <w:pPr>
        <w:pStyle w:val="Heading3"/>
        <w:spacing w:before="0" w:after="80" w:line="276" w:lineRule="auto"/>
        <w:jc w:val="both"/>
        <w:rPr>
          <w:color w:val="1F1F1F"/>
          <w:sz w:val="26"/>
          <w:szCs w:val="26"/>
        </w:rPr>
      </w:pPr>
      <w:bookmarkStart w:id="2" w:name="_hg9x61tmni6s" w:colFirst="0" w:colLast="0"/>
      <w:bookmarkEnd w:id="2"/>
      <w:r>
        <w:rPr>
          <w:color w:val="1F1F1F"/>
          <w:sz w:val="26"/>
          <w:szCs w:val="26"/>
        </w:rPr>
        <w:t>1.2 Primary Etiological and Modifiable Risk Factors</w:t>
      </w:r>
    </w:p>
    <w:p w14:paraId="7A85FC5F" w14:textId="77777777" w:rsidR="004F2E62" w:rsidRDefault="00000000">
      <w:pPr>
        <w:spacing w:after="240" w:line="276" w:lineRule="auto"/>
        <w:jc w:val="both"/>
        <w:rPr>
          <w:color w:val="1F1F1F"/>
        </w:rPr>
      </w:pPr>
      <w:r>
        <w:rPr>
          <w:color w:val="1F1F1F"/>
        </w:rPr>
        <w:t>T2DM development involves a complex interaction between non-modifiable genetic susceptibility and powerful environmental and lifestyle factors (Anon, 2023a). Though historically seen in adults over 45, rising global trends show a significant increase in younger adults, adolescents, and children (Anon, 2023a; ADA, 2024). This highlights the dominance of modifiable risk factors. Central among these risks is obesity, particularly excess visceral fat (Anon, 2023a; Anon, 2024c). This adiposity initiates chronic low-grade inflammation that compromises metabolic function (Anon, 2024c). Chronic consumption of energy-dense diets coupled with physical inactivity compounds the problem, diminishing the body's efficiency in clearing glucose (Anon, 2023a). This disruption establishes the metabolic imbalance that drives disease progression. Therapeutic goals must focus on reducing systemic inflammation via rigorous intervention through weight loss and physical activity, recognizing these as essential anti-inflammatory mechanisms.</w:t>
      </w:r>
    </w:p>
    <w:p w14:paraId="012FCCC4" w14:textId="77777777" w:rsidR="004F2E62" w:rsidRDefault="00000000">
      <w:pPr>
        <w:pStyle w:val="Heading2"/>
        <w:spacing w:before="0" w:after="80" w:line="276" w:lineRule="auto"/>
        <w:jc w:val="both"/>
        <w:rPr>
          <w:color w:val="1F1F1F"/>
          <w:sz w:val="34"/>
          <w:szCs w:val="34"/>
        </w:rPr>
      </w:pPr>
      <w:bookmarkStart w:id="3" w:name="_jce0awst1163" w:colFirst="0" w:colLast="0"/>
      <w:bookmarkEnd w:id="3"/>
      <w:r>
        <w:rPr>
          <w:color w:val="1F1F1F"/>
          <w:sz w:val="34"/>
          <w:szCs w:val="34"/>
        </w:rPr>
        <w:t>2.0 The Mechanisms of Glucose Homeostasis</w:t>
      </w:r>
    </w:p>
    <w:p w14:paraId="21CF1F3F" w14:textId="77777777" w:rsidR="004F2E62" w:rsidRDefault="00000000">
      <w:pPr>
        <w:pStyle w:val="Heading3"/>
        <w:spacing w:before="0" w:after="80" w:line="276" w:lineRule="auto"/>
        <w:jc w:val="both"/>
        <w:rPr>
          <w:color w:val="1F1F1F"/>
          <w:sz w:val="26"/>
          <w:szCs w:val="26"/>
        </w:rPr>
      </w:pPr>
      <w:bookmarkStart w:id="4" w:name="_3f9it3nc8gqt" w:colFirst="0" w:colLast="0"/>
      <w:bookmarkEnd w:id="4"/>
      <w:r>
        <w:rPr>
          <w:color w:val="1F1F1F"/>
          <w:sz w:val="26"/>
          <w:szCs w:val="26"/>
        </w:rPr>
        <w:t>2.1 The Concept of Euglycemia and Autonomic Control</w:t>
      </w:r>
    </w:p>
    <w:p w14:paraId="21EE7587" w14:textId="77777777" w:rsidR="004F2E62" w:rsidRDefault="00000000">
      <w:pPr>
        <w:spacing w:after="240" w:line="276" w:lineRule="auto"/>
        <w:jc w:val="both"/>
        <w:rPr>
          <w:color w:val="1F1F1F"/>
        </w:rPr>
      </w:pPr>
      <w:r>
        <w:rPr>
          <w:color w:val="1F1F1F"/>
        </w:rPr>
        <w:t xml:space="preserve">Blood glucose (BG) levels are maintained constantly through a tightly controlled, autonomic process (Anon, 2024b). The objective is </w:t>
      </w:r>
      <w:r>
        <w:rPr>
          <w:b/>
          <w:bCs/>
          <w:color w:val="1F1F1F"/>
        </w:rPr>
        <w:t>euglycemia</w:t>
      </w:r>
      <w:r>
        <w:rPr>
          <w:color w:val="1F1F1F"/>
        </w:rPr>
        <w:t xml:space="preserve">, defined as blood sugar within the normal range, typically 60–100 mg/dL (fasting) or 60–140 mg/dL (overall) (Anon, 2024b). This stability is critical for a continuous energy supply, especially to the brain (Anon, 2024b). </w:t>
      </w:r>
      <w:proofErr w:type="spellStart"/>
      <w:r>
        <w:rPr>
          <w:color w:val="1F1F1F"/>
        </w:rPr>
        <w:t>Dysglycemia</w:t>
      </w:r>
      <w:proofErr w:type="spellEnd"/>
      <w:r>
        <w:rPr>
          <w:color w:val="1F1F1F"/>
        </w:rPr>
        <w:t xml:space="preserve"> poses threats: hypoglycemia starves cells, while persistent hyperglycemia creates a "sticky, paralyzing effect," damaging vasculature and peripheral nerves (Anon, 2024b). Euglycemia is orchestrated by complex hormonal interactions involving the pancreas, intestines, brain, and adrenal glands (Anon, 2024b).</w:t>
      </w:r>
    </w:p>
    <w:p w14:paraId="541F7F84" w14:textId="77777777" w:rsidR="004F2E62" w:rsidRDefault="004F2E62">
      <w:pPr>
        <w:spacing w:after="240" w:line="276" w:lineRule="auto"/>
        <w:jc w:val="both"/>
        <w:rPr>
          <w:color w:val="1F1F1F"/>
        </w:rPr>
      </w:pPr>
    </w:p>
    <w:p w14:paraId="576BC760" w14:textId="77777777" w:rsidR="004F2E62" w:rsidRDefault="00000000">
      <w:pPr>
        <w:pStyle w:val="Heading3"/>
        <w:spacing w:before="0" w:after="80" w:line="276" w:lineRule="auto"/>
        <w:jc w:val="both"/>
        <w:rPr>
          <w:color w:val="1F1F1F"/>
          <w:sz w:val="26"/>
          <w:szCs w:val="26"/>
        </w:rPr>
      </w:pPr>
      <w:bookmarkStart w:id="5" w:name="_jwxez8moye67" w:colFirst="0" w:colLast="0"/>
      <w:bookmarkEnd w:id="5"/>
      <w:r>
        <w:rPr>
          <w:color w:val="1F1F1F"/>
          <w:sz w:val="26"/>
          <w:szCs w:val="26"/>
        </w:rPr>
        <w:lastRenderedPageBreak/>
        <w:t>2.2 Dual Roles of Pancreatic Hormones: Insulin and Glucagon</w:t>
      </w:r>
    </w:p>
    <w:p w14:paraId="5CCC9CEB" w14:textId="701A2A89" w:rsidR="004F2E62" w:rsidRDefault="00000000">
      <w:pPr>
        <w:spacing w:after="240" w:line="276" w:lineRule="auto"/>
        <w:jc w:val="both"/>
        <w:rPr>
          <w:color w:val="1F1F1F"/>
        </w:rPr>
      </w:pPr>
      <w:r>
        <w:rPr>
          <w:color w:val="1F1F1F"/>
        </w:rPr>
        <w:t>The pancreas regulates glucose homeostasis through the antagonistic actions of insulin and glucagon, secreted by the islets of Langerhans (Anon, 2024b). Insulin, released by beta (</w:t>
      </w:r>
      <w:r w:rsidR="00133B80">
        <w:rPr>
          <w:color w:val="1F1F1F"/>
        </w:rPr>
        <w:t>β</w:t>
      </w:r>
      <w:r>
        <w:rPr>
          <w:color w:val="1F1F1F"/>
        </w:rPr>
        <w:t>) cells in response to elevated BG, enables insulin-dependent cells (like muscle and fat) to take up glucose for energy or storage (Anon, 2024b). In T2DM, initial resistance means tissues fail to utilize insulin effectively (ADA, 2024). Glucagon, released by alpha (</w:t>
      </w:r>
      <w:r w:rsidR="00133B80">
        <w:rPr>
          <w:color w:val="1F1F1F"/>
        </w:rPr>
        <w:t>α</w:t>
      </w:r>
      <w:r>
        <w:rPr>
          <w:color w:val="1F1F1F"/>
        </w:rPr>
        <w:t xml:space="preserve">) cells when BG is low, opposes insulin. It acts on the liver to stimulate </w:t>
      </w:r>
      <w:r>
        <w:rPr>
          <w:b/>
          <w:bCs/>
          <w:color w:val="1F1F1F"/>
        </w:rPr>
        <w:t>glycogenolysis</w:t>
      </w:r>
      <w:r>
        <w:rPr>
          <w:color w:val="1F1F1F"/>
        </w:rPr>
        <w:t xml:space="preserve"> (breaking down stored glycogen) and </w:t>
      </w:r>
      <w:r>
        <w:rPr>
          <w:b/>
          <w:bCs/>
          <w:color w:val="1F1F1F"/>
        </w:rPr>
        <w:t>gluconeogenesis</w:t>
      </w:r>
      <w:r>
        <w:rPr>
          <w:color w:val="1F1F1F"/>
        </w:rPr>
        <w:t xml:space="preserve"> (creating new glucose) (Anon, 2024b). This process raises BG back toward the euglycemic range (Anon, 2024b).</w:t>
      </w:r>
    </w:p>
    <w:p w14:paraId="30ACC48E" w14:textId="77777777" w:rsidR="004F2E62" w:rsidRDefault="00000000">
      <w:pPr>
        <w:pStyle w:val="Heading3"/>
        <w:spacing w:before="0" w:after="80" w:line="276" w:lineRule="auto"/>
        <w:jc w:val="both"/>
        <w:rPr>
          <w:color w:val="1F1F1F"/>
          <w:sz w:val="26"/>
          <w:szCs w:val="26"/>
        </w:rPr>
      </w:pPr>
      <w:bookmarkStart w:id="6" w:name="_sd4m2zlwui9k" w:colFirst="0" w:colLast="0"/>
      <w:bookmarkEnd w:id="6"/>
      <w:r>
        <w:rPr>
          <w:color w:val="1F1F1F"/>
          <w:sz w:val="26"/>
          <w:szCs w:val="26"/>
        </w:rPr>
        <w:t>2.3 The Progression of Pancreatic Failure in T2DM</w:t>
      </w:r>
    </w:p>
    <w:p w14:paraId="6EFD459D" w14:textId="2FCB0AD3" w:rsidR="004F2E62" w:rsidRDefault="00000000">
      <w:pPr>
        <w:spacing w:after="240" w:line="276" w:lineRule="auto"/>
        <w:jc w:val="both"/>
        <w:rPr>
          <w:color w:val="1F1F1F"/>
        </w:rPr>
      </w:pPr>
      <w:r>
        <w:rPr>
          <w:color w:val="1F1F1F"/>
        </w:rPr>
        <w:t xml:space="preserve">The failure of glucose homeostasis is dynamic. Intense resistance initially forces </w:t>
      </w:r>
      <w:r w:rsidR="00133B80">
        <w:rPr>
          <w:color w:val="1F1F1F"/>
        </w:rPr>
        <w:t>β</w:t>
      </w:r>
      <w:r>
        <w:rPr>
          <w:color w:val="1F1F1F"/>
        </w:rPr>
        <w:t xml:space="preserve">-cells to dramatically increase insulin output. This excessive demand eventually leads to cellular exhaustion and loss of function (Anon, 2023a; ADA, 2024). Without early mitigation of resistance via lifestyle changes and pharmacology, the pancreas gradually fails to sustain adequate insulin production. This transition to insulin deficiency marks a crucial turning point, underscoring the vital need for early, rigorous intervention to preserve residual </w:t>
      </w:r>
      <w:r w:rsidR="00133B80">
        <w:rPr>
          <w:color w:val="1F1F1F"/>
        </w:rPr>
        <w:t>β</w:t>
      </w:r>
      <w:r>
        <w:rPr>
          <w:color w:val="1F1F1F"/>
        </w:rPr>
        <w:t>-cell function.</w:t>
      </w:r>
    </w:p>
    <w:p w14:paraId="05648390" w14:textId="77777777" w:rsidR="004F2E62" w:rsidRDefault="00000000">
      <w:pPr>
        <w:pStyle w:val="Heading2"/>
        <w:spacing w:before="0" w:after="80" w:line="276" w:lineRule="auto"/>
        <w:jc w:val="both"/>
        <w:rPr>
          <w:color w:val="1F1F1F"/>
          <w:sz w:val="34"/>
          <w:szCs w:val="34"/>
        </w:rPr>
      </w:pPr>
      <w:bookmarkStart w:id="7" w:name="_yurxedc6r53d" w:colFirst="0" w:colLast="0"/>
      <w:bookmarkEnd w:id="7"/>
      <w:r>
        <w:rPr>
          <w:color w:val="1F1F1F"/>
          <w:sz w:val="34"/>
          <w:szCs w:val="34"/>
        </w:rPr>
        <w:t>3.0 Cellular Energy Production: Oxygen and Glucose Metabolism</w:t>
      </w:r>
    </w:p>
    <w:p w14:paraId="7C17D199" w14:textId="77777777" w:rsidR="004F2E62" w:rsidRDefault="00000000">
      <w:pPr>
        <w:pStyle w:val="Heading3"/>
        <w:spacing w:before="0" w:after="80" w:line="276" w:lineRule="auto"/>
        <w:jc w:val="both"/>
        <w:rPr>
          <w:color w:val="1F1F1F"/>
          <w:sz w:val="26"/>
          <w:szCs w:val="26"/>
        </w:rPr>
      </w:pPr>
      <w:bookmarkStart w:id="8" w:name="_cshasbdc2lsj" w:colFirst="0" w:colLast="0"/>
      <w:bookmarkEnd w:id="8"/>
      <w:r>
        <w:rPr>
          <w:color w:val="1F1F1F"/>
          <w:sz w:val="26"/>
          <w:szCs w:val="26"/>
        </w:rPr>
        <w:t>3.1 The Purpose and Location of Aerobic Respiration</w:t>
      </w:r>
    </w:p>
    <w:p w14:paraId="38D0D3D1" w14:textId="7440D203" w:rsidR="004F2E62" w:rsidRDefault="00000000">
      <w:pPr>
        <w:spacing w:after="240" w:line="276" w:lineRule="auto"/>
        <w:jc w:val="both"/>
        <w:rPr>
          <w:color w:val="1F1F1F"/>
        </w:rPr>
      </w:pPr>
      <w:r>
        <w:rPr>
          <w:color w:val="1F1F1F"/>
        </w:rPr>
        <w:t xml:space="preserve">Cellular respiration is the core process transferring energy from biological fuels into adenosine triphosphate (ATP) (Anon, 2025a). </w:t>
      </w:r>
      <w:r>
        <w:rPr>
          <w:b/>
          <w:bCs/>
          <w:color w:val="1F1F1F"/>
        </w:rPr>
        <w:t>Aerobic respiration</w:t>
      </w:r>
      <w:r>
        <w:rPr>
          <w:color w:val="1F1F1F"/>
        </w:rPr>
        <w:t xml:space="preserve"> requires oxygen as the electron acceptor (Anon, 2025a). Glucose is the preferred, efficient energy substrate, yielding easily expelled waste products (CO</w:t>
      </w:r>
      <w:r w:rsidR="004411B3">
        <w:rPr>
          <w:color w:val="1F1F1F"/>
          <w:vertAlign w:val="subscript"/>
        </w:rPr>
        <w:t>2</w:t>
      </w:r>
      <w:r>
        <w:rPr>
          <w:color w:val="1F1F1F"/>
        </w:rPr>
        <w:t xml:space="preserve"> and H</w:t>
      </w:r>
      <w:r w:rsidR="004411B3">
        <w:rPr>
          <w:color w:val="1F1F1F"/>
          <w:vertAlign w:val="subscript"/>
        </w:rPr>
        <w:t>2</w:t>
      </w:r>
      <w:r>
        <w:rPr>
          <w:color w:val="1F1F1F"/>
        </w:rPr>
        <w:t>O) (Anon, 2024b). Alternative fuels (fats/proteins) create ketoacids, increasing the risk of metabolic acidosis (Anon, 2024b). Oxygen is essential in the mitochondria where it is reduced to water, enabling the high-yield ATP production (Monash University, 2025; Anon, 2025a).</w:t>
      </w:r>
    </w:p>
    <w:p w14:paraId="3E5ACEDE" w14:textId="77777777" w:rsidR="004F2E62" w:rsidRDefault="00000000">
      <w:pPr>
        <w:pStyle w:val="Heading3"/>
        <w:spacing w:before="0" w:after="80" w:line="276" w:lineRule="auto"/>
        <w:jc w:val="both"/>
        <w:rPr>
          <w:color w:val="1F1F1F"/>
          <w:sz w:val="26"/>
          <w:szCs w:val="26"/>
        </w:rPr>
      </w:pPr>
      <w:bookmarkStart w:id="9" w:name="_d5z1vtg40ph0" w:colFirst="0" w:colLast="0"/>
      <w:bookmarkEnd w:id="9"/>
      <w:r>
        <w:rPr>
          <w:color w:val="1F1F1F"/>
          <w:sz w:val="26"/>
          <w:szCs w:val="26"/>
        </w:rPr>
        <w:t>3.2 Detailed Stages of Aerobic Respiration</w:t>
      </w:r>
    </w:p>
    <w:p w14:paraId="3CBF019A" w14:textId="77777777" w:rsidR="004F2E62" w:rsidRDefault="00000000">
      <w:pPr>
        <w:spacing w:after="240" w:line="276" w:lineRule="auto"/>
        <w:jc w:val="both"/>
        <w:rPr>
          <w:color w:val="1F1F1F"/>
        </w:rPr>
      </w:pPr>
      <w:r>
        <w:rPr>
          <w:color w:val="1F1F1F"/>
        </w:rPr>
        <w:t>Aerobic respiration occurs in controlled biochemical steps across different cellular compartments (Monash University, 2025).</w:t>
      </w:r>
    </w:p>
    <w:p w14:paraId="06AD3A74" w14:textId="77777777" w:rsidR="004F2E62" w:rsidRDefault="00000000">
      <w:pPr>
        <w:pStyle w:val="Heading4"/>
        <w:spacing w:before="0" w:after="40" w:line="276" w:lineRule="auto"/>
        <w:jc w:val="both"/>
        <w:rPr>
          <w:color w:val="1F1F1F"/>
          <w:sz w:val="22"/>
          <w:szCs w:val="22"/>
        </w:rPr>
      </w:pPr>
      <w:bookmarkStart w:id="10" w:name="_77unn9hyepa1" w:colFirst="0" w:colLast="0"/>
      <w:bookmarkEnd w:id="10"/>
      <w:r>
        <w:rPr>
          <w:color w:val="1F1F1F"/>
          <w:sz w:val="22"/>
          <w:szCs w:val="22"/>
        </w:rPr>
        <w:t>Glycolysis</w:t>
      </w:r>
    </w:p>
    <w:p w14:paraId="3EA82EE3" w14:textId="77777777" w:rsidR="004F2E62" w:rsidRDefault="00000000">
      <w:pPr>
        <w:spacing w:after="240" w:line="276" w:lineRule="auto"/>
        <w:jc w:val="both"/>
        <w:rPr>
          <w:color w:val="1F1F1F"/>
        </w:rPr>
      </w:pPr>
      <w:r>
        <w:rPr>
          <w:color w:val="1F1F1F"/>
        </w:rPr>
        <w:t>In the cytoplasm, glucose breaks down into pyruvate, yielding 2 ATP and NADH (Monash University, 2025).</w:t>
      </w:r>
    </w:p>
    <w:p w14:paraId="551B7D86" w14:textId="77777777" w:rsidR="004F2E62" w:rsidRDefault="00000000">
      <w:pPr>
        <w:pStyle w:val="Heading4"/>
        <w:spacing w:before="0" w:after="40" w:line="276" w:lineRule="auto"/>
        <w:jc w:val="both"/>
        <w:rPr>
          <w:color w:val="1F1F1F"/>
          <w:sz w:val="22"/>
          <w:szCs w:val="22"/>
        </w:rPr>
      </w:pPr>
      <w:bookmarkStart w:id="11" w:name="_6kyca9jakplq" w:colFirst="0" w:colLast="0"/>
      <w:bookmarkEnd w:id="11"/>
      <w:r>
        <w:rPr>
          <w:color w:val="1F1F1F"/>
          <w:sz w:val="22"/>
          <w:szCs w:val="22"/>
        </w:rPr>
        <w:t>The Krebs Cycle (Citric Acid Cycle)</w:t>
      </w:r>
    </w:p>
    <w:p w14:paraId="1AAB6D53" w14:textId="3551399D" w:rsidR="004F2E62" w:rsidRDefault="00000000">
      <w:pPr>
        <w:spacing w:after="240" w:line="276" w:lineRule="auto"/>
        <w:jc w:val="both"/>
        <w:rPr>
          <w:color w:val="1F1F1F"/>
        </w:rPr>
      </w:pPr>
      <w:r>
        <w:rPr>
          <w:color w:val="1F1F1F"/>
        </w:rPr>
        <w:t xml:space="preserve">In the mitochondrial matrix, pyruvate is oxidized. The Krebs cycle produces </w:t>
      </w:r>
      <w:r w:rsidR="004411B3">
        <w:rPr>
          <w:color w:val="1F1F1F"/>
        </w:rPr>
        <w:t>CO2</w:t>
      </w:r>
      <w:r>
        <w:rPr>
          <w:color w:val="1F1F1F"/>
        </w:rPr>
        <w:t>, 2 ATP, and electron carriers (</w:t>
      </w:r>
      <w:r w:rsidR="00733B26">
        <w:rPr>
          <w:color w:val="1F1F1F"/>
        </w:rPr>
        <w:t>NADH</w:t>
      </w:r>
      <w:r>
        <w:rPr>
          <w:color w:val="1F1F1F"/>
        </w:rPr>
        <w:t xml:space="preserve"> and FADH</w:t>
      </w:r>
      <w:r w:rsidRPr="00733B26">
        <w:rPr>
          <w:color w:val="1F1F1F"/>
          <w:vertAlign w:val="subscript"/>
        </w:rPr>
        <w:t>2</w:t>
      </w:r>
      <w:r>
        <w:rPr>
          <w:color w:val="1F1F1F"/>
        </w:rPr>
        <w:t>) (Monash University, 2025).</w:t>
      </w:r>
    </w:p>
    <w:p w14:paraId="6B2A11E3" w14:textId="77777777" w:rsidR="008E5855" w:rsidRDefault="008E5855">
      <w:pPr>
        <w:pStyle w:val="Heading4"/>
        <w:spacing w:before="0" w:after="40" w:line="276" w:lineRule="auto"/>
        <w:jc w:val="both"/>
        <w:rPr>
          <w:color w:val="1F1F1F"/>
          <w:sz w:val="22"/>
          <w:szCs w:val="22"/>
        </w:rPr>
      </w:pPr>
      <w:bookmarkStart w:id="12" w:name="_5tlqxy1jd442" w:colFirst="0" w:colLast="0"/>
      <w:bookmarkEnd w:id="12"/>
    </w:p>
    <w:p w14:paraId="3D8DD55B" w14:textId="3730EE13" w:rsidR="004F2E62" w:rsidRDefault="00000000">
      <w:pPr>
        <w:pStyle w:val="Heading4"/>
        <w:spacing w:before="0" w:after="40" w:line="276" w:lineRule="auto"/>
        <w:jc w:val="both"/>
        <w:rPr>
          <w:color w:val="1F1F1F"/>
          <w:sz w:val="22"/>
          <w:szCs w:val="22"/>
        </w:rPr>
      </w:pPr>
      <w:r>
        <w:rPr>
          <w:color w:val="1F1F1F"/>
          <w:sz w:val="22"/>
          <w:szCs w:val="22"/>
        </w:rPr>
        <w:lastRenderedPageBreak/>
        <w:t>The Electron Transport Chain (ETC)</w:t>
      </w:r>
    </w:p>
    <w:p w14:paraId="5860779F" w14:textId="77777777" w:rsidR="00733B26" w:rsidRDefault="00000000">
      <w:pPr>
        <w:spacing w:after="240" w:line="276" w:lineRule="auto"/>
        <w:jc w:val="both"/>
        <w:rPr>
          <w:color w:val="1F1F1F"/>
        </w:rPr>
      </w:pPr>
      <w:r>
        <w:rPr>
          <w:color w:val="1F1F1F"/>
        </w:rPr>
        <w:t>This final, most productive stage occurs on the inner mitochondrial membrane. Electron carriers drive oxidative phosphorylation, using oxygen (</w:t>
      </w:r>
      <w:r w:rsidR="00733B26">
        <w:rPr>
          <w:color w:val="1F1F1F"/>
        </w:rPr>
        <w:t>O</w:t>
      </w:r>
      <w:r w:rsidR="00733B26" w:rsidRPr="00733B26">
        <w:rPr>
          <w:color w:val="1F1F1F"/>
          <w:vertAlign w:val="subscript"/>
        </w:rPr>
        <w:t>2</w:t>
      </w:r>
      <w:r>
        <w:rPr>
          <w:color w:val="1F1F1F"/>
        </w:rPr>
        <w:t>) as the final acceptor to form water (</w:t>
      </w:r>
      <w:r w:rsidR="004411B3">
        <w:rPr>
          <w:color w:val="1F1F1F"/>
        </w:rPr>
        <w:t>H2O</w:t>
      </w:r>
      <w:r>
        <w:rPr>
          <w:color w:val="1F1F1F"/>
        </w:rPr>
        <w:t xml:space="preserve">). This cascade yields 26–28 ATP, with the overall equation being: </w:t>
      </w:r>
    </w:p>
    <w:p w14:paraId="053ED37D" w14:textId="668C2E2A" w:rsidR="004F2E62" w:rsidRDefault="00733B26">
      <w:pPr>
        <w:spacing w:after="240" w:line="276" w:lineRule="auto"/>
        <w:jc w:val="both"/>
        <w:rPr>
          <w:color w:val="1F1F1F"/>
        </w:rPr>
      </w:pPr>
      <w:r>
        <w:rPr>
          <w:noProof/>
          <w:color w:val="1F1F1F"/>
        </w:rPr>
        <mc:AlternateContent>
          <mc:Choice Requires="wps">
            <w:drawing>
              <wp:anchor distT="0" distB="0" distL="114300" distR="114300" simplePos="0" relativeHeight="251659264" behindDoc="0" locked="0" layoutInCell="1" allowOverlap="1" wp14:anchorId="2AD3F540" wp14:editId="4BA3DC77">
                <wp:simplePos x="0" y="0"/>
                <wp:positionH relativeFrom="column">
                  <wp:posOffset>1208042</wp:posOffset>
                </wp:positionH>
                <wp:positionV relativeFrom="paragraph">
                  <wp:posOffset>92075</wp:posOffset>
                </wp:positionV>
                <wp:extent cx="587829" cy="0"/>
                <wp:effectExtent l="38100" t="76200" r="22225" b="133350"/>
                <wp:wrapNone/>
                <wp:docPr id="1597659249" name="Straight Arrow Connector 1"/>
                <wp:cNvGraphicFramePr/>
                <a:graphic xmlns:a="http://schemas.openxmlformats.org/drawingml/2006/main">
                  <a:graphicData uri="http://schemas.microsoft.com/office/word/2010/wordprocessingShape">
                    <wps:wsp>
                      <wps:cNvCnPr/>
                      <wps:spPr>
                        <a:xfrm>
                          <a:off x="0" y="0"/>
                          <a:ext cx="587829"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1832FB89" id="_x0000_t32" coordsize="21600,21600" o:spt="32" o:oned="t" path="m,l21600,21600e" filled="f">
                <v:path arrowok="t" fillok="f" o:connecttype="none"/>
                <o:lock v:ext="edit" shapetype="t"/>
              </v:shapetype>
              <v:shape id="Straight Arrow Connector 1" o:spid="_x0000_s1026" type="#_x0000_t32" style="position:absolute;margin-left:95.1pt;margin-top:7.25pt;width:46.3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ZnKuAEAAL4DAAAOAAAAZHJzL2Uyb0RvYy54bWysU8uu0zAQ3SPxD5b3NGkloERN76IX2CC4&#10;4vEBvs44sfBLY9Mkf8/YaVPEa4HYTPyYMzPn+ORwN1nDzoBRe9fy7abmDJz0nXZ9y798fvNsz1lM&#10;wnXCeActnyHyu+PTJ4cxNLDzgzcdIKMiLjZjaPmQUmiqKsoBrIgbH8DRpfJoRaIt9lWHYqTq1lS7&#10;un5RjR67gF5CjHR6v1zyY6mvFMj0QakIiZmW02ypRCzxMcfqeBBNjyIMWl7GEP8whRXaUdO11L1I&#10;gn1D/UspqyX66FXaSG8rr5SWUDgQm239E5tPgwhQuJA4Mawyxf9XVr4/n9wDkgxjiE0MD5hZTApt&#10;/tJ8bCpizatYMCUm6fD5/uV+94ozeb2qbriAMb0Fb1letDwmFLof0sk7Ry/icVu0Eud3MVFnAl4B&#10;ualxOSahzWvXsTQHsk1CLVxvIL8XpeeU6jZwWaXZwAL/CIrpjkbclTbFS3AyyM6CXNB93a5VKDND&#10;lDZmBdV/B11yMwyKv1bgQuqP3dbs0tG7tAKtdh5/1zVN11HVkn9lvXDNtB99N5fnK3KQSYo+F0Nn&#10;F/64L/Dbb3f8DgAA//8DAFBLAwQUAAYACAAAACEAuCLXud4AAAAJAQAADwAAAGRycy9kb3ducmV2&#10;LnhtbEyPQUvDQBCF70L/wzIFb3bTUCVNsyltpSB4EKOk1212TILZ2ZDdNvHfO+JBb/NmHm++l20n&#10;24krDr51pGC5iEAgVc60VCt4fzveJSB80GR05wgVfKGHbT67yXRq3EiveC1CLTiEfKoVNCH0qZS+&#10;atBqv3A9Et8+3GB1YDnU0gx65HDbyTiKHqTVLfGHRvd4aLD6LC5WwfEpGZNy9fwSyvJU9ms87B+X&#10;hVK382m3ARFwCn9m+MFndMiZ6ewuZLzoWK+jmK08rO5BsCFOYu5y/l3IPJP/G+TfAAAA//8DAFBL&#10;AQItABQABgAIAAAAIQC2gziS/gAAAOEBAAATAAAAAAAAAAAAAAAAAAAAAABbQ29udGVudF9UeXBl&#10;c10ueG1sUEsBAi0AFAAGAAgAAAAhADj9If/WAAAAlAEAAAsAAAAAAAAAAAAAAAAALwEAAF9yZWxz&#10;Ly5yZWxzUEsBAi0AFAAGAAgAAAAhAGBFmcq4AQAAvgMAAA4AAAAAAAAAAAAAAAAALgIAAGRycy9l&#10;Mm9Eb2MueG1sUEsBAi0AFAAGAAgAAAAhALgi17neAAAACQEAAA8AAAAAAAAAAAAAAAAAEgQAAGRy&#10;cy9kb3ducmV2LnhtbFBLBQYAAAAABAAEAPMAAAAdBQAAAAA=&#10;" strokecolor="black [3200]" strokeweight="2pt">
                <v:stroke endarrow="block"/>
                <v:shadow on="t" color="black" opacity="24903f" origin=",.5" offset="0,.55556mm"/>
              </v:shape>
            </w:pict>
          </mc:Fallback>
        </mc:AlternateContent>
      </w:r>
      <w:r w:rsidR="00000000">
        <w:rPr>
          <w:color w:val="1F1F1F"/>
        </w:rPr>
        <w:t xml:space="preserve">Glucose + Oxygen </w:t>
      </w:r>
      <w:r>
        <w:rPr>
          <w:color w:val="1F1F1F"/>
        </w:rPr>
        <w:tab/>
      </w:r>
      <w:r>
        <w:rPr>
          <w:color w:val="1F1F1F"/>
        </w:rPr>
        <w:tab/>
      </w:r>
      <w:r w:rsidR="00000000">
        <w:rPr>
          <w:color w:val="1F1F1F"/>
        </w:rPr>
        <w:t>Carbon Dioxide + Water + 30/32 ATP (Monash University, 2025).</w:t>
      </w:r>
    </w:p>
    <w:p w14:paraId="56440434" w14:textId="77777777" w:rsidR="004F2E62" w:rsidRDefault="00000000">
      <w:pPr>
        <w:spacing w:after="240" w:line="276" w:lineRule="auto"/>
        <w:jc w:val="both"/>
        <w:rPr>
          <w:color w:val="1F1F1F"/>
        </w:rPr>
      </w:pPr>
      <w:r>
        <w:rPr>
          <w:color w:val="1F1F1F"/>
        </w:rPr>
        <w:t>A summary of the stages of aerobic respiration, linking location and output, is provided below:</w:t>
      </w:r>
    </w:p>
    <w:p w14:paraId="0A6215A9" w14:textId="77777777" w:rsidR="004F2E62" w:rsidRDefault="00000000">
      <w:pPr>
        <w:spacing w:after="240" w:line="276" w:lineRule="auto"/>
        <w:jc w:val="both"/>
        <w:rPr>
          <w:color w:val="1F1F1F"/>
        </w:rPr>
      </w:pPr>
      <w:r>
        <w:rPr>
          <w:color w:val="1F1F1F"/>
        </w:rPr>
        <w:t>Table 4: Key Stages of Aerobic Cellular Respiration</w:t>
      </w:r>
    </w:p>
    <w:tbl>
      <w:tblPr>
        <w:tblStyle w:val="a"/>
        <w:tblW w:w="9534"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89"/>
        <w:gridCol w:w="3003"/>
        <w:gridCol w:w="1875"/>
        <w:gridCol w:w="2318"/>
        <w:gridCol w:w="949"/>
      </w:tblGrid>
      <w:tr w:rsidR="004F2E62" w14:paraId="0A539C41" w14:textId="77777777" w:rsidTr="008E5855">
        <w:trPr>
          <w:trHeight w:val="1085"/>
        </w:trPr>
        <w:tc>
          <w:tcPr>
            <w:tcW w:w="1389"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FE5B4E8" w14:textId="77777777" w:rsidR="004F2E62" w:rsidRDefault="00000000">
            <w:pPr>
              <w:spacing w:after="480" w:line="276" w:lineRule="auto"/>
              <w:jc w:val="both"/>
              <w:rPr>
                <w:color w:val="1F1F1F"/>
              </w:rPr>
            </w:pPr>
            <w:r>
              <w:rPr>
                <w:b/>
                <w:bCs/>
                <w:color w:val="1F1F1F"/>
              </w:rPr>
              <w:t>Stage</w:t>
            </w:r>
          </w:p>
        </w:tc>
        <w:tc>
          <w:tcPr>
            <w:tcW w:w="3003"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A5A112E" w14:textId="77777777" w:rsidR="004F2E62" w:rsidRDefault="00000000">
            <w:pPr>
              <w:spacing w:after="480" w:line="276" w:lineRule="auto"/>
              <w:jc w:val="both"/>
              <w:rPr>
                <w:color w:val="1F1F1F"/>
              </w:rPr>
            </w:pPr>
            <w:r>
              <w:rPr>
                <w:b/>
                <w:bCs/>
                <w:color w:val="1F1F1F"/>
              </w:rPr>
              <w:t>Location (Organelle/Compartment)</w:t>
            </w:r>
          </w:p>
        </w:tc>
        <w:tc>
          <w:tcPr>
            <w:tcW w:w="187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C51F6F0" w14:textId="77777777" w:rsidR="004F2E62" w:rsidRDefault="00000000">
            <w:pPr>
              <w:spacing w:after="480" w:line="276" w:lineRule="auto"/>
              <w:jc w:val="both"/>
              <w:rPr>
                <w:color w:val="1F1F1F"/>
              </w:rPr>
            </w:pPr>
            <w:r>
              <w:rPr>
                <w:b/>
                <w:bCs/>
                <w:color w:val="1F1F1F"/>
              </w:rPr>
              <w:t>Key Function</w:t>
            </w:r>
          </w:p>
        </w:tc>
        <w:tc>
          <w:tcPr>
            <w:tcW w:w="231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F7B3E3C" w14:textId="77777777" w:rsidR="004F2E62" w:rsidRDefault="00000000">
            <w:pPr>
              <w:spacing w:after="480" w:line="276" w:lineRule="auto"/>
              <w:jc w:val="both"/>
              <w:rPr>
                <w:color w:val="1F1F1F"/>
              </w:rPr>
            </w:pPr>
            <w:r>
              <w:rPr>
                <w:b/>
                <w:bCs/>
                <w:color w:val="1F1F1F"/>
              </w:rPr>
              <w:t>Primary Output</w:t>
            </w:r>
          </w:p>
        </w:tc>
        <w:tc>
          <w:tcPr>
            <w:tcW w:w="949"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60F76F6" w14:textId="77777777" w:rsidR="004F2E62" w:rsidRDefault="00000000">
            <w:pPr>
              <w:spacing w:after="480" w:line="276" w:lineRule="auto"/>
              <w:jc w:val="both"/>
              <w:rPr>
                <w:color w:val="1F1F1F"/>
              </w:rPr>
            </w:pPr>
            <w:r>
              <w:rPr>
                <w:b/>
                <w:bCs/>
                <w:color w:val="1F1F1F"/>
              </w:rPr>
              <w:t>ATP Yield (Net)</w:t>
            </w:r>
          </w:p>
        </w:tc>
      </w:tr>
      <w:tr w:rsidR="004F2E62" w14:paraId="0B720410" w14:textId="77777777" w:rsidTr="008E5855">
        <w:trPr>
          <w:trHeight w:val="800"/>
        </w:trPr>
        <w:tc>
          <w:tcPr>
            <w:tcW w:w="1389"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49E17C5" w14:textId="77777777" w:rsidR="004F2E62" w:rsidRDefault="00000000">
            <w:pPr>
              <w:spacing w:after="480" w:line="276" w:lineRule="auto"/>
              <w:jc w:val="both"/>
              <w:rPr>
                <w:color w:val="1F1F1F"/>
              </w:rPr>
            </w:pPr>
            <w:r>
              <w:rPr>
                <w:b/>
                <w:bCs/>
                <w:color w:val="1F1F1F"/>
              </w:rPr>
              <w:t>Glycolysis</w:t>
            </w:r>
          </w:p>
        </w:tc>
        <w:tc>
          <w:tcPr>
            <w:tcW w:w="3003"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002B637" w14:textId="77777777" w:rsidR="004F2E62" w:rsidRDefault="00000000">
            <w:pPr>
              <w:spacing w:after="480" w:line="276" w:lineRule="auto"/>
              <w:jc w:val="both"/>
              <w:rPr>
                <w:color w:val="1F1F1F"/>
              </w:rPr>
            </w:pPr>
            <w:r>
              <w:rPr>
                <w:color w:val="1F1F1F"/>
              </w:rPr>
              <w:t>Cytoplasm</w:t>
            </w:r>
          </w:p>
        </w:tc>
        <w:tc>
          <w:tcPr>
            <w:tcW w:w="187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31500B3" w14:textId="77777777" w:rsidR="004F2E62" w:rsidRDefault="00000000">
            <w:pPr>
              <w:spacing w:after="480" w:line="276" w:lineRule="auto"/>
              <w:jc w:val="both"/>
              <w:rPr>
                <w:color w:val="1F1F1F"/>
              </w:rPr>
            </w:pPr>
            <w:r>
              <w:rPr>
                <w:color w:val="1F1F1F"/>
              </w:rPr>
              <w:t>Initial glucose breakdown</w:t>
            </w:r>
          </w:p>
        </w:tc>
        <w:tc>
          <w:tcPr>
            <w:tcW w:w="231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7C886A7" w14:textId="77777777" w:rsidR="004F2E62" w:rsidRDefault="00000000">
            <w:pPr>
              <w:spacing w:after="480" w:line="276" w:lineRule="auto"/>
              <w:jc w:val="both"/>
              <w:rPr>
                <w:color w:val="1F1F1F"/>
              </w:rPr>
            </w:pPr>
            <w:r>
              <w:rPr>
                <w:color w:val="1F1F1F"/>
              </w:rPr>
              <w:t>Pyruvate, NADH</w:t>
            </w:r>
          </w:p>
        </w:tc>
        <w:tc>
          <w:tcPr>
            <w:tcW w:w="949"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2E2A21D" w14:textId="77777777" w:rsidR="004F2E62" w:rsidRDefault="00000000">
            <w:pPr>
              <w:spacing w:after="480" w:line="276" w:lineRule="auto"/>
              <w:jc w:val="both"/>
              <w:rPr>
                <w:color w:val="1F1F1F"/>
              </w:rPr>
            </w:pPr>
            <w:r>
              <w:rPr>
                <w:color w:val="1F1F1F"/>
              </w:rPr>
              <w:t>2</w:t>
            </w:r>
          </w:p>
        </w:tc>
      </w:tr>
      <w:tr w:rsidR="004F2E62" w14:paraId="03E4EC7B" w14:textId="77777777" w:rsidTr="008E5855">
        <w:trPr>
          <w:trHeight w:val="1085"/>
        </w:trPr>
        <w:tc>
          <w:tcPr>
            <w:tcW w:w="1389"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0127EE7" w14:textId="77777777" w:rsidR="004F2E62" w:rsidRDefault="00000000">
            <w:pPr>
              <w:spacing w:after="480" w:line="276" w:lineRule="auto"/>
              <w:jc w:val="both"/>
              <w:rPr>
                <w:color w:val="1F1F1F"/>
              </w:rPr>
            </w:pPr>
            <w:r>
              <w:rPr>
                <w:b/>
                <w:bCs/>
                <w:color w:val="1F1F1F"/>
              </w:rPr>
              <w:t>Krebs Cycle</w:t>
            </w:r>
          </w:p>
        </w:tc>
        <w:tc>
          <w:tcPr>
            <w:tcW w:w="3003"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09B3A62" w14:textId="77777777" w:rsidR="004F2E62" w:rsidRDefault="00000000">
            <w:pPr>
              <w:spacing w:after="480" w:line="276" w:lineRule="auto"/>
              <w:jc w:val="both"/>
              <w:rPr>
                <w:color w:val="1F1F1F"/>
              </w:rPr>
            </w:pPr>
            <w:r>
              <w:rPr>
                <w:color w:val="1F1F1F"/>
              </w:rPr>
              <w:t>Mitochondrial Matrix</w:t>
            </w:r>
          </w:p>
        </w:tc>
        <w:tc>
          <w:tcPr>
            <w:tcW w:w="187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E1BB2F7" w14:textId="77777777" w:rsidR="004F2E62" w:rsidRDefault="00000000">
            <w:pPr>
              <w:spacing w:after="480" w:line="276" w:lineRule="auto"/>
              <w:jc w:val="both"/>
              <w:rPr>
                <w:color w:val="1F1F1F"/>
              </w:rPr>
            </w:pPr>
            <w:r>
              <w:rPr>
                <w:color w:val="1F1F1F"/>
              </w:rPr>
              <w:t>Oxidation of Pyruvate</w:t>
            </w:r>
          </w:p>
        </w:tc>
        <w:tc>
          <w:tcPr>
            <w:tcW w:w="231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7ADA71D" w14:textId="5DAE5F42" w:rsidR="004F2E62" w:rsidRDefault="004411B3">
            <w:pPr>
              <w:spacing w:after="480" w:line="276" w:lineRule="auto"/>
              <w:jc w:val="both"/>
              <w:rPr>
                <w:color w:val="1F1F1F"/>
              </w:rPr>
            </w:pPr>
            <w:r>
              <w:rPr>
                <w:color w:val="1F1F1F"/>
              </w:rPr>
              <w:t>CO2</w:t>
            </w:r>
            <w:r w:rsidR="00000000">
              <w:rPr>
                <w:color w:val="1F1F1F"/>
              </w:rPr>
              <w:t xml:space="preserve">, </w:t>
            </w:r>
            <w:r w:rsidR="00733B26">
              <w:rPr>
                <w:color w:val="1F1F1F"/>
              </w:rPr>
              <w:t>NADH</w:t>
            </w:r>
            <w:r w:rsidR="00000000">
              <w:rPr>
                <w:color w:val="1F1F1F"/>
              </w:rPr>
              <w:t xml:space="preserve">, </w:t>
            </w:r>
            <w:r w:rsidR="00733B26">
              <w:rPr>
                <w:color w:val="1F1F1F"/>
              </w:rPr>
              <w:t>FADH2</w:t>
            </w:r>
          </w:p>
        </w:tc>
        <w:tc>
          <w:tcPr>
            <w:tcW w:w="949"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BF0E744" w14:textId="77777777" w:rsidR="004F2E62" w:rsidRDefault="00000000">
            <w:pPr>
              <w:spacing w:after="480" w:line="276" w:lineRule="auto"/>
              <w:jc w:val="both"/>
              <w:rPr>
                <w:color w:val="1F1F1F"/>
              </w:rPr>
            </w:pPr>
            <w:r>
              <w:rPr>
                <w:color w:val="1F1F1F"/>
              </w:rPr>
              <w:t>2</w:t>
            </w:r>
          </w:p>
        </w:tc>
      </w:tr>
      <w:tr w:rsidR="004F2E62" w14:paraId="71E78B23" w14:textId="77777777" w:rsidTr="008E5855">
        <w:trPr>
          <w:trHeight w:val="800"/>
        </w:trPr>
        <w:tc>
          <w:tcPr>
            <w:tcW w:w="1389"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050D6D2" w14:textId="77777777" w:rsidR="004F2E62" w:rsidRDefault="00000000">
            <w:pPr>
              <w:spacing w:after="480" w:line="276" w:lineRule="auto"/>
              <w:jc w:val="both"/>
              <w:rPr>
                <w:color w:val="1F1F1F"/>
              </w:rPr>
            </w:pPr>
            <w:r>
              <w:rPr>
                <w:b/>
                <w:bCs/>
                <w:color w:val="1F1F1F"/>
              </w:rPr>
              <w:t>ETC</w:t>
            </w:r>
          </w:p>
        </w:tc>
        <w:tc>
          <w:tcPr>
            <w:tcW w:w="3003"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84DE93E" w14:textId="77777777" w:rsidR="004F2E62" w:rsidRDefault="00000000">
            <w:pPr>
              <w:spacing w:after="480" w:line="276" w:lineRule="auto"/>
              <w:jc w:val="both"/>
              <w:rPr>
                <w:color w:val="1F1F1F"/>
              </w:rPr>
            </w:pPr>
            <w:r>
              <w:rPr>
                <w:color w:val="1F1F1F"/>
              </w:rPr>
              <w:t>Mitochondrial Inner Membrane</w:t>
            </w:r>
          </w:p>
        </w:tc>
        <w:tc>
          <w:tcPr>
            <w:tcW w:w="187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FF9B6C9" w14:textId="77777777" w:rsidR="004F2E62" w:rsidRDefault="00000000">
            <w:pPr>
              <w:spacing w:after="480" w:line="276" w:lineRule="auto"/>
              <w:jc w:val="both"/>
              <w:rPr>
                <w:color w:val="1F1F1F"/>
              </w:rPr>
            </w:pPr>
            <w:r>
              <w:rPr>
                <w:color w:val="1F1F1F"/>
              </w:rPr>
              <w:t>Oxidative Phosphorylation</w:t>
            </w:r>
          </w:p>
        </w:tc>
        <w:tc>
          <w:tcPr>
            <w:tcW w:w="2318"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9E5F4EA" w14:textId="73E72905" w:rsidR="004F2E62" w:rsidRDefault="004411B3">
            <w:pPr>
              <w:spacing w:after="480" w:line="276" w:lineRule="auto"/>
              <w:jc w:val="both"/>
              <w:rPr>
                <w:color w:val="1F1F1F"/>
              </w:rPr>
            </w:pPr>
            <w:r>
              <w:rPr>
                <w:color w:val="1F1F1F"/>
              </w:rPr>
              <w:t>H2O</w:t>
            </w:r>
            <w:r w:rsidR="00000000">
              <w:rPr>
                <w:color w:val="1F1F1F"/>
              </w:rPr>
              <w:t>, High ATP</w:t>
            </w:r>
          </w:p>
        </w:tc>
        <w:tc>
          <w:tcPr>
            <w:tcW w:w="949"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5F1A22E" w14:textId="77777777" w:rsidR="004F2E62" w:rsidRDefault="00000000">
            <w:pPr>
              <w:spacing w:after="480" w:line="276" w:lineRule="auto"/>
              <w:jc w:val="both"/>
              <w:rPr>
                <w:color w:val="1F1F1F"/>
              </w:rPr>
            </w:pPr>
            <w:r>
              <w:rPr>
                <w:color w:val="1F1F1F"/>
              </w:rPr>
              <w:t>26–28</w:t>
            </w:r>
          </w:p>
        </w:tc>
      </w:tr>
    </w:tbl>
    <w:p w14:paraId="5AD1A20B" w14:textId="77777777" w:rsidR="004F2E62" w:rsidRDefault="00000000">
      <w:pPr>
        <w:pStyle w:val="Heading3"/>
        <w:spacing w:before="0" w:after="80" w:line="276" w:lineRule="auto"/>
        <w:jc w:val="both"/>
        <w:rPr>
          <w:color w:val="1F1F1F"/>
          <w:sz w:val="26"/>
          <w:szCs w:val="26"/>
        </w:rPr>
      </w:pPr>
      <w:bookmarkStart w:id="13" w:name="_qe9e4l8kvtz" w:colFirst="0" w:colLast="0"/>
      <w:bookmarkEnd w:id="13"/>
      <w:r>
        <w:rPr>
          <w:color w:val="1F1F1F"/>
          <w:sz w:val="26"/>
          <w:szCs w:val="26"/>
        </w:rPr>
        <w:t>3.3 Metabolic Implication in Type 2 Diabetes</w:t>
      </w:r>
    </w:p>
    <w:p w14:paraId="3742623A" w14:textId="77777777" w:rsidR="004F2E62" w:rsidRDefault="00000000">
      <w:pPr>
        <w:spacing w:after="240" w:line="276" w:lineRule="auto"/>
        <w:jc w:val="both"/>
        <w:rPr>
          <w:color w:val="1F1F1F"/>
        </w:rPr>
      </w:pPr>
      <w:r>
        <w:rPr>
          <w:color w:val="1F1F1F"/>
        </w:rPr>
        <w:t>Insulin resistance in T2DM blocks effective glucose uptake, primarily in muscle cells. Despite high blood glucose, cells are starved of preferred fuel and shift metabolism toward fat and protein breakdown (Anon, 2024b). This shift away from efficient, glucose-based ATP production causes chronic fatigue. Accumulating ketoacids increase the risk of systemic acid-base disorders (Anon, 2024b). Restoring insulin sensitivity via exercise and weight management reverses this starvation state, allowing cells to resume efficient ATP synthesis, improving energy and stability.</w:t>
      </w:r>
    </w:p>
    <w:p w14:paraId="08BF29EF" w14:textId="77777777" w:rsidR="004F2E62" w:rsidRDefault="00000000">
      <w:pPr>
        <w:pStyle w:val="Heading2"/>
        <w:spacing w:before="0" w:after="80" w:line="276" w:lineRule="auto"/>
        <w:jc w:val="both"/>
        <w:rPr>
          <w:color w:val="1F1F1F"/>
          <w:sz w:val="34"/>
          <w:szCs w:val="34"/>
        </w:rPr>
      </w:pPr>
      <w:bookmarkStart w:id="14" w:name="_nfoqhrrh4f9k" w:colFirst="0" w:colLast="0"/>
      <w:bookmarkEnd w:id="14"/>
      <w:r>
        <w:rPr>
          <w:color w:val="1F1F1F"/>
          <w:sz w:val="34"/>
          <w:szCs w:val="34"/>
        </w:rPr>
        <w:t>4.0 Clinical Rationale for Tracking Blood Glucose Levels</w:t>
      </w:r>
    </w:p>
    <w:p w14:paraId="28B867A7" w14:textId="77777777" w:rsidR="004F2E62" w:rsidRDefault="00000000">
      <w:pPr>
        <w:pStyle w:val="Heading3"/>
        <w:spacing w:before="0" w:after="80" w:line="276" w:lineRule="auto"/>
        <w:jc w:val="both"/>
        <w:rPr>
          <w:color w:val="1F1F1F"/>
          <w:sz w:val="26"/>
          <w:szCs w:val="26"/>
        </w:rPr>
      </w:pPr>
      <w:bookmarkStart w:id="15" w:name="_uhn0dakc7whs" w:colFirst="0" w:colLast="0"/>
      <w:bookmarkEnd w:id="15"/>
      <w:r>
        <w:rPr>
          <w:color w:val="1F1F1F"/>
          <w:sz w:val="26"/>
          <w:szCs w:val="26"/>
        </w:rPr>
        <w:t>4.1 The Importance of Data for Personalized Management</w:t>
      </w:r>
    </w:p>
    <w:p w14:paraId="456D437D" w14:textId="77777777" w:rsidR="004F2E62" w:rsidRDefault="00000000">
      <w:pPr>
        <w:spacing w:after="240" w:line="276" w:lineRule="auto"/>
        <w:jc w:val="both"/>
        <w:rPr>
          <w:color w:val="1F1F1F"/>
        </w:rPr>
      </w:pPr>
      <w:r>
        <w:rPr>
          <w:color w:val="1F1F1F"/>
        </w:rPr>
        <w:t xml:space="preserve">Tracking blood sugar levels is a cornerstone of safe T2DM management. Monitoring provides an objective, quantifiable assessment of metabolic status, essential for assessing the effectiveness of therapeutic approaches (Anon, 2024d). Regular tracking acts as a critical early warning system, detecting subtle drops in control or dangerous glycemic swings (hypoglycemia or hyperglycemia) </w:t>
      </w:r>
      <w:r>
        <w:rPr>
          <w:color w:val="1F1F1F"/>
        </w:rPr>
        <w:lastRenderedPageBreak/>
        <w:t>before they escalate (Anon, 2024d). This allows for timely adjustments to medication or diet, ensuring safe adherence to therapeutic goals.</w:t>
      </w:r>
    </w:p>
    <w:p w14:paraId="0BC2F9BD" w14:textId="77777777" w:rsidR="004F2E62" w:rsidRDefault="00000000">
      <w:pPr>
        <w:pStyle w:val="Heading3"/>
        <w:spacing w:before="0" w:after="80" w:line="276" w:lineRule="auto"/>
        <w:jc w:val="both"/>
        <w:rPr>
          <w:color w:val="1F1F1F"/>
          <w:sz w:val="26"/>
          <w:szCs w:val="26"/>
        </w:rPr>
      </w:pPr>
      <w:bookmarkStart w:id="16" w:name="_v8lrpfslf18u" w:colFirst="0" w:colLast="0"/>
      <w:bookmarkEnd w:id="16"/>
      <w:r>
        <w:rPr>
          <w:color w:val="1F1F1F"/>
          <w:sz w:val="26"/>
          <w:szCs w:val="26"/>
        </w:rPr>
        <w:t>4.2 Leveraging Continuous Glucose Monitoring (CGM) and Advanced Analytics</w:t>
      </w:r>
    </w:p>
    <w:p w14:paraId="51F38DA4" w14:textId="77777777" w:rsidR="004F2E62" w:rsidRDefault="00000000">
      <w:pPr>
        <w:spacing w:after="240" w:line="276" w:lineRule="auto"/>
        <w:jc w:val="both"/>
        <w:rPr>
          <w:color w:val="1F1F1F"/>
        </w:rPr>
      </w:pPr>
      <w:r>
        <w:rPr>
          <w:color w:val="1F1F1F"/>
        </w:rPr>
        <w:t>Monitoring has evolved from traditional capillary readings (SMBG) to dynamic, real-time data via Continuous Glucose Monitoring (CGM). CGM use is expanding to include adults with T2DM managed without insulin (ADA, 2025). CGM provides a constant stream of information (up to 1440 interstitial readings daily) (Anon, 2024a), enabling clinicians to use enhanced metrics for better control (Anon, 2024d):</w:t>
      </w:r>
    </w:p>
    <w:p w14:paraId="078DBF72" w14:textId="77777777" w:rsidR="004F2E62" w:rsidRDefault="00000000">
      <w:pPr>
        <w:numPr>
          <w:ilvl w:val="0"/>
          <w:numId w:val="1"/>
        </w:numPr>
        <w:spacing w:line="276" w:lineRule="auto"/>
        <w:rPr>
          <w:color w:val="1F1F1F"/>
        </w:rPr>
      </w:pPr>
      <w:r>
        <w:rPr>
          <w:b/>
          <w:bCs/>
          <w:color w:val="1F1F1F"/>
        </w:rPr>
        <w:t>Time in Range (TIR):</w:t>
      </w:r>
      <w:r>
        <w:rPr>
          <w:color w:val="1F1F1F"/>
        </w:rPr>
        <w:t xml:space="preserve"> Measures time spent within the target euglycemic range, with studies showing consistent improvements of 15% to 34% (Anon, 2024d).</w:t>
      </w:r>
    </w:p>
    <w:p w14:paraId="63F63D59" w14:textId="77777777" w:rsidR="004F2E62" w:rsidRDefault="00000000">
      <w:pPr>
        <w:numPr>
          <w:ilvl w:val="0"/>
          <w:numId w:val="1"/>
        </w:numPr>
        <w:spacing w:after="240" w:line="276" w:lineRule="auto"/>
        <w:rPr>
          <w:color w:val="1F1F1F"/>
        </w:rPr>
      </w:pPr>
      <w:r>
        <w:rPr>
          <w:b/>
          <w:bCs/>
          <w:color w:val="1F1F1F"/>
        </w:rPr>
        <w:t>Reduced Time Below Range (TBR):</w:t>
      </w:r>
      <w:r>
        <w:rPr>
          <w:color w:val="1F1F1F"/>
        </w:rPr>
        <w:t xml:space="preserve"> A key safety metric, CGM significantly reduces hypoglycemia risk, vital for patients using insulin or sulfonylureas (Anon, 2024d).</w:t>
      </w:r>
    </w:p>
    <w:p w14:paraId="789C5D5D" w14:textId="77777777" w:rsidR="004F2E62" w:rsidRDefault="00000000">
      <w:pPr>
        <w:spacing w:after="240" w:line="276" w:lineRule="auto"/>
        <w:jc w:val="both"/>
        <w:rPr>
          <w:color w:val="1F1F1F"/>
        </w:rPr>
      </w:pPr>
      <w:r>
        <w:rPr>
          <w:color w:val="1F1F1F"/>
        </w:rPr>
        <w:t>CGM also serves as a powerful educational tool. Real-time feedback immediately links behaviors (food, activity) to the resulting glucose curve, enhancing patient understanding of their metabolic response and fostering superior adherence to personalized self-management strategies (Anon, 2024d).</w:t>
      </w:r>
    </w:p>
    <w:p w14:paraId="21B6B76B" w14:textId="77777777" w:rsidR="004F2E62" w:rsidRDefault="00000000">
      <w:pPr>
        <w:spacing w:after="240" w:line="276" w:lineRule="auto"/>
        <w:jc w:val="both"/>
        <w:rPr>
          <w:color w:val="1F1F1F"/>
        </w:rPr>
      </w:pPr>
      <w:r>
        <w:rPr>
          <w:color w:val="1F1F1F"/>
        </w:rPr>
        <w:t>Table 5: Tracking Blood Glucose: Metrics and Utility</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55"/>
        <w:gridCol w:w="2154"/>
        <w:gridCol w:w="4051"/>
      </w:tblGrid>
      <w:tr w:rsidR="004F2E62" w14:paraId="7C7BD5A5" w14:textId="77777777">
        <w:trPr>
          <w:trHeight w:val="800"/>
        </w:trPr>
        <w:tc>
          <w:tcPr>
            <w:tcW w:w="3154"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9A73672" w14:textId="77777777" w:rsidR="004F2E62" w:rsidRDefault="00000000">
            <w:pPr>
              <w:spacing w:after="480" w:line="276" w:lineRule="auto"/>
              <w:jc w:val="both"/>
              <w:rPr>
                <w:color w:val="1F1F1F"/>
              </w:rPr>
            </w:pPr>
            <w:r>
              <w:rPr>
                <w:b/>
                <w:bCs/>
                <w:color w:val="1F1F1F"/>
              </w:rPr>
              <w:t>Monitoring Tool</w:t>
            </w:r>
          </w:p>
        </w:tc>
        <w:tc>
          <w:tcPr>
            <w:tcW w:w="2154"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EE0A48F" w14:textId="77777777" w:rsidR="004F2E62" w:rsidRDefault="00000000">
            <w:pPr>
              <w:spacing w:after="480" w:line="276" w:lineRule="auto"/>
              <w:jc w:val="both"/>
              <w:rPr>
                <w:color w:val="1F1F1F"/>
              </w:rPr>
            </w:pPr>
            <w:r>
              <w:rPr>
                <w:b/>
                <w:bCs/>
                <w:color w:val="1F1F1F"/>
              </w:rPr>
              <w:t>Primary Data Type</w:t>
            </w:r>
          </w:p>
        </w:tc>
        <w:tc>
          <w:tcPr>
            <w:tcW w:w="405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B15C037" w14:textId="77777777" w:rsidR="004F2E62" w:rsidRDefault="00000000">
            <w:pPr>
              <w:spacing w:after="480" w:line="276" w:lineRule="auto"/>
              <w:jc w:val="both"/>
              <w:rPr>
                <w:color w:val="1F1F1F"/>
              </w:rPr>
            </w:pPr>
            <w:r>
              <w:rPr>
                <w:b/>
                <w:bCs/>
                <w:color w:val="1F1F1F"/>
              </w:rPr>
              <w:t>Clinical Significance for T2DM</w:t>
            </w:r>
          </w:p>
        </w:tc>
      </w:tr>
      <w:tr w:rsidR="004F2E62" w14:paraId="56930355" w14:textId="77777777">
        <w:trPr>
          <w:trHeight w:val="1085"/>
        </w:trPr>
        <w:tc>
          <w:tcPr>
            <w:tcW w:w="3154"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5C008B6" w14:textId="77777777" w:rsidR="004F2E62" w:rsidRDefault="00000000">
            <w:pPr>
              <w:spacing w:after="480" w:line="276" w:lineRule="auto"/>
              <w:jc w:val="both"/>
              <w:rPr>
                <w:color w:val="1F1F1F"/>
              </w:rPr>
            </w:pPr>
            <w:r>
              <w:rPr>
                <w:b/>
                <w:bCs/>
                <w:color w:val="1F1F1F"/>
              </w:rPr>
              <w:t>Traditional BG Meter</w:t>
            </w:r>
          </w:p>
        </w:tc>
        <w:tc>
          <w:tcPr>
            <w:tcW w:w="2154"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31B0C01" w14:textId="77777777" w:rsidR="004F2E62" w:rsidRDefault="00000000">
            <w:pPr>
              <w:spacing w:after="480" w:line="276" w:lineRule="auto"/>
              <w:jc w:val="both"/>
              <w:rPr>
                <w:color w:val="1F1F1F"/>
              </w:rPr>
            </w:pPr>
            <w:r>
              <w:rPr>
                <w:color w:val="1F1F1F"/>
              </w:rPr>
              <w:t>Single, point-in-time capillary reading (mg/dL)</w:t>
            </w:r>
          </w:p>
        </w:tc>
        <w:tc>
          <w:tcPr>
            <w:tcW w:w="405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FA84CB1" w14:textId="77777777" w:rsidR="004F2E62" w:rsidRDefault="00000000">
            <w:pPr>
              <w:spacing w:after="480" w:line="276" w:lineRule="auto"/>
              <w:jc w:val="both"/>
              <w:rPr>
                <w:color w:val="1F1F1F"/>
              </w:rPr>
            </w:pPr>
            <w:r>
              <w:rPr>
                <w:color w:val="1F1F1F"/>
              </w:rPr>
              <w:t>Immediate assessment for acute hypo/hyperglycemia; useful for pre/post-meal comparison.</w:t>
            </w:r>
          </w:p>
        </w:tc>
      </w:tr>
      <w:tr w:rsidR="004F2E62" w14:paraId="64976783" w14:textId="77777777">
        <w:trPr>
          <w:trHeight w:val="1355"/>
        </w:trPr>
        <w:tc>
          <w:tcPr>
            <w:tcW w:w="3154"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0F3B655" w14:textId="77777777" w:rsidR="004F2E62" w:rsidRDefault="00000000">
            <w:pPr>
              <w:spacing w:after="480" w:line="276" w:lineRule="auto"/>
              <w:jc w:val="both"/>
              <w:rPr>
                <w:color w:val="1F1F1F"/>
              </w:rPr>
            </w:pPr>
            <w:r>
              <w:rPr>
                <w:b/>
                <w:bCs/>
                <w:color w:val="1F1F1F"/>
              </w:rPr>
              <w:t>Continuous Glucose Monitor (CGM)</w:t>
            </w:r>
          </w:p>
        </w:tc>
        <w:tc>
          <w:tcPr>
            <w:tcW w:w="2154"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0A6CEA6" w14:textId="77777777" w:rsidR="004F2E62" w:rsidRDefault="00000000">
            <w:pPr>
              <w:spacing w:after="480" w:line="276" w:lineRule="auto"/>
              <w:jc w:val="both"/>
              <w:rPr>
                <w:color w:val="1F1F1F"/>
              </w:rPr>
            </w:pPr>
            <w:r>
              <w:rPr>
                <w:color w:val="1F1F1F"/>
              </w:rPr>
              <w:t>Interstitial fluid glucose readings (1440 data points/day)</w:t>
            </w:r>
          </w:p>
        </w:tc>
        <w:tc>
          <w:tcPr>
            <w:tcW w:w="405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A525BC5" w14:textId="77777777" w:rsidR="004F2E62" w:rsidRDefault="00000000">
            <w:pPr>
              <w:spacing w:after="480" w:line="276" w:lineRule="auto"/>
              <w:jc w:val="both"/>
              <w:rPr>
                <w:color w:val="1F1F1F"/>
              </w:rPr>
            </w:pPr>
            <w:r>
              <w:rPr>
                <w:color w:val="1F1F1F"/>
              </w:rPr>
              <w:t>Provides dynamic trends, Time in Range (TIR), and Time Below Range (TBR); potent biofeedback tool (Anon, 2024d).</w:t>
            </w:r>
          </w:p>
        </w:tc>
      </w:tr>
      <w:tr w:rsidR="004F2E62" w14:paraId="0FB2C5D7" w14:textId="77777777">
        <w:trPr>
          <w:trHeight w:val="1085"/>
        </w:trPr>
        <w:tc>
          <w:tcPr>
            <w:tcW w:w="3154"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F6AF4DB" w14:textId="7434A388" w:rsidR="004F2E62" w:rsidRDefault="00000000">
            <w:pPr>
              <w:spacing w:after="480" w:line="276" w:lineRule="auto"/>
              <w:jc w:val="both"/>
              <w:rPr>
                <w:color w:val="1F1F1F"/>
              </w:rPr>
            </w:pPr>
            <w:r>
              <w:rPr>
                <w:b/>
                <w:bCs/>
                <w:color w:val="1F1F1F"/>
              </w:rPr>
              <w:t>HbA</w:t>
            </w:r>
            <w:r w:rsidRPr="00733B26">
              <w:rPr>
                <w:b/>
                <w:bCs/>
                <w:color w:val="1F1F1F"/>
                <w:vertAlign w:val="subscript"/>
              </w:rPr>
              <w:t>1c</w:t>
            </w:r>
            <w:r>
              <w:rPr>
                <w:b/>
                <w:bCs/>
                <w:color w:val="1F1F1F"/>
              </w:rPr>
              <w:t xml:space="preserve"> Test</w:t>
            </w:r>
          </w:p>
        </w:tc>
        <w:tc>
          <w:tcPr>
            <w:tcW w:w="2154"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54032B3" w14:textId="77777777" w:rsidR="004F2E62" w:rsidRDefault="00000000">
            <w:pPr>
              <w:spacing w:after="480" w:line="276" w:lineRule="auto"/>
              <w:jc w:val="both"/>
              <w:rPr>
                <w:color w:val="1F1F1F"/>
              </w:rPr>
            </w:pPr>
            <w:r>
              <w:rPr>
                <w:color w:val="1F1F1F"/>
              </w:rPr>
              <w:t>Average BG over 2–3 months (%)</w:t>
            </w:r>
          </w:p>
        </w:tc>
        <w:tc>
          <w:tcPr>
            <w:tcW w:w="405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AE5DF42" w14:textId="77777777" w:rsidR="004F2E62" w:rsidRDefault="00000000">
            <w:pPr>
              <w:spacing w:after="480" w:line="276" w:lineRule="auto"/>
              <w:jc w:val="both"/>
              <w:rPr>
                <w:color w:val="1F1F1F"/>
              </w:rPr>
            </w:pPr>
            <w:r>
              <w:rPr>
                <w:color w:val="1F1F1F"/>
              </w:rPr>
              <w:t>Measures long-term control; provides a crucial complement to TIR for complete metabolic picture.</w:t>
            </w:r>
          </w:p>
        </w:tc>
      </w:tr>
    </w:tbl>
    <w:p w14:paraId="09AFFBF1" w14:textId="77777777" w:rsidR="008E5855" w:rsidRDefault="008E5855">
      <w:pPr>
        <w:pStyle w:val="Heading3"/>
        <w:spacing w:before="0" w:after="80" w:line="276" w:lineRule="auto"/>
        <w:jc w:val="both"/>
        <w:rPr>
          <w:color w:val="1F1F1F"/>
          <w:sz w:val="26"/>
          <w:szCs w:val="26"/>
        </w:rPr>
      </w:pPr>
      <w:bookmarkStart w:id="17" w:name="_39i7vtd1m8to" w:colFirst="0" w:colLast="0"/>
      <w:bookmarkEnd w:id="17"/>
    </w:p>
    <w:p w14:paraId="585C7B15" w14:textId="3CF7CE3E" w:rsidR="004F2E62" w:rsidRDefault="00000000">
      <w:pPr>
        <w:pStyle w:val="Heading3"/>
        <w:spacing w:before="0" w:after="80" w:line="276" w:lineRule="auto"/>
        <w:jc w:val="both"/>
        <w:rPr>
          <w:color w:val="1F1F1F"/>
          <w:sz w:val="26"/>
          <w:szCs w:val="26"/>
        </w:rPr>
      </w:pPr>
      <w:r>
        <w:rPr>
          <w:color w:val="1F1F1F"/>
          <w:sz w:val="26"/>
          <w:szCs w:val="26"/>
        </w:rPr>
        <w:lastRenderedPageBreak/>
        <w:t>4.3 Transition to Predictive Metabolic Analysis</w:t>
      </w:r>
    </w:p>
    <w:p w14:paraId="6EEAB462" w14:textId="77777777" w:rsidR="004F2E62" w:rsidRDefault="00000000">
      <w:pPr>
        <w:spacing w:after="240" w:line="276" w:lineRule="auto"/>
        <w:jc w:val="both"/>
        <w:rPr>
          <w:color w:val="1F1F1F"/>
        </w:rPr>
      </w:pPr>
      <w:r>
        <w:rPr>
          <w:color w:val="1F1F1F"/>
        </w:rPr>
        <w:t>The large data volume from CGM is driving a shift from traditional summary statistics to advanced analytical frameworks (CGM Data Analysis 2.0), incorporating Functional Data Analysis and AI/ML (Anon, 2024a). These methods analyze temporal glucose fluctuations, detecting subtle patterns missed by traditional metrics. This transforms management from retrospective to proactive and predictive science, enabling highly personalized strategies (Anon, 2024a). The practice nurse must educate patients on interpreting complex glucose trend curves and linking them adaptively to daily activities.</w:t>
      </w:r>
    </w:p>
    <w:p w14:paraId="3D17190D" w14:textId="77777777" w:rsidR="004F2E62" w:rsidRDefault="00000000">
      <w:pPr>
        <w:pStyle w:val="Heading2"/>
        <w:spacing w:before="0" w:after="80" w:line="276" w:lineRule="auto"/>
        <w:jc w:val="both"/>
        <w:rPr>
          <w:color w:val="1F1F1F"/>
          <w:sz w:val="34"/>
          <w:szCs w:val="34"/>
        </w:rPr>
      </w:pPr>
      <w:bookmarkStart w:id="18" w:name="_s54ofcxwxayz" w:colFirst="0" w:colLast="0"/>
      <w:bookmarkEnd w:id="18"/>
      <w:r>
        <w:rPr>
          <w:color w:val="1F1F1F"/>
          <w:sz w:val="34"/>
          <w:szCs w:val="34"/>
        </w:rPr>
        <w:t>5.0 Evidence-Based Recommendations for Lifestyle Modification</w:t>
      </w:r>
    </w:p>
    <w:p w14:paraId="3A28CE88" w14:textId="77777777" w:rsidR="004F2E62" w:rsidRDefault="00000000">
      <w:pPr>
        <w:pStyle w:val="Heading3"/>
        <w:spacing w:before="0" w:after="80" w:line="276" w:lineRule="auto"/>
        <w:jc w:val="both"/>
        <w:rPr>
          <w:color w:val="1F1F1F"/>
          <w:sz w:val="26"/>
          <w:szCs w:val="26"/>
        </w:rPr>
      </w:pPr>
      <w:bookmarkStart w:id="19" w:name="_e7qagje0rn1a" w:colFirst="0" w:colLast="0"/>
      <w:bookmarkEnd w:id="19"/>
      <w:r>
        <w:rPr>
          <w:color w:val="1F1F1F"/>
          <w:sz w:val="26"/>
          <w:szCs w:val="26"/>
        </w:rPr>
        <w:t>5.1 Comprehensive Weight and Dietary Interventions</w:t>
      </w:r>
    </w:p>
    <w:p w14:paraId="4A8803D5" w14:textId="48D74681" w:rsidR="004F2E62" w:rsidRDefault="00000000">
      <w:pPr>
        <w:spacing w:after="240" w:line="276" w:lineRule="auto"/>
        <w:jc w:val="both"/>
        <w:rPr>
          <w:color w:val="1F1F1F"/>
        </w:rPr>
      </w:pPr>
      <w:r>
        <w:rPr>
          <w:color w:val="1F1F1F"/>
        </w:rPr>
        <w:t xml:space="preserve">Lifestyle modifications are potent therapeutic tools, directly addressing insulin resistance. Sustained weight loss is essential. A reduction of </w:t>
      </w:r>
      <w:r>
        <w:rPr>
          <w:b/>
          <w:bCs/>
          <w:color w:val="1F1F1F"/>
        </w:rPr>
        <w:t>greater than 5%</w:t>
      </w:r>
      <w:r>
        <w:rPr>
          <w:color w:val="1F1F1F"/>
        </w:rPr>
        <w:t xml:space="preserve"> of initial body weight is the necessary threshold for beneficial improvements in metabolic markers, including </w:t>
      </w:r>
      <w:r w:rsidR="00733B26">
        <w:rPr>
          <w:b/>
          <w:bCs/>
          <w:color w:val="1F1F1F"/>
        </w:rPr>
        <w:t>HbA</w:t>
      </w:r>
      <w:r w:rsidR="00733B26" w:rsidRPr="00733B26">
        <w:rPr>
          <w:b/>
          <w:bCs/>
          <w:color w:val="1F1F1F"/>
          <w:vertAlign w:val="subscript"/>
        </w:rPr>
        <w:t>1c</w:t>
      </w:r>
      <w:r w:rsidR="00733B26">
        <w:rPr>
          <w:color w:val="1F1F1F"/>
        </w:rPr>
        <w:t xml:space="preserve">, </w:t>
      </w:r>
      <w:r>
        <w:rPr>
          <w:color w:val="1F1F1F"/>
        </w:rPr>
        <w:t xml:space="preserve">blood lipids, and blood pressure (Anon, 2022). Dietary guidance should emphasize evidence-based patterns, such as the </w:t>
      </w:r>
      <w:r>
        <w:rPr>
          <w:b/>
          <w:bCs/>
          <w:color w:val="1F1F1F"/>
        </w:rPr>
        <w:t>Mediterranean</w:t>
      </w:r>
      <w:r>
        <w:rPr>
          <w:color w:val="1F1F1F"/>
        </w:rPr>
        <w:t xml:space="preserve"> or </w:t>
      </w:r>
      <w:r>
        <w:rPr>
          <w:b/>
          <w:bCs/>
          <w:color w:val="1F1F1F"/>
        </w:rPr>
        <w:t>DASH</w:t>
      </w:r>
      <w:r>
        <w:rPr>
          <w:color w:val="1F1F1F"/>
        </w:rPr>
        <w:t xml:space="preserve"> (Dietary Approaches to Stop Hypertension) diets, which reduce T2DM incidence and cardiovascular risk (NCBI, 2023). Focus must be placed on carbohydrate quality, portion control, and overall reduction of dietary energy density (Anon, 2023a).</w:t>
      </w:r>
    </w:p>
    <w:p w14:paraId="5F07E6B5" w14:textId="77777777" w:rsidR="004F2E62" w:rsidRDefault="00000000">
      <w:pPr>
        <w:pStyle w:val="Heading3"/>
        <w:spacing w:before="0" w:after="80" w:line="276" w:lineRule="auto"/>
        <w:jc w:val="both"/>
        <w:rPr>
          <w:color w:val="1F1F1F"/>
          <w:sz w:val="26"/>
          <w:szCs w:val="26"/>
        </w:rPr>
      </w:pPr>
      <w:bookmarkStart w:id="20" w:name="_stipk7i57j43" w:colFirst="0" w:colLast="0"/>
      <w:bookmarkEnd w:id="20"/>
      <w:r>
        <w:rPr>
          <w:color w:val="1F1F1F"/>
          <w:sz w:val="26"/>
          <w:szCs w:val="26"/>
        </w:rPr>
        <w:t>5.2 Physical Activity and Mitigation of Insulin Resistance</w:t>
      </w:r>
    </w:p>
    <w:p w14:paraId="4D2A8FE9" w14:textId="77777777" w:rsidR="004F2E62" w:rsidRDefault="00000000">
      <w:pPr>
        <w:spacing w:after="240" w:line="276" w:lineRule="auto"/>
        <w:jc w:val="both"/>
        <w:rPr>
          <w:color w:val="1F1F1F"/>
        </w:rPr>
      </w:pPr>
      <w:r>
        <w:rPr>
          <w:color w:val="1F1F1F"/>
        </w:rPr>
        <w:t xml:space="preserve">Physical activity is a direct physiological treatment for T2DM. Guidelines recommend moderate-to-intense aerobic exercise for approximately 30 minutes, five days per week (NCBI, 2023). This activity enhances muscle cell glucose uptake often independently of basal insulin, immediately reducing blood glucose. Emphasis must be placed on reducing </w:t>
      </w:r>
      <w:r>
        <w:rPr>
          <w:b/>
          <w:bCs/>
          <w:color w:val="1F1F1F"/>
        </w:rPr>
        <w:t>visceral fat</w:t>
      </w:r>
      <w:r>
        <w:rPr>
          <w:color w:val="1F1F1F"/>
        </w:rPr>
        <w:t>, the most metabolically active and inflammatory adipose tissue (Anon, 2024c). High-volume exercise (around 500 kcal burned per session, 4–5 days per week) is suggested to effectively target and reduce visceral fat stores (Anon, 2022).</w:t>
      </w:r>
    </w:p>
    <w:p w14:paraId="74DFB588" w14:textId="77777777" w:rsidR="004F2E62" w:rsidRDefault="00000000">
      <w:pPr>
        <w:pStyle w:val="Heading3"/>
        <w:spacing w:before="0" w:after="80" w:line="276" w:lineRule="auto"/>
        <w:jc w:val="both"/>
        <w:rPr>
          <w:color w:val="1F1F1F"/>
          <w:sz w:val="26"/>
          <w:szCs w:val="26"/>
        </w:rPr>
      </w:pPr>
      <w:bookmarkStart w:id="21" w:name="_epint8dffpg" w:colFirst="0" w:colLast="0"/>
      <w:bookmarkEnd w:id="21"/>
      <w:r>
        <w:rPr>
          <w:color w:val="1F1F1F"/>
          <w:sz w:val="26"/>
          <w:szCs w:val="26"/>
        </w:rPr>
        <w:t>5.3 Addressing Systemic Inflammation and Tobacco Use</w:t>
      </w:r>
    </w:p>
    <w:p w14:paraId="45442515" w14:textId="77777777" w:rsidR="004F2E62" w:rsidRDefault="00000000">
      <w:pPr>
        <w:spacing w:after="240" w:line="276" w:lineRule="auto"/>
        <w:jc w:val="both"/>
        <w:rPr>
          <w:color w:val="1F1F1F"/>
        </w:rPr>
      </w:pPr>
      <w:r>
        <w:rPr>
          <w:color w:val="1F1F1F"/>
        </w:rPr>
        <w:t>Obesity and insulin resistance are linked by chronic inflammation and cellular stress. Excess visceral fat initiates changes leading to chronic low-grade inflammation, disrupting insulin signaling (Anon, 2024c). Chronic overnutrition and ectopic lipid storage trigger stress responses in the endoplasmic reticulum (ER) of cells (Anon, 2024e). The stressed ER releases pro-inflammatory cytokines, causing insulin resistance (Anon, 2024e). Weight loss and exercise alleviate this stress, resolving fundamental resistance causes. Tobacco cessation is mandatory. Smoking dramatically increases cardiovascular risk, already prevalent in diabetes. Cessation substantially reduces coronary artery disease risk by mitigating endothelial injury and pro-inflammatory activities (NCBI, 2023).</w:t>
      </w:r>
    </w:p>
    <w:p w14:paraId="59AC2AEE" w14:textId="77777777" w:rsidR="008E5855" w:rsidRDefault="008E5855">
      <w:pPr>
        <w:spacing w:after="240" w:line="276" w:lineRule="auto"/>
        <w:jc w:val="both"/>
        <w:rPr>
          <w:color w:val="1F1F1F"/>
        </w:rPr>
      </w:pPr>
    </w:p>
    <w:p w14:paraId="624F6813" w14:textId="39E9CEB8" w:rsidR="004F2E62" w:rsidRDefault="00000000">
      <w:pPr>
        <w:spacing w:after="240" w:line="276" w:lineRule="auto"/>
        <w:jc w:val="both"/>
        <w:rPr>
          <w:color w:val="1F1F1F"/>
        </w:rPr>
      </w:pPr>
      <w:r>
        <w:rPr>
          <w:color w:val="1F1F1F"/>
        </w:rPr>
        <w:lastRenderedPageBreak/>
        <w:t>Table 6: Evidence-Based Lifestyle Interventions and Mechanisms</w:t>
      </w: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00"/>
        <w:gridCol w:w="2707"/>
        <w:gridCol w:w="4753"/>
      </w:tblGrid>
      <w:tr w:rsidR="004F2E62" w14:paraId="7E112F56" w14:textId="77777777">
        <w:trPr>
          <w:trHeight w:val="800"/>
        </w:trPr>
        <w:tc>
          <w:tcPr>
            <w:tcW w:w="190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B588BC1" w14:textId="77777777" w:rsidR="004F2E62" w:rsidRDefault="00000000">
            <w:pPr>
              <w:spacing w:after="480" w:line="276" w:lineRule="auto"/>
              <w:jc w:val="both"/>
              <w:rPr>
                <w:color w:val="1F1F1F"/>
              </w:rPr>
            </w:pPr>
            <w:r>
              <w:rPr>
                <w:b/>
                <w:bCs/>
                <w:color w:val="1F1F1F"/>
              </w:rPr>
              <w:t>Intervention</w:t>
            </w:r>
          </w:p>
        </w:tc>
        <w:tc>
          <w:tcPr>
            <w:tcW w:w="2706"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EF61F57" w14:textId="77777777" w:rsidR="004F2E62" w:rsidRDefault="00000000">
            <w:pPr>
              <w:spacing w:after="480" w:line="276" w:lineRule="auto"/>
              <w:jc w:val="both"/>
              <w:rPr>
                <w:color w:val="1F1F1F"/>
              </w:rPr>
            </w:pPr>
            <w:r>
              <w:rPr>
                <w:b/>
                <w:bCs/>
                <w:color w:val="1F1F1F"/>
              </w:rPr>
              <w:t>Quantitative Goal/Guideline</w:t>
            </w:r>
          </w:p>
        </w:tc>
        <w:tc>
          <w:tcPr>
            <w:tcW w:w="47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31D173C" w14:textId="77777777" w:rsidR="004F2E62" w:rsidRDefault="00000000">
            <w:pPr>
              <w:spacing w:after="480" w:line="276" w:lineRule="auto"/>
              <w:jc w:val="both"/>
              <w:rPr>
                <w:color w:val="1F1F1F"/>
              </w:rPr>
            </w:pPr>
            <w:r>
              <w:rPr>
                <w:b/>
                <w:bCs/>
                <w:color w:val="1F1F1F"/>
              </w:rPr>
              <w:t>Physiological Mechanism of Action</w:t>
            </w:r>
          </w:p>
        </w:tc>
      </w:tr>
      <w:tr w:rsidR="004F2E62" w14:paraId="1E88EA31" w14:textId="77777777">
        <w:trPr>
          <w:trHeight w:val="1355"/>
        </w:trPr>
        <w:tc>
          <w:tcPr>
            <w:tcW w:w="190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451EE93" w14:textId="77777777" w:rsidR="004F2E62" w:rsidRDefault="00000000">
            <w:pPr>
              <w:spacing w:after="480" w:line="276" w:lineRule="auto"/>
              <w:jc w:val="both"/>
              <w:rPr>
                <w:color w:val="1F1F1F"/>
              </w:rPr>
            </w:pPr>
            <w:r>
              <w:rPr>
                <w:b/>
                <w:bCs/>
                <w:color w:val="1F1F1F"/>
              </w:rPr>
              <w:t>Weight Management</w:t>
            </w:r>
          </w:p>
        </w:tc>
        <w:tc>
          <w:tcPr>
            <w:tcW w:w="2706"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63A72D2" w14:textId="6D612969" w:rsidR="004F2E62" w:rsidRDefault="008E5855">
            <w:pPr>
              <w:spacing w:after="480" w:line="276" w:lineRule="auto"/>
              <w:jc w:val="both"/>
              <w:rPr>
                <w:color w:val="1F1F1F"/>
              </w:rPr>
            </w:pPr>
            <w:r>
              <w:rPr>
                <w:color w:val="1F1F1F"/>
              </w:rPr>
              <w:t>&gt;5%</w:t>
            </w:r>
            <w:r w:rsidR="00000000">
              <w:rPr>
                <w:color w:val="1F1F1F"/>
              </w:rPr>
              <w:t xml:space="preserve"> body weight reduction (Sustained)</w:t>
            </w:r>
          </w:p>
        </w:tc>
        <w:tc>
          <w:tcPr>
            <w:tcW w:w="47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B5387AF" w14:textId="77777777" w:rsidR="004F2E62" w:rsidRDefault="00000000">
            <w:pPr>
              <w:spacing w:after="480" w:line="276" w:lineRule="auto"/>
              <w:jc w:val="both"/>
              <w:rPr>
                <w:color w:val="1F1F1F"/>
              </w:rPr>
            </w:pPr>
            <w:r>
              <w:rPr>
                <w:color w:val="1F1F1F"/>
              </w:rPr>
              <w:t>Reduces visceral fat accumulation; mitigates Endoplasmic Reticulum (ER) stress; resolves chronic inflammation (Anon, 2022; Anon, 2024e).</w:t>
            </w:r>
          </w:p>
        </w:tc>
      </w:tr>
      <w:tr w:rsidR="004F2E62" w14:paraId="1FD8690D" w14:textId="77777777">
        <w:trPr>
          <w:trHeight w:val="1085"/>
        </w:trPr>
        <w:tc>
          <w:tcPr>
            <w:tcW w:w="190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58D1453" w14:textId="77777777" w:rsidR="004F2E62" w:rsidRDefault="00000000">
            <w:pPr>
              <w:spacing w:after="480" w:line="276" w:lineRule="auto"/>
              <w:jc w:val="both"/>
              <w:rPr>
                <w:color w:val="1F1F1F"/>
              </w:rPr>
            </w:pPr>
            <w:r>
              <w:rPr>
                <w:b/>
                <w:bCs/>
                <w:color w:val="1F1F1F"/>
              </w:rPr>
              <w:t>Physical Activity</w:t>
            </w:r>
          </w:p>
        </w:tc>
        <w:tc>
          <w:tcPr>
            <w:tcW w:w="2706"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0516250" w14:textId="77777777" w:rsidR="004F2E62" w:rsidRDefault="00000000">
            <w:pPr>
              <w:spacing w:after="480" w:line="276" w:lineRule="auto"/>
              <w:jc w:val="both"/>
              <w:rPr>
                <w:color w:val="1F1F1F"/>
              </w:rPr>
            </w:pPr>
            <w:r>
              <w:rPr>
                <w:color w:val="1F1F1F"/>
              </w:rPr>
              <w:t>Moderate-to-intense, 30 mins, 5 days/week</w:t>
            </w:r>
          </w:p>
        </w:tc>
        <w:tc>
          <w:tcPr>
            <w:tcW w:w="47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D354658" w14:textId="77777777" w:rsidR="004F2E62" w:rsidRDefault="00000000">
            <w:pPr>
              <w:spacing w:after="480" w:line="276" w:lineRule="auto"/>
              <w:jc w:val="both"/>
              <w:rPr>
                <w:color w:val="1F1F1F"/>
              </w:rPr>
            </w:pPr>
            <w:r>
              <w:rPr>
                <w:color w:val="1F1F1F"/>
              </w:rPr>
              <w:t>Increases non-insulin-mediated glucose uptake; improves peripheral tissue insulin sensitivity (NCBI, 2023).</w:t>
            </w:r>
          </w:p>
        </w:tc>
      </w:tr>
      <w:tr w:rsidR="004F2E62" w14:paraId="67DCAC00" w14:textId="77777777">
        <w:trPr>
          <w:trHeight w:val="1085"/>
        </w:trPr>
        <w:tc>
          <w:tcPr>
            <w:tcW w:w="190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C42CB59" w14:textId="77777777" w:rsidR="004F2E62" w:rsidRDefault="00000000">
            <w:pPr>
              <w:spacing w:after="480" w:line="276" w:lineRule="auto"/>
              <w:jc w:val="both"/>
              <w:rPr>
                <w:color w:val="1F1F1F"/>
              </w:rPr>
            </w:pPr>
            <w:r>
              <w:rPr>
                <w:b/>
                <w:bCs/>
                <w:color w:val="1F1F1F"/>
              </w:rPr>
              <w:t>Dietary Pattern</w:t>
            </w:r>
          </w:p>
        </w:tc>
        <w:tc>
          <w:tcPr>
            <w:tcW w:w="2706"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97FF4F1" w14:textId="77777777" w:rsidR="004F2E62" w:rsidRDefault="00000000">
            <w:pPr>
              <w:spacing w:after="480" w:line="276" w:lineRule="auto"/>
              <w:jc w:val="both"/>
              <w:rPr>
                <w:color w:val="1F1F1F"/>
              </w:rPr>
            </w:pPr>
            <w:r>
              <w:rPr>
                <w:color w:val="1F1F1F"/>
              </w:rPr>
              <w:t>DASH or Mediterranean Diet Adherence</w:t>
            </w:r>
          </w:p>
        </w:tc>
        <w:tc>
          <w:tcPr>
            <w:tcW w:w="47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CE492B2" w14:textId="77777777" w:rsidR="004F2E62" w:rsidRDefault="00000000">
            <w:pPr>
              <w:spacing w:after="480" w:line="276" w:lineRule="auto"/>
              <w:jc w:val="both"/>
              <w:rPr>
                <w:color w:val="1F1F1F"/>
              </w:rPr>
            </w:pPr>
            <w:r>
              <w:rPr>
                <w:color w:val="1F1F1F"/>
              </w:rPr>
              <w:t>Supports sustainable caloric deficit; improves lipid and metabolic profiles (NCBI, 2023).</w:t>
            </w:r>
          </w:p>
        </w:tc>
      </w:tr>
      <w:tr w:rsidR="004F2E62" w14:paraId="19578FD8" w14:textId="77777777">
        <w:trPr>
          <w:trHeight w:val="1085"/>
        </w:trPr>
        <w:tc>
          <w:tcPr>
            <w:tcW w:w="190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7BF673A" w14:textId="77777777" w:rsidR="004F2E62" w:rsidRDefault="00000000">
            <w:pPr>
              <w:spacing w:after="480" w:line="276" w:lineRule="auto"/>
              <w:jc w:val="both"/>
              <w:rPr>
                <w:color w:val="1F1F1F"/>
              </w:rPr>
            </w:pPr>
            <w:r>
              <w:rPr>
                <w:b/>
                <w:bCs/>
                <w:color w:val="1F1F1F"/>
              </w:rPr>
              <w:t>Smoking Status</w:t>
            </w:r>
          </w:p>
        </w:tc>
        <w:tc>
          <w:tcPr>
            <w:tcW w:w="2706"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4E7CCC7" w14:textId="77777777" w:rsidR="004F2E62" w:rsidRDefault="00000000">
            <w:pPr>
              <w:spacing w:after="480" w:line="276" w:lineRule="auto"/>
              <w:jc w:val="both"/>
              <w:rPr>
                <w:color w:val="1F1F1F"/>
              </w:rPr>
            </w:pPr>
            <w:r>
              <w:rPr>
                <w:color w:val="1F1F1F"/>
              </w:rPr>
              <w:t>Complete Cessation of All Products</w:t>
            </w:r>
          </w:p>
        </w:tc>
        <w:tc>
          <w:tcPr>
            <w:tcW w:w="4752"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BA7A450" w14:textId="77777777" w:rsidR="004F2E62" w:rsidRDefault="00000000">
            <w:pPr>
              <w:spacing w:after="480" w:line="276" w:lineRule="auto"/>
              <w:jc w:val="both"/>
              <w:rPr>
                <w:color w:val="1F1F1F"/>
              </w:rPr>
            </w:pPr>
            <w:r>
              <w:rPr>
                <w:color w:val="1F1F1F"/>
              </w:rPr>
              <w:t>Decreases systemic inflammation and endothelial damage, significantly lowering cardiovascular risk (NCBI, 2023).</w:t>
            </w:r>
          </w:p>
        </w:tc>
      </w:tr>
    </w:tbl>
    <w:p w14:paraId="4F3611D5" w14:textId="77777777" w:rsidR="004F2E62" w:rsidRDefault="00000000">
      <w:pPr>
        <w:pStyle w:val="Heading2"/>
        <w:spacing w:before="0" w:after="80" w:line="276" w:lineRule="auto"/>
        <w:jc w:val="both"/>
        <w:rPr>
          <w:color w:val="1F1F1F"/>
          <w:sz w:val="34"/>
          <w:szCs w:val="34"/>
        </w:rPr>
      </w:pPr>
      <w:bookmarkStart w:id="22" w:name="_e7o46d8npxbx" w:colFirst="0" w:colLast="0"/>
      <w:bookmarkEnd w:id="22"/>
      <w:r>
        <w:rPr>
          <w:color w:val="1F1F1F"/>
          <w:sz w:val="34"/>
          <w:szCs w:val="34"/>
        </w:rPr>
        <w:t>6.0 Conclusion</w:t>
      </w:r>
    </w:p>
    <w:p w14:paraId="6856F357" w14:textId="649EB274" w:rsidR="004F2E62" w:rsidRDefault="00000000">
      <w:pPr>
        <w:spacing w:after="240" w:line="276" w:lineRule="auto"/>
        <w:jc w:val="both"/>
        <w:rPr>
          <w:color w:val="1F1F1F"/>
        </w:rPr>
      </w:pPr>
      <w:r>
        <w:rPr>
          <w:color w:val="1F1F1F"/>
        </w:rPr>
        <w:t>Effective T2DM management integrates a clear physiological understanding (insulin resistance, pancreatic compensation, and chronic inflammation) with rigorous, evidence-based lifestyle changes. This report established the link between metabolic dysfunction and the failure of glucose homeostasis and cellular energy production. Communicating specific, quantifiable lifestyle interventions—including &gt;5% weight reduction, structured physical activity, and proven dietary patterns—guides patients toward reversing underlying pathology. Leveraging modern monitoring, such as CGM (ADA, 2025), empowers patients with real-time biofeedback, improving adherence, reducing hypoglycemia risk, and optimizing control. Enhancing patient knowledge of these processes fosters greater self-efficacy, leading to safer, more engaged self-management, and superior long-term health outcomes.</w:t>
      </w:r>
    </w:p>
    <w:p w14:paraId="53E0A77A" w14:textId="77777777" w:rsidR="008E5855" w:rsidRDefault="008E5855">
      <w:pPr>
        <w:pStyle w:val="Heading2"/>
        <w:spacing w:before="0" w:after="120" w:line="275" w:lineRule="auto"/>
        <w:jc w:val="both"/>
        <w:rPr>
          <w:color w:val="1F1F1F"/>
        </w:rPr>
      </w:pPr>
    </w:p>
    <w:p w14:paraId="6389D629" w14:textId="77777777" w:rsidR="008E5855" w:rsidRDefault="008E5855">
      <w:pPr>
        <w:pStyle w:val="Heading2"/>
        <w:spacing w:before="0" w:after="120" w:line="275" w:lineRule="auto"/>
        <w:jc w:val="both"/>
        <w:rPr>
          <w:color w:val="1F1F1F"/>
        </w:rPr>
      </w:pPr>
    </w:p>
    <w:p w14:paraId="38D44734" w14:textId="6C85C956" w:rsidR="004F2E62" w:rsidRDefault="00000000">
      <w:pPr>
        <w:pStyle w:val="Heading2"/>
        <w:spacing w:before="0" w:after="120" w:line="275" w:lineRule="auto"/>
        <w:jc w:val="both"/>
        <w:rPr>
          <w:color w:val="1F1F1F"/>
        </w:rPr>
      </w:pPr>
      <w:r>
        <w:rPr>
          <w:color w:val="1F1F1F"/>
        </w:rPr>
        <w:lastRenderedPageBreak/>
        <w:t>7.0 Reference List</w:t>
      </w:r>
    </w:p>
    <w:p w14:paraId="42BC69BC" w14:textId="77777777" w:rsidR="004F2E62" w:rsidRDefault="00000000">
      <w:pPr>
        <w:widowControl/>
        <w:spacing w:after="200" w:line="276" w:lineRule="auto"/>
      </w:pPr>
      <w:r>
        <w:t xml:space="preserve">American Diabetes Association (ADA) (2024) *Type 2 diabetes*. Available at: </w:t>
      </w:r>
      <w:r>
        <w:rPr>
          <w:color w:val="0070C0"/>
          <w:u w:val="single"/>
        </w:rPr>
        <w:t>https://diabetes.org/about-diabetes/type-2</w:t>
      </w:r>
      <w:r>
        <w:t xml:space="preserve"> (Accessed: 30 November 2025).</w:t>
      </w:r>
    </w:p>
    <w:p w14:paraId="513134F3" w14:textId="77777777" w:rsidR="004F2E62" w:rsidRDefault="00000000">
      <w:pPr>
        <w:widowControl/>
        <w:spacing w:after="200" w:line="276" w:lineRule="auto"/>
      </w:pPr>
      <w:r>
        <w:t xml:space="preserve">American Diabetes Association (ADA) (2025) ‘9. Pharmacologic approaches to glycemic treatment’, Diabetes Care, 48(Supplement 1), pp. S181–S200. Available at: </w:t>
      </w:r>
      <w:r>
        <w:rPr>
          <w:color w:val="0070C0"/>
          <w:u w:val="single"/>
        </w:rPr>
        <w:t>https://diabetesjournals.org/care/article/48/Supplement_1/S181/157569</w:t>
      </w:r>
      <w:r>
        <w:rPr>
          <w:color w:val="0070C0"/>
        </w:rPr>
        <w:t xml:space="preserve"> </w:t>
      </w:r>
      <w:r>
        <w:t>(Accessed: 30 November 2025).</w:t>
      </w:r>
    </w:p>
    <w:p w14:paraId="67C93E71" w14:textId="77777777" w:rsidR="004F2E62" w:rsidRDefault="00000000">
      <w:pPr>
        <w:widowControl/>
        <w:spacing w:after="200" w:line="276" w:lineRule="auto"/>
      </w:pPr>
      <w:proofErr w:type="spellStart"/>
      <w:r>
        <w:t>Atrain</w:t>
      </w:r>
      <w:proofErr w:type="spellEnd"/>
      <w:r>
        <w:t xml:space="preserve"> Education (2024) Regulation of blood glucose. Available at: </w:t>
      </w:r>
      <w:r>
        <w:rPr>
          <w:color w:val="0070C0"/>
          <w:u w:val="single"/>
        </w:rPr>
        <w:t>https://www.atrainceu.com/content/4-regulation-blood-glucose</w:t>
      </w:r>
      <w:r>
        <w:t xml:space="preserve"> (Accessed: 30 November 2025).</w:t>
      </w:r>
    </w:p>
    <w:p w14:paraId="2E6D7208" w14:textId="77777777" w:rsidR="004F2E62" w:rsidRDefault="00000000">
      <w:pPr>
        <w:widowControl/>
        <w:spacing w:after="200" w:line="276" w:lineRule="auto"/>
      </w:pPr>
      <w:r>
        <w:t xml:space="preserve">Continuous Glucose Monitoring (CGM) in Type 2 Diabetes (2024) Endocrinology and Metabolism. Available at: </w:t>
      </w:r>
      <w:r>
        <w:rPr>
          <w:color w:val="0070C0"/>
          <w:u w:val="single"/>
        </w:rPr>
        <w:t>https://www.e-enm.org/journal/view.php?number=2600</w:t>
      </w:r>
      <w:r>
        <w:rPr>
          <w:color w:val="0070C0"/>
        </w:rPr>
        <w:t xml:space="preserve"> </w:t>
      </w:r>
      <w:r>
        <w:t>(Accessed: 30 November 2025).</w:t>
      </w:r>
    </w:p>
    <w:p w14:paraId="37BC75D9" w14:textId="77777777" w:rsidR="004F2E62" w:rsidRDefault="00000000">
      <w:pPr>
        <w:widowControl/>
        <w:spacing w:after="200" w:line="276" w:lineRule="auto"/>
      </w:pPr>
      <w:r>
        <w:t xml:space="preserve">Exercise and Type 2 Diabetes: A Mini-Review (2022) PubMed Central. Available at: </w:t>
      </w:r>
      <w:r>
        <w:rPr>
          <w:color w:val="0070C0"/>
          <w:u w:val="single"/>
        </w:rPr>
        <w:t>https://pmc.ncbi.nlm.nih.gov/articles/8802999/</w:t>
      </w:r>
      <w:r>
        <w:t xml:space="preserve"> (Accessed: 30 November 2025).</w:t>
      </w:r>
    </w:p>
    <w:p w14:paraId="5401D09C" w14:textId="77777777" w:rsidR="004F2E62" w:rsidRDefault="00000000">
      <w:pPr>
        <w:widowControl/>
        <w:spacing w:after="200" w:line="276" w:lineRule="auto"/>
      </w:pPr>
      <w:r>
        <w:t xml:space="preserve">Monash University (2025) The process of aerobic respiration. Available at: </w:t>
      </w:r>
      <w:r>
        <w:rPr>
          <w:color w:val="0070C0"/>
          <w:u w:val="single"/>
        </w:rPr>
        <w:t>https://www.monash.edu/student-academic-success/biology/cellular-respiration/the-process-of-aerobic-respiration</w:t>
      </w:r>
      <w:r>
        <w:rPr>
          <w:color w:val="0070C0"/>
        </w:rPr>
        <w:t xml:space="preserve"> </w:t>
      </w:r>
      <w:r>
        <w:t>(Accessed: 30 November 2025).</w:t>
      </w:r>
    </w:p>
    <w:p w14:paraId="64ACD526" w14:textId="77777777" w:rsidR="004F2E62" w:rsidRDefault="00000000">
      <w:pPr>
        <w:widowControl/>
        <w:spacing w:after="200" w:line="276" w:lineRule="auto"/>
      </w:pPr>
      <w:r>
        <w:t xml:space="preserve">National Center for Biotechnology Information (NCBI) (2023) Evidence-based lifestyle recommendations for type 2 diabetes. Available at: </w:t>
      </w:r>
      <w:r>
        <w:rPr>
          <w:color w:val="0070C0"/>
          <w:u w:val="single"/>
        </w:rPr>
        <w:t>https://www.ncbi.nlm.nih.gov/books/NBK585052/</w:t>
      </w:r>
      <w:r>
        <w:rPr>
          <w:color w:val="0070C0"/>
        </w:rPr>
        <w:t xml:space="preserve"> </w:t>
      </w:r>
      <w:r>
        <w:t>(Accessed: 30 November 2025).</w:t>
      </w:r>
    </w:p>
    <w:p w14:paraId="557A02E5" w14:textId="77777777" w:rsidR="004F2E62" w:rsidRDefault="00000000">
      <w:pPr>
        <w:widowControl/>
        <w:spacing w:after="200" w:line="276" w:lineRule="auto"/>
      </w:pPr>
      <w:r>
        <w:t xml:space="preserve">National Center for Biotechnology Information (NCBI) (2023) Type 2 diabetes mellitus. Available at: </w:t>
      </w:r>
      <w:r>
        <w:rPr>
          <w:color w:val="0070C0"/>
          <w:u w:val="single"/>
        </w:rPr>
        <w:t>https://www.ncbi.nlm.nih.gov/books/NBK513253/</w:t>
      </w:r>
      <w:r>
        <w:rPr>
          <w:color w:val="0070C0"/>
        </w:rPr>
        <w:t xml:space="preserve"> </w:t>
      </w:r>
      <w:r>
        <w:t>(Accessed: 30 November 2025).</w:t>
      </w:r>
    </w:p>
    <w:p w14:paraId="44CE0134" w14:textId="77777777" w:rsidR="004F2E62" w:rsidRDefault="00000000">
      <w:pPr>
        <w:widowControl/>
        <w:spacing w:after="200" w:line="276" w:lineRule="auto"/>
      </w:pPr>
      <w:r>
        <w:t xml:space="preserve">New Methods of Continuous Glucose Monitoring Data Analysis: A Review of CGM Data Analysis 2.0 (2024) PubMed Central. Available at: </w:t>
      </w:r>
      <w:r>
        <w:rPr>
          <w:color w:val="0070C0"/>
          <w:u w:val="single"/>
        </w:rPr>
        <w:t>https://pmc.ncbi.nlm.nih.gov/articles/PMC12356821/</w:t>
      </w:r>
      <w:r>
        <w:t xml:space="preserve"> (Accessed: 30 November 2025).</w:t>
      </w:r>
    </w:p>
    <w:p w14:paraId="2E1104F4" w14:textId="77777777" w:rsidR="004F2E62" w:rsidRDefault="00000000">
      <w:pPr>
        <w:widowControl/>
        <w:spacing w:after="200" w:line="276" w:lineRule="auto"/>
      </w:pPr>
      <w:r>
        <w:t xml:space="preserve">Obesity and ER Stress in Insulin Resistance (2024) MDPI, 25(3), p. 1882. Available at: </w:t>
      </w:r>
      <w:r>
        <w:rPr>
          <w:color w:val="0070C0"/>
          <w:u w:val="single"/>
        </w:rPr>
        <w:t>https://www.mdpi.com/1422-0067/25/3/1882</w:t>
      </w:r>
      <w:r>
        <w:t xml:space="preserve"> (Accessed: 30 November 2025).</w:t>
      </w:r>
    </w:p>
    <w:p w14:paraId="5DF7CF0B" w14:textId="77777777" w:rsidR="004F2E62" w:rsidRDefault="00000000">
      <w:pPr>
        <w:widowControl/>
        <w:spacing w:after="200" w:line="276" w:lineRule="auto"/>
      </w:pPr>
      <w:r>
        <w:t xml:space="preserve">The Relationship Between Obesity and T2DM (2024) MDPI, 13(12), p. 1437. Available at: </w:t>
      </w:r>
      <w:r>
        <w:rPr>
          <w:color w:val="0070C0"/>
          <w:u w:val="single"/>
        </w:rPr>
        <w:t>https://www.mdpi.com/xxx</w:t>
      </w:r>
      <w:r>
        <w:t xml:space="preserve"> (Accessed: 30 November 2025).</w:t>
      </w:r>
    </w:p>
    <w:p w14:paraId="06CEC100" w14:textId="77777777" w:rsidR="004F2E62" w:rsidRDefault="00000000">
      <w:pPr>
        <w:widowControl/>
        <w:spacing w:after="200" w:line="276" w:lineRule="auto"/>
      </w:pPr>
      <w:r>
        <w:t xml:space="preserve">Wikipedia (2025) Cellular respiration. Available at: </w:t>
      </w:r>
      <w:r>
        <w:rPr>
          <w:color w:val="0070C0"/>
          <w:u w:val="single"/>
        </w:rPr>
        <w:t>https://en.wikipedia.org/wiki/Cellular_respiration</w:t>
      </w:r>
      <w:r>
        <w:rPr>
          <w:color w:val="0070C0"/>
        </w:rPr>
        <w:t xml:space="preserve"> </w:t>
      </w:r>
      <w:r>
        <w:t>(Accessed: 30 November 2025).</w:t>
      </w:r>
    </w:p>
    <w:p w14:paraId="44CED4F9" w14:textId="77777777" w:rsidR="004F2E62" w:rsidRDefault="004F2E62">
      <w:pPr>
        <w:rPr>
          <w:color w:val="1F1F1F"/>
        </w:rPr>
      </w:pPr>
    </w:p>
    <w:sectPr w:rsidR="004F2E62">
      <w:footerReference w:type="default" r:id="rId8"/>
      <w:footerReference w:type="first" r:id="rId9"/>
      <w:pgSz w:w="12240" w:h="15840"/>
      <w:pgMar w:top="1440" w:right="1440" w:bottom="1440" w:left="1440" w:header="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A39468" w14:textId="77777777" w:rsidR="00DC36D5" w:rsidRDefault="00DC36D5">
      <w:r>
        <w:separator/>
      </w:r>
    </w:p>
  </w:endnote>
  <w:endnote w:type="continuationSeparator" w:id="0">
    <w:p w14:paraId="7997CD14" w14:textId="77777777" w:rsidR="00DC36D5" w:rsidRDefault="00DC36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7C263EF1-5EB4-4126-8395-977A0511EE97}"/>
  </w:font>
  <w:font w:name="Calibri">
    <w:panose1 w:val="020F0502020204030204"/>
    <w:charset w:val="00"/>
    <w:family w:val="swiss"/>
    <w:pitch w:val="variable"/>
    <w:sig w:usb0="E4002EFF" w:usb1="C200247B" w:usb2="00000009" w:usb3="00000000" w:csb0="000001FF" w:csb1="00000000"/>
    <w:embedRegular r:id="rId2" w:fontKey="{EFF60A88-94AA-4D49-9640-DEFE2E262C1A}"/>
  </w:font>
  <w:font w:name="Cambria">
    <w:panose1 w:val="02040503050406030204"/>
    <w:charset w:val="00"/>
    <w:family w:val="roman"/>
    <w:pitch w:val="variable"/>
    <w:sig w:usb0="E00006FF" w:usb1="420024FF" w:usb2="02000000" w:usb3="00000000" w:csb0="0000019F" w:csb1="00000000"/>
    <w:embedRegular r:id="rId3" w:fontKey="{4D0FB0FE-BE4D-466C-BAEE-83D97E65401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FE420" w14:textId="77777777" w:rsidR="004F2E62" w:rsidRDefault="00000000">
    <w:pPr>
      <w:jc w:val="right"/>
    </w:pPr>
    <w:r>
      <w:fldChar w:fldCharType="begin"/>
    </w:r>
    <w:r>
      <w:instrText>PAGE</w:instrText>
    </w:r>
    <w:r>
      <w:fldChar w:fldCharType="separate"/>
    </w:r>
    <w:r w:rsidR="00133B80">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B7131B" w14:textId="77777777" w:rsidR="004F2E62" w:rsidRDefault="004F2E6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B4C730" w14:textId="77777777" w:rsidR="00DC36D5" w:rsidRDefault="00DC36D5">
      <w:r>
        <w:separator/>
      </w:r>
    </w:p>
  </w:footnote>
  <w:footnote w:type="continuationSeparator" w:id="0">
    <w:p w14:paraId="38F0D28F" w14:textId="77777777" w:rsidR="00DC36D5" w:rsidRDefault="00DC36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8B7531"/>
    <w:multiLevelType w:val="multilevel"/>
    <w:tmpl w:val="75C2F262"/>
    <w:lvl w:ilvl="0">
      <w:start w:val="1"/>
      <w:numFmt w:val="bullet"/>
      <w:lvlText w:val="●"/>
      <w:lvlJc w:val="left"/>
      <w:pPr>
        <w:ind w:left="720" w:hanging="360"/>
      </w:pPr>
      <w:rPr>
        <w:rFonts w:ascii="Arial" w:eastAsia="Arial" w:hAnsi="Arial" w:cs="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18890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2E62"/>
    <w:rsid w:val="00133B80"/>
    <w:rsid w:val="004411B3"/>
    <w:rsid w:val="004F2E62"/>
    <w:rsid w:val="00733B26"/>
    <w:rsid w:val="00820D42"/>
    <w:rsid w:val="008E5855"/>
    <w:rsid w:val="00DC36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E91D0"/>
  <w15:docId w15:val="{203DA504-9ABE-4B4B-91DB-B2FD7A9F0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240" w:after="240"/>
      <w:outlineLvl w:val="0"/>
    </w:pPr>
    <w:rPr>
      <w:b/>
      <w:bCs/>
      <w:sz w:val="48"/>
      <w:szCs w:val="48"/>
    </w:rPr>
  </w:style>
  <w:style w:type="paragraph" w:styleId="Heading2">
    <w:name w:val="heading 2"/>
    <w:basedOn w:val="Normal"/>
    <w:next w:val="Normal"/>
    <w:uiPriority w:val="9"/>
    <w:unhideWhenUsed/>
    <w:qFormat/>
    <w:pPr>
      <w:pBdr>
        <w:top w:val="nil"/>
        <w:left w:val="nil"/>
        <w:bottom w:val="nil"/>
        <w:right w:val="nil"/>
        <w:between w:val="nil"/>
      </w:pBdr>
      <w:spacing w:before="225" w:after="225"/>
      <w:outlineLvl w:val="1"/>
    </w:pPr>
    <w:rPr>
      <w:b/>
      <w:bCs/>
      <w:sz w:val="36"/>
      <w:szCs w:val="36"/>
    </w:rPr>
  </w:style>
  <w:style w:type="paragraph" w:styleId="Heading3">
    <w:name w:val="heading 3"/>
    <w:basedOn w:val="Normal"/>
    <w:next w:val="Normal"/>
    <w:uiPriority w:val="9"/>
    <w:unhideWhenUsed/>
    <w:qFormat/>
    <w:pPr>
      <w:pBdr>
        <w:top w:val="nil"/>
        <w:left w:val="nil"/>
        <w:bottom w:val="nil"/>
        <w:right w:val="nil"/>
        <w:between w:val="nil"/>
      </w:pBdr>
      <w:spacing w:before="240" w:after="240"/>
      <w:outlineLvl w:val="2"/>
    </w:pPr>
    <w:rPr>
      <w:b/>
      <w:bCs/>
      <w:sz w:val="28"/>
      <w:szCs w:val="28"/>
    </w:rPr>
  </w:style>
  <w:style w:type="paragraph" w:styleId="Heading4">
    <w:name w:val="heading 4"/>
    <w:basedOn w:val="Normal"/>
    <w:next w:val="Normal"/>
    <w:uiPriority w:val="9"/>
    <w:unhideWhenUsed/>
    <w:qFormat/>
    <w:pPr>
      <w:pBdr>
        <w:top w:val="nil"/>
        <w:left w:val="nil"/>
        <w:bottom w:val="nil"/>
        <w:right w:val="nil"/>
        <w:between w:val="nil"/>
      </w:pBdr>
      <w:spacing w:before="255" w:after="255"/>
      <w:outlineLvl w:val="3"/>
    </w:pPr>
    <w:rPr>
      <w:b/>
      <w:bCs/>
      <w:sz w:val="24"/>
      <w:szCs w:val="24"/>
    </w:rPr>
  </w:style>
  <w:style w:type="paragraph" w:styleId="Heading5">
    <w:name w:val="heading 5"/>
    <w:basedOn w:val="Normal"/>
    <w:next w:val="Normal"/>
    <w:uiPriority w:val="9"/>
    <w:semiHidden/>
    <w:unhideWhenUsed/>
    <w:qFormat/>
    <w:pPr>
      <w:pBdr>
        <w:top w:val="nil"/>
        <w:left w:val="nil"/>
        <w:bottom w:val="nil"/>
        <w:right w:val="nil"/>
        <w:between w:val="nil"/>
      </w:pBdr>
      <w:spacing w:before="255" w:after="255"/>
      <w:outlineLvl w:val="4"/>
    </w:pPr>
    <w:rPr>
      <w:b/>
      <w:bCs/>
      <w:sz w:val="18"/>
      <w:szCs w:val="18"/>
    </w:rPr>
  </w:style>
  <w:style w:type="paragraph" w:styleId="Heading6">
    <w:name w:val="heading 6"/>
    <w:basedOn w:val="Normal"/>
    <w:next w:val="Normal"/>
    <w:uiPriority w:val="9"/>
    <w:semiHidden/>
    <w:unhideWhenUsed/>
    <w:qFormat/>
    <w:pPr>
      <w:pBdr>
        <w:top w:val="nil"/>
        <w:left w:val="nil"/>
        <w:bottom w:val="nil"/>
        <w:right w:val="nil"/>
        <w:between w:val="nil"/>
      </w:pBdr>
      <w:spacing w:before="360" w:after="3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2764</Words>
  <Characters>15759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Masum Ahmed</cp:lastModifiedBy>
  <cp:revision>2</cp:revision>
  <dcterms:created xsi:type="dcterms:W3CDTF">2025-12-04T16:06:00Z</dcterms:created>
  <dcterms:modified xsi:type="dcterms:W3CDTF">2025-12-04T16:46:00Z</dcterms:modified>
</cp:coreProperties>
</file>