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40"/>
          <w:szCs w:val="40"/>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40"/>
          <w:szCs w:val="40"/>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40"/>
          <w:szCs w:val="40"/>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40"/>
          <w:szCs w:val="40"/>
          <w:u w:val="none"/>
          <w:shd w:fill="auto" w:val="clear"/>
          <w:vertAlign w:val="baseline"/>
        </w:rPr>
      </w:pP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40"/>
          <w:szCs w:val="40"/>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40"/>
          <w:szCs w:val="40"/>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40"/>
          <w:szCs w:val="40"/>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40"/>
          <w:szCs w:val="40"/>
          <w:u w:val="none"/>
          <w:shd w:fill="auto" w:val="clear"/>
          <w:vertAlign w:val="baseline"/>
        </w:rPr>
      </w:pPr>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40"/>
          <w:szCs w:val="40"/>
          <w:u w:val="single"/>
        </w:rPr>
      </w:pPr>
      <w:r w:rsidDel="00000000" w:rsidR="00000000" w:rsidRPr="00000000">
        <w:rPr>
          <w:rFonts w:ascii="Times New Roman" w:cs="Times New Roman" w:eastAsia="Times New Roman" w:hAnsi="Times New Roman"/>
          <w:b w:val="1"/>
          <w:sz w:val="40"/>
          <w:szCs w:val="40"/>
          <w:u w:val="single"/>
          <w:rtl w:val="0"/>
        </w:rPr>
        <w:t xml:space="preserve">INTERNATIONAL FINANCIAL MANAGEMENT LCBB6002</w:t>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40"/>
          <w:szCs w:val="40"/>
          <w:u w:val="single"/>
        </w:rPr>
      </w:pPr>
      <w:r w:rsidDel="00000000" w:rsidR="00000000" w:rsidRPr="00000000">
        <w:rPr>
          <w:rFonts w:ascii="Times New Roman" w:cs="Times New Roman" w:eastAsia="Times New Roman" w:hAnsi="Times New Roman"/>
          <w:b w:val="1"/>
          <w:sz w:val="40"/>
          <w:szCs w:val="40"/>
          <w:u w:val="single"/>
          <w:rtl w:val="0"/>
        </w:rPr>
        <w:t xml:space="preserve">ASSESSMENT 1</w:t>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40"/>
          <w:szCs w:val="40"/>
          <w:u w:val="single"/>
        </w:rPr>
      </w:pPr>
      <w:r w:rsidDel="00000000" w:rsidR="00000000" w:rsidRPr="00000000">
        <w:rPr>
          <w:rFonts w:ascii="Times New Roman" w:cs="Times New Roman" w:eastAsia="Times New Roman" w:hAnsi="Times New Roman"/>
          <w:b w:val="1"/>
          <w:sz w:val="40"/>
          <w:szCs w:val="40"/>
          <w:u w:val="single"/>
          <w:rtl w:val="0"/>
        </w:rPr>
        <w:t xml:space="preserve">VALENTIN DANIEL SUSANU 2019937</w:t>
      </w:r>
    </w:p>
    <w:p w:rsidR="00000000" w:rsidDel="00000000" w:rsidP="00000000" w:rsidRDefault="00000000" w:rsidRPr="00000000" w14:paraId="0000000C">
      <w:pPr>
        <w:rPr>
          <w:rFonts w:ascii="Times New Roman" w:cs="Times New Roman" w:eastAsia="Times New Roman" w:hAnsi="Times New Roman"/>
          <w:b w:val="1"/>
          <w:sz w:val="40"/>
          <w:szCs w:val="40"/>
        </w:rPr>
      </w:pPr>
      <w:r w:rsidDel="00000000" w:rsidR="00000000" w:rsidRPr="00000000">
        <w:br w:type="page"/>
      </w:r>
      <w:r w:rsidDel="00000000" w:rsidR="00000000" w:rsidRPr="00000000">
        <w:rPr>
          <w:rtl w:val="0"/>
        </w:rPr>
      </w:r>
    </w:p>
    <w:p w:rsidR="00000000" w:rsidDel="00000000" w:rsidP="00000000" w:rsidRDefault="00000000" w:rsidRPr="00000000" w14:paraId="0000000D">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Importance of international financial management (IFM) to Waitrose</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Challenges which the corporation may be experiencing in different international financial markets</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Critical Analysis and evaluation of Waitrose's dividend distribution policy</w:t>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Critical analysis of the efficient market hypothesis theory in the context of Waitrose’s operations</w:t>
              <w:tab/>
              <w:t xml:space="preserve">5</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Critical analysis and evaluation of Waitrose’s methods of appraising projects</w:t>
              <w:tab/>
              <w:t xml:space="preserve">6</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8</w:t>
            </w:r>
          </w:hyperlink>
          <w:r w:rsidDel="00000000" w:rsidR="00000000" w:rsidRPr="00000000">
            <w:rPr>
              <w:rtl w:val="0"/>
            </w:rPr>
          </w:r>
        </w:p>
        <w:p w:rsidR="00000000" w:rsidDel="00000000" w:rsidP="00000000" w:rsidRDefault="00000000" w:rsidRPr="00000000" w14:paraId="00000016">
          <w:pPr>
            <w:spacing w:line="360" w:lineRule="auto"/>
            <w:jc w:val="both"/>
            <w:rPr>
              <w:rFonts w:ascii="Times New Roman" w:cs="Times New Roman" w:eastAsia="Times New Roman" w:hAnsi="Times New Roman"/>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18">
      <w:pPr>
        <w:pStyle w:val="Heading1"/>
        <w:rPr/>
      </w:pPr>
      <w:bookmarkStart w:colFirst="0" w:colLast="0" w:name="_heading=h.gjdgxs" w:id="0"/>
      <w:bookmarkEnd w:id="0"/>
      <w:r w:rsidDel="00000000" w:rsidR="00000000" w:rsidRPr="00000000">
        <w:rPr>
          <w:rtl w:val="0"/>
        </w:rPr>
        <w:t xml:space="preserve">Introduction</w:t>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“International financial management" plays an essential role in the financial management and trading of a business firm as this maximises shareholder wealth along with effective investment decisions. The essay has been developed to depict how International financial management plays an essential role in the MNC, Waitrose. The challenges faced by the firm in different international financial markets have been highlighted in the essay along with a critical analysis and evaluation of the dividend distribution policy, efficient market hypothesis theory and methods of appraising projects in Waitrose. An analysis of the ways the financial management of Waitrose in a global context has been demonstrated in the report. </w:t>
      </w:r>
    </w:p>
    <w:p w:rsidR="00000000" w:rsidDel="00000000" w:rsidP="00000000" w:rsidRDefault="00000000" w:rsidRPr="00000000" w14:paraId="0000001A">
      <w:pPr>
        <w:pStyle w:val="Heading1"/>
        <w:rPr/>
      </w:pPr>
      <w:bookmarkStart w:colFirst="0" w:colLast="0" w:name="_heading=h.30j0zll" w:id="1"/>
      <w:bookmarkEnd w:id="1"/>
      <w:r w:rsidDel="00000000" w:rsidR="00000000" w:rsidRPr="00000000">
        <w:rPr>
          <w:rtl w:val="0"/>
        </w:rPr>
        <w:t xml:space="preserve">Importance of international financial management (IFM) to Waitrose</w:t>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IFM or International financial management plays an essential role in ensuring that the business firm, that is the multinational corporation, is capable of operating in international markets. The capability of Waitrose is hence ensured by IFM. In addition, IFM also makes sure that the firm has a positive cash flow for supporting the financial debts of the firm in the long term. This assures the firm's capability of managing the upcoming operational expenses along with short-term debt (Suryanto and Komalasari, 2019). The shareholder's health is hence maximised as the firm makes sound financing decisions as well as investments that lead to adding extra value to the MNC. </w:t>
      </w:r>
    </w:p>
    <w:p w:rsidR="00000000" w:rsidDel="00000000" w:rsidP="00000000" w:rsidRDefault="00000000" w:rsidRPr="00000000" w14:paraId="0000001C">
      <w:pPr>
        <w:pStyle w:val="Heading1"/>
        <w:rPr/>
      </w:pPr>
      <w:bookmarkStart w:colFirst="0" w:colLast="0" w:name="_heading=h.1fob9te" w:id="2"/>
      <w:bookmarkEnd w:id="2"/>
      <w:r w:rsidDel="00000000" w:rsidR="00000000" w:rsidRPr="00000000">
        <w:rPr>
          <w:rtl w:val="0"/>
        </w:rPr>
        <w:t xml:space="preserve">Challenges which the corporation may be experiencing in different international financial markets</w:t>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Waitrose has been facing issues in various international financial markets. These include financial woes, competitive market, costs in Waitrose, failure of capturing the online market as well as not-so-strong growth strategy of the firm. The firm has parted ways from John &amp; Lewis and the firm is also facing issues in the international financial market. The firm's profits have fallen by 77 %. The firm is actually losing its market share, especially after the pandemic situation. The firm is hence facing issues in managing its finances that can be used for the upcoming operational expenses (Mosteanu and Faccia, 2020). The shareholder value is also getting deceased with the financial losses of Waitrose after the pandemic.</w:t>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drawing>
          <wp:inline distB="114300" distT="114300" distL="114300" distR="114300">
            <wp:extent cx="5731200" cy="3733800"/>
            <wp:effectExtent b="38100" l="38100" r="38100" t="3810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731200" cy="3733800"/>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1: Profits and revenue generation of Waitrose</w:t>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(Source: Statista, 2023)</w:t>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above graph depicts that though the firm has been gaining profits in the last few years, Waitrose faced losses in 2022 in comparison to 2021. Hence, the firm faced issues in gaming the required amount of profits due to the challenges and issues in the firm (Zayed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2021). </w:t>
      </w:r>
    </w:p>
    <w:p w:rsidR="00000000" w:rsidDel="00000000" w:rsidP="00000000" w:rsidRDefault="00000000" w:rsidRPr="00000000" w14:paraId="00000022">
      <w:pPr>
        <w:pStyle w:val="Heading1"/>
        <w:rPr/>
      </w:pPr>
      <w:bookmarkStart w:colFirst="0" w:colLast="0" w:name="_heading=h.3znysh7" w:id="3"/>
      <w:bookmarkEnd w:id="3"/>
      <w:r w:rsidDel="00000000" w:rsidR="00000000" w:rsidRPr="00000000">
        <w:rPr>
          <w:rtl w:val="0"/>
        </w:rPr>
        <w:t xml:space="preserve">Critical Analysis and evaluation of Waitrose's dividend distribution policy</w:t>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dividends are the payments that are made by a firm to its shareholders in the form of profit distribution. The profits that have been owned by a firm are either retained by the firm and are used for acquisition, diversification or expansion or are being distributed among the shareholders. The financial performance of Waitrose over the years has been effective, except for the year 2022. In the year 2022, Waitrose faced issues with its profits, hence ineffective financial performance was observed in the firm. The firm has committed to its growth and success with internalisation (Osho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2021). The firm has invested in sustainability by sourcing only zero-carbon farms in the UK by 2035. Waste management and supply chain management have also been taken care of by the firm through its investment. </w:t>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firm has invested in R&amp;D strategies of the firm along with enhanced business operations. The firm has invested over 1 Billion Euros in the R&amp;D section along with an increase in its digital infrastructure. The digital transformation and innovation in Waitrose are positively being done by the profits from the firm's sales. Hence, the firm is reinvesting its profits in its future business operations for expansion and globalisation. The firm is expanding globally through online delivery options for its customer base. The firm is even planning to open up 30 convenience outlets and invest in Food-to-go. The firm even invested in its farmers and suppliers as the supplier base is being impacted by climate factors. Hence, it is observed that Waitrose is spending its profits in its future business operations for expansion and internationalisation in an effective way (Alami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2022). </w:t>
      </w:r>
    </w:p>
    <w:p w:rsidR="00000000" w:rsidDel="00000000" w:rsidP="00000000" w:rsidRDefault="00000000" w:rsidRPr="00000000" w14:paraId="00000025">
      <w:pPr>
        <w:pStyle w:val="Heading1"/>
        <w:rPr/>
      </w:pPr>
      <w:bookmarkStart w:colFirst="0" w:colLast="0" w:name="_heading=h.2et92p0" w:id="4"/>
      <w:bookmarkEnd w:id="4"/>
      <w:r w:rsidDel="00000000" w:rsidR="00000000" w:rsidRPr="00000000">
        <w:rPr>
          <w:rtl w:val="0"/>
        </w:rPr>
        <w:t xml:space="preserve">Critical analysis of the efficient market hypothesis theory in the context of Waitrose’s operations</w:t>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market hypothesis theory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indicates that the share prices of the firm reflect all the information. The investors in a firm benefit from investment in low-cost as well as passive portfolios. There are three firms of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market hypothesis theory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These are strong, semi-strong and weak. The efficiency in the market hypothesis indicates that the competition of Waitrose is so strong and the company has a strong competitive advantage. In the case of the efficient market hypothesis, the old stock price of Waitrose has been included for new information and new stock prices. During the time gap, trading has been done by the firm and the inefficient market turns into an efficient market hypothesis (Puck and Filatotchev, 2020). Hence, after the new stock price was established for Waitrose, the firm gained an efficient market. </w:t>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All the historical prices, as well as returns of Waitrose, have been considered along with all public information and private information about the firm. The corporate decisions for finances in Waitrose are developed based on the market hypothesis of the firm. The firm has a new stock price of over 1 million Euros and these are being invested by the firm in the opening of 300 stores for Waitrose as well as in the digital transformation and online delivery system of the firm. The price of Waitrose is "1.425p on 13-04-2023 at 16:30:04" and the change is 0% (Bloomberg, 2023). The shares of John Lewis or Waitrose can be bought by others by applying to the trading platform, hence affecting the stock price and the market hypothesis theory of Waitrose. The efficiency in the market hypothesis theory of the firm gets increased and stronger. </w:t>
      </w:r>
    </w:p>
    <w:p w:rsidR="00000000" w:rsidDel="00000000" w:rsidP="00000000" w:rsidRDefault="00000000" w:rsidRPr="00000000" w14:paraId="00000028">
      <w:pPr>
        <w:pStyle w:val="Heading1"/>
        <w:rPr/>
      </w:pPr>
      <w:bookmarkStart w:colFirst="0" w:colLast="0" w:name="_heading=h.tyjcwt" w:id="5"/>
      <w:bookmarkEnd w:id="5"/>
      <w:r w:rsidDel="00000000" w:rsidR="00000000" w:rsidRPr="00000000">
        <w:rPr>
          <w:rtl w:val="0"/>
        </w:rPr>
        <w:t xml:space="preserve">Critical analysis and evaluation of Waitrose’s methods of appraising projects </w:t>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There are different methods of appraising projects that could be taken into consideration by the businesses so that they could be able to improve their business operations. According to the research by Cornet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(2018), it can be said that project appraisal focuses on the technical feasibility and economic viability and even the cost of the project so that it could help the organisation in its decision-making process. In order to conduct this acidity Waitrose would need to focus on different aspects such as economic analysis, market analysis, financial analysis, technical feasibility and even other aspects so that they could make efficient decision-making regarding the investment in the project. While appraising a project, it is important that businesses would focus on the condition of the market so that it could help them in analysing if the market is in the right condition to support the project. From the annual report of Waitrose, it has been understood that the organisation </w:t>
      </w:r>
      <w:r w:rsidDel="00000000" w:rsidR="00000000" w:rsidRPr="00000000">
        <w:rPr>
          <w:rFonts w:ascii="Times New Roman" w:cs="Times New Roman" w:eastAsia="Times New Roman" w:hAnsi="Times New Roman"/>
          <w:sz w:val="24"/>
          <w:szCs w:val="24"/>
          <w:rtl w:val="0"/>
        </w:rPr>
        <w:t xml:space="preserve">has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done market projections and analysis so that it could help them in understanding interest rates and other external factors which could impact the business decisions (john lewis partnership, 2022). This has helped the organisation in conducting efficient decision-making regarding their project. </w:t>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Financial analysis is also important as it helps in understanding the financial viability of the project so that the businesses could take the risk. There are always risks involved with the project appraisals that businesses would need to take in order to make a profit. However, it is important that businesses would focus on the financial return of that project so that they could decide about taking the risk. The financial performance helps in understanding the cost of the project, net present value and internal rate of return (Aldersey-Williams and Rubert, 2019). All of these provide the projected return so that businesses could make an appropriate decision about investing in the project. The partnership board have focused on the financial and other resources appropriately so that they could be able to analyse the business performance which have helped them in understanding their position with which they could make an effective decision as if they are in the position of investing in any project (john lewis partnership, 2022). Along with this, they have even implemented appropriate monitoring in the financial aspect with which the business could be able to understand the financial risk regarding the project.  </w:t>
      </w:r>
    </w:p>
    <w:p w:rsidR="00000000" w:rsidDel="00000000" w:rsidP="00000000" w:rsidRDefault="00000000" w:rsidRPr="00000000" w14:paraId="0000002B">
      <w:pPr>
        <w:pStyle w:val="Heading1"/>
        <w:rPr/>
      </w:pPr>
      <w:bookmarkStart w:colFirst="0" w:colLast="0" w:name="_heading=h.3dy6vkm" w:id="6"/>
      <w:bookmarkEnd w:id="6"/>
      <w:r w:rsidDel="00000000" w:rsidR="00000000" w:rsidRPr="00000000">
        <w:rPr>
          <w:rtl w:val="0"/>
        </w:rPr>
        <w:t xml:space="preserve">Conclusion</w:t>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research has helped in understanding international financial management that Waitrose could understand and could follow for improving their business operations and their sustainability in the market. Along with this the research even provided the challenges that the business is facing in the international financial market. The main challenge for the organisation was its profitability which has been impacted in the international market due to the pandemic and economic recession. Along with this the research even provided the market analysis and financial analysis that Waitrose undertakes in their business for their project appraisal. </w:t>
      </w:r>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1"/>
        <w:rPr/>
      </w:pPr>
      <w:bookmarkStart w:colFirst="0" w:colLast="0" w:name="_heading=h.1t3h5sf" w:id="7"/>
      <w:bookmarkEnd w:id="7"/>
      <w:r w:rsidDel="00000000" w:rsidR="00000000" w:rsidRPr="00000000">
        <w:rPr>
          <w:rtl w:val="0"/>
        </w:rPr>
        <w:t xml:space="preserve">References</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Alami, I., Alves, C., Bonizzi, B., Kaltenbrunner, A., Koddenbrock, K., Kvangraven, I. and Powell, J., 2022. International financial subordination: a critical research agenda. Review of International Political Economy, pp.1-27.</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Aldersey-Williams, J. and Rubert, T., 2019. Levelised cost of energy–A theoretical justification and critical assessment.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Energy policy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124</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pp.169-179.</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Bloomberg, 2023. Waitrose Ltd. Available from: </w:t>
      </w:r>
      <w:hyperlink r:id="rId8">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https://www.bloomberg.com/profile/company/606537Z:LN#xj4y7vzkg</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[Available on </w:t>
      </w:r>
      <w:r w:rsidDel="00000000" w:rsidR="00000000" w:rsidRPr="00000000">
        <w:rPr>
          <w:rFonts w:ascii="Times New Roman" w:cs="Times New Roman" w:eastAsia="Times New Roman" w:hAnsi="Times New Roman"/>
          <w:sz w:val="24"/>
          <w:szCs w:val="24"/>
          <w:rtl w:val="0"/>
        </w:rPr>
        <w:t xml:space="preserve">23</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April 2023]</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Cornet, Y., Barradale, M.J., Gudmundsson, H. and Barfod, M.B., 2018. Engaging multiple actors in large-scale transport infrastructure project appraisal: an application of MAMCA to the case of HS2 high-speed rail.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Journal of Advanced Transportation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2018</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johnlewispartnership,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John Lewis plc - 2021/22 financial statements - john lewis partnership</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Available from: https://www.johnlewispartnership.co.uk/content/dam/cws/pdfs/Juniper/ARA-2022/John-Lewis-PLC-Financial-Statements-2022.pdf [Available on </w:t>
      </w:r>
      <w:r w:rsidDel="00000000" w:rsidR="00000000" w:rsidRPr="00000000">
        <w:rPr>
          <w:rFonts w:ascii="Times New Roman" w:cs="Times New Roman" w:eastAsia="Times New Roman" w:hAnsi="Times New Roman"/>
          <w:sz w:val="24"/>
          <w:szCs w:val="24"/>
          <w:rtl w:val="0"/>
        </w:rPr>
        <w:t xml:space="preserve">25</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April 2023].</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Mosteanu, N.R. and Faccia, A., 2020. Digital systems and new challenges of financial management–FinTech, XBRL, blockchain and cryptocurrencies. Quality-Access to Success Journal, 21(174), pp.159-166.</w:t>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Osho, A., Olutayo, M.E. and Olayinka, E.A., 2021. International financial reporting standards (IFRS) and financial performance of multinational companies in Nigeria. The Journal of Accounting and Management, 11(2).</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Puck, J. and Filatotchev, I., 2020. Finance and the multinational company: Building bridges between finance and global strategy research. Global Strategy Journal, 10(4), pp.655-675.</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Statista, 2023. Annual revenue of Waitrose in the United Kingdom (UK) from 2009 to 2022. Available from: </w:t>
      </w:r>
      <w:hyperlink r:id="rId9">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https://www.statista.com/statistics/420250/waitrose-revenue-uk-united-kingdom/#:~:text=The%20statistic%20displays%20the%20annual,decrease%20on%20the%20previous%20year</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[Available on </w:t>
      </w:r>
      <w:r w:rsidDel="00000000" w:rsidR="00000000" w:rsidRPr="00000000">
        <w:rPr>
          <w:rFonts w:ascii="Times New Roman" w:cs="Times New Roman" w:eastAsia="Times New Roman" w:hAnsi="Times New Roman"/>
          <w:sz w:val="24"/>
          <w:szCs w:val="24"/>
          <w:rtl w:val="0"/>
        </w:rPr>
        <w:t xml:space="preserve">25</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April 2023]</w:t>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Suryanto, T. and Komalasari, A., 2019. Effect of mandatory adoption of international financial reporting standard (IFRS) on supply chain management: A case of Indonesian dairy industry. Uncertain Supply Chain Management, 7(2), pp.169-178.</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Zayed, N.M., Islam, K.A., Shahi, S.K., Rahman, M.S. and Raisa, T.S., 2021. An analysis on the effects of coronavirus (covid-19) on the financial management of multinational corporations. Australian Finance &amp; Banking Review, 5(1), pp.29-39.</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sectPr>
      <w:footerReference r:id="rId10" w:type="defaul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360" w:lineRule="auto"/>
      <w:ind w:left="0" w:right="0" w:firstLine="0"/>
      <w:jc w:val="both"/>
    </w:pPr>
    <w:rPr>
      <w:rFonts w:ascii="Times New Roman" w:cs="Times New Roman" w:eastAsia="Times New Roman" w:hAnsi="Times New Roman"/>
      <w:b w:val="1"/>
      <w:i w:val="0"/>
      <w:smallCaps w:val="0"/>
      <w:strike w:val="0"/>
      <w:color w:val="000000"/>
      <w:sz w:val="28"/>
      <w:szCs w:val="28"/>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360" w:line="276" w:lineRule="auto"/>
      <w:ind w:left="0" w:right="0" w:firstLine="0"/>
      <w:jc w:val="left"/>
    </w:pPr>
    <w:rPr>
      <w:rFonts w:ascii="Arial" w:cs="Arial" w:eastAsia="Arial" w:hAnsi="Arial"/>
      <w:b w:val="0"/>
      <w:i w:val="0"/>
      <w:smallCaps w:val="0"/>
      <w:strike w:val="0"/>
      <w:color w:val="000000"/>
      <w:sz w:val="32"/>
      <w:szCs w:val="32"/>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276" w:lineRule="auto"/>
      <w:ind w:left="0" w:right="0" w:firstLine="0"/>
      <w:jc w:val="left"/>
    </w:pPr>
    <w:rPr>
      <w:rFonts w:ascii="Arial" w:cs="Arial" w:eastAsia="Arial" w:hAnsi="Arial"/>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pPr>
    <w:rPr>
      <w:rFonts w:ascii="Arial" w:cs="Arial" w:eastAsia="Arial" w:hAnsi="Arial"/>
      <w:b w:val="0"/>
      <w:i w:val="0"/>
      <w:smallCaps w:val="0"/>
      <w:strike w:val="0"/>
      <w:color w:val="000000"/>
      <w:sz w:val="52"/>
      <w:szCs w:val="52"/>
      <w:u w:val="none"/>
      <w:shd w:fill="auto" w:val="clear"/>
      <w:vertAlign w:val="baseline"/>
    </w:rPr>
  </w:style>
  <w:style w:type="paragraph" w:styleId="Normal" w:default="1">
    <w:name w:val="Normal"/>
    <w:qFormat w:val="1"/>
    <w:rsid w:val="004B77B5"/>
  </w:style>
  <w:style w:type="paragraph" w:styleId="Heading1">
    <w:name w:val="heading 1"/>
    <w:basedOn w:val="Normal1"/>
    <w:next w:val="Normal1"/>
    <w:rsid w:val="000B1701"/>
    <w:pPr>
      <w:keepNext w:val="1"/>
      <w:keepLines w:val="1"/>
      <w:spacing w:after="120" w:before="400" w:line="360" w:lineRule="auto"/>
      <w:jc w:val="both"/>
      <w:outlineLvl w:val="0"/>
    </w:pPr>
    <w:rPr>
      <w:rFonts w:ascii="Times New Roman" w:hAnsi="Times New Roman"/>
      <w:b w:val="1"/>
      <w:sz w:val="28"/>
      <w:szCs w:val="40"/>
    </w:rPr>
  </w:style>
  <w:style w:type="paragraph" w:styleId="Heading2">
    <w:name w:val="heading 2"/>
    <w:basedOn w:val="Normal1"/>
    <w:next w:val="Normal1"/>
    <w:rsid w:val="003F49C6"/>
    <w:pPr>
      <w:keepNext w:val="1"/>
      <w:keepLines w:val="1"/>
      <w:spacing w:after="120" w:before="360"/>
      <w:outlineLvl w:val="1"/>
    </w:pPr>
    <w:rPr>
      <w:sz w:val="32"/>
      <w:szCs w:val="32"/>
    </w:rPr>
  </w:style>
  <w:style w:type="paragraph" w:styleId="Heading3">
    <w:name w:val="heading 3"/>
    <w:basedOn w:val="Normal1"/>
    <w:next w:val="Normal1"/>
    <w:rsid w:val="003F49C6"/>
    <w:pPr>
      <w:keepNext w:val="1"/>
      <w:keepLines w:val="1"/>
      <w:spacing w:after="80" w:before="320"/>
      <w:outlineLvl w:val="2"/>
    </w:pPr>
    <w:rPr>
      <w:color w:val="434343"/>
      <w:sz w:val="28"/>
      <w:szCs w:val="28"/>
    </w:rPr>
  </w:style>
  <w:style w:type="paragraph" w:styleId="Heading4">
    <w:name w:val="heading 4"/>
    <w:basedOn w:val="Normal1"/>
    <w:next w:val="Normal1"/>
    <w:rsid w:val="003F49C6"/>
    <w:pPr>
      <w:keepNext w:val="1"/>
      <w:keepLines w:val="1"/>
      <w:spacing w:after="80" w:before="280"/>
      <w:outlineLvl w:val="3"/>
    </w:pPr>
    <w:rPr>
      <w:color w:val="666666"/>
      <w:sz w:val="24"/>
      <w:szCs w:val="24"/>
    </w:rPr>
  </w:style>
  <w:style w:type="paragraph" w:styleId="Heading5">
    <w:name w:val="heading 5"/>
    <w:basedOn w:val="Normal1"/>
    <w:next w:val="Normal1"/>
    <w:rsid w:val="003F49C6"/>
    <w:pPr>
      <w:keepNext w:val="1"/>
      <w:keepLines w:val="1"/>
      <w:spacing w:after="80" w:before="240"/>
      <w:outlineLvl w:val="4"/>
    </w:pPr>
    <w:rPr>
      <w:color w:val="666666"/>
    </w:rPr>
  </w:style>
  <w:style w:type="paragraph" w:styleId="Heading6">
    <w:name w:val="heading 6"/>
    <w:basedOn w:val="Normal1"/>
    <w:next w:val="Normal1"/>
    <w:rsid w:val="003F49C6"/>
    <w:pPr>
      <w:keepNext w:val="1"/>
      <w:keepLines w:val="1"/>
      <w:spacing w:after="80" w:before="240"/>
      <w:outlineLvl w:val="5"/>
    </w:pPr>
    <w:rPr>
      <w:i w:val="1"/>
      <w:color w:val="66666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1" w:customStyle="1">
    <w:name w:val="Normal1"/>
    <w:rsid w:val="003F49C6"/>
  </w:style>
  <w:style w:type="table" w:styleId="TableNormal1" w:customStyle="1">
    <w:name w:val="Table Normal1"/>
    <w:rsid w:val="003F49C6"/>
    <w:tblPr>
      <w:tblCellMar>
        <w:top w:w="0.0" w:type="dxa"/>
        <w:left w:w="0.0" w:type="dxa"/>
        <w:bottom w:w="0.0" w:type="dxa"/>
        <w:right w:w="0.0" w:type="dxa"/>
      </w:tblCellMar>
    </w:tblPr>
  </w:style>
  <w:style w:type="paragraph" w:styleId="Title">
    <w:name w:val="Title"/>
    <w:basedOn w:val="Normal1"/>
    <w:next w:val="Normal1"/>
    <w:rsid w:val="003F49C6"/>
    <w:pPr>
      <w:keepNext w:val="1"/>
      <w:keepLines w:val="1"/>
      <w:spacing w:after="60"/>
    </w:pPr>
    <w:rPr>
      <w:sz w:val="52"/>
      <w:szCs w:val="52"/>
    </w:rPr>
  </w:style>
  <w:style w:type="paragraph" w:styleId="Subtitle">
    <w:name w:val="Subtitle"/>
    <w:basedOn w:val="Normal1"/>
    <w:next w:val="Normal1"/>
    <w:rsid w:val="003F49C6"/>
    <w:pPr>
      <w:keepNext w:val="1"/>
      <w:keepLines w:val="1"/>
      <w:spacing w:after="320"/>
    </w:pPr>
    <w:rPr>
      <w:color w:val="666666"/>
      <w:sz w:val="30"/>
      <w:szCs w:val="30"/>
    </w:rPr>
  </w:style>
  <w:style w:type="paragraph" w:styleId="Header">
    <w:name w:val="header"/>
    <w:basedOn w:val="Normal"/>
    <w:link w:val="HeaderChar"/>
    <w:uiPriority w:val="99"/>
    <w:unhideWhenUsed w:val="1"/>
    <w:rsid w:val="00964706"/>
    <w:pPr>
      <w:tabs>
        <w:tab w:val="center" w:pos="4513"/>
        <w:tab w:val="right" w:pos="9026"/>
      </w:tabs>
      <w:spacing w:line="240" w:lineRule="auto"/>
    </w:pPr>
  </w:style>
  <w:style w:type="character" w:styleId="HeaderChar" w:customStyle="1">
    <w:name w:val="Header Char"/>
    <w:basedOn w:val="DefaultParagraphFont"/>
    <w:link w:val="Header"/>
    <w:uiPriority w:val="99"/>
    <w:rsid w:val="00964706"/>
  </w:style>
  <w:style w:type="paragraph" w:styleId="Footer">
    <w:name w:val="footer"/>
    <w:basedOn w:val="Normal"/>
    <w:link w:val="FooterChar"/>
    <w:uiPriority w:val="99"/>
    <w:unhideWhenUsed w:val="1"/>
    <w:rsid w:val="00964706"/>
    <w:pPr>
      <w:tabs>
        <w:tab w:val="center" w:pos="4513"/>
        <w:tab w:val="right" w:pos="9026"/>
      </w:tabs>
      <w:spacing w:line="240" w:lineRule="auto"/>
    </w:pPr>
  </w:style>
  <w:style w:type="character" w:styleId="FooterChar" w:customStyle="1">
    <w:name w:val="Footer Char"/>
    <w:basedOn w:val="DefaultParagraphFont"/>
    <w:link w:val="Footer"/>
    <w:uiPriority w:val="99"/>
    <w:rsid w:val="00964706"/>
  </w:style>
  <w:style w:type="paragraph" w:styleId="TOCHeading">
    <w:name w:val="TOC Heading"/>
    <w:basedOn w:val="Heading1"/>
    <w:next w:val="Normal"/>
    <w:uiPriority w:val="39"/>
    <w:unhideWhenUsed w:val="1"/>
    <w:qFormat w:val="1"/>
    <w:rsid w:val="00B73747"/>
    <w:pPr>
      <w:spacing w:after="0" w:before="240" w:line="259" w:lineRule="auto"/>
      <w:jc w:val="left"/>
      <w:outlineLvl w:val="9"/>
    </w:pPr>
    <w:rPr>
      <w:rFonts w:asciiTheme="majorHAnsi" w:cstheme="majorBidi" w:eastAsiaTheme="majorEastAsia" w:hAnsiTheme="majorHAnsi"/>
      <w:b w:val="0"/>
      <w:color w:val="365f91" w:themeColor="accent1" w:themeShade="0000BF"/>
      <w:sz w:val="32"/>
      <w:szCs w:val="32"/>
    </w:rPr>
  </w:style>
  <w:style w:type="paragraph" w:styleId="TOC1">
    <w:name w:val="toc 1"/>
    <w:basedOn w:val="Normal"/>
    <w:next w:val="Normal"/>
    <w:autoRedefine w:val="1"/>
    <w:uiPriority w:val="39"/>
    <w:unhideWhenUsed w:val="1"/>
    <w:rsid w:val="00B73747"/>
    <w:pPr>
      <w:spacing w:after="100"/>
    </w:pPr>
  </w:style>
  <w:style w:type="character" w:styleId="Hyperlink">
    <w:name w:val="Hyperlink"/>
    <w:basedOn w:val="DefaultParagraphFont"/>
    <w:uiPriority w:val="99"/>
    <w:unhideWhenUsed w:val="1"/>
    <w:rsid w:val="00B73747"/>
    <w:rPr>
      <w:color w:val="0000ff" w:themeColor="hyperlink"/>
      <w:u w:val="single"/>
    </w:rPr>
  </w:style>
  <w:style w:type="paragraph" w:styleId="BalloonText">
    <w:name w:val="Balloon Text"/>
    <w:basedOn w:val="Normal"/>
    <w:link w:val="BalloonTextChar"/>
    <w:uiPriority w:val="99"/>
    <w:semiHidden w:val="1"/>
    <w:unhideWhenUsed w:val="1"/>
    <w:rsid w:val="006F69C0"/>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6F69C0"/>
    <w:rPr>
      <w:rFonts w:ascii="Tahoma" w:cs="Tahoma" w:hAnsi="Tahoma"/>
      <w:sz w:val="16"/>
      <w:szCs w:val="16"/>
    </w:rPr>
  </w:style>
  <w:style w:type="paragraph" w:styleId="normal0" w:customStyle="1">
    <w:name w:val="normal"/>
    <w:rsid w:val="006F69C0"/>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276" w:lineRule="auto"/>
      <w:ind w:left="0" w:right="0" w:firstLine="0"/>
      <w:jc w:val="left"/>
    </w:pPr>
    <w:rPr>
      <w:rFonts w:ascii="Arial" w:cs="Arial" w:eastAsia="Arial" w:hAnsi="Arial"/>
      <w:b w:val="0"/>
      <w:i w:val="0"/>
      <w:smallCaps w:val="0"/>
      <w:strike w:val="0"/>
      <w:color w:val="666666"/>
      <w:sz w:val="30"/>
      <w:szCs w:val="30"/>
      <w:u w:val="none"/>
      <w:shd w:fill="auto" w:val="clear"/>
      <w:vertAlign w:val="baseline"/>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hyperlink" Target="https://www.statista.com/statistics/420250/waitrose-revenue-uk-united-kingdom/#:~:text=The%20statistic%20displays%20the%20annual,decrease%20on%20the%20previous%20year"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bloomberg.com/profile/company/606537Z:LN#xj4y7vzk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ycm1BWA1rCbQpuD0MYTd6gAwkkA==">AMUW2mXcf07AP0FBgAFHa3NX64y05iy4y2cD+/i5VqCkcSdcjxKDXRNYkpJabbpF+SY3zVorFYatPN7jHfalt8UC730V4yRHKhQAHExQpsHxpyWd5BnSNPQ2xp3wVvEmAXYWaqFKK9Pa2OHN2Wt3KZqXkD5NbyezUlXRT929J0MDeX1+tQ+I1xOmVIbpZDwL/n/oU3bDCFIkSxmHKrqftDm8f4itFM2knNw3+4hT4S9udhaN0NOGBpk=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2023-04-14T12:33:00Z</dcterms:created>
  <dc:creator>USER</dc:creator>
</cp:coreProperties>
</file>