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2D833D" w14:textId="0710B5D2" w:rsidR="00C82275" w:rsidRDefault="00C82275" w:rsidP="0034471F">
      <w:pPr>
        <w:spacing w:line="360" w:lineRule="auto"/>
        <w:rPr>
          <w:rFonts w:ascii="Arial" w:hAnsi="Arial" w:cs="Arial"/>
        </w:rPr>
      </w:pPr>
    </w:p>
    <w:p w14:paraId="5B08901E" w14:textId="044FF97C" w:rsidR="002C6283" w:rsidRDefault="00384F3C" w:rsidP="0034471F">
      <w:pPr>
        <w:spacing w:line="360" w:lineRule="auto"/>
        <w:rPr>
          <w:rFonts w:ascii="Arial" w:hAnsi="Arial" w:cs="Arial"/>
        </w:rPr>
      </w:pPr>
      <w:r>
        <w:rPr>
          <w:rFonts w:ascii="Arial" w:hAnsi="Arial" w:cs="Arial"/>
        </w:rPr>
        <w:t>T</w:t>
      </w:r>
      <w:r w:rsidR="008A3C69">
        <w:rPr>
          <w:rFonts w:ascii="Arial" w:hAnsi="Arial" w:cs="Arial"/>
        </w:rPr>
        <w:t xml:space="preserve">heft is defined under </w:t>
      </w:r>
      <w:r w:rsidR="008A3C69" w:rsidRPr="002C6283">
        <w:rPr>
          <w:rFonts w:ascii="Arial" w:hAnsi="Arial" w:cs="Arial"/>
          <w:u w:val="single"/>
        </w:rPr>
        <w:t>S.1 (s)1 of the Theft Act 1968</w:t>
      </w:r>
      <w:r w:rsidR="008A3C69">
        <w:rPr>
          <w:rFonts w:ascii="Arial" w:hAnsi="Arial" w:cs="Arial"/>
        </w:rPr>
        <w:t xml:space="preserve"> which states</w:t>
      </w:r>
      <w:r w:rsidR="00F81B67">
        <w:rPr>
          <w:rFonts w:ascii="Arial" w:hAnsi="Arial" w:cs="Arial"/>
        </w:rPr>
        <w:t xml:space="preserve"> that,</w:t>
      </w:r>
      <w:r w:rsidR="008A3C69">
        <w:rPr>
          <w:rFonts w:ascii="Arial" w:hAnsi="Arial" w:cs="Arial"/>
        </w:rPr>
        <w:t xml:space="preserve"> an individual can only be found guilty of theft if </w:t>
      </w:r>
      <w:r w:rsidR="002C6283">
        <w:rPr>
          <w:rFonts w:ascii="Arial" w:hAnsi="Arial" w:cs="Arial"/>
        </w:rPr>
        <w:t xml:space="preserve">they dishonestly </w:t>
      </w:r>
      <w:proofErr w:type="gramStart"/>
      <w:r w:rsidR="002C6283">
        <w:rPr>
          <w:rFonts w:ascii="Arial" w:hAnsi="Arial" w:cs="Arial"/>
        </w:rPr>
        <w:t>appropriate</w:t>
      </w:r>
      <w:r w:rsidR="00F81B67">
        <w:rPr>
          <w:rFonts w:ascii="Arial" w:hAnsi="Arial" w:cs="Arial"/>
        </w:rPr>
        <w:t>s</w:t>
      </w:r>
      <w:proofErr w:type="gramEnd"/>
      <w:r w:rsidR="002C6283">
        <w:rPr>
          <w:rFonts w:ascii="Arial" w:hAnsi="Arial" w:cs="Arial"/>
        </w:rPr>
        <w:t xml:space="preserve"> the property belonging to another with the intention to permanently deprive said person of that property.</w:t>
      </w:r>
      <w:r w:rsidR="008A3C69">
        <w:rPr>
          <w:rFonts w:ascii="Arial" w:hAnsi="Arial" w:cs="Arial"/>
        </w:rPr>
        <w:t xml:space="preserve"> </w:t>
      </w:r>
      <w:r w:rsidR="00BA262F">
        <w:rPr>
          <w:rFonts w:ascii="Arial" w:hAnsi="Arial" w:cs="Arial"/>
        </w:rPr>
        <w:t>There are several elements to the offence of theft</w:t>
      </w:r>
      <w:r>
        <w:rPr>
          <w:rFonts w:ascii="Arial" w:hAnsi="Arial" w:cs="Arial"/>
        </w:rPr>
        <w:t>.</w:t>
      </w:r>
      <w:r w:rsidR="00BA262F">
        <w:rPr>
          <w:rFonts w:ascii="Arial" w:hAnsi="Arial" w:cs="Arial"/>
        </w:rPr>
        <w:t xml:space="preserve"> For a defendant to be found guilty of theft it would have to be established in court that </w:t>
      </w:r>
      <w:r>
        <w:rPr>
          <w:rFonts w:ascii="Arial" w:hAnsi="Arial" w:cs="Arial"/>
        </w:rPr>
        <w:t>they</w:t>
      </w:r>
      <w:r w:rsidR="00BA262F">
        <w:rPr>
          <w:rFonts w:ascii="Arial" w:hAnsi="Arial" w:cs="Arial"/>
        </w:rPr>
        <w:t xml:space="preserve"> had the mens rea and the actus reus for the offence</w:t>
      </w:r>
      <w:r w:rsidR="00B3288E">
        <w:rPr>
          <w:rFonts w:ascii="Arial" w:hAnsi="Arial" w:cs="Arial"/>
        </w:rPr>
        <w:t xml:space="preserve">. </w:t>
      </w:r>
    </w:p>
    <w:p w14:paraId="66E8F130" w14:textId="77777777" w:rsidR="004F1F1C" w:rsidRDefault="004F1F1C" w:rsidP="0034471F">
      <w:pPr>
        <w:spacing w:line="360" w:lineRule="auto"/>
        <w:rPr>
          <w:rFonts w:ascii="Arial" w:hAnsi="Arial" w:cs="Arial"/>
        </w:rPr>
      </w:pPr>
    </w:p>
    <w:p w14:paraId="7030FA86" w14:textId="6345D9AA" w:rsidR="00384F3C" w:rsidRDefault="00B83959" w:rsidP="0034471F">
      <w:pPr>
        <w:spacing w:line="360" w:lineRule="auto"/>
        <w:rPr>
          <w:rFonts w:ascii="Arial" w:hAnsi="Arial" w:cs="Arial"/>
        </w:rPr>
      </w:pPr>
      <w:r>
        <w:rPr>
          <w:rFonts w:ascii="Arial" w:hAnsi="Arial" w:cs="Arial"/>
        </w:rPr>
        <w:t xml:space="preserve">The relevant mens rea for the offence of theft must be met for the defendant to be found guilty. There are two elements of the mens rea for theft and these are, that the defendant acted dishonestly which is outlined under </w:t>
      </w:r>
      <w:r w:rsidRPr="004E6B52">
        <w:rPr>
          <w:rFonts w:ascii="Arial" w:hAnsi="Arial" w:cs="Arial"/>
          <w:u w:val="single"/>
        </w:rPr>
        <w:t>s.2 of the Theft Act 1968.</w:t>
      </w:r>
      <w:r>
        <w:rPr>
          <w:rFonts w:ascii="Arial" w:hAnsi="Arial" w:cs="Arial"/>
        </w:rPr>
        <w:t xml:space="preserve"> However, </w:t>
      </w:r>
      <w:r w:rsidRPr="00384F3C">
        <w:rPr>
          <w:rFonts w:ascii="Arial" w:hAnsi="Arial" w:cs="Arial"/>
          <w:u w:val="single"/>
        </w:rPr>
        <w:t>S</w:t>
      </w:r>
      <w:r w:rsidR="00384F3C">
        <w:rPr>
          <w:rFonts w:ascii="Arial" w:hAnsi="Arial" w:cs="Arial"/>
          <w:u w:val="single"/>
        </w:rPr>
        <w:t>ection</w:t>
      </w:r>
      <w:r w:rsidRPr="00384F3C">
        <w:rPr>
          <w:rFonts w:ascii="Arial" w:hAnsi="Arial" w:cs="Arial"/>
          <w:u w:val="single"/>
        </w:rPr>
        <w:t>.2</w:t>
      </w:r>
      <w:r>
        <w:rPr>
          <w:rFonts w:ascii="Arial" w:hAnsi="Arial" w:cs="Arial"/>
        </w:rPr>
        <w:t xml:space="preserve"> does not provide a definition what is dishonest but </w:t>
      </w:r>
      <w:r w:rsidRPr="004E6B52">
        <w:rPr>
          <w:rFonts w:ascii="Arial" w:hAnsi="Arial" w:cs="Arial"/>
          <w:u w:val="single"/>
        </w:rPr>
        <w:t>S.2 (1) of the Theft Act</w:t>
      </w:r>
      <w:r w:rsidR="004E6B52">
        <w:rPr>
          <w:rFonts w:ascii="Arial" w:hAnsi="Arial" w:cs="Arial"/>
          <w:u w:val="single"/>
        </w:rPr>
        <w:t xml:space="preserve"> 1968</w:t>
      </w:r>
      <w:r>
        <w:rPr>
          <w:rFonts w:ascii="Arial" w:hAnsi="Arial" w:cs="Arial"/>
        </w:rPr>
        <w:t xml:space="preserve"> provides three scenarios where the defendant would be deemed to have not been acting in a dishonest way. </w:t>
      </w:r>
      <w:r w:rsidR="004E6B52">
        <w:rPr>
          <w:rFonts w:ascii="Arial" w:hAnsi="Arial" w:cs="Arial"/>
        </w:rPr>
        <w:t xml:space="preserve">These scenarios in theory are defences for theft. </w:t>
      </w:r>
      <w:r>
        <w:rPr>
          <w:rFonts w:ascii="Arial" w:hAnsi="Arial" w:cs="Arial"/>
        </w:rPr>
        <w:t>The</w:t>
      </w:r>
      <w:r w:rsidR="004E6B52">
        <w:rPr>
          <w:rFonts w:ascii="Arial" w:hAnsi="Arial" w:cs="Arial"/>
        </w:rPr>
        <w:t xml:space="preserve"> first of these scenarios is shown in the case of</w:t>
      </w:r>
      <w:r w:rsidR="0034471F">
        <w:rPr>
          <w:rFonts w:ascii="Arial" w:hAnsi="Arial" w:cs="Arial"/>
        </w:rPr>
        <w:t xml:space="preserve"> </w:t>
      </w:r>
      <w:r w:rsidR="004E6B52" w:rsidRPr="0034471F">
        <w:rPr>
          <w:rFonts w:ascii="Arial" w:hAnsi="Arial" w:cs="Arial"/>
          <w:u w:val="single"/>
        </w:rPr>
        <w:t xml:space="preserve">Morgan </w:t>
      </w:r>
      <w:r w:rsidR="00FD4346">
        <w:rPr>
          <w:rFonts w:ascii="Arial" w:hAnsi="Arial" w:cs="Arial"/>
          <w:u w:val="single"/>
        </w:rPr>
        <w:t>(</w:t>
      </w:r>
      <w:r w:rsidR="004E6B52" w:rsidRPr="0034471F">
        <w:rPr>
          <w:rFonts w:ascii="Arial" w:hAnsi="Arial" w:cs="Arial"/>
          <w:u w:val="single"/>
        </w:rPr>
        <w:t>1976</w:t>
      </w:r>
      <w:r w:rsidR="00FD4346">
        <w:rPr>
          <w:rFonts w:ascii="Arial" w:hAnsi="Arial" w:cs="Arial"/>
          <w:u w:val="single"/>
        </w:rPr>
        <w:t>)</w:t>
      </w:r>
      <w:r w:rsidR="004E6B52">
        <w:rPr>
          <w:rFonts w:ascii="Arial" w:hAnsi="Arial" w:cs="Arial"/>
          <w:u w:val="single"/>
        </w:rPr>
        <w:t xml:space="preserve"> </w:t>
      </w:r>
      <w:r w:rsidR="004E6B52">
        <w:rPr>
          <w:rFonts w:ascii="Arial" w:hAnsi="Arial" w:cs="Arial"/>
        </w:rPr>
        <w:t>and is that the defendant had the right to deprive the victim of the property.</w:t>
      </w:r>
      <w:r w:rsidR="000A42A9">
        <w:rPr>
          <w:rFonts w:ascii="Arial" w:hAnsi="Arial" w:cs="Arial"/>
        </w:rPr>
        <w:t xml:space="preserve"> </w:t>
      </w:r>
      <w:r w:rsidR="004E6B52">
        <w:rPr>
          <w:rFonts w:ascii="Arial" w:hAnsi="Arial" w:cs="Arial"/>
        </w:rPr>
        <w:t xml:space="preserve">The defendant can also argue that the victim would have given them permission to appropriate the property if they had known about it. The final scenario is that the person </w:t>
      </w:r>
      <w:r w:rsidR="005E786A">
        <w:rPr>
          <w:rFonts w:ascii="Arial" w:hAnsi="Arial" w:cs="Arial"/>
        </w:rPr>
        <w:t>whose</w:t>
      </w:r>
      <w:r w:rsidR="004E6B52">
        <w:rPr>
          <w:rFonts w:ascii="Arial" w:hAnsi="Arial" w:cs="Arial"/>
        </w:rPr>
        <w:t xml:space="preserve"> property has been appropriated cannot be </w:t>
      </w:r>
      <w:r w:rsidR="005E786A">
        <w:rPr>
          <w:rFonts w:ascii="Arial" w:hAnsi="Arial" w:cs="Arial"/>
        </w:rPr>
        <w:t>found</w:t>
      </w:r>
      <w:r w:rsidR="004E6B52">
        <w:rPr>
          <w:rFonts w:ascii="Arial" w:hAnsi="Arial" w:cs="Arial"/>
        </w:rPr>
        <w:t xml:space="preserve"> after taking reasonable steps.</w:t>
      </w:r>
      <w:r w:rsidR="00384F3C">
        <w:rPr>
          <w:rFonts w:ascii="Arial" w:hAnsi="Arial" w:cs="Arial"/>
        </w:rPr>
        <w:t xml:space="preserve"> None of these defences would work for Paula</w:t>
      </w:r>
      <w:r w:rsidR="002C46EF">
        <w:rPr>
          <w:rFonts w:ascii="Arial" w:hAnsi="Arial" w:cs="Arial"/>
        </w:rPr>
        <w:t xml:space="preserve"> as she has not got any defence for what she has done. </w:t>
      </w:r>
    </w:p>
    <w:p w14:paraId="59CFF03A" w14:textId="77777777" w:rsidR="00230C9A" w:rsidRDefault="00230C9A" w:rsidP="0034471F">
      <w:pPr>
        <w:spacing w:line="360" w:lineRule="auto"/>
        <w:rPr>
          <w:rFonts w:ascii="Arial" w:hAnsi="Arial" w:cs="Arial"/>
        </w:rPr>
      </w:pPr>
    </w:p>
    <w:p w14:paraId="286EFC13" w14:textId="6EA7CAFA" w:rsidR="005E786A" w:rsidRDefault="000A42A9" w:rsidP="0034471F">
      <w:pPr>
        <w:spacing w:line="360" w:lineRule="auto"/>
        <w:rPr>
          <w:rFonts w:ascii="Arial" w:hAnsi="Arial" w:cs="Arial"/>
        </w:rPr>
      </w:pPr>
      <w:r>
        <w:rPr>
          <w:rFonts w:ascii="Arial" w:hAnsi="Arial" w:cs="Arial"/>
        </w:rPr>
        <w:t xml:space="preserve">In the past the courts would have used the common law test for dishonesty that was laid out in the case of </w:t>
      </w:r>
      <w:r w:rsidR="00AA2449" w:rsidRPr="00AA2449">
        <w:rPr>
          <w:rFonts w:ascii="Arial" w:hAnsi="Arial" w:cs="Arial"/>
          <w:u w:val="single"/>
        </w:rPr>
        <w:t xml:space="preserve">R v </w:t>
      </w:r>
      <w:r w:rsidRPr="00AA2449">
        <w:rPr>
          <w:rFonts w:ascii="Arial" w:hAnsi="Arial" w:cs="Arial"/>
          <w:u w:val="single"/>
        </w:rPr>
        <w:t>Ghosh (1982)</w:t>
      </w:r>
      <w:r w:rsidRPr="00AA59CF">
        <w:rPr>
          <w:rFonts w:ascii="Arial" w:hAnsi="Arial" w:cs="Arial"/>
          <w:u w:val="single"/>
        </w:rPr>
        <w:t>.</w:t>
      </w:r>
      <w:r>
        <w:rPr>
          <w:rFonts w:ascii="Arial" w:hAnsi="Arial" w:cs="Arial"/>
        </w:rPr>
        <w:t xml:space="preserve"> This test </w:t>
      </w:r>
      <w:r w:rsidR="00384F3C">
        <w:rPr>
          <w:rFonts w:ascii="Arial" w:hAnsi="Arial" w:cs="Arial"/>
        </w:rPr>
        <w:t>was</w:t>
      </w:r>
      <w:r>
        <w:rPr>
          <w:rFonts w:ascii="Arial" w:hAnsi="Arial" w:cs="Arial"/>
        </w:rPr>
        <w:t xml:space="preserve"> an objective and subjective test that looks at if the appropriation was dishonest in the eyes of the reasonable person. In Paula’s case if this test was applied, she would be found guilty because the fact she took and hid the bag would be seen as dishonest in the eyes of the reasonable person. However. The test for dishonesty has changed with statute and the current test was laid out in the case of </w:t>
      </w:r>
      <w:r w:rsidRPr="00AA59CF">
        <w:rPr>
          <w:rFonts w:ascii="Arial" w:hAnsi="Arial" w:cs="Arial"/>
          <w:u w:val="single"/>
        </w:rPr>
        <w:t xml:space="preserve">Ivey v Genting Casinos </w:t>
      </w:r>
      <w:r w:rsidR="00F81B67">
        <w:rPr>
          <w:rFonts w:ascii="Arial" w:hAnsi="Arial" w:cs="Arial"/>
          <w:u w:val="single"/>
        </w:rPr>
        <w:t>UK</w:t>
      </w:r>
      <w:r w:rsidR="00AA59CF" w:rsidRPr="00AA59CF">
        <w:rPr>
          <w:rFonts w:ascii="Arial" w:hAnsi="Arial" w:cs="Arial"/>
          <w:u w:val="single"/>
        </w:rPr>
        <w:t xml:space="preserve"> Ltd (2017).</w:t>
      </w:r>
      <w:r w:rsidR="00AA59CF">
        <w:rPr>
          <w:rFonts w:ascii="Arial" w:hAnsi="Arial" w:cs="Arial"/>
        </w:rPr>
        <w:t xml:space="preserve"> It was held in this case that the subjective element of the </w:t>
      </w:r>
      <w:r w:rsidR="00AA59CF" w:rsidRPr="00AA59CF">
        <w:rPr>
          <w:rFonts w:ascii="Arial" w:hAnsi="Arial" w:cs="Arial"/>
          <w:u w:val="single"/>
        </w:rPr>
        <w:t>Ghosh</w:t>
      </w:r>
      <w:r w:rsidR="00AA59CF">
        <w:rPr>
          <w:rFonts w:ascii="Arial" w:hAnsi="Arial" w:cs="Arial"/>
        </w:rPr>
        <w:t xml:space="preserve"> test was to be abolished. In Paula’s scenario she would still be found guilty because a reasonable person would deem her actions to be dishonest. </w:t>
      </w:r>
    </w:p>
    <w:p w14:paraId="3E1A60FF" w14:textId="77777777" w:rsidR="00230C9A" w:rsidRDefault="00230C9A" w:rsidP="0034471F">
      <w:pPr>
        <w:spacing w:line="360" w:lineRule="auto"/>
        <w:rPr>
          <w:rFonts w:ascii="Arial" w:hAnsi="Arial" w:cs="Arial"/>
        </w:rPr>
      </w:pPr>
    </w:p>
    <w:p w14:paraId="58EF937B" w14:textId="6446E0E1" w:rsidR="00230C9A" w:rsidRDefault="00AA59CF" w:rsidP="0034471F">
      <w:pPr>
        <w:spacing w:line="360" w:lineRule="auto"/>
        <w:rPr>
          <w:rFonts w:ascii="Arial" w:hAnsi="Arial" w:cs="Arial"/>
        </w:rPr>
      </w:pPr>
      <w:r>
        <w:rPr>
          <w:rFonts w:ascii="Arial" w:hAnsi="Arial" w:cs="Arial"/>
        </w:rPr>
        <w:lastRenderedPageBreak/>
        <w:t xml:space="preserve">The second element of the mens rea is that the defendant had the intention to permanently deprive the victim of the property. The case of </w:t>
      </w:r>
      <w:r w:rsidR="00AA2449" w:rsidRPr="00AA2449">
        <w:rPr>
          <w:rFonts w:ascii="Arial" w:hAnsi="Arial" w:cs="Arial"/>
          <w:u w:val="single"/>
        </w:rPr>
        <w:t xml:space="preserve">R v </w:t>
      </w:r>
      <w:r w:rsidR="003E63F9" w:rsidRPr="00AA2449">
        <w:rPr>
          <w:rFonts w:ascii="Arial" w:hAnsi="Arial" w:cs="Arial"/>
          <w:u w:val="single"/>
        </w:rPr>
        <w:t>Vinall 2011</w:t>
      </w:r>
      <w:r w:rsidR="003E63F9">
        <w:rPr>
          <w:rFonts w:ascii="Arial" w:hAnsi="Arial" w:cs="Arial"/>
        </w:rPr>
        <w:t xml:space="preserve"> states that the defendant does not need to succeed in permanently depriving the victim they only have to have the intention to do so. In Paula’s case it is clear she has the intention to permanently deprive Christine of the bag </w:t>
      </w:r>
      <w:r w:rsidR="00A635F1">
        <w:rPr>
          <w:rFonts w:ascii="Arial" w:hAnsi="Arial" w:cs="Arial"/>
        </w:rPr>
        <w:t>when she puts it in her car and drives home</w:t>
      </w:r>
      <w:r w:rsidR="003E63F9">
        <w:rPr>
          <w:rFonts w:ascii="Arial" w:hAnsi="Arial" w:cs="Arial"/>
        </w:rPr>
        <w:t>.</w:t>
      </w:r>
    </w:p>
    <w:p w14:paraId="73DA77BE" w14:textId="15221E42" w:rsidR="00AA59CF" w:rsidRDefault="003E63F9" w:rsidP="0034471F">
      <w:pPr>
        <w:spacing w:line="360" w:lineRule="auto"/>
        <w:rPr>
          <w:rFonts w:ascii="Arial" w:hAnsi="Arial" w:cs="Arial"/>
        </w:rPr>
      </w:pPr>
      <w:r>
        <w:rPr>
          <w:rFonts w:ascii="Arial" w:hAnsi="Arial" w:cs="Arial"/>
        </w:rPr>
        <w:t xml:space="preserve"> </w:t>
      </w:r>
    </w:p>
    <w:p w14:paraId="1FE985A5" w14:textId="7490C0AC" w:rsidR="003E63F9" w:rsidRDefault="005E786A" w:rsidP="0034471F">
      <w:pPr>
        <w:spacing w:line="360" w:lineRule="auto"/>
        <w:rPr>
          <w:rFonts w:ascii="Arial" w:hAnsi="Arial" w:cs="Arial"/>
        </w:rPr>
      </w:pPr>
      <w:r>
        <w:rPr>
          <w:rFonts w:ascii="Arial" w:hAnsi="Arial" w:cs="Arial"/>
        </w:rPr>
        <w:t>For</w:t>
      </w:r>
      <w:r w:rsidR="008D3C0B">
        <w:rPr>
          <w:rFonts w:ascii="Arial" w:hAnsi="Arial" w:cs="Arial"/>
        </w:rPr>
        <w:t xml:space="preserve"> a defendant to found guilty of theft the courts would have to prove that the defendant </w:t>
      </w:r>
      <w:r w:rsidR="006415B0">
        <w:rPr>
          <w:rFonts w:ascii="Arial" w:hAnsi="Arial" w:cs="Arial"/>
        </w:rPr>
        <w:t xml:space="preserve">appropriates the property that belongs to another. </w:t>
      </w:r>
      <w:r w:rsidR="006415B0" w:rsidRPr="00037631">
        <w:rPr>
          <w:rFonts w:ascii="Arial" w:hAnsi="Arial" w:cs="Arial"/>
          <w:u w:val="single"/>
        </w:rPr>
        <w:t>S.3 s(1) of the Theft Act</w:t>
      </w:r>
      <w:r w:rsidR="006415B0">
        <w:rPr>
          <w:rFonts w:ascii="Arial" w:hAnsi="Arial" w:cs="Arial"/>
        </w:rPr>
        <w:t xml:space="preserve"> defines appropriation as any assumption of the rights of the owner is an appropriation. Appropriation can be committed even if the defendant has come across the property innocently or not. The case of </w:t>
      </w:r>
      <w:r w:rsidR="006415B0" w:rsidRPr="00037631">
        <w:rPr>
          <w:rFonts w:ascii="Arial" w:hAnsi="Arial" w:cs="Arial"/>
          <w:u w:val="single"/>
        </w:rPr>
        <w:t>McPherson (1973)</w:t>
      </w:r>
      <w:r w:rsidR="006415B0">
        <w:rPr>
          <w:rFonts w:ascii="Arial" w:hAnsi="Arial" w:cs="Arial"/>
        </w:rPr>
        <w:t xml:space="preserve"> </w:t>
      </w:r>
      <w:r w:rsidR="00CD1E3C">
        <w:rPr>
          <w:rFonts w:ascii="Arial" w:hAnsi="Arial" w:cs="Arial"/>
        </w:rPr>
        <w:t>gives scenarios in which the assumptions of the rights of an owner will occur, these scenarios include the right to sell, the right to move and the right to lend. However</w:t>
      </w:r>
      <w:r w:rsidR="00037631">
        <w:rPr>
          <w:rFonts w:ascii="Arial" w:hAnsi="Arial" w:cs="Arial"/>
        </w:rPr>
        <w:t xml:space="preserve">, </w:t>
      </w:r>
      <w:r w:rsidR="00CD1E3C">
        <w:rPr>
          <w:rFonts w:ascii="Arial" w:hAnsi="Arial" w:cs="Arial"/>
        </w:rPr>
        <w:t xml:space="preserve">the recent case of </w:t>
      </w:r>
      <w:r w:rsidR="0034471F" w:rsidRPr="0034471F">
        <w:rPr>
          <w:rFonts w:ascii="Arial" w:hAnsi="Arial" w:cs="Arial"/>
          <w:u w:val="single"/>
        </w:rPr>
        <w:t xml:space="preserve">R v </w:t>
      </w:r>
      <w:proofErr w:type="spellStart"/>
      <w:r w:rsidR="00CD1E3C" w:rsidRPr="0034471F">
        <w:rPr>
          <w:rFonts w:ascii="Arial" w:hAnsi="Arial" w:cs="Arial"/>
          <w:u w:val="single"/>
        </w:rPr>
        <w:t>Darroux</w:t>
      </w:r>
      <w:proofErr w:type="spellEnd"/>
      <w:r w:rsidR="00CD1E3C" w:rsidRPr="0034471F">
        <w:rPr>
          <w:rFonts w:ascii="Arial" w:hAnsi="Arial" w:cs="Arial"/>
          <w:u w:val="single"/>
        </w:rPr>
        <w:t xml:space="preserve"> 2018</w:t>
      </w:r>
      <w:r w:rsidR="00CD1E3C">
        <w:rPr>
          <w:rFonts w:ascii="Arial" w:hAnsi="Arial" w:cs="Arial"/>
        </w:rPr>
        <w:t xml:space="preserve"> highlights the importance that the prosecution can prove that the defendant acted in a way that amounts to an appropriation. In Paula’s case she has committed an appropriation of </w:t>
      </w:r>
      <w:r w:rsidR="00037631">
        <w:rPr>
          <w:rFonts w:ascii="Arial" w:hAnsi="Arial" w:cs="Arial"/>
        </w:rPr>
        <w:t>Christine’s</w:t>
      </w:r>
      <w:r w:rsidR="00CD1E3C">
        <w:rPr>
          <w:rFonts w:ascii="Arial" w:hAnsi="Arial" w:cs="Arial"/>
        </w:rPr>
        <w:t xml:space="preserve"> property when she takes it an</w:t>
      </w:r>
      <w:r w:rsidR="00037631">
        <w:rPr>
          <w:rFonts w:ascii="Arial" w:hAnsi="Arial" w:cs="Arial"/>
        </w:rPr>
        <w:t xml:space="preserve">d hides it in her jacket. In court it would be held that Paula has appropriated the property even though she did not assume all the rights of the owner. This </w:t>
      </w:r>
      <w:r w:rsidR="002E46C2">
        <w:rPr>
          <w:rFonts w:ascii="Arial" w:hAnsi="Arial" w:cs="Arial"/>
        </w:rPr>
        <w:t xml:space="preserve">is </w:t>
      </w:r>
      <w:r w:rsidR="00037631">
        <w:rPr>
          <w:rFonts w:ascii="Arial" w:hAnsi="Arial" w:cs="Arial"/>
        </w:rPr>
        <w:t xml:space="preserve">supported by the case of </w:t>
      </w:r>
      <w:r w:rsidR="0034471F" w:rsidRPr="0034471F">
        <w:rPr>
          <w:rFonts w:ascii="Arial" w:hAnsi="Arial" w:cs="Arial"/>
          <w:u w:val="single"/>
        </w:rPr>
        <w:t xml:space="preserve">R v </w:t>
      </w:r>
      <w:r w:rsidR="00037631" w:rsidRPr="0034471F">
        <w:rPr>
          <w:rFonts w:ascii="Arial" w:hAnsi="Arial" w:cs="Arial"/>
          <w:u w:val="single"/>
        </w:rPr>
        <w:t>Morris 1983.</w:t>
      </w:r>
      <w:r w:rsidR="00037631">
        <w:rPr>
          <w:rFonts w:ascii="Arial" w:hAnsi="Arial" w:cs="Arial"/>
        </w:rPr>
        <w:t xml:space="preserve"> </w:t>
      </w:r>
    </w:p>
    <w:p w14:paraId="7BE64CCE" w14:textId="77777777" w:rsidR="00230C9A" w:rsidRDefault="00230C9A" w:rsidP="0034471F">
      <w:pPr>
        <w:spacing w:line="360" w:lineRule="auto"/>
        <w:rPr>
          <w:rFonts w:ascii="Arial" w:hAnsi="Arial" w:cs="Arial"/>
        </w:rPr>
      </w:pPr>
    </w:p>
    <w:p w14:paraId="51FDA3C6" w14:textId="4EBA35BE" w:rsidR="006673F7" w:rsidRDefault="00D144F8" w:rsidP="0034471F">
      <w:pPr>
        <w:spacing w:line="360" w:lineRule="auto"/>
        <w:rPr>
          <w:rFonts w:ascii="Arial" w:hAnsi="Arial" w:cs="Arial"/>
        </w:rPr>
      </w:pPr>
      <w:r>
        <w:rPr>
          <w:rFonts w:ascii="Arial" w:hAnsi="Arial" w:cs="Arial"/>
        </w:rPr>
        <w:t xml:space="preserve">The defendant must appropriate the property of another to be found guilty of theft. </w:t>
      </w:r>
      <w:r w:rsidRPr="00230C9A">
        <w:rPr>
          <w:rFonts w:ascii="Arial" w:hAnsi="Arial" w:cs="Arial"/>
          <w:u w:val="single"/>
        </w:rPr>
        <w:t>S.4 (1) of the Theft Act</w:t>
      </w:r>
      <w:r>
        <w:rPr>
          <w:rFonts w:ascii="Arial" w:hAnsi="Arial" w:cs="Arial"/>
        </w:rPr>
        <w:t xml:space="preserve"> states that the term property includes money and all other property. </w:t>
      </w:r>
      <w:r w:rsidR="006673F7">
        <w:rPr>
          <w:rFonts w:ascii="Arial" w:hAnsi="Arial" w:cs="Arial"/>
        </w:rPr>
        <w:t xml:space="preserve">In Paula’s case the handbag would be classed as personal property. Personal property was defined in the case of </w:t>
      </w:r>
      <w:r w:rsidR="006673F7" w:rsidRPr="00230C9A">
        <w:rPr>
          <w:rFonts w:ascii="Arial" w:hAnsi="Arial" w:cs="Arial"/>
          <w:u w:val="single"/>
        </w:rPr>
        <w:t>R v Smith (2011).</w:t>
      </w:r>
      <w:r w:rsidR="006673F7">
        <w:rPr>
          <w:rFonts w:ascii="Arial" w:hAnsi="Arial" w:cs="Arial"/>
        </w:rPr>
        <w:t xml:space="preserve"> In Paula’s case </w:t>
      </w:r>
      <w:r w:rsidR="00BF09A8">
        <w:rPr>
          <w:rFonts w:ascii="Arial" w:hAnsi="Arial" w:cs="Arial"/>
        </w:rPr>
        <w:t>the</w:t>
      </w:r>
      <w:r w:rsidR="00230C9A">
        <w:rPr>
          <w:rFonts w:ascii="Arial" w:hAnsi="Arial" w:cs="Arial"/>
        </w:rPr>
        <w:t xml:space="preserve"> bag is </w:t>
      </w:r>
      <w:r w:rsidR="006673F7">
        <w:rPr>
          <w:rFonts w:ascii="Arial" w:hAnsi="Arial" w:cs="Arial"/>
        </w:rPr>
        <w:t>Christine’s</w:t>
      </w:r>
      <w:r w:rsidR="00230C9A">
        <w:rPr>
          <w:rFonts w:ascii="Arial" w:hAnsi="Arial" w:cs="Arial"/>
        </w:rPr>
        <w:t xml:space="preserve"> property therefore Paula has also met this element. </w:t>
      </w:r>
    </w:p>
    <w:p w14:paraId="59676961" w14:textId="77777777" w:rsidR="0034471F" w:rsidRDefault="0034471F" w:rsidP="0034471F">
      <w:pPr>
        <w:spacing w:line="360" w:lineRule="auto"/>
        <w:rPr>
          <w:rFonts w:ascii="Arial" w:hAnsi="Arial" w:cs="Arial"/>
        </w:rPr>
      </w:pPr>
    </w:p>
    <w:p w14:paraId="08215C5B" w14:textId="703C6E7B" w:rsidR="009E514D" w:rsidRDefault="002C46EF" w:rsidP="0034471F">
      <w:pPr>
        <w:spacing w:line="360" w:lineRule="auto"/>
        <w:rPr>
          <w:rFonts w:ascii="Arial" w:hAnsi="Arial" w:cs="Arial"/>
        </w:rPr>
      </w:pPr>
      <w:r>
        <w:rPr>
          <w:rFonts w:ascii="Arial" w:hAnsi="Arial" w:cs="Arial"/>
        </w:rPr>
        <w:t xml:space="preserve">The final element of theft is that the property that has been appropriated must be belonging to another person. This is defined is </w:t>
      </w:r>
      <w:r w:rsidRPr="00077F61">
        <w:rPr>
          <w:rFonts w:ascii="Arial" w:hAnsi="Arial" w:cs="Arial"/>
          <w:u w:val="single"/>
        </w:rPr>
        <w:t>Section 5 (1) of the Theft Act 1968</w:t>
      </w:r>
      <w:r w:rsidR="00077F61">
        <w:rPr>
          <w:rFonts w:ascii="Arial" w:hAnsi="Arial" w:cs="Arial"/>
        </w:rPr>
        <w:t xml:space="preserve"> as ‘property shall be regarded as belonging to another if said person has possession or control of the property. In Paula’s case even though Christine does not have the handbag on her possession at the time </w:t>
      </w:r>
      <w:r w:rsidR="00C32DEB">
        <w:rPr>
          <w:rFonts w:ascii="Arial" w:hAnsi="Arial" w:cs="Arial"/>
        </w:rPr>
        <w:t xml:space="preserve">Paula took it is still classed as being in Christine’s control as shown in the case of </w:t>
      </w:r>
      <w:r w:rsidR="00C32DEB" w:rsidRPr="00AA2449">
        <w:rPr>
          <w:rFonts w:ascii="Arial" w:hAnsi="Arial" w:cs="Arial"/>
          <w:u w:val="single"/>
        </w:rPr>
        <w:t>R v Woodman (1974).</w:t>
      </w:r>
      <w:r w:rsidR="00C32DEB">
        <w:rPr>
          <w:rFonts w:ascii="Arial" w:hAnsi="Arial" w:cs="Arial"/>
        </w:rPr>
        <w:t xml:space="preserve"> </w:t>
      </w:r>
      <w:r w:rsidR="00A635F1">
        <w:rPr>
          <w:rFonts w:ascii="Arial" w:hAnsi="Arial" w:cs="Arial"/>
        </w:rPr>
        <w:t xml:space="preserve">From the evidence </w:t>
      </w:r>
      <w:r w:rsidR="00A635F1">
        <w:rPr>
          <w:rFonts w:ascii="Arial" w:hAnsi="Arial" w:cs="Arial"/>
        </w:rPr>
        <w:lastRenderedPageBreak/>
        <w:t xml:space="preserve">in the scenario, it shows that the bag was indeed Christine’s property so therefore this element was met by Paula. </w:t>
      </w:r>
    </w:p>
    <w:p w14:paraId="231CD61C" w14:textId="6F42A273" w:rsidR="00A359F9" w:rsidRDefault="00A359F9" w:rsidP="0034471F">
      <w:pPr>
        <w:spacing w:line="360" w:lineRule="auto"/>
        <w:rPr>
          <w:rFonts w:ascii="Arial" w:hAnsi="Arial" w:cs="Arial"/>
        </w:rPr>
      </w:pPr>
      <w:r>
        <w:rPr>
          <w:rFonts w:ascii="Arial" w:hAnsi="Arial" w:cs="Arial"/>
        </w:rPr>
        <w:t xml:space="preserve">It is very likely that the jury would find Paula guilty of theft. This is because she has met all the elements of the offence that are outlined within the Theft Act. Also, there are no defences </w:t>
      </w:r>
      <w:r w:rsidR="00AA2449">
        <w:rPr>
          <w:rFonts w:ascii="Arial" w:hAnsi="Arial" w:cs="Arial"/>
        </w:rPr>
        <w:t xml:space="preserve">for theft are available to her. Therefore, it is very likely that she will be found guilty. </w:t>
      </w:r>
    </w:p>
    <w:p w14:paraId="6A5F0B6A" w14:textId="5B45C23D" w:rsidR="0034471F" w:rsidRDefault="0034471F" w:rsidP="0034471F">
      <w:pPr>
        <w:spacing w:line="360" w:lineRule="auto"/>
        <w:rPr>
          <w:rFonts w:ascii="Arial" w:hAnsi="Arial" w:cs="Arial"/>
        </w:rPr>
      </w:pPr>
    </w:p>
    <w:p w14:paraId="4F6B1F7A" w14:textId="101EF4D3" w:rsidR="004B2B1C" w:rsidRDefault="00BD3A8C" w:rsidP="0034471F">
      <w:pPr>
        <w:spacing w:line="360" w:lineRule="auto"/>
        <w:rPr>
          <w:rFonts w:ascii="Arial" w:hAnsi="Arial" w:cs="Arial"/>
        </w:rPr>
      </w:pPr>
      <w:r>
        <w:rPr>
          <w:rFonts w:ascii="Arial" w:hAnsi="Arial" w:cs="Arial"/>
        </w:rPr>
        <w:t xml:space="preserve">The offence of Criminal damage is contained within the </w:t>
      </w:r>
      <w:r w:rsidRPr="00BD3A8C">
        <w:rPr>
          <w:rFonts w:ascii="Arial" w:hAnsi="Arial" w:cs="Arial"/>
          <w:u w:val="single"/>
        </w:rPr>
        <w:t>criminal damage Act 1971</w:t>
      </w:r>
      <w:r>
        <w:rPr>
          <w:rFonts w:ascii="Arial" w:hAnsi="Arial" w:cs="Arial"/>
        </w:rPr>
        <w:t>.</w:t>
      </w:r>
      <w:r w:rsidR="00E5707C">
        <w:rPr>
          <w:rFonts w:ascii="Arial" w:hAnsi="Arial" w:cs="Arial"/>
        </w:rPr>
        <w:t xml:space="preserve"> </w:t>
      </w:r>
      <w:r w:rsidR="004B2B1C">
        <w:rPr>
          <w:rFonts w:ascii="Arial" w:hAnsi="Arial" w:cs="Arial"/>
        </w:rPr>
        <w:t>The</w:t>
      </w:r>
      <w:r w:rsidR="00E5707C">
        <w:rPr>
          <w:rFonts w:ascii="Arial" w:hAnsi="Arial" w:cs="Arial"/>
        </w:rPr>
        <w:t xml:space="preserve"> Mens rea of this offence is that the defendant must have the intention to destroy or damage the property or be reckless to do so and the defendant must know that damage is to another person’s property. </w:t>
      </w:r>
      <w:r w:rsidR="003348EB" w:rsidRPr="00F45E02">
        <w:rPr>
          <w:rFonts w:ascii="Arial" w:hAnsi="Arial" w:cs="Arial"/>
          <w:u w:val="single"/>
        </w:rPr>
        <w:t xml:space="preserve">R v </w:t>
      </w:r>
      <w:proofErr w:type="spellStart"/>
      <w:r w:rsidR="003348EB" w:rsidRPr="00F45E02">
        <w:rPr>
          <w:rFonts w:ascii="Arial" w:hAnsi="Arial" w:cs="Arial"/>
          <w:u w:val="single"/>
        </w:rPr>
        <w:t>Woolin</w:t>
      </w:r>
      <w:proofErr w:type="spellEnd"/>
      <w:r w:rsidR="003348EB" w:rsidRPr="00F45E02">
        <w:rPr>
          <w:rFonts w:ascii="Arial" w:hAnsi="Arial" w:cs="Arial"/>
          <w:u w:val="single"/>
        </w:rPr>
        <w:t xml:space="preserve"> (1998)</w:t>
      </w:r>
      <w:r w:rsidR="003348EB">
        <w:rPr>
          <w:rFonts w:ascii="Arial" w:hAnsi="Arial" w:cs="Arial"/>
        </w:rPr>
        <w:t xml:space="preserve"> states that intention can be direct or indirect this means that</w:t>
      </w:r>
      <w:r w:rsidR="00F45E02">
        <w:rPr>
          <w:rFonts w:ascii="Arial" w:hAnsi="Arial" w:cs="Arial"/>
        </w:rPr>
        <w:t xml:space="preserve"> the defendant can be found guilty if they intended the result or be reckless to do so. </w:t>
      </w:r>
      <w:r w:rsidR="003348EB">
        <w:rPr>
          <w:rFonts w:ascii="Arial" w:hAnsi="Arial" w:cs="Arial"/>
        </w:rPr>
        <w:t xml:space="preserve"> </w:t>
      </w:r>
      <w:r w:rsidR="00C842F6">
        <w:rPr>
          <w:rFonts w:ascii="Arial" w:hAnsi="Arial" w:cs="Arial"/>
        </w:rPr>
        <w:t xml:space="preserve">The case of </w:t>
      </w:r>
      <w:r w:rsidR="00C842F6" w:rsidRPr="00C842F6">
        <w:rPr>
          <w:rFonts w:ascii="Arial" w:hAnsi="Arial" w:cs="Arial"/>
          <w:u w:val="single"/>
        </w:rPr>
        <w:t>G and Another (2003)</w:t>
      </w:r>
      <w:r w:rsidR="00C842F6">
        <w:rPr>
          <w:rFonts w:ascii="Arial" w:hAnsi="Arial" w:cs="Arial"/>
        </w:rPr>
        <w:t xml:space="preserve"> ruled that the type of recklessness applied in criminal damage cases is subjective recklessness. This means that the defendant must </w:t>
      </w:r>
      <w:r w:rsidR="00853D8F">
        <w:rPr>
          <w:rFonts w:ascii="Arial" w:hAnsi="Arial" w:cs="Arial"/>
        </w:rPr>
        <w:t xml:space="preserve">realise the risk of their conduct and still go ahead with their actions to be found guilty of criminal damage. In Harriet’s case it could be argued that she wasn’t acting recklessly because she was suffering hallucinations so therefore, she may have lacked the mens rea for the offence. But on the other </w:t>
      </w:r>
      <w:r w:rsidR="00501EA4">
        <w:rPr>
          <w:rFonts w:ascii="Arial" w:hAnsi="Arial" w:cs="Arial"/>
        </w:rPr>
        <w:t>hand,</w:t>
      </w:r>
      <w:r w:rsidR="00853D8F">
        <w:rPr>
          <w:rFonts w:ascii="Arial" w:hAnsi="Arial" w:cs="Arial"/>
        </w:rPr>
        <w:t xml:space="preserve"> </w:t>
      </w:r>
      <w:r w:rsidR="00501EA4">
        <w:rPr>
          <w:rFonts w:ascii="Arial" w:hAnsi="Arial" w:cs="Arial"/>
        </w:rPr>
        <w:t xml:space="preserve">it could be argued that she was acting recklessly. </w:t>
      </w:r>
    </w:p>
    <w:p w14:paraId="2743E470" w14:textId="5566ABBA" w:rsidR="0012514E" w:rsidRDefault="0012514E" w:rsidP="0034471F">
      <w:pPr>
        <w:spacing w:line="360" w:lineRule="auto"/>
        <w:rPr>
          <w:rFonts w:ascii="Arial" w:hAnsi="Arial" w:cs="Arial"/>
        </w:rPr>
      </w:pPr>
      <w:r>
        <w:rPr>
          <w:rFonts w:ascii="Arial" w:hAnsi="Arial" w:cs="Arial"/>
        </w:rPr>
        <w:t xml:space="preserve">The actus reus for criminal damage is a defendant without lawful excuse, destroys or damages property belonging to another. Section 10 of the criminal damage Act provides guidance for the courts of what is classed as </w:t>
      </w:r>
      <w:r w:rsidR="00650C39">
        <w:rPr>
          <w:rFonts w:ascii="Arial" w:hAnsi="Arial" w:cs="Arial"/>
        </w:rPr>
        <w:t>property,</w:t>
      </w:r>
      <w:r>
        <w:rPr>
          <w:rFonts w:ascii="Arial" w:hAnsi="Arial" w:cs="Arial"/>
        </w:rPr>
        <w:t xml:space="preserve"> and it states that property includes tangible items whether they be real or personal. </w:t>
      </w:r>
      <w:r w:rsidR="00650C39">
        <w:rPr>
          <w:rFonts w:ascii="Arial" w:hAnsi="Arial" w:cs="Arial"/>
        </w:rPr>
        <w:t xml:space="preserve">This means that the glass that Harriet damaged would be classed as property. </w:t>
      </w:r>
    </w:p>
    <w:p w14:paraId="5ED6E66B" w14:textId="1B30F407" w:rsidR="00650C39" w:rsidRDefault="00650C39" w:rsidP="0034471F">
      <w:pPr>
        <w:spacing w:line="360" w:lineRule="auto"/>
        <w:rPr>
          <w:rFonts w:ascii="Arial" w:hAnsi="Arial" w:cs="Arial"/>
        </w:rPr>
      </w:pPr>
      <w:r>
        <w:rPr>
          <w:rFonts w:ascii="Arial" w:hAnsi="Arial" w:cs="Arial"/>
        </w:rPr>
        <w:t xml:space="preserve">The next element of the offence is that the property must belong to a </w:t>
      </w:r>
      <w:r w:rsidR="00517EE1">
        <w:rPr>
          <w:rFonts w:ascii="Arial" w:hAnsi="Arial" w:cs="Arial"/>
        </w:rPr>
        <w:t xml:space="preserve">person, and this is outlined under </w:t>
      </w:r>
      <w:r w:rsidR="00517EE1" w:rsidRPr="009D4978">
        <w:rPr>
          <w:rFonts w:ascii="Arial" w:hAnsi="Arial" w:cs="Arial"/>
          <w:u w:val="single"/>
        </w:rPr>
        <w:t>section 10 (2) of the criminal damage Act</w:t>
      </w:r>
      <w:r w:rsidR="00517EE1">
        <w:rPr>
          <w:rFonts w:ascii="Arial" w:hAnsi="Arial" w:cs="Arial"/>
        </w:rPr>
        <w:t>. And it states that the property belongs to a person if they have custody of it or if there is a charge on it. Harriet has damaged property belonging to another person because the glass panes belong to Christine.</w:t>
      </w:r>
      <w:r w:rsidR="004F1F1C">
        <w:rPr>
          <w:rFonts w:ascii="Arial" w:hAnsi="Arial" w:cs="Arial"/>
        </w:rPr>
        <w:t xml:space="preserve"> </w:t>
      </w:r>
    </w:p>
    <w:p w14:paraId="7864253E" w14:textId="26B30CAF" w:rsidR="00F45E02" w:rsidRDefault="00F45E02" w:rsidP="0034471F">
      <w:pPr>
        <w:spacing w:line="360" w:lineRule="auto"/>
        <w:rPr>
          <w:rFonts w:ascii="Arial" w:hAnsi="Arial" w:cs="Arial"/>
        </w:rPr>
      </w:pPr>
      <w:r>
        <w:rPr>
          <w:rFonts w:ascii="Arial" w:hAnsi="Arial" w:cs="Arial"/>
        </w:rPr>
        <w:t xml:space="preserve">In Harriet’s case she meets some elements for the offence of criminal damage so therefore it could be argued that she is guilty through indirect intent because she acted recklessly in damaging the glass. However, because she was spiked, she does have the defence of involuntary intoxication and there for she lacks the mens </w:t>
      </w:r>
      <w:r>
        <w:rPr>
          <w:rFonts w:ascii="Arial" w:hAnsi="Arial" w:cs="Arial"/>
        </w:rPr>
        <w:lastRenderedPageBreak/>
        <w:t xml:space="preserve">rea for the offence. The fact that she lacks the mens rea for the offence means that she may be found not guilty. </w:t>
      </w:r>
    </w:p>
    <w:p w14:paraId="04BBE620" w14:textId="77777777" w:rsidR="009E514D" w:rsidRDefault="009E514D" w:rsidP="0034471F">
      <w:pPr>
        <w:spacing w:line="360" w:lineRule="auto"/>
        <w:rPr>
          <w:rFonts w:ascii="Arial" w:hAnsi="Arial" w:cs="Arial"/>
        </w:rPr>
      </w:pPr>
    </w:p>
    <w:p w14:paraId="1DD796B9" w14:textId="744B0E6C" w:rsidR="007B51F1" w:rsidRDefault="00B30924" w:rsidP="0034471F">
      <w:pPr>
        <w:spacing w:line="360" w:lineRule="auto"/>
        <w:rPr>
          <w:rFonts w:ascii="Arial" w:hAnsi="Arial" w:cs="Arial"/>
        </w:rPr>
      </w:pPr>
      <w:r w:rsidRPr="004720CE">
        <w:rPr>
          <w:rFonts w:ascii="Arial" w:hAnsi="Arial" w:cs="Arial"/>
          <w:u w:val="single"/>
        </w:rPr>
        <w:t>Section 20 of the offences against the persons Act 1861</w:t>
      </w:r>
      <w:r>
        <w:rPr>
          <w:rFonts w:ascii="Arial" w:hAnsi="Arial" w:cs="Arial"/>
        </w:rPr>
        <w:t xml:space="preserve"> defines the offence of grievous bodily harm without intent. It states that whoever shall unlawfully and maliciously wound or inflict any grievous bodily harm. </w:t>
      </w:r>
      <w:r w:rsidR="00466D47">
        <w:rPr>
          <w:rFonts w:ascii="Arial" w:hAnsi="Arial" w:cs="Arial"/>
        </w:rPr>
        <w:t xml:space="preserve">The mens rea of this offence provides a definition of ‘maliciously.’ This definition was laid down in the case of </w:t>
      </w:r>
      <w:r w:rsidR="00466D47" w:rsidRPr="004720CE">
        <w:rPr>
          <w:rFonts w:ascii="Arial" w:hAnsi="Arial" w:cs="Arial"/>
          <w:u w:val="single"/>
        </w:rPr>
        <w:t>R v Savage (1991)</w:t>
      </w:r>
      <w:r w:rsidR="00466D47">
        <w:rPr>
          <w:rFonts w:ascii="Arial" w:hAnsi="Arial" w:cs="Arial"/>
        </w:rPr>
        <w:t xml:space="preserve"> and in </w:t>
      </w:r>
      <w:r w:rsidR="00992F0F">
        <w:rPr>
          <w:rFonts w:ascii="Arial" w:hAnsi="Arial" w:cs="Arial"/>
        </w:rPr>
        <w:t>this</w:t>
      </w:r>
      <w:r w:rsidR="00466D47">
        <w:rPr>
          <w:rFonts w:ascii="Arial" w:hAnsi="Arial" w:cs="Arial"/>
        </w:rPr>
        <w:t xml:space="preserve"> case the House of Lords </w:t>
      </w:r>
      <w:r w:rsidR="00992F0F">
        <w:rPr>
          <w:rFonts w:ascii="Arial" w:hAnsi="Arial" w:cs="Arial"/>
        </w:rPr>
        <w:t xml:space="preserve">held that the defendant must foresee that their actions may cause some harm. In Harriet’s case it could be held that she has the mens rea because she would foresee that by hitting </w:t>
      </w:r>
      <w:r w:rsidR="00C062F2">
        <w:rPr>
          <w:rFonts w:ascii="Arial" w:hAnsi="Arial" w:cs="Arial"/>
        </w:rPr>
        <w:t>Daniel,</w:t>
      </w:r>
      <w:r w:rsidR="00992F0F">
        <w:rPr>
          <w:rFonts w:ascii="Arial" w:hAnsi="Arial" w:cs="Arial"/>
        </w:rPr>
        <w:t xml:space="preserve"> she may cause some harm. </w:t>
      </w:r>
    </w:p>
    <w:p w14:paraId="48DDFFFF" w14:textId="79FB0103" w:rsidR="00C062F2" w:rsidRDefault="00992F0F" w:rsidP="0034471F">
      <w:pPr>
        <w:spacing w:line="360" w:lineRule="auto"/>
        <w:rPr>
          <w:rFonts w:ascii="Arial" w:hAnsi="Arial" w:cs="Arial"/>
        </w:rPr>
      </w:pPr>
      <w:r>
        <w:rPr>
          <w:rFonts w:ascii="Arial" w:hAnsi="Arial" w:cs="Arial"/>
        </w:rPr>
        <w:t xml:space="preserve">The actus reus for this offence is that the defendant unlawfully causes a wound with or without a weapon. The definition of the term wounding </w:t>
      </w:r>
      <w:r w:rsidR="00C062F2">
        <w:rPr>
          <w:rFonts w:ascii="Arial" w:hAnsi="Arial" w:cs="Arial"/>
        </w:rPr>
        <w:t xml:space="preserve">was laid down in the case of </w:t>
      </w:r>
      <w:r w:rsidR="00C062F2" w:rsidRPr="009E514D">
        <w:rPr>
          <w:rFonts w:ascii="Arial" w:hAnsi="Arial" w:cs="Arial"/>
          <w:u w:val="single"/>
        </w:rPr>
        <w:t>C v Eisenhower (1984)</w:t>
      </w:r>
      <w:r w:rsidR="00C062F2">
        <w:rPr>
          <w:rFonts w:ascii="Arial" w:hAnsi="Arial" w:cs="Arial"/>
        </w:rPr>
        <w:t xml:space="preserve">. </w:t>
      </w:r>
      <w:r w:rsidR="009E514D">
        <w:rPr>
          <w:rFonts w:ascii="Arial" w:hAnsi="Arial" w:cs="Arial"/>
        </w:rPr>
        <w:t>As a result of her</w:t>
      </w:r>
      <w:r w:rsidR="00C062F2">
        <w:rPr>
          <w:rFonts w:ascii="Arial" w:hAnsi="Arial" w:cs="Arial"/>
        </w:rPr>
        <w:t xml:space="preserve"> actions Harriet has broken Daniels’s jaw thus causing a wound. This means she has also met this element of the offence. </w:t>
      </w:r>
    </w:p>
    <w:p w14:paraId="7B2413EE" w14:textId="3A030B99" w:rsidR="00C062F2" w:rsidRDefault="004720CE" w:rsidP="0034471F">
      <w:pPr>
        <w:spacing w:line="360" w:lineRule="auto"/>
        <w:rPr>
          <w:rFonts w:ascii="Arial" w:hAnsi="Arial" w:cs="Arial"/>
        </w:rPr>
      </w:pPr>
      <w:r>
        <w:rPr>
          <w:rFonts w:ascii="Arial" w:hAnsi="Arial" w:cs="Arial"/>
        </w:rPr>
        <w:t xml:space="preserve">The final element of this offence a defendant needs to meet to be found guilty of this offence is that the defendant must </w:t>
      </w:r>
      <w:r w:rsidR="009E514D">
        <w:rPr>
          <w:rFonts w:ascii="Arial" w:hAnsi="Arial" w:cs="Arial"/>
        </w:rPr>
        <w:t xml:space="preserve">commit an unlawful conduct. Harriet has committed an unlawful conduct when she hit Daniel. This means Harriet has met all the elements needed to be found guilty of this offence. </w:t>
      </w:r>
    </w:p>
    <w:p w14:paraId="21E0B809" w14:textId="77777777" w:rsidR="00CB09C5" w:rsidRDefault="00CB09C5" w:rsidP="0034471F">
      <w:pPr>
        <w:spacing w:line="360" w:lineRule="auto"/>
        <w:rPr>
          <w:rFonts w:ascii="Arial" w:hAnsi="Arial" w:cs="Arial"/>
        </w:rPr>
      </w:pPr>
    </w:p>
    <w:p w14:paraId="6EA34CE9" w14:textId="3DFA57BD" w:rsidR="00E06A35" w:rsidRDefault="00E06A35" w:rsidP="0034471F">
      <w:pPr>
        <w:spacing w:line="360" w:lineRule="auto"/>
        <w:rPr>
          <w:rFonts w:ascii="Arial" w:hAnsi="Arial" w:cs="Arial"/>
        </w:rPr>
      </w:pPr>
      <w:r>
        <w:rPr>
          <w:rFonts w:ascii="Arial" w:hAnsi="Arial" w:cs="Arial"/>
        </w:rPr>
        <w:t>Even though Harriet has met the elements for the offences</w:t>
      </w:r>
      <w:r w:rsidR="00CB09C5">
        <w:rPr>
          <w:rFonts w:ascii="Arial" w:hAnsi="Arial" w:cs="Arial"/>
        </w:rPr>
        <w:t xml:space="preserve"> that would lead her to be guilty</w:t>
      </w:r>
      <w:r>
        <w:rPr>
          <w:rFonts w:ascii="Arial" w:hAnsi="Arial" w:cs="Arial"/>
        </w:rPr>
        <w:t xml:space="preserve"> she does have </w:t>
      </w:r>
      <w:r w:rsidR="00CB09C5">
        <w:rPr>
          <w:rFonts w:ascii="Arial" w:hAnsi="Arial" w:cs="Arial"/>
        </w:rPr>
        <w:t xml:space="preserve">the defence of </w:t>
      </w:r>
      <w:r>
        <w:rPr>
          <w:rFonts w:ascii="Arial" w:hAnsi="Arial" w:cs="Arial"/>
        </w:rPr>
        <w:t>involuntary intoxication</w:t>
      </w:r>
      <w:r w:rsidR="00A37477">
        <w:rPr>
          <w:rFonts w:ascii="Arial" w:hAnsi="Arial" w:cs="Arial"/>
        </w:rPr>
        <w:t xml:space="preserve"> available to her.</w:t>
      </w:r>
      <w:r w:rsidR="00CB09C5">
        <w:rPr>
          <w:rFonts w:ascii="Arial" w:hAnsi="Arial" w:cs="Arial"/>
        </w:rPr>
        <w:t xml:space="preserve"> This is because her drink was spiked without her knowledge so therefore, she has a complete defence to all offences, so she does have a defence available for </w:t>
      </w:r>
      <w:r w:rsidR="00501EA4">
        <w:rPr>
          <w:rFonts w:ascii="Arial" w:hAnsi="Arial" w:cs="Arial"/>
        </w:rPr>
        <w:t>grievous bodily harm</w:t>
      </w:r>
      <w:r w:rsidR="00CB09C5">
        <w:rPr>
          <w:rFonts w:ascii="Arial" w:hAnsi="Arial" w:cs="Arial"/>
        </w:rPr>
        <w:t xml:space="preserve">. The defence of involuntary intoxication coms from the case of </w:t>
      </w:r>
      <w:r w:rsidR="00CB09C5" w:rsidRPr="00CB09C5">
        <w:rPr>
          <w:rFonts w:ascii="Arial" w:hAnsi="Arial" w:cs="Arial"/>
          <w:u w:val="single"/>
        </w:rPr>
        <w:t>R v Kingston (1994)</w:t>
      </w:r>
      <w:r w:rsidR="00CB09C5">
        <w:rPr>
          <w:rFonts w:ascii="Arial" w:hAnsi="Arial" w:cs="Arial"/>
          <w:u w:val="single"/>
        </w:rPr>
        <w:t xml:space="preserve">. </w:t>
      </w:r>
      <w:r w:rsidR="00CB09C5">
        <w:rPr>
          <w:rFonts w:ascii="Arial" w:hAnsi="Arial" w:cs="Arial"/>
        </w:rPr>
        <w:t xml:space="preserve">Because this defence is available to Harriet is likely that she would not be found guilty because </w:t>
      </w:r>
      <w:r w:rsidR="00501EA4">
        <w:rPr>
          <w:rFonts w:ascii="Arial" w:hAnsi="Arial" w:cs="Arial"/>
        </w:rPr>
        <w:t xml:space="preserve">she can say that because she was </w:t>
      </w:r>
      <w:r w:rsidR="00650C39">
        <w:rPr>
          <w:rFonts w:ascii="Arial" w:hAnsi="Arial" w:cs="Arial"/>
        </w:rPr>
        <w:t>spiked,</w:t>
      </w:r>
      <w:r w:rsidR="00501EA4">
        <w:rPr>
          <w:rFonts w:ascii="Arial" w:hAnsi="Arial" w:cs="Arial"/>
        </w:rPr>
        <w:t xml:space="preserve"> she lacked the mens rea for the offence and therefore, cannot be found guilty. </w:t>
      </w:r>
    </w:p>
    <w:p w14:paraId="73F50F35" w14:textId="77777777" w:rsidR="009D4978" w:rsidRDefault="009D4978" w:rsidP="0034471F">
      <w:pPr>
        <w:spacing w:line="360" w:lineRule="auto"/>
        <w:rPr>
          <w:rFonts w:ascii="Arial" w:hAnsi="Arial" w:cs="Arial"/>
        </w:rPr>
      </w:pPr>
    </w:p>
    <w:p w14:paraId="4804B00C" w14:textId="79D82449" w:rsidR="00F45E02" w:rsidRDefault="00F45E02" w:rsidP="0034471F">
      <w:pPr>
        <w:spacing w:line="360" w:lineRule="auto"/>
        <w:rPr>
          <w:rFonts w:ascii="Arial" w:hAnsi="Arial" w:cs="Arial"/>
        </w:rPr>
      </w:pPr>
      <w:r>
        <w:rPr>
          <w:rFonts w:ascii="Arial" w:hAnsi="Arial" w:cs="Arial"/>
        </w:rPr>
        <w:t xml:space="preserve">In conclusion, from the evidence provided </w:t>
      </w:r>
      <w:r w:rsidR="009D4978">
        <w:rPr>
          <w:rFonts w:ascii="Arial" w:hAnsi="Arial" w:cs="Arial"/>
        </w:rPr>
        <w:t xml:space="preserve">Paula may be found guilty and Harriet could be found not guilty because she has a defence available to her. </w:t>
      </w:r>
    </w:p>
    <w:p w14:paraId="4006E0D7" w14:textId="62EC76D0" w:rsidR="00A635F1" w:rsidRPr="00CB09C5" w:rsidRDefault="00A635F1" w:rsidP="00013CA7">
      <w:pPr>
        <w:spacing w:line="360" w:lineRule="auto"/>
        <w:rPr>
          <w:rFonts w:ascii="Arial" w:hAnsi="Arial" w:cs="Arial"/>
          <w:u w:val="single"/>
        </w:rPr>
      </w:pPr>
    </w:p>
    <w:p w14:paraId="2496FA2F" w14:textId="77777777" w:rsidR="00A635F1" w:rsidRDefault="00A635F1" w:rsidP="00013CA7">
      <w:pPr>
        <w:spacing w:line="360" w:lineRule="auto"/>
        <w:rPr>
          <w:rFonts w:ascii="Arial" w:hAnsi="Arial" w:cs="Arial"/>
        </w:rPr>
      </w:pPr>
    </w:p>
    <w:p w14:paraId="3B87A6F5" w14:textId="1810FB31" w:rsidR="00910155" w:rsidRDefault="00910155" w:rsidP="00013CA7">
      <w:pPr>
        <w:spacing w:line="360" w:lineRule="auto"/>
        <w:rPr>
          <w:rFonts w:ascii="Arial" w:hAnsi="Arial" w:cs="Arial"/>
        </w:rPr>
      </w:pPr>
    </w:p>
    <w:p w14:paraId="5E814151" w14:textId="72EA93EA" w:rsidR="00910155" w:rsidRDefault="00910155" w:rsidP="00013CA7">
      <w:pPr>
        <w:spacing w:line="360" w:lineRule="auto"/>
        <w:rPr>
          <w:rFonts w:ascii="Arial" w:hAnsi="Arial" w:cs="Arial"/>
        </w:rPr>
      </w:pPr>
      <w:r>
        <w:rPr>
          <w:rFonts w:ascii="Arial" w:hAnsi="Arial" w:cs="Arial"/>
        </w:rPr>
        <w:lastRenderedPageBreak/>
        <w:t xml:space="preserve">Reference list </w:t>
      </w:r>
    </w:p>
    <w:p w14:paraId="2C397EE1" w14:textId="34C555C8" w:rsidR="00910155" w:rsidRDefault="00910155" w:rsidP="00013CA7">
      <w:pPr>
        <w:spacing w:line="360" w:lineRule="auto"/>
        <w:rPr>
          <w:rFonts w:ascii="Arial" w:hAnsi="Arial" w:cs="Arial"/>
        </w:rPr>
      </w:pPr>
    </w:p>
    <w:p w14:paraId="30191956" w14:textId="77777777" w:rsidR="00910155" w:rsidRDefault="00910155" w:rsidP="00013CA7">
      <w:pPr>
        <w:spacing w:line="360" w:lineRule="auto"/>
        <w:rPr>
          <w:rFonts w:ascii="Arial" w:hAnsi="Arial" w:cs="Arial"/>
        </w:rPr>
      </w:pPr>
    </w:p>
    <w:p w14:paraId="4DEDC74A" w14:textId="77777777" w:rsidR="00910155" w:rsidRDefault="00910155" w:rsidP="00013CA7">
      <w:pPr>
        <w:spacing w:line="360" w:lineRule="auto"/>
        <w:rPr>
          <w:rFonts w:ascii="Arial" w:hAnsi="Arial" w:cs="Arial"/>
        </w:rPr>
      </w:pPr>
    </w:p>
    <w:p w14:paraId="360353ED" w14:textId="77777777" w:rsidR="00910155" w:rsidRDefault="00910155" w:rsidP="00013CA7">
      <w:pPr>
        <w:spacing w:line="360" w:lineRule="auto"/>
        <w:rPr>
          <w:rFonts w:ascii="Arial" w:hAnsi="Arial" w:cs="Arial"/>
        </w:rPr>
      </w:pPr>
      <w:r>
        <w:rPr>
          <w:rFonts w:ascii="Arial" w:hAnsi="Arial" w:cs="Arial"/>
        </w:rPr>
        <w:t xml:space="preserve">Offences against the Persons Act (1861). Available </w:t>
      </w:r>
      <w:proofErr w:type="gramStart"/>
      <w:r>
        <w:rPr>
          <w:rFonts w:ascii="Arial" w:hAnsi="Arial" w:cs="Arial"/>
        </w:rPr>
        <w:t>at :</w:t>
      </w:r>
      <w:proofErr w:type="gramEnd"/>
      <w:r>
        <w:rPr>
          <w:rFonts w:ascii="Arial" w:hAnsi="Arial" w:cs="Arial"/>
        </w:rPr>
        <w:fldChar w:fldCharType="begin"/>
      </w:r>
      <w:r>
        <w:rPr>
          <w:rFonts w:ascii="Arial" w:hAnsi="Arial" w:cs="Arial"/>
        </w:rPr>
        <w:instrText xml:space="preserve"> HYPERLINK "</w:instrText>
      </w:r>
      <w:r w:rsidRPr="00910155">
        <w:rPr>
          <w:rFonts w:ascii="Arial" w:hAnsi="Arial" w:cs="Arial"/>
        </w:rPr>
        <w:instrText>https://www.legislation.gov.uk/ukpga/Vict/24-25/100/contents</w:instrText>
      </w:r>
      <w:r>
        <w:rPr>
          <w:rFonts w:ascii="Arial" w:hAnsi="Arial" w:cs="Arial"/>
        </w:rPr>
        <w:instrText xml:space="preserve">" </w:instrText>
      </w:r>
      <w:r>
        <w:rPr>
          <w:rFonts w:ascii="Arial" w:hAnsi="Arial" w:cs="Arial"/>
        </w:rPr>
        <w:fldChar w:fldCharType="separate"/>
      </w:r>
      <w:r w:rsidRPr="00E55A72">
        <w:rPr>
          <w:rStyle w:val="Hyperlink"/>
          <w:rFonts w:ascii="Arial" w:hAnsi="Arial" w:cs="Arial"/>
        </w:rPr>
        <w:t>https://www.legislation.gov.uk/ukpga/Vict/24-25/100/contents</w:t>
      </w:r>
      <w:r>
        <w:rPr>
          <w:rFonts w:ascii="Arial" w:hAnsi="Arial" w:cs="Arial"/>
        </w:rPr>
        <w:fldChar w:fldCharType="end"/>
      </w:r>
      <w:r>
        <w:rPr>
          <w:rFonts w:ascii="Arial" w:hAnsi="Arial" w:cs="Arial"/>
        </w:rPr>
        <w:t xml:space="preserve">. (Accessed: 21 December 2021). </w:t>
      </w:r>
    </w:p>
    <w:p w14:paraId="38B7701B" w14:textId="77777777" w:rsidR="00910155" w:rsidRDefault="00910155" w:rsidP="00013CA7">
      <w:pPr>
        <w:spacing w:line="360" w:lineRule="auto"/>
        <w:rPr>
          <w:rFonts w:ascii="Arial" w:hAnsi="Arial" w:cs="Arial"/>
          <w:u w:val="single"/>
        </w:rPr>
      </w:pPr>
      <w:r>
        <w:rPr>
          <w:rFonts w:ascii="Arial" w:hAnsi="Arial" w:cs="Arial"/>
        </w:rPr>
        <w:t xml:space="preserve">The Criminal Damage Act (1971). Available at: </w:t>
      </w:r>
      <w:hyperlink r:id="rId5" w:history="1">
        <w:r w:rsidRPr="00E55A72">
          <w:rPr>
            <w:rStyle w:val="Hyperlink"/>
            <w:rFonts w:ascii="Arial" w:hAnsi="Arial" w:cs="Arial"/>
          </w:rPr>
          <w:t>https://www.legislation.gov.uk/ukpga/1971/48/contents</w:t>
        </w:r>
      </w:hyperlink>
      <w:r>
        <w:rPr>
          <w:rFonts w:ascii="Arial" w:hAnsi="Arial" w:cs="Arial"/>
        </w:rPr>
        <w:t xml:space="preserve">. (Accessed 21 December 2021). </w:t>
      </w:r>
    </w:p>
    <w:p w14:paraId="7054A0CF" w14:textId="77777777" w:rsidR="00910155" w:rsidRDefault="00910155" w:rsidP="00013CA7">
      <w:pPr>
        <w:spacing w:line="360" w:lineRule="auto"/>
        <w:rPr>
          <w:rFonts w:ascii="Arial" w:hAnsi="Arial" w:cs="Arial"/>
        </w:rPr>
      </w:pPr>
      <w:r>
        <w:rPr>
          <w:rFonts w:ascii="Arial" w:hAnsi="Arial" w:cs="Arial"/>
        </w:rPr>
        <w:t>The Theft Act (1968). Available at:</w:t>
      </w:r>
      <w:r w:rsidRPr="00910155">
        <w:t xml:space="preserve"> </w:t>
      </w:r>
      <w:hyperlink r:id="rId6" w:history="1">
        <w:r w:rsidRPr="00E55A72">
          <w:rPr>
            <w:rStyle w:val="Hyperlink"/>
            <w:rFonts w:ascii="Arial" w:hAnsi="Arial" w:cs="Arial"/>
          </w:rPr>
          <w:t>https://www.legislation.gov.uk/ukpga/1968/60</w:t>
        </w:r>
      </w:hyperlink>
      <w:r>
        <w:rPr>
          <w:rFonts w:ascii="Arial" w:hAnsi="Arial" w:cs="Arial"/>
        </w:rPr>
        <w:t xml:space="preserve">. (Accessed: 21 December 2021). </w:t>
      </w:r>
    </w:p>
    <w:p w14:paraId="1347C589" w14:textId="77777777" w:rsidR="00910155" w:rsidRDefault="00910155" w:rsidP="00013CA7">
      <w:pPr>
        <w:spacing w:line="360" w:lineRule="auto"/>
        <w:rPr>
          <w:rFonts w:ascii="Arial" w:hAnsi="Arial" w:cs="Arial"/>
          <w:u w:val="single"/>
        </w:rPr>
      </w:pPr>
    </w:p>
    <w:p w14:paraId="7E650DB0" w14:textId="77777777" w:rsidR="00910155" w:rsidRDefault="00910155" w:rsidP="00013CA7">
      <w:pPr>
        <w:spacing w:line="360" w:lineRule="auto"/>
        <w:rPr>
          <w:rFonts w:ascii="Arial" w:hAnsi="Arial" w:cs="Arial"/>
          <w:u w:val="single"/>
        </w:rPr>
      </w:pPr>
    </w:p>
    <w:p w14:paraId="5903C91B" w14:textId="77777777" w:rsidR="00910155" w:rsidRDefault="00910155" w:rsidP="00013CA7">
      <w:pPr>
        <w:spacing w:line="360" w:lineRule="auto"/>
        <w:rPr>
          <w:rFonts w:ascii="Arial" w:hAnsi="Arial" w:cs="Arial"/>
          <w:u w:val="single"/>
        </w:rPr>
      </w:pPr>
    </w:p>
    <w:p w14:paraId="1AC9BB47" w14:textId="77777777" w:rsidR="00910155" w:rsidRDefault="00910155" w:rsidP="00013CA7">
      <w:pPr>
        <w:spacing w:line="360" w:lineRule="auto"/>
        <w:rPr>
          <w:rFonts w:ascii="Arial" w:hAnsi="Arial" w:cs="Arial"/>
          <w:u w:val="single"/>
        </w:rPr>
      </w:pPr>
    </w:p>
    <w:p w14:paraId="68A36312" w14:textId="77777777" w:rsidR="00910155" w:rsidRDefault="00910155" w:rsidP="00013CA7">
      <w:pPr>
        <w:spacing w:line="360" w:lineRule="auto"/>
        <w:rPr>
          <w:rFonts w:ascii="Arial" w:hAnsi="Arial" w:cs="Arial"/>
          <w:u w:val="single"/>
        </w:rPr>
      </w:pPr>
    </w:p>
    <w:p w14:paraId="66AEF1F7" w14:textId="77777777" w:rsidR="00910155" w:rsidRDefault="00910155" w:rsidP="00013CA7">
      <w:pPr>
        <w:spacing w:line="360" w:lineRule="auto"/>
        <w:rPr>
          <w:rFonts w:ascii="Arial" w:hAnsi="Arial" w:cs="Arial"/>
          <w:u w:val="single"/>
        </w:rPr>
      </w:pPr>
    </w:p>
    <w:p w14:paraId="7BF3F693" w14:textId="77777777" w:rsidR="00910155" w:rsidRDefault="00910155" w:rsidP="00013CA7">
      <w:pPr>
        <w:spacing w:line="360" w:lineRule="auto"/>
        <w:rPr>
          <w:rFonts w:ascii="Arial" w:hAnsi="Arial" w:cs="Arial"/>
          <w:u w:val="single"/>
        </w:rPr>
      </w:pPr>
    </w:p>
    <w:p w14:paraId="22D55FD9" w14:textId="77777777" w:rsidR="00910155" w:rsidRDefault="00910155" w:rsidP="00013CA7">
      <w:pPr>
        <w:spacing w:line="360" w:lineRule="auto"/>
        <w:rPr>
          <w:rFonts w:ascii="Arial" w:hAnsi="Arial" w:cs="Arial"/>
          <w:u w:val="single"/>
        </w:rPr>
      </w:pPr>
    </w:p>
    <w:p w14:paraId="75FE8F26" w14:textId="77777777" w:rsidR="00910155" w:rsidRDefault="00910155" w:rsidP="00013CA7">
      <w:pPr>
        <w:spacing w:line="360" w:lineRule="auto"/>
        <w:rPr>
          <w:rFonts w:ascii="Arial" w:hAnsi="Arial" w:cs="Arial"/>
          <w:u w:val="single"/>
        </w:rPr>
      </w:pPr>
    </w:p>
    <w:p w14:paraId="7A4DEB25" w14:textId="77777777" w:rsidR="00910155" w:rsidRDefault="00910155" w:rsidP="00013CA7">
      <w:pPr>
        <w:spacing w:line="360" w:lineRule="auto"/>
        <w:rPr>
          <w:rFonts w:ascii="Arial" w:hAnsi="Arial" w:cs="Arial"/>
          <w:u w:val="single"/>
        </w:rPr>
      </w:pPr>
    </w:p>
    <w:p w14:paraId="15196324" w14:textId="77777777" w:rsidR="00910155" w:rsidRDefault="00910155" w:rsidP="00013CA7">
      <w:pPr>
        <w:spacing w:line="360" w:lineRule="auto"/>
        <w:rPr>
          <w:rFonts w:ascii="Arial" w:hAnsi="Arial" w:cs="Arial"/>
          <w:u w:val="single"/>
        </w:rPr>
      </w:pPr>
    </w:p>
    <w:p w14:paraId="4DF1193F" w14:textId="77777777" w:rsidR="00910155" w:rsidRDefault="00910155" w:rsidP="00013CA7">
      <w:pPr>
        <w:spacing w:line="360" w:lineRule="auto"/>
        <w:rPr>
          <w:rFonts w:ascii="Arial" w:hAnsi="Arial" w:cs="Arial"/>
          <w:u w:val="single"/>
        </w:rPr>
      </w:pPr>
    </w:p>
    <w:p w14:paraId="1B21872F" w14:textId="77777777" w:rsidR="00910155" w:rsidRDefault="00910155" w:rsidP="00013CA7">
      <w:pPr>
        <w:spacing w:line="360" w:lineRule="auto"/>
        <w:rPr>
          <w:rFonts w:ascii="Arial" w:hAnsi="Arial" w:cs="Arial"/>
          <w:u w:val="single"/>
        </w:rPr>
      </w:pPr>
    </w:p>
    <w:p w14:paraId="274C0EB7" w14:textId="77777777" w:rsidR="00910155" w:rsidRDefault="00910155" w:rsidP="00013CA7">
      <w:pPr>
        <w:spacing w:line="360" w:lineRule="auto"/>
        <w:rPr>
          <w:rFonts w:ascii="Arial" w:hAnsi="Arial" w:cs="Arial"/>
          <w:u w:val="single"/>
        </w:rPr>
      </w:pPr>
    </w:p>
    <w:p w14:paraId="6282719F" w14:textId="77777777" w:rsidR="00910155" w:rsidRDefault="00910155" w:rsidP="00013CA7">
      <w:pPr>
        <w:spacing w:line="360" w:lineRule="auto"/>
        <w:rPr>
          <w:rFonts w:ascii="Arial" w:hAnsi="Arial" w:cs="Arial"/>
          <w:u w:val="single"/>
        </w:rPr>
      </w:pPr>
    </w:p>
    <w:p w14:paraId="5E07F719" w14:textId="77777777" w:rsidR="00910155" w:rsidRDefault="00910155" w:rsidP="00013CA7">
      <w:pPr>
        <w:spacing w:line="360" w:lineRule="auto"/>
        <w:rPr>
          <w:rFonts w:ascii="Arial" w:hAnsi="Arial" w:cs="Arial"/>
          <w:u w:val="single"/>
        </w:rPr>
      </w:pPr>
    </w:p>
    <w:p w14:paraId="6899716B" w14:textId="77777777" w:rsidR="00910155" w:rsidRDefault="00910155" w:rsidP="00013CA7">
      <w:pPr>
        <w:spacing w:line="360" w:lineRule="auto"/>
        <w:rPr>
          <w:rFonts w:ascii="Arial" w:hAnsi="Arial" w:cs="Arial"/>
          <w:u w:val="single"/>
        </w:rPr>
      </w:pPr>
    </w:p>
    <w:p w14:paraId="779FD933" w14:textId="77777777" w:rsidR="00910155" w:rsidRDefault="00910155" w:rsidP="00013CA7">
      <w:pPr>
        <w:spacing w:line="360" w:lineRule="auto"/>
        <w:rPr>
          <w:rFonts w:ascii="Arial" w:hAnsi="Arial" w:cs="Arial"/>
          <w:u w:val="single"/>
        </w:rPr>
      </w:pPr>
    </w:p>
    <w:p w14:paraId="5524B5CE" w14:textId="77777777" w:rsidR="00910155" w:rsidRDefault="00910155" w:rsidP="00013CA7">
      <w:pPr>
        <w:spacing w:line="360" w:lineRule="auto"/>
        <w:rPr>
          <w:rFonts w:ascii="Arial" w:hAnsi="Arial" w:cs="Arial"/>
          <w:u w:val="single"/>
        </w:rPr>
      </w:pPr>
    </w:p>
    <w:p w14:paraId="77B17DA9" w14:textId="77777777" w:rsidR="00910155" w:rsidRDefault="00910155" w:rsidP="00013CA7">
      <w:pPr>
        <w:spacing w:line="360" w:lineRule="auto"/>
        <w:rPr>
          <w:rFonts w:ascii="Arial" w:hAnsi="Arial" w:cs="Arial"/>
          <w:u w:val="single"/>
        </w:rPr>
      </w:pPr>
    </w:p>
    <w:p w14:paraId="6E149631" w14:textId="77777777" w:rsidR="00910155" w:rsidRDefault="00910155" w:rsidP="00013CA7">
      <w:pPr>
        <w:spacing w:line="360" w:lineRule="auto"/>
        <w:rPr>
          <w:rFonts w:ascii="Arial" w:hAnsi="Arial" w:cs="Arial"/>
          <w:u w:val="single"/>
        </w:rPr>
      </w:pPr>
    </w:p>
    <w:p w14:paraId="63CD1FA1" w14:textId="77777777" w:rsidR="00910155" w:rsidRDefault="00910155" w:rsidP="00013CA7">
      <w:pPr>
        <w:spacing w:line="360" w:lineRule="auto"/>
        <w:rPr>
          <w:rFonts w:ascii="Arial" w:hAnsi="Arial" w:cs="Arial"/>
          <w:u w:val="single"/>
        </w:rPr>
      </w:pPr>
    </w:p>
    <w:p w14:paraId="4B5DC64A" w14:textId="791CE013" w:rsidR="009D4978" w:rsidRDefault="00FD4346" w:rsidP="00013CA7">
      <w:pPr>
        <w:spacing w:line="360" w:lineRule="auto"/>
        <w:rPr>
          <w:rFonts w:ascii="Arial" w:hAnsi="Arial" w:cs="Arial"/>
          <w:u w:val="single"/>
        </w:rPr>
      </w:pPr>
      <w:r w:rsidRPr="00FD4346">
        <w:rPr>
          <w:rFonts w:ascii="Arial" w:hAnsi="Arial" w:cs="Arial"/>
          <w:u w:val="single"/>
        </w:rPr>
        <w:lastRenderedPageBreak/>
        <w:t>Case list.</w:t>
      </w:r>
    </w:p>
    <w:p w14:paraId="653D043C" w14:textId="70D85A78" w:rsidR="00FD4346" w:rsidRDefault="00FD4346" w:rsidP="00013CA7">
      <w:pPr>
        <w:spacing w:line="360" w:lineRule="auto"/>
        <w:rPr>
          <w:rFonts w:ascii="Arial" w:hAnsi="Arial" w:cs="Arial"/>
          <w:u w:val="single"/>
        </w:rPr>
      </w:pPr>
    </w:p>
    <w:p w14:paraId="31685060" w14:textId="77777777" w:rsidR="00910155" w:rsidRDefault="00910155" w:rsidP="00FA63D6">
      <w:pPr>
        <w:spacing w:line="360" w:lineRule="auto"/>
        <w:rPr>
          <w:rFonts w:ascii="Arial" w:hAnsi="Arial" w:cs="Arial"/>
        </w:rPr>
      </w:pPr>
    </w:p>
    <w:p w14:paraId="09E03976"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C v Eisenhower (1984) QB 331</w:t>
      </w:r>
    </w:p>
    <w:p w14:paraId="7A091B63" w14:textId="77777777" w:rsidR="00910155" w:rsidRDefault="00910155" w:rsidP="00FD4346">
      <w:pPr>
        <w:pStyle w:val="ListParagraph"/>
        <w:numPr>
          <w:ilvl w:val="0"/>
          <w:numId w:val="1"/>
        </w:numPr>
        <w:spacing w:line="360" w:lineRule="auto"/>
        <w:rPr>
          <w:rFonts w:ascii="Arial" w:hAnsi="Arial" w:cs="Arial"/>
        </w:rPr>
      </w:pPr>
      <w:r w:rsidRPr="00FD4346">
        <w:rPr>
          <w:rFonts w:ascii="Arial" w:hAnsi="Arial" w:cs="Arial"/>
        </w:rPr>
        <w:t>Dpp v Morgan (1976) AC 182</w:t>
      </w:r>
    </w:p>
    <w:p w14:paraId="4A6C95A8"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 xml:space="preserve">Ivey v Genting Casinos Ltd (2017) UKSC 67 </w:t>
      </w:r>
    </w:p>
    <w:p w14:paraId="42B62F10"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 xml:space="preserve">R v </w:t>
      </w:r>
      <w:proofErr w:type="spellStart"/>
      <w:r>
        <w:rPr>
          <w:rFonts w:ascii="Arial" w:hAnsi="Arial" w:cs="Arial"/>
        </w:rPr>
        <w:t>Darroux</w:t>
      </w:r>
      <w:proofErr w:type="spellEnd"/>
      <w:r>
        <w:rPr>
          <w:rFonts w:ascii="Arial" w:hAnsi="Arial" w:cs="Arial"/>
        </w:rPr>
        <w:t xml:space="preserve"> (2018) EWCA Crim 1009</w:t>
      </w:r>
    </w:p>
    <w:p w14:paraId="62385B44"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R v G and another (2003) UKHL 50</w:t>
      </w:r>
      <w:r>
        <w:rPr>
          <w:rFonts w:ascii="Arial" w:hAnsi="Arial" w:cs="Arial"/>
        </w:rPr>
        <w:tab/>
      </w:r>
    </w:p>
    <w:p w14:paraId="27123378"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 xml:space="preserve">R v Ghosh (1982) EWCA Crim 2 </w:t>
      </w:r>
    </w:p>
    <w:p w14:paraId="004D4E6D"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R v Kingston (1994) 3 WLR 519</w:t>
      </w:r>
    </w:p>
    <w:p w14:paraId="30C6582E"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 xml:space="preserve">R v McPherson (1973) RTR 157 </w:t>
      </w:r>
    </w:p>
    <w:p w14:paraId="4431B979"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 xml:space="preserve">R v Morris (1984) AC 320 </w:t>
      </w:r>
    </w:p>
    <w:p w14:paraId="42A53A3D"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R v Savage (1991) 94 Cr App R 193</w:t>
      </w:r>
    </w:p>
    <w:p w14:paraId="57B8037C"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 xml:space="preserve">R v Smith (2011) 2 Cr App R 30 </w:t>
      </w:r>
    </w:p>
    <w:p w14:paraId="496A9745"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R v Vinall (2011) EWCA Crim 6252</w:t>
      </w:r>
    </w:p>
    <w:p w14:paraId="193A0923"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R v Woodman (1974) ER 95</w:t>
      </w:r>
    </w:p>
    <w:p w14:paraId="627D39BD" w14:textId="77777777" w:rsidR="00910155" w:rsidRDefault="00910155" w:rsidP="00FD4346">
      <w:pPr>
        <w:pStyle w:val="ListParagraph"/>
        <w:numPr>
          <w:ilvl w:val="0"/>
          <w:numId w:val="1"/>
        </w:numPr>
        <w:spacing w:line="360" w:lineRule="auto"/>
        <w:rPr>
          <w:rFonts w:ascii="Arial" w:hAnsi="Arial" w:cs="Arial"/>
        </w:rPr>
      </w:pPr>
      <w:r>
        <w:rPr>
          <w:rFonts w:ascii="Arial" w:hAnsi="Arial" w:cs="Arial"/>
        </w:rPr>
        <w:t xml:space="preserve">R v </w:t>
      </w:r>
      <w:proofErr w:type="spellStart"/>
      <w:r>
        <w:rPr>
          <w:rFonts w:ascii="Arial" w:hAnsi="Arial" w:cs="Arial"/>
        </w:rPr>
        <w:t>Woolin</w:t>
      </w:r>
      <w:proofErr w:type="spellEnd"/>
      <w:r>
        <w:rPr>
          <w:rFonts w:ascii="Arial" w:hAnsi="Arial" w:cs="Arial"/>
        </w:rPr>
        <w:t xml:space="preserve"> (1999) AC 82</w:t>
      </w:r>
    </w:p>
    <w:p w14:paraId="0FAB77FD" w14:textId="4026E2F3" w:rsidR="00FA63D6" w:rsidRDefault="00FA63D6" w:rsidP="00FA63D6">
      <w:pPr>
        <w:spacing w:line="360" w:lineRule="auto"/>
        <w:rPr>
          <w:rFonts w:ascii="Arial" w:hAnsi="Arial" w:cs="Arial"/>
        </w:rPr>
      </w:pPr>
    </w:p>
    <w:p w14:paraId="2EDD6D67" w14:textId="7FBADC2F" w:rsidR="00FA63D6" w:rsidRDefault="00FA63D6" w:rsidP="00FA63D6">
      <w:pPr>
        <w:spacing w:line="360" w:lineRule="auto"/>
        <w:rPr>
          <w:rFonts w:ascii="Arial" w:hAnsi="Arial" w:cs="Arial"/>
        </w:rPr>
      </w:pPr>
    </w:p>
    <w:p w14:paraId="3E9DFA20" w14:textId="77777777" w:rsidR="00FA63D6" w:rsidRPr="00FA63D6" w:rsidRDefault="00FA63D6" w:rsidP="00FA63D6">
      <w:pPr>
        <w:spacing w:line="360" w:lineRule="auto"/>
        <w:rPr>
          <w:rFonts w:ascii="Arial" w:hAnsi="Arial" w:cs="Arial"/>
        </w:rPr>
      </w:pPr>
    </w:p>
    <w:p w14:paraId="68002ECC" w14:textId="6A10295D" w:rsidR="00FD4346" w:rsidRDefault="00FD4346" w:rsidP="00013CA7">
      <w:pPr>
        <w:spacing w:line="360" w:lineRule="auto"/>
        <w:rPr>
          <w:rFonts w:ascii="Arial" w:hAnsi="Arial" w:cs="Arial"/>
          <w:u w:val="single"/>
        </w:rPr>
      </w:pPr>
    </w:p>
    <w:p w14:paraId="090FCC26" w14:textId="77777777" w:rsidR="00FD4346" w:rsidRPr="00FD4346" w:rsidRDefault="00FD4346" w:rsidP="00013CA7">
      <w:pPr>
        <w:spacing w:line="360" w:lineRule="auto"/>
        <w:rPr>
          <w:rFonts w:ascii="Arial" w:hAnsi="Arial" w:cs="Arial"/>
          <w:u w:val="single"/>
        </w:rPr>
      </w:pPr>
    </w:p>
    <w:p w14:paraId="23462580" w14:textId="77777777" w:rsidR="009D4978" w:rsidRDefault="009D4978" w:rsidP="00013CA7">
      <w:pPr>
        <w:spacing w:line="360" w:lineRule="auto"/>
        <w:rPr>
          <w:rFonts w:ascii="Arial" w:hAnsi="Arial" w:cs="Arial"/>
        </w:rPr>
      </w:pPr>
    </w:p>
    <w:p w14:paraId="6C312F09" w14:textId="35E64CEE" w:rsidR="00230C9A" w:rsidRDefault="00230C9A" w:rsidP="00013CA7">
      <w:pPr>
        <w:spacing w:line="360" w:lineRule="auto"/>
        <w:rPr>
          <w:rFonts w:ascii="Arial" w:hAnsi="Arial" w:cs="Arial"/>
        </w:rPr>
      </w:pPr>
    </w:p>
    <w:p w14:paraId="5F220639" w14:textId="77777777" w:rsidR="00230C9A" w:rsidRDefault="00230C9A" w:rsidP="00013CA7">
      <w:pPr>
        <w:spacing w:line="360" w:lineRule="auto"/>
        <w:rPr>
          <w:rFonts w:ascii="Arial" w:hAnsi="Arial" w:cs="Arial"/>
        </w:rPr>
      </w:pPr>
    </w:p>
    <w:p w14:paraId="056BFC57" w14:textId="1ABC4A95" w:rsidR="00C32DEB" w:rsidRDefault="00C32DEB" w:rsidP="00013CA7">
      <w:pPr>
        <w:spacing w:line="360" w:lineRule="auto"/>
        <w:rPr>
          <w:rFonts w:ascii="Arial" w:hAnsi="Arial" w:cs="Arial"/>
        </w:rPr>
      </w:pPr>
    </w:p>
    <w:p w14:paraId="4485F9B7" w14:textId="77777777" w:rsidR="00C32DEB" w:rsidRDefault="00C32DEB" w:rsidP="00013CA7">
      <w:pPr>
        <w:spacing w:line="360" w:lineRule="auto"/>
        <w:rPr>
          <w:rFonts w:ascii="Arial" w:hAnsi="Arial" w:cs="Arial"/>
        </w:rPr>
      </w:pPr>
    </w:p>
    <w:p w14:paraId="4EA6F8C9" w14:textId="76A32935" w:rsidR="002C46EF" w:rsidRDefault="002C46EF" w:rsidP="00013CA7">
      <w:pPr>
        <w:spacing w:line="360" w:lineRule="auto"/>
        <w:rPr>
          <w:rFonts w:ascii="Arial" w:hAnsi="Arial" w:cs="Arial"/>
        </w:rPr>
      </w:pPr>
    </w:p>
    <w:p w14:paraId="6C70CF8F" w14:textId="77777777" w:rsidR="002C46EF" w:rsidRDefault="002C46EF" w:rsidP="00013CA7">
      <w:pPr>
        <w:spacing w:line="360" w:lineRule="auto"/>
        <w:rPr>
          <w:rFonts w:ascii="Arial" w:hAnsi="Arial" w:cs="Arial"/>
        </w:rPr>
      </w:pPr>
    </w:p>
    <w:p w14:paraId="395EFEA9" w14:textId="77777777" w:rsidR="003E63F9" w:rsidRDefault="003E63F9" w:rsidP="00013CA7">
      <w:pPr>
        <w:spacing w:line="360" w:lineRule="auto"/>
        <w:rPr>
          <w:rFonts w:ascii="Arial" w:hAnsi="Arial" w:cs="Arial"/>
        </w:rPr>
      </w:pPr>
    </w:p>
    <w:p w14:paraId="77CCD6BF" w14:textId="5CB8D20C" w:rsidR="00D05E6E" w:rsidRPr="00037631" w:rsidRDefault="00037631" w:rsidP="00013CA7">
      <w:pPr>
        <w:spacing w:line="360" w:lineRule="auto"/>
        <w:rPr>
          <w:rFonts w:ascii="Arial" w:hAnsi="Arial" w:cs="Arial"/>
        </w:rPr>
      </w:pPr>
      <w:r>
        <w:rPr>
          <w:rFonts w:ascii="Arial" w:hAnsi="Arial" w:cs="Arial"/>
        </w:rPr>
        <w:t xml:space="preserve"> </w:t>
      </w:r>
    </w:p>
    <w:p w14:paraId="2C359DF9" w14:textId="2C5EC257" w:rsidR="00D05E6E" w:rsidRPr="00013CA7" w:rsidRDefault="00D05E6E" w:rsidP="00013CA7">
      <w:pPr>
        <w:spacing w:line="360" w:lineRule="auto"/>
        <w:rPr>
          <w:rFonts w:ascii="Arial" w:hAnsi="Arial" w:cs="Arial"/>
        </w:rPr>
      </w:pPr>
    </w:p>
    <w:sectPr w:rsidR="00D05E6E" w:rsidRPr="00013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8504AC"/>
    <w:multiLevelType w:val="hybridMultilevel"/>
    <w:tmpl w:val="CDBE9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CA7"/>
    <w:rsid w:val="00013A1D"/>
    <w:rsid w:val="00013CA7"/>
    <w:rsid w:val="00037631"/>
    <w:rsid w:val="00077F61"/>
    <w:rsid w:val="000A42A9"/>
    <w:rsid w:val="0012514E"/>
    <w:rsid w:val="00230C9A"/>
    <w:rsid w:val="002C46EF"/>
    <w:rsid w:val="002C6283"/>
    <w:rsid w:val="002E46C2"/>
    <w:rsid w:val="0033357A"/>
    <w:rsid w:val="003348EB"/>
    <w:rsid w:val="0034471F"/>
    <w:rsid w:val="00384F3C"/>
    <w:rsid w:val="003E63F9"/>
    <w:rsid w:val="00466D47"/>
    <w:rsid w:val="004720CE"/>
    <w:rsid w:val="004B2B1C"/>
    <w:rsid w:val="004C5C61"/>
    <w:rsid w:val="004E0DA8"/>
    <w:rsid w:val="004E6B52"/>
    <w:rsid w:val="004F1F1C"/>
    <w:rsid w:val="00501EA4"/>
    <w:rsid w:val="00517EE1"/>
    <w:rsid w:val="005E786A"/>
    <w:rsid w:val="006415B0"/>
    <w:rsid w:val="00650C39"/>
    <w:rsid w:val="006673F7"/>
    <w:rsid w:val="006D5716"/>
    <w:rsid w:val="007B51F1"/>
    <w:rsid w:val="007B634F"/>
    <w:rsid w:val="00823060"/>
    <w:rsid w:val="00853D8F"/>
    <w:rsid w:val="008A3C69"/>
    <w:rsid w:val="008D3C0B"/>
    <w:rsid w:val="00910155"/>
    <w:rsid w:val="00922E1A"/>
    <w:rsid w:val="00992F0F"/>
    <w:rsid w:val="009D4978"/>
    <w:rsid w:val="009E514D"/>
    <w:rsid w:val="00A359F9"/>
    <w:rsid w:val="00A37477"/>
    <w:rsid w:val="00A635F1"/>
    <w:rsid w:val="00AA2449"/>
    <w:rsid w:val="00AA59CF"/>
    <w:rsid w:val="00B30924"/>
    <w:rsid w:val="00B3288E"/>
    <w:rsid w:val="00B83959"/>
    <w:rsid w:val="00BA262F"/>
    <w:rsid w:val="00BD3A8C"/>
    <w:rsid w:val="00BF09A8"/>
    <w:rsid w:val="00C062F2"/>
    <w:rsid w:val="00C32DEB"/>
    <w:rsid w:val="00C82275"/>
    <w:rsid w:val="00C842F6"/>
    <w:rsid w:val="00CB09C5"/>
    <w:rsid w:val="00CD1E3C"/>
    <w:rsid w:val="00D05E6E"/>
    <w:rsid w:val="00D144F8"/>
    <w:rsid w:val="00D51E8B"/>
    <w:rsid w:val="00E06A35"/>
    <w:rsid w:val="00E5707C"/>
    <w:rsid w:val="00F14656"/>
    <w:rsid w:val="00F45E02"/>
    <w:rsid w:val="00F81B67"/>
    <w:rsid w:val="00FA63D6"/>
    <w:rsid w:val="00FD4346"/>
    <w:rsid w:val="00FF70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60717F"/>
  <w15:chartTrackingRefBased/>
  <w15:docId w15:val="{01C3FB4B-9D1C-4C45-AE0C-F960F4F0C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4346"/>
    <w:pPr>
      <w:ind w:left="720"/>
      <w:contextualSpacing/>
    </w:pPr>
  </w:style>
  <w:style w:type="character" w:styleId="Hyperlink">
    <w:name w:val="Hyperlink"/>
    <w:basedOn w:val="DefaultParagraphFont"/>
    <w:uiPriority w:val="99"/>
    <w:unhideWhenUsed/>
    <w:rsid w:val="00910155"/>
    <w:rPr>
      <w:color w:val="0563C1" w:themeColor="hyperlink"/>
      <w:u w:val="single"/>
    </w:rPr>
  </w:style>
  <w:style w:type="character" w:styleId="UnresolvedMention">
    <w:name w:val="Unresolved Mention"/>
    <w:basedOn w:val="DefaultParagraphFont"/>
    <w:uiPriority w:val="99"/>
    <w:semiHidden/>
    <w:unhideWhenUsed/>
    <w:rsid w:val="00910155"/>
    <w:rPr>
      <w:color w:val="605E5C"/>
      <w:shd w:val="clear" w:color="auto" w:fill="E1DFDD"/>
    </w:rPr>
  </w:style>
  <w:style w:type="character" w:styleId="FollowedHyperlink">
    <w:name w:val="FollowedHyperlink"/>
    <w:basedOn w:val="DefaultParagraphFont"/>
    <w:uiPriority w:val="99"/>
    <w:semiHidden/>
    <w:unhideWhenUsed/>
    <w:rsid w:val="009101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68/60" TargetMode="External"/><Relationship Id="rId5" Type="http://schemas.openxmlformats.org/officeDocument/2006/relationships/hyperlink" Target="https://www.legislation.gov.uk/ukpga/1971/48/conten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430</TotalTime>
  <Pages>6</Pages>
  <Words>1541</Words>
  <Characters>8784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Olly Rowe (2100430)</dc:creator>
  <cp:keywords/>
  <dc:description/>
  <cp:lastModifiedBy>Olly Rowe (2100430)</cp:lastModifiedBy>
  <cp:revision>6</cp:revision>
  <dcterms:created xsi:type="dcterms:W3CDTF">2021-12-17T13:31:00Z</dcterms:created>
  <dcterms:modified xsi:type="dcterms:W3CDTF">2022-01-07T21:27:00Z</dcterms:modified>
</cp:coreProperties>
</file>