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E4C5D" w14:textId="643A13DC" w:rsidR="000C4E3D" w:rsidRPr="000C4E3D" w:rsidRDefault="000C4E3D" w:rsidP="000C4E3D">
      <w:pPr>
        <w:spacing w:line="360" w:lineRule="auto"/>
        <w:rPr>
          <w:lang w:eastAsia="en-GB"/>
        </w:rPr>
      </w:pPr>
    </w:p>
    <w:p w14:paraId="6A0477C1" w14:textId="431069DC" w:rsidR="000C4E3D" w:rsidRPr="000C4E3D" w:rsidRDefault="000C4E3D" w:rsidP="000C4E3D">
      <w:pPr>
        <w:spacing w:line="360" w:lineRule="auto"/>
        <w:rPr>
          <w:lang w:eastAsia="en-GB"/>
        </w:rPr>
      </w:pPr>
      <w:r w:rsidRPr="000C4E3D">
        <w:rPr>
          <w:lang w:eastAsia="en-GB"/>
        </w:rPr>
        <w:t>For</w:t>
      </w:r>
      <w:r w:rsidRPr="000C4E3D">
        <w:rPr>
          <w:lang w:eastAsia="en-GB"/>
        </w:rPr>
        <w:t xml:space="preserve"> Polly to be convicted of any crimes, three conditions must be met. Firstly, she must have committed an act that is considered illegal, also known as "actus reus". Secondly, the prosecution must demonstrate that she had a guilty intention or mindset, referred to as "</w:t>
      </w:r>
      <w:r>
        <w:rPr>
          <w:lang w:eastAsia="en-GB"/>
        </w:rPr>
        <w:t>men's</w:t>
      </w:r>
      <w:r w:rsidRPr="000C4E3D">
        <w:rPr>
          <w:lang w:eastAsia="en-GB"/>
        </w:rPr>
        <w:t xml:space="preserve"> rea". Finally, there can be no valid legal </w:t>
      </w:r>
      <w:r>
        <w:rPr>
          <w:lang w:eastAsia="en-GB"/>
        </w:rPr>
        <w:t>defence</w:t>
      </w:r>
      <w:r w:rsidRPr="000C4E3D">
        <w:rPr>
          <w:lang w:eastAsia="en-GB"/>
        </w:rPr>
        <w:t xml:space="preserve"> for her actions. If these three factors are present in a criminal case, then Polly may be held accountable for her actions. Therefore, to establish criminal liability, the prosecution needs to prove that the accused engaged in the physical act (actus reus) with the appropriate mental state (</w:t>
      </w:r>
      <w:r>
        <w:rPr>
          <w:lang w:eastAsia="en-GB"/>
        </w:rPr>
        <w:t>men's</w:t>
      </w:r>
      <w:r w:rsidRPr="000C4E3D">
        <w:rPr>
          <w:lang w:eastAsia="en-GB"/>
        </w:rPr>
        <w:t xml:space="preserve"> rea) and that there is no legitimate </w:t>
      </w:r>
      <w:r>
        <w:rPr>
          <w:lang w:eastAsia="en-GB"/>
        </w:rPr>
        <w:t>defence</w:t>
      </w:r>
      <w:r w:rsidRPr="000C4E3D">
        <w:rPr>
          <w:lang w:eastAsia="en-GB"/>
        </w:rPr>
        <w:t xml:space="preserve"> that can excuse or justify their </w:t>
      </w:r>
      <w:r>
        <w:rPr>
          <w:lang w:eastAsia="en-GB"/>
        </w:rPr>
        <w:t>behaviour</w:t>
      </w:r>
      <w:r w:rsidRPr="000C4E3D">
        <w:rPr>
          <w:lang w:eastAsia="en-GB"/>
        </w:rPr>
        <w:t>.</w:t>
      </w:r>
    </w:p>
    <w:p w14:paraId="6F6EDA77" w14:textId="23800DA7" w:rsidR="00496669" w:rsidRDefault="00496669" w:rsidP="000C4E3D">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 xml:space="preserve">Polly’s actions towards Roxanne could be recognised as a common assault. Common assault is a common law offence that is not set out under any statute but charged under Section 39 of the Criminal Justice Act 1988. This law states that assault occurs when a person intentionally or recklessly causes another person to fear immediate, unlawful violence. The offence here is committed even if no physical contact takes place. For Polly to be charged, the actus reus and men's rea of assault must be proven. The actus reus of assault is causing a person to apprehend the immediate application of unlawful force. This can be broken down into two key parts. First, the defendant causes the victim to apprehend the use of force against them; actus reus here is established through the apprehension of force, and there does not need to be an application of actual force by the victim R V Constanza (1997) states that words alone can cause the victim to apprehend harm and thus constitute assault; this would refer back to Polly calling Roxanne a "bitch" and gesturing her middle finger. The second element needed to satisfy the actus reus is that the victim apprehends that the use of force will be immediate. In many situations, determining whether a defendant's actions constitute an immediate threat is straightforward. For instance, if a defendant raises their fist in a threatening manner, the victim may reasonably fear an imminent physical attack. Nevertheless, some cases have resulted in disputed verdicts regarding this matter. The definition of what qualifies as "immediate" is not precisely defined; an example of this is the case of Smith V Superintendent of Working Police (1983). Roxanne may view Polly as an immediate threat due to her actions, and she may be uncertain about what actions Polly may take next due to her schizophrenia. This uncertainty about Polly's future actions could be causing Roxanne to feel fearful and uneasy. Men's rea requirements for the offence of </w:t>
      </w:r>
      <w:r w:rsidRPr="00496669">
        <w:rPr>
          <w:rFonts w:asciiTheme="minorHAnsi" w:hAnsiTheme="minorHAnsi" w:cstheme="minorHAnsi"/>
          <w:color w:val="252525"/>
        </w:rPr>
        <w:lastRenderedPageBreak/>
        <w:t>assault are the intention or recklessness to cause the victim to apprehend immediate and unlawful violence. This means that the perpetrator must have either intended to cause fear of immediate harm or acted recklessly, knowing that their actions could result in such fear</w:t>
      </w:r>
      <w:r w:rsidR="00D70AF3">
        <w:rPr>
          <w:rFonts w:asciiTheme="minorHAnsi" w:hAnsiTheme="minorHAnsi" w:cstheme="minorHAnsi"/>
          <w:color w:val="252525"/>
        </w:rPr>
        <w:t>.</w:t>
      </w:r>
    </w:p>
    <w:p w14:paraId="2E1B9D64" w14:textId="77777777" w:rsidR="00D70AF3" w:rsidRPr="00496669" w:rsidRDefault="00D70AF3" w:rsidP="00496669">
      <w:pPr>
        <w:pStyle w:val="NormalWeb"/>
        <w:spacing w:line="360" w:lineRule="auto"/>
        <w:rPr>
          <w:rFonts w:asciiTheme="minorHAnsi" w:hAnsiTheme="minorHAnsi" w:cstheme="minorHAnsi"/>
          <w:color w:val="252525"/>
        </w:rPr>
      </w:pPr>
    </w:p>
    <w:p w14:paraId="0E19DCC5" w14:textId="10F94C96" w:rsidR="00496669" w:rsidRPr="00496669" w:rsidRDefault="00496669" w:rsidP="00496669">
      <w:pPr>
        <w:pStyle w:val="NormalWeb"/>
        <w:spacing w:line="360" w:lineRule="auto"/>
        <w:rPr>
          <w:rFonts w:asciiTheme="minorHAnsi" w:hAnsiTheme="minorHAnsi" w:cstheme="minorHAnsi"/>
          <w:color w:val="252525"/>
          <w:u w:val="single"/>
        </w:rPr>
      </w:pPr>
      <w:r w:rsidRPr="00496669">
        <w:rPr>
          <w:rFonts w:asciiTheme="minorHAnsi" w:hAnsiTheme="minorHAnsi" w:cstheme="minorHAnsi"/>
          <w:color w:val="252525"/>
          <w:u w:val="single"/>
        </w:rPr>
        <w:t>Criminal Damage:</w:t>
      </w:r>
    </w:p>
    <w:p w14:paraId="7C68BE2B" w14:textId="7BA12AAB" w:rsidR="00496669" w:rsidRP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 xml:space="preserve">A further charge Polly faces is criminal damage. Severing brake cables </w:t>
      </w:r>
      <w:r>
        <w:rPr>
          <w:rFonts w:asciiTheme="minorHAnsi" w:hAnsiTheme="minorHAnsi" w:cstheme="minorHAnsi"/>
          <w:color w:val="252525"/>
        </w:rPr>
        <w:t>to cause</w:t>
      </w:r>
      <w:r w:rsidRPr="00496669">
        <w:rPr>
          <w:rFonts w:asciiTheme="minorHAnsi" w:hAnsiTheme="minorHAnsi" w:cstheme="minorHAnsi"/>
          <w:color w:val="252525"/>
        </w:rPr>
        <w:t xml:space="preserve"> damage to a vehicle could result in criminal damage charges. Under Section 1(1) of the Criminal Damage Act 1971, a person commits an offence of criminal damage if they, without lawful excuse, destroy or damage any property belonging to another person, intending to destroy or damage such property, or are reckless as to whether such property would be destroyed or damaged. Severing brake cables could be considered damaging property, and if it is proved that the act was intentional or reckless, the person responsible could be charged with criminal damage</w:t>
      </w:r>
      <w:r>
        <w:rPr>
          <w:rFonts w:asciiTheme="minorHAnsi" w:hAnsiTheme="minorHAnsi" w:cstheme="minorHAnsi"/>
          <w:color w:val="252525"/>
        </w:rPr>
        <w:t xml:space="preserve"> as seen in a similar case of </w:t>
      </w:r>
      <w:r w:rsidRPr="00496669">
        <w:rPr>
          <w:rFonts w:asciiTheme="minorHAnsi" w:hAnsiTheme="minorHAnsi" w:cstheme="minorHAnsi"/>
        </w:rPr>
        <w:t xml:space="preserve">R v Smith </w:t>
      </w:r>
      <w:r>
        <w:rPr>
          <w:rFonts w:asciiTheme="minorHAnsi" w:hAnsiTheme="minorHAnsi" w:cstheme="minorHAnsi"/>
        </w:rPr>
        <w:t>(</w:t>
      </w:r>
      <w:r w:rsidRPr="00496669">
        <w:rPr>
          <w:rFonts w:asciiTheme="minorHAnsi" w:hAnsiTheme="minorHAnsi" w:cstheme="minorHAnsi"/>
        </w:rPr>
        <w:t>1974</w:t>
      </w:r>
      <w:r>
        <w:rPr>
          <w:rFonts w:asciiTheme="minorHAnsi" w:hAnsiTheme="minorHAnsi" w:cstheme="minorHAnsi"/>
        </w:rPr>
        <w:t xml:space="preserve">). </w:t>
      </w:r>
      <w:r w:rsidRPr="00496669">
        <w:rPr>
          <w:rFonts w:asciiTheme="minorHAnsi" w:hAnsiTheme="minorHAnsi" w:cstheme="minorHAnsi"/>
          <w:color w:val="252525"/>
        </w:rPr>
        <w:t>Actus reus is the destruction of or damage to property belonging to another without lawful excuse. Polly has no lawful excuse for cutting Roxanne's brake cables, and therefore actus reus is established here. The men's rea is that the defendant intended or was reckless (a) that his or her action would damage or destroy property and (b) that that property belonged to another. The men's rea for a criminal damage offence is set out in </w:t>
      </w:r>
      <w:hyperlink r:id="rId5" w:history="1">
        <w:r w:rsidRPr="00496669">
          <w:rPr>
            <w:rStyle w:val="Hyperlink"/>
            <w:rFonts w:asciiTheme="minorHAnsi" w:hAnsiTheme="minorHAnsi" w:cstheme="minorHAnsi"/>
            <w:color w:val="252525"/>
            <w:u w:val="none"/>
          </w:rPr>
          <w:t>Section 1(1) of the Criminal Damages Act 1971</w:t>
        </w:r>
      </w:hyperlink>
      <w:r w:rsidRPr="00496669">
        <w:rPr>
          <w:rFonts w:asciiTheme="minorHAnsi" w:hAnsiTheme="minorHAnsi" w:cstheme="minorHAnsi"/>
          <w:color w:val="252525"/>
        </w:rPr>
        <w:t>: it must be shown that the defendant intended or was reckless in damaging the property. When Polly notices Roxanne’s moped, she knows this is not her property and belongs to another, so she recklessly decides to pick up a piece of broken glass from the car park and use it to sever the brake cables, which therefore damages the property.</w:t>
      </w:r>
    </w:p>
    <w:p w14:paraId="7F314386" w14:textId="77777777" w:rsidR="00496669" w:rsidRDefault="00496669" w:rsidP="00496669">
      <w:pPr>
        <w:pStyle w:val="NormalWeb"/>
        <w:spacing w:line="360" w:lineRule="auto"/>
        <w:rPr>
          <w:rFonts w:asciiTheme="minorHAnsi" w:hAnsiTheme="minorHAnsi" w:cstheme="minorHAnsi"/>
          <w:color w:val="252525"/>
          <w:u w:val="single"/>
        </w:rPr>
      </w:pPr>
    </w:p>
    <w:p w14:paraId="18414680" w14:textId="77777777" w:rsidR="00496669" w:rsidRDefault="00496669" w:rsidP="00496669">
      <w:pPr>
        <w:pStyle w:val="NormalWeb"/>
        <w:spacing w:line="360" w:lineRule="auto"/>
        <w:rPr>
          <w:rFonts w:asciiTheme="minorHAnsi" w:hAnsiTheme="minorHAnsi" w:cstheme="minorHAnsi"/>
          <w:color w:val="252525"/>
          <w:u w:val="single"/>
        </w:rPr>
      </w:pPr>
    </w:p>
    <w:p w14:paraId="29CFBC54" w14:textId="77777777" w:rsidR="00496669" w:rsidRDefault="00496669" w:rsidP="00496669">
      <w:pPr>
        <w:pStyle w:val="NormalWeb"/>
        <w:spacing w:line="360" w:lineRule="auto"/>
        <w:rPr>
          <w:rFonts w:asciiTheme="minorHAnsi" w:hAnsiTheme="minorHAnsi" w:cstheme="minorHAnsi"/>
          <w:color w:val="252525"/>
          <w:u w:val="single"/>
        </w:rPr>
      </w:pPr>
    </w:p>
    <w:p w14:paraId="7389A085" w14:textId="77777777" w:rsidR="00496669" w:rsidRDefault="00496669" w:rsidP="00496669">
      <w:pPr>
        <w:pStyle w:val="NormalWeb"/>
        <w:spacing w:line="360" w:lineRule="auto"/>
        <w:rPr>
          <w:rFonts w:asciiTheme="minorHAnsi" w:hAnsiTheme="minorHAnsi" w:cstheme="minorHAnsi"/>
          <w:color w:val="252525"/>
          <w:u w:val="single"/>
        </w:rPr>
      </w:pPr>
    </w:p>
    <w:p w14:paraId="1A8B1420" w14:textId="32D6BFD2" w:rsidR="00496669" w:rsidRPr="00496669" w:rsidRDefault="00496669" w:rsidP="00496669">
      <w:pPr>
        <w:pStyle w:val="NormalWeb"/>
        <w:spacing w:line="360" w:lineRule="auto"/>
        <w:rPr>
          <w:rFonts w:asciiTheme="minorHAnsi" w:hAnsiTheme="minorHAnsi" w:cstheme="minorHAnsi"/>
          <w:color w:val="252525"/>
          <w:u w:val="single"/>
        </w:rPr>
      </w:pPr>
      <w:r w:rsidRPr="00496669">
        <w:rPr>
          <w:rFonts w:asciiTheme="minorHAnsi" w:hAnsiTheme="minorHAnsi" w:cstheme="minorHAnsi"/>
          <w:color w:val="252525"/>
          <w:u w:val="single"/>
        </w:rPr>
        <w:lastRenderedPageBreak/>
        <w:t>Murder:</w:t>
      </w:r>
    </w:p>
    <w:p w14:paraId="7948391B" w14:textId="0AA860EE" w:rsidR="00496669" w:rsidRP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Murder is defined as the unlawful killing of a human being with malice aforethought. Malice aforethought is the intention to kill or cause grievous bodily harm to another person, or recklessness as to whether such harm would be caused. Under the common law, the prosecution must prove beyond a reasonable doubt that the defendant intended to cause death or serious harm to the victim or acted with reckless indifference to human life. In this case, Polly used an ashtray to strike Mohammed, which caused a fatal head injury that led to his death. As a result, Polly's actions resulted in the unlawful killing of Mohammed, satisfying the actus reus requirement for murder. The term "unlawful killing," however, stresses that the actus reus and men's reus elements of this offence must be satisfied without a lawful defence. Polly, however, could be able to use the defence of diminished responsibility.</w:t>
      </w:r>
    </w:p>
    <w:p w14:paraId="62C3C594" w14:textId="77777777" w:rsidR="00496669" w:rsidRP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The men's rea for murder is either the intention to kill, per the binding case of R V Matthews &amp; Alleyne (2003), or an intention to cause grievous bodily harm (R V Wollin, 1999). Grievous bodily harm is defined as causing serious harm to another person, either intentionally or recklessly, and is defined under Section 20 of the Offences Against the Person Act 1861. Polly intentionally wanted to hurt Mohammed with the glass ashtray. The men's rea for murder requires malice aforethought, which is the intention to kill or cause grievous bodily harm to another person or act with reckless indifference to human life. In this case, Polly became increasingly angry and jealous when Mohammed denied liking Roxanne and continued to question and insinuate that he had feelings for her. When Mohammed eventually confessed to having an affair with Roxanne, Polly picked up a glass ashtray and hit him over the head with it, causing a fatal head injury. This suggests that Polly had the intention to cause serious harm to Mohammed or acted with reckless indifference to his life, satisfying the men's rea requirement for murder.</w:t>
      </w:r>
    </w:p>
    <w:p w14:paraId="3E0A8A8F" w14:textId="0D2CA34C" w:rsid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 </w:t>
      </w:r>
    </w:p>
    <w:p w14:paraId="77C09C0C" w14:textId="77777777" w:rsidR="00496669" w:rsidRDefault="00496669" w:rsidP="00496669">
      <w:pPr>
        <w:pStyle w:val="NormalWeb"/>
        <w:spacing w:line="360" w:lineRule="auto"/>
        <w:rPr>
          <w:rFonts w:asciiTheme="minorHAnsi" w:hAnsiTheme="minorHAnsi" w:cstheme="minorHAnsi"/>
          <w:color w:val="252525"/>
        </w:rPr>
      </w:pPr>
    </w:p>
    <w:p w14:paraId="3D98D06D" w14:textId="77777777" w:rsidR="00496669" w:rsidRDefault="00496669" w:rsidP="00496669">
      <w:pPr>
        <w:pStyle w:val="NormalWeb"/>
        <w:spacing w:line="360" w:lineRule="auto"/>
        <w:rPr>
          <w:rFonts w:asciiTheme="minorHAnsi" w:hAnsiTheme="minorHAnsi" w:cstheme="minorHAnsi"/>
          <w:color w:val="252525"/>
        </w:rPr>
      </w:pPr>
    </w:p>
    <w:p w14:paraId="7CA00CF8" w14:textId="2ACB8ED3" w:rsidR="00496669" w:rsidRPr="00496669" w:rsidRDefault="00496669" w:rsidP="00496669">
      <w:pPr>
        <w:pStyle w:val="NormalWeb"/>
        <w:spacing w:line="360" w:lineRule="auto"/>
        <w:rPr>
          <w:rFonts w:asciiTheme="minorHAnsi" w:hAnsiTheme="minorHAnsi" w:cstheme="minorHAnsi"/>
          <w:color w:val="252525"/>
          <w:u w:val="single"/>
        </w:rPr>
      </w:pPr>
      <w:r>
        <w:rPr>
          <w:rFonts w:asciiTheme="minorHAnsi" w:hAnsiTheme="minorHAnsi" w:cstheme="minorHAnsi"/>
          <w:color w:val="252525"/>
          <w:u w:val="single"/>
        </w:rPr>
        <w:lastRenderedPageBreak/>
        <w:t>Self-defence</w:t>
      </w:r>
      <w:r w:rsidRPr="00496669">
        <w:rPr>
          <w:rFonts w:asciiTheme="minorHAnsi" w:hAnsiTheme="minorHAnsi" w:cstheme="minorHAnsi"/>
          <w:color w:val="252525"/>
          <w:u w:val="single"/>
        </w:rPr>
        <w:t>:</w:t>
      </w:r>
    </w:p>
    <w:p w14:paraId="35727507" w14:textId="3289768C" w:rsidR="00496669" w:rsidRP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 xml:space="preserve">Self-defence in this scenario is not a viable option for Polly. The defence of self-defence is available when the defendant uses force against another person to defend themselves from an imminent threat of unlawful violence. In this case, when Polly was inside the pub, she became paranoid and upset upon seeing Mohammed flirting with Roxanne, then insulted Roxanne and </w:t>
      </w:r>
      <w:r>
        <w:rPr>
          <w:rFonts w:asciiTheme="minorHAnsi" w:hAnsiTheme="minorHAnsi" w:cstheme="minorHAnsi"/>
          <w:color w:val="252525"/>
        </w:rPr>
        <w:t>aggressively gestured at her</w:t>
      </w:r>
      <w:r w:rsidRPr="00496669">
        <w:rPr>
          <w:rFonts w:asciiTheme="minorHAnsi" w:hAnsiTheme="minorHAnsi" w:cstheme="minorHAnsi"/>
          <w:color w:val="252525"/>
        </w:rPr>
        <w:t>. However, there was no imminent threat of unlawful violence from Roxanne or anyone else at that time that would have justified Polly's use of force in self-defence. Later, when Polly severed the brake cables of Roxanne's moped, she did not do so in self-defence. Rather, she did so out of anger and retaliation for what she perceived as Mohammed's infidelity. Similarly, when Polly hit Mohammed over the head with the glass ashtray, it was not done in self-defence but rather as a result of her anger and emotions. Therefore, Polly does not satisfy the elements of self-defence but could use the defence of diminished responsibility.</w:t>
      </w:r>
    </w:p>
    <w:p w14:paraId="0AD2682A" w14:textId="65C4BD61" w:rsidR="00496669" w:rsidRPr="00496669" w:rsidRDefault="00496669" w:rsidP="00496669">
      <w:pPr>
        <w:pStyle w:val="NormalWeb"/>
        <w:spacing w:line="360" w:lineRule="auto"/>
        <w:rPr>
          <w:rFonts w:asciiTheme="minorHAnsi" w:hAnsiTheme="minorHAnsi" w:cstheme="minorHAnsi"/>
          <w:color w:val="252525"/>
          <w:u w:val="single"/>
        </w:rPr>
      </w:pPr>
      <w:r w:rsidRPr="00496669">
        <w:rPr>
          <w:rFonts w:asciiTheme="minorHAnsi" w:hAnsiTheme="minorHAnsi" w:cstheme="minorHAnsi"/>
          <w:color w:val="252525"/>
          <w:u w:val="single"/>
        </w:rPr>
        <w:t> </w:t>
      </w:r>
      <w:r w:rsidRPr="00496669">
        <w:rPr>
          <w:rFonts w:asciiTheme="minorHAnsi" w:hAnsiTheme="minorHAnsi" w:cstheme="minorHAnsi"/>
          <w:color w:val="252525"/>
          <w:u w:val="single"/>
        </w:rPr>
        <w:t xml:space="preserve">Diminished Responsibility: </w:t>
      </w:r>
    </w:p>
    <w:p w14:paraId="44F2CBAE" w14:textId="618897CC" w:rsidR="00496669" w:rsidRP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 xml:space="preserve">Under the Coroners and Justice Act 2009, diminished responsibility is outlined as a partial defence to murder. It is also outlined in Section 2 of the Homicide Act of 1957 as follows: 1) A person who kills or is a party to the killing of another is not to be convicted of murder if D was suffering from an abnormality of mental functioning that (a) arose from a recognised medical condition, (b) substantially impaired D's ability to do one or more of the things mentioned in subsection (1A), and (c) </w:t>
      </w:r>
      <w:r>
        <w:rPr>
          <w:rFonts w:asciiTheme="minorHAnsi" w:hAnsiTheme="minorHAnsi" w:cstheme="minorHAnsi"/>
          <w:color w:val="252525"/>
        </w:rPr>
        <w:t>explained</w:t>
      </w:r>
      <w:r w:rsidRPr="00496669">
        <w:rPr>
          <w:rFonts w:asciiTheme="minorHAnsi" w:hAnsiTheme="minorHAnsi" w:cstheme="minorHAnsi"/>
          <w:color w:val="252525"/>
        </w:rPr>
        <w:t xml:space="preserve"> D's acts and omissions in doing or being a party to the killing. In this case, Polly has a diagnosis of schizophrenia, which is a recognised mental disorder. It is possible that her schizophrenia could have impaired her mental functioning and affected her ability to understand the nature of her actions or control her behaviour. However, it is important to note that the defence of diminished responsibility is not automatic, and the defendant would need to provide evidence to support their claim of impaired mental functioning. The evidence could come from medical experts or Polly herself if she can recall her mental state at the time of the offence. The court would also need to consider whether the abnormality of Polly's mental functioning substantially impaired her mental responsibility for the offence. Therefore, it is possible that Polly could satisfy the defence of diminished responsibility, but it would depend on the specific facts and </w:t>
      </w:r>
      <w:r w:rsidRPr="00496669">
        <w:rPr>
          <w:rFonts w:asciiTheme="minorHAnsi" w:hAnsiTheme="minorHAnsi" w:cstheme="minorHAnsi"/>
          <w:color w:val="252525"/>
        </w:rPr>
        <w:lastRenderedPageBreak/>
        <w:t>circumstances of the case and whether there is sufficient evidence to support her claim of impaired mental functioning.</w:t>
      </w:r>
      <w:r>
        <w:rPr>
          <w:rFonts w:asciiTheme="minorHAnsi" w:hAnsiTheme="minorHAnsi" w:cstheme="minorHAnsi"/>
          <w:color w:val="252525"/>
        </w:rPr>
        <w:t xml:space="preserve"> There have been many cases of diminished responsibility being granted to defendants such as the case of </w:t>
      </w:r>
      <w:r w:rsidRPr="00496669">
        <w:rPr>
          <w:rFonts w:asciiTheme="minorHAnsi" w:hAnsiTheme="minorHAnsi" w:cstheme="minorHAnsi"/>
        </w:rPr>
        <w:t>R v Egan [1992</w:t>
      </w:r>
      <w:r>
        <w:rPr>
          <w:rFonts w:asciiTheme="minorHAnsi" w:hAnsiTheme="minorHAnsi" w:cstheme="minorHAnsi"/>
        </w:rPr>
        <w:t>.</w:t>
      </w:r>
    </w:p>
    <w:p w14:paraId="1596AF45" w14:textId="056BDC84" w:rsidR="00496669" w:rsidRP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u w:val="single"/>
        </w:rPr>
        <w:t>Conclusion:</w:t>
      </w:r>
      <w:r w:rsidRPr="00496669">
        <w:rPr>
          <w:rFonts w:asciiTheme="minorHAnsi" w:hAnsiTheme="minorHAnsi" w:cstheme="minorHAnsi"/>
          <w:color w:val="252525"/>
        </w:rPr>
        <w:br/>
        <w:t>In conclusion, the scenario presented involves various criminal offences and defences. Polly's actions of causing criminal damage to Roxanne's moped by severing the brake cables and fatally striking Mohammed with a glass ashtray satisfy the actus reus and men's rea of the offences of criminal damage and murder, respectively. However, her schizophrenia diagnosis may provide a defence of diminished responsibility, just like in the case of R V Joyce and Kay (2017), as her condition may have substantially impaired her ability to control her actions. Nonetheless, Polly's actions in both instances are likely to be considered unlawful, and she may face charges for criminal damage and murder.</w:t>
      </w:r>
    </w:p>
    <w:p w14:paraId="45DA5484" w14:textId="77777777" w:rsidR="00496669" w:rsidRDefault="00496669" w:rsidP="00496669">
      <w:pPr>
        <w:spacing w:line="360" w:lineRule="auto"/>
        <w:rPr>
          <w:rFonts w:cstheme="minorHAnsi"/>
        </w:rPr>
      </w:pPr>
    </w:p>
    <w:p w14:paraId="6732EFC8" w14:textId="77777777" w:rsidR="00496669" w:rsidRDefault="00496669" w:rsidP="00496669">
      <w:pPr>
        <w:spacing w:line="360" w:lineRule="auto"/>
        <w:rPr>
          <w:rFonts w:cstheme="minorHAnsi"/>
        </w:rPr>
      </w:pPr>
    </w:p>
    <w:p w14:paraId="48BD9A20" w14:textId="77777777" w:rsidR="00496669" w:rsidRDefault="00496669" w:rsidP="00496669">
      <w:pPr>
        <w:spacing w:line="360" w:lineRule="auto"/>
        <w:rPr>
          <w:rFonts w:cstheme="minorHAnsi"/>
        </w:rPr>
      </w:pPr>
    </w:p>
    <w:p w14:paraId="0D56193E" w14:textId="77777777" w:rsidR="00496669" w:rsidRDefault="00496669" w:rsidP="00496669">
      <w:pPr>
        <w:spacing w:line="360" w:lineRule="auto"/>
        <w:rPr>
          <w:rFonts w:cstheme="minorHAnsi"/>
        </w:rPr>
      </w:pPr>
    </w:p>
    <w:p w14:paraId="64992682" w14:textId="77777777" w:rsidR="00496669" w:rsidRDefault="00496669" w:rsidP="00496669">
      <w:pPr>
        <w:spacing w:line="360" w:lineRule="auto"/>
        <w:rPr>
          <w:rFonts w:cstheme="minorHAnsi"/>
        </w:rPr>
      </w:pPr>
    </w:p>
    <w:p w14:paraId="2C7F14E8" w14:textId="77777777" w:rsidR="00496669" w:rsidRDefault="00496669" w:rsidP="00496669">
      <w:pPr>
        <w:spacing w:line="360" w:lineRule="auto"/>
        <w:rPr>
          <w:rFonts w:cstheme="minorHAnsi"/>
        </w:rPr>
      </w:pPr>
    </w:p>
    <w:p w14:paraId="373A9504" w14:textId="77777777" w:rsidR="00496669" w:rsidRDefault="00496669" w:rsidP="00496669">
      <w:pPr>
        <w:spacing w:line="360" w:lineRule="auto"/>
        <w:rPr>
          <w:rFonts w:cstheme="minorHAnsi"/>
        </w:rPr>
      </w:pPr>
    </w:p>
    <w:p w14:paraId="35D075A2" w14:textId="77777777" w:rsidR="00496669" w:rsidRDefault="00496669" w:rsidP="00496669">
      <w:pPr>
        <w:spacing w:line="360" w:lineRule="auto"/>
        <w:rPr>
          <w:rFonts w:cstheme="minorHAnsi"/>
        </w:rPr>
      </w:pPr>
    </w:p>
    <w:p w14:paraId="6DD824CE" w14:textId="77777777" w:rsidR="00496669" w:rsidRDefault="00496669" w:rsidP="00496669">
      <w:pPr>
        <w:spacing w:line="360" w:lineRule="auto"/>
        <w:rPr>
          <w:rFonts w:cstheme="minorHAnsi"/>
        </w:rPr>
      </w:pPr>
    </w:p>
    <w:p w14:paraId="27D9D58E" w14:textId="77777777" w:rsidR="00496669" w:rsidRDefault="00496669" w:rsidP="00496669">
      <w:pPr>
        <w:spacing w:line="360" w:lineRule="auto"/>
        <w:rPr>
          <w:rFonts w:cstheme="minorHAnsi"/>
        </w:rPr>
      </w:pPr>
    </w:p>
    <w:p w14:paraId="0BF220F5" w14:textId="77777777" w:rsidR="00496669" w:rsidRDefault="00496669" w:rsidP="00496669">
      <w:pPr>
        <w:spacing w:line="360" w:lineRule="auto"/>
        <w:rPr>
          <w:rFonts w:cstheme="minorHAnsi"/>
        </w:rPr>
      </w:pPr>
    </w:p>
    <w:p w14:paraId="56500DEC" w14:textId="77777777" w:rsidR="00496669" w:rsidRDefault="00496669" w:rsidP="00496669">
      <w:pPr>
        <w:spacing w:line="360" w:lineRule="auto"/>
        <w:rPr>
          <w:rFonts w:cstheme="minorHAnsi"/>
        </w:rPr>
      </w:pPr>
    </w:p>
    <w:p w14:paraId="355B080A" w14:textId="77777777" w:rsidR="00496669" w:rsidRDefault="00496669" w:rsidP="00496669">
      <w:pPr>
        <w:spacing w:line="360" w:lineRule="auto"/>
        <w:rPr>
          <w:rFonts w:cstheme="minorHAnsi"/>
        </w:rPr>
      </w:pPr>
    </w:p>
    <w:p w14:paraId="22AA4818" w14:textId="77777777" w:rsidR="00496669" w:rsidRDefault="00496669" w:rsidP="00496669">
      <w:pPr>
        <w:spacing w:line="360" w:lineRule="auto"/>
        <w:rPr>
          <w:rFonts w:cstheme="minorHAnsi"/>
        </w:rPr>
      </w:pPr>
    </w:p>
    <w:p w14:paraId="074CC6BC" w14:textId="77777777" w:rsidR="00496669" w:rsidRDefault="00496669" w:rsidP="00496669">
      <w:pPr>
        <w:spacing w:line="360" w:lineRule="auto"/>
        <w:rPr>
          <w:rFonts w:cstheme="minorHAnsi"/>
        </w:rPr>
      </w:pPr>
    </w:p>
    <w:p w14:paraId="302DD899" w14:textId="77777777" w:rsidR="00496669" w:rsidRPr="00496669" w:rsidRDefault="00496669" w:rsidP="00496669">
      <w:pPr>
        <w:spacing w:line="360" w:lineRule="auto"/>
        <w:rPr>
          <w:rFonts w:cstheme="minorHAnsi"/>
        </w:rPr>
      </w:pPr>
    </w:p>
    <w:p w14:paraId="02C049E5" w14:textId="77777777" w:rsidR="00496669" w:rsidRPr="00496669" w:rsidRDefault="00496669" w:rsidP="00496669">
      <w:pPr>
        <w:spacing w:line="360" w:lineRule="auto"/>
        <w:rPr>
          <w:rFonts w:cstheme="minorHAnsi"/>
        </w:rPr>
      </w:pPr>
    </w:p>
    <w:p w14:paraId="550AEAE9" w14:textId="77777777" w:rsidR="00496669" w:rsidRDefault="00496669" w:rsidP="00496669">
      <w:pPr>
        <w:spacing w:line="360" w:lineRule="auto"/>
      </w:pPr>
    </w:p>
    <w:p w14:paraId="4D5D4EA3" w14:textId="77777777" w:rsidR="00496669" w:rsidRDefault="00496669" w:rsidP="00496669">
      <w:pPr>
        <w:spacing w:line="360" w:lineRule="auto"/>
      </w:pPr>
    </w:p>
    <w:p w14:paraId="512A48B5" w14:textId="4998EAB9" w:rsidR="00496669" w:rsidRPr="00496669" w:rsidRDefault="00496669" w:rsidP="00496669">
      <w:pPr>
        <w:spacing w:line="360" w:lineRule="auto"/>
        <w:rPr>
          <w:u w:val="single"/>
        </w:rPr>
      </w:pPr>
      <w:r w:rsidRPr="00496669">
        <w:rPr>
          <w:u w:val="single"/>
        </w:rPr>
        <w:t xml:space="preserve">Legislation: </w:t>
      </w:r>
    </w:p>
    <w:p w14:paraId="19EC56A7" w14:textId="77777777" w:rsidR="00496669" w:rsidRDefault="00496669" w:rsidP="00496669">
      <w:pPr>
        <w:spacing w:line="360" w:lineRule="auto"/>
      </w:pPr>
      <w:r w:rsidRPr="00496669">
        <w:t>Criminal Justice Act 1988</w:t>
      </w:r>
    </w:p>
    <w:p w14:paraId="755BF092" w14:textId="497FA7A9" w:rsidR="00496669" w:rsidRPr="00496669" w:rsidRDefault="00496669" w:rsidP="00496669">
      <w:pPr>
        <w:spacing w:line="360" w:lineRule="auto"/>
      </w:pPr>
      <w:r w:rsidRPr="00496669">
        <w:t>Coroners and Justice Act 2009</w:t>
      </w:r>
    </w:p>
    <w:p w14:paraId="4C8A4EE2" w14:textId="0EA07DEA" w:rsidR="00496669" w:rsidRPr="00496669" w:rsidRDefault="00496669" w:rsidP="00496669">
      <w:pPr>
        <w:spacing w:line="360" w:lineRule="auto"/>
      </w:pPr>
      <w:r w:rsidRPr="00496669">
        <w:t>Homicide Act 1957</w:t>
      </w:r>
    </w:p>
    <w:p w14:paraId="40C6522C" w14:textId="134B377B" w:rsidR="00496669" w:rsidRPr="00496669" w:rsidRDefault="00496669" w:rsidP="00496669">
      <w:pPr>
        <w:spacing w:line="360" w:lineRule="auto"/>
      </w:pPr>
      <w:r w:rsidRPr="00496669">
        <w:t>Section 1(1) of the Criminal Damage Act 1971</w:t>
      </w:r>
    </w:p>
    <w:p w14:paraId="7410DE96" w14:textId="463808B8" w:rsidR="00496669" w:rsidRPr="00496669" w:rsidRDefault="00496669" w:rsidP="00496669">
      <w:pPr>
        <w:spacing w:line="360" w:lineRule="auto"/>
      </w:pPr>
      <w:r w:rsidRPr="00496669">
        <w:t>Section 20 of the Offences Against the Person Act 1861</w:t>
      </w:r>
    </w:p>
    <w:p w14:paraId="272B572F" w14:textId="77777777" w:rsidR="00496669" w:rsidRPr="00496669" w:rsidRDefault="00496669" w:rsidP="00496669">
      <w:pPr>
        <w:spacing w:line="360" w:lineRule="auto"/>
      </w:pPr>
    </w:p>
    <w:p w14:paraId="463D0675" w14:textId="77777777" w:rsidR="00496669" w:rsidRPr="00496669" w:rsidRDefault="00496669" w:rsidP="00496669">
      <w:pPr>
        <w:spacing w:line="360" w:lineRule="auto"/>
      </w:pPr>
    </w:p>
    <w:p w14:paraId="25EA676D" w14:textId="407B1098" w:rsidR="00496669" w:rsidRPr="00496669" w:rsidRDefault="00496669" w:rsidP="00496669">
      <w:pPr>
        <w:spacing w:line="360" w:lineRule="auto"/>
        <w:rPr>
          <w:u w:val="single"/>
        </w:rPr>
      </w:pPr>
      <w:r w:rsidRPr="00496669">
        <w:rPr>
          <w:u w:val="single"/>
        </w:rPr>
        <w:t xml:space="preserve">Case law: </w:t>
      </w:r>
    </w:p>
    <w:p w14:paraId="23351093" w14:textId="77777777" w:rsidR="00733210" w:rsidRDefault="00496669" w:rsidP="00733210">
      <w:pPr>
        <w:spacing w:line="360" w:lineRule="auto"/>
      </w:pPr>
      <w:hyperlink r:id="rId6" w:history="1">
        <w:r w:rsidRPr="00496669">
          <w:rPr>
            <w:rStyle w:val="Hyperlink"/>
            <w:color w:val="auto"/>
            <w:u w:val="none"/>
          </w:rPr>
          <w:t>R v Constanza</w:t>
        </w:r>
      </w:hyperlink>
      <w:r w:rsidRPr="00496669">
        <w:t> [1997] Crim LR 576</w:t>
      </w:r>
      <w:r w:rsidR="00EB0A08" w:rsidRPr="00EB0A08">
        <w:t xml:space="preserve"> </w:t>
      </w:r>
    </w:p>
    <w:p w14:paraId="41D14359" w14:textId="0AED8838" w:rsidR="00EB0A08" w:rsidRDefault="00733210" w:rsidP="00EB0A08">
      <w:pPr>
        <w:spacing w:line="360" w:lineRule="auto"/>
      </w:pPr>
      <w:r w:rsidRPr="00496669">
        <w:rPr>
          <w:rFonts w:cstheme="minorHAnsi"/>
        </w:rPr>
        <w:t>R v Egan [1992] 4 All ER 470</w:t>
      </w:r>
    </w:p>
    <w:p w14:paraId="2A595503" w14:textId="2F08F188" w:rsidR="00496669" w:rsidRDefault="00EB0A08" w:rsidP="00496669">
      <w:pPr>
        <w:spacing w:line="360" w:lineRule="auto"/>
      </w:pPr>
      <w:r>
        <w:t>R V Joyce and Kay (2017)</w:t>
      </w:r>
    </w:p>
    <w:p w14:paraId="06E3399E" w14:textId="77777777" w:rsidR="00496669" w:rsidRPr="00496669" w:rsidRDefault="00496669" w:rsidP="00496669">
      <w:pPr>
        <w:spacing w:line="360" w:lineRule="auto"/>
      </w:pPr>
      <w:r w:rsidRPr="00496669">
        <w:rPr>
          <w:lang w:eastAsia="en-GB"/>
        </w:rPr>
        <w:t>R v Matthews and Alleyne [2003] EWCA Crim 192</w:t>
      </w:r>
    </w:p>
    <w:p w14:paraId="529AEE01" w14:textId="77777777" w:rsidR="00EB0A08" w:rsidRDefault="00496669" w:rsidP="00EB0A08">
      <w:pPr>
        <w:spacing w:line="360" w:lineRule="auto"/>
        <w:rPr>
          <w:rFonts w:cstheme="minorHAnsi"/>
          <w:color w:val="252525"/>
        </w:rPr>
      </w:pPr>
      <w:r w:rsidRPr="00496669">
        <w:rPr>
          <w:rFonts w:cstheme="minorHAnsi"/>
        </w:rPr>
        <w:t xml:space="preserve">R v Smith </w:t>
      </w:r>
      <w:r>
        <w:rPr>
          <w:rFonts w:cstheme="minorHAnsi"/>
        </w:rPr>
        <w:t>(</w:t>
      </w:r>
      <w:r w:rsidRPr="00496669">
        <w:rPr>
          <w:rFonts w:cstheme="minorHAnsi"/>
        </w:rPr>
        <w:t>1974</w:t>
      </w:r>
      <w:r>
        <w:rPr>
          <w:rFonts w:cstheme="minorHAnsi"/>
        </w:rPr>
        <w:t>)</w:t>
      </w:r>
      <w:r w:rsidRPr="00496669">
        <w:rPr>
          <w:rFonts w:cstheme="minorHAnsi"/>
        </w:rPr>
        <w:t xml:space="preserve"> 1 WLR 1283</w:t>
      </w:r>
      <w:r w:rsidRPr="00496669">
        <w:rPr>
          <w:rFonts w:cstheme="minorHAnsi"/>
          <w:color w:val="252525"/>
        </w:rPr>
        <w:t xml:space="preserve"> </w:t>
      </w:r>
    </w:p>
    <w:p w14:paraId="3B86C9EA" w14:textId="4F14234C" w:rsidR="00EB0A08" w:rsidRPr="00496669" w:rsidRDefault="00EB0A08" w:rsidP="00EB0A08">
      <w:pPr>
        <w:spacing w:line="360" w:lineRule="auto"/>
      </w:pPr>
      <w:r>
        <w:t>Smith V Superintendent of Working Police (1983) Crim LR 323</w:t>
      </w:r>
    </w:p>
    <w:p w14:paraId="5000B032" w14:textId="77777777" w:rsidR="00733210" w:rsidRPr="00496669" w:rsidRDefault="00733210" w:rsidP="00733210">
      <w:pPr>
        <w:spacing w:line="360" w:lineRule="auto"/>
        <w:rPr>
          <w:lang w:eastAsia="en-GB"/>
        </w:rPr>
      </w:pPr>
      <w:r w:rsidRPr="00496669">
        <w:t>R v Woollin [1999] AC 82</w:t>
      </w:r>
    </w:p>
    <w:p w14:paraId="1D73945C" w14:textId="3CFCF372" w:rsidR="00496669" w:rsidRPr="00496669" w:rsidRDefault="00496669" w:rsidP="00496669">
      <w:pPr>
        <w:spacing w:line="360" w:lineRule="auto"/>
      </w:pPr>
      <w:hyperlink r:id="rId7" w:history="1"/>
    </w:p>
    <w:sectPr w:rsidR="00496669" w:rsidRPr="004966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30727"/>
    <w:multiLevelType w:val="multilevel"/>
    <w:tmpl w:val="36AE1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636076"/>
    <w:multiLevelType w:val="multilevel"/>
    <w:tmpl w:val="BC989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3326795">
    <w:abstractNumId w:val="1"/>
  </w:num>
  <w:num w:numId="2" w16cid:durableId="1163739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669"/>
    <w:rsid w:val="00055608"/>
    <w:rsid w:val="000C4E3D"/>
    <w:rsid w:val="00234CBD"/>
    <w:rsid w:val="002F4234"/>
    <w:rsid w:val="00496669"/>
    <w:rsid w:val="005847EB"/>
    <w:rsid w:val="00733210"/>
    <w:rsid w:val="00827080"/>
    <w:rsid w:val="00BE16CE"/>
    <w:rsid w:val="00D70AF3"/>
    <w:rsid w:val="00E02C7E"/>
    <w:rsid w:val="00EB0A08"/>
    <w:rsid w:val="00F001BF"/>
    <w:rsid w:val="00F83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3C919B"/>
  <w15:chartTrackingRefBased/>
  <w15:docId w15:val="{0DD351C3-AD43-5746-949C-21A79805B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96669"/>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3">
    <w:name w:val="heading 3"/>
    <w:basedOn w:val="Normal"/>
    <w:next w:val="Normal"/>
    <w:link w:val="Heading3Char"/>
    <w:uiPriority w:val="9"/>
    <w:semiHidden/>
    <w:unhideWhenUsed/>
    <w:qFormat/>
    <w:rsid w:val="0049666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666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96669"/>
    <w:rPr>
      <w:b/>
      <w:bCs/>
    </w:rPr>
  </w:style>
  <w:style w:type="character" w:styleId="Emphasis">
    <w:name w:val="Emphasis"/>
    <w:basedOn w:val="DefaultParagraphFont"/>
    <w:uiPriority w:val="20"/>
    <w:qFormat/>
    <w:rsid w:val="00496669"/>
    <w:rPr>
      <w:i/>
      <w:iCs/>
    </w:rPr>
  </w:style>
  <w:style w:type="character" w:styleId="Hyperlink">
    <w:name w:val="Hyperlink"/>
    <w:basedOn w:val="DefaultParagraphFont"/>
    <w:uiPriority w:val="99"/>
    <w:unhideWhenUsed/>
    <w:rsid w:val="00496669"/>
    <w:rPr>
      <w:color w:val="0000FF"/>
      <w:u w:val="single"/>
    </w:rPr>
  </w:style>
  <w:style w:type="character" w:customStyle="1" w:styleId="apple-converted-space">
    <w:name w:val="apple-converted-space"/>
    <w:basedOn w:val="DefaultParagraphFont"/>
    <w:rsid w:val="00496669"/>
  </w:style>
  <w:style w:type="character" w:customStyle="1" w:styleId="Heading1Char">
    <w:name w:val="Heading 1 Char"/>
    <w:basedOn w:val="DefaultParagraphFont"/>
    <w:link w:val="Heading1"/>
    <w:uiPriority w:val="9"/>
    <w:rsid w:val="00496669"/>
    <w:rPr>
      <w:rFonts w:ascii="Times New Roman" w:eastAsia="Times New Roman" w:hAnsi="Times New Roman" w:cs="Times New Roman"/>
      <w:b/>
      <w:bCs/>
      <w:kern w:val="36"/>
      <w:sz w:val="48"/>
      <w:szCs w:val="48"/>
      <w:lang w:eastAsia="en-GB"/>
      <w14:ligatures w14:val="none"/>
    </w:rPr>
  </w:style>
  <w:style w:type="paragraph" w:customStyle="1" w:styleId="legclearfix">
    <w:name w:val="legclearfix"/>
    <w:basedOn w:val="Normal"/>
    <w:rsid w:val="0049666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legamendingtext">
    <w:name w:val="legamendingtext"/>
    <w:basedOn w:val="DefaultParagraphFont"/>
    <w:rsid w:val="00496669"/>
  </w:style>
  <w:style w:type="character" w:customStyle="1" w:styleId="Heading3Char">
    <w:name w:val="Heading 3 Char"/>
    <w:basedOn w:val="DefaultParagraphFont"/>
    <w:link w:val="Heading3"/>
    <w:uiPriority w:val="9"/>
    <w:semiHidden/>
    <w:rsid w:val="00496669"/>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4966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69994">
      <w:bodyDiv w:val="1"/>
      <w:marLeft w:val="0"/>
      <w:marRight w:val="0"/>
      <w:marTop w:val="0"/>
      <w:marBottom w:val="0"/>
      <w:divBdr>
        <w:top w:val="none" w:sz="0" w:space="0" w:color="auto"/>
        <w:left w:val="none" w:sz="0" w:space="0" w:color="auto"/>
        <w:bottom w:val="none" w:sz="0" w:space="0" w:color="auto"/>
        <w:right w:val="none" w:sz="0" w:space="0" w:color="auto"/>
      </w:divBdr>
    </w:div>
    <w:div w:id="297027744">
      <w:bodyDiv w:val="1"/>
      <w:marLeft w:val="0"/>
      <w:marRight w:val="0"/>
      <w:marTop w:val="0"/>
      <w:marBottom w:val="0"/>
      <w:divBdr>
        <w:top w:val="none" w:sz="0" w:space="0" w:color="auto"/>
        <w:left w:val="none" w:sz="0" w:space="0" w:color="auto"/>
        <w:bottom w:val="none" w:sz="0" w:space="0" w:color="auto"/>
        <w:right w:val="none" w:sz="0" w:space="0" w:color="auto"/>
      </w:divBdr>
    </w:div>
    <w:div w:id="325785746">
      <w:bodyDiv w:val="1"/>
      <w:marLeft w:val="0"/>
      <w:marRight w:val="0"/>
      <w:marTop w:val="0"/>
      <w:marBottom w:val="0"/>
      <w:divBdr>
        <w:top w:val="none" w:sz="0" w:space="0" w:color="auto"/>
        <w:left w:val="none" w:sz="0" w:space="0" w:color="auto"/>
        <w:bottom w:val="none" w:sz="0" w:space="0" w:color="auto"/>
        <w:right w:val="none" w:sz="0" w:space="0" w:color="auto"/>
      </w:divBdr>
    </w:div>
    <w:div w:id="341713092">
      <w:bodyDiv w:val="1"/>
      <w:marLeft w:val="0"/>
      <w:marRight w:val="0"/>
      <w:marTop w:val="0"/>
      <w:marBottom w:val="0"/>
      <w:divBdr>
        <w:top w:val="none" w:sz="0" w:space="0" w:color="auto"/>
        <w:left w:val="none" w:sz="0" w:space="0" w:color="auto"/>
        <w:bottom w:val="none" w:sz="0" w:space="0" w:color="auto"/>
        <w:right w:val="none" w:sz="0" w:space="0" w:color="auto"/>
      </w:divBdr>
    </w:div>
    <w:div w:id="646712294">
      <w:bodyDiv w:val="1"/>
      <w:marLeft w:val="0"/>
      <w:marRight w:val="0"/>
      <w:marTop w:val="0"/>
      <w:marBottom w:val="0"/>
      <w:divBdr>
        <w:top w:val="none" w:sz="0" w:space="0" w:color="auto"/>
        <w:left w:val="none" w:sz="0" w:space="0" w:color="auto"/>
        <w:bottom w:val="none" w:sz="0" w:space="0" w:color="auto"/>
        <w:right w:val="none" w:sz="0" w:space="0" w:color="auto"/>
      </w:divBdr>
    </w:div>
    <w:div w:id="890115221">
      <w:bodyDiv w:val="1"/>
      <w:marLeft w:val="0"/>
      <w:marRight w:val="0"/>
      <w:marTop w:val="0"/>
      <w:marBottom w:val="0"/>
      <w:divBdr>
        <w:top w:val="none" w:sz="0" w:space="0" w:color="auto"/>
        <w:left w:val="none" w:sz="0" w:space="0" w:color="auto"/>
        <w:bottom w:val="none" w:sz="0" w:space="0" w:color="auto"/>
        <w:right w:val="none" w:sz="0" w:space="0" w:color="auto"/>
      </w:divBdr>
    </w:div>
    <w:div w:id="1055397560">
      <w:bodyDiv w:val="1"/>
      <w:marLeft w:val="0"/>
      <w:marRight w:val="0"/>
      <w:marTop w:val="0"/>
      <w:marBottom w:val="0"/>
      <w:divBdr>
        <w:top w:val="none" w:sz="0" w:space="0" w:color="auto"/>
        <w:left w:val="none" w:sz="0" w:space="0" w:color="auto"/>
        <w:bottom w:val="none" w:sz="0" w:space="0" w:color="auto"/>
        <w:right w:val="none" w:sz="0" w:space="0" w:color="auto"/>
      </w:divBdr>
    </w:div>
    <w:div w:id="1139881922">
      <w:bodyDiv w:val="1"/>
      <w:marLeft w:val="0"/>
      <w:marRight w:val="0"/>
      <w:marTop w:val="0"/>
      <w:marBottom w:val="0"/>
      <w:divBdr>
        <w:top w:val="none" w:sz="0" w:space="0" w:color="auto"/>
        <w:left w:val="none" w:sz="0" w:space="0" w:color="auto"/>
        <w:bottom w:val="none" w:sz="0" w:space="0" w:color="auto"/>
        <w:right w:val="none" w:sz="0" w:space="0" w:color="auto"/>
      </w:divBdr>
    </w:div>
    <w:div w:id="1446345480">
      <w:bodyDiv w:val="1"/>
      <w:marLeft w:val="0"/>
      <w:marRight w:val="0"/>
      <w:marTop w:val="0"/>
      <w:marBottom w:val="0"/>
      <w:divBdr>
        <w:top w:val="none" w:sz="0" w:space="0" w:color="auto"/>
        <w:left w:val="none" w:sz="0" w:space="0" w:color="auto"/>
        <w:bottom w:val="none" w:sz="0" w:space="0" w:color="auto"/>
        <w:right w:val="none" w:sz="0" w:space="0" w:color="auto"/>
      </w:divBdr>
      <w:divsChild>
        <w:div w:id="1693647535">
          <w:marLeft w:val="0"/>
          <w:marRight w:val="0"/>
          <w:marTop w:val="0"/>
          <w:marBottom w:val="0"/>
          <w:divBdr>
            <w:top w:val="single" w:sz="2" w:space="0" w:color="D9D9E3"/>
            <w:left w:val="single" w:sz="2" w:space="0" w:color="D9D9E3"/>
            <w:bottom w:val="single" w:sz="2" w:space="0" w:color="D9D9E3"/>
            <w:right w:val="single" w:sz="2" w:space="0" w:color="D9D9E3"/>
          </w:divBdr>
          <w:divsChild>
            <w:div w:id="18927652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80711003">
          <w:marLeft w:val="0"/>
          <w:marRight w:val="0"/>
          <w:marTop w:val="0"/>
          <w:marBottom w:val="0"/>
          <w:divBdr>
            <w:top w:val="single" w:sz="2" w:space="0" w:color="D9D9E3"/>
            <w:left w:val="single" w:sz="2" w:space="0" w:color="D9D9E3"/>
            <w:bottom w:val="single" w:sz="2" w:space="0" w:color="D9D9E3"/>
            <w:right w:val="single" w:sz="2" w:space="0" w:color="D9D9E3"/>
          </w:divBdr>
          <w:divsChild>
            <w:div w:id="1428962216">
              <w:marLeft w:val="0"/>
              <w:marRight w:val="0"/>
              <w:marTop w:val="0"/>
              <w:marBottom w:val="0"/>
              <w:divBdr>
                <w:top w:val="single" w:sz="2" w:space="0" w:color="D9D9E3"/>
                <w:left w:val="single" w:sz="2" w:space="0" w:color="D9D9E3"/>
                <w:bottom w:val="single" w:sz="2" w:space="0" w:color="D9D9E3"/>
                <w:right w:val="single" w:sz="2" w:space="0" w:color="D9D9E3"/>
              </w:divBdr>
              <w:divsChild>
                <w:div w:id="391734508">
                  <w:marLeft w:val="0"/>
                  <w:marRight w:val="0"/>
                  <w:marTop w:val="0"/>
                  <w:marBottom w:val="0"/>
                  <w:divBdr>
                    <w:top w:val="single" w:sz="2" w:space="0" w:color="D9D9E3"/>
                    <w:left w:val="single" w:sz="2" w:space="0" w:color="D9D9E3"/>
                    <w:bottom w:val="single" w:sz="2" w:space="0" w:color="D9D9E3"/>
                    <w:right w:val="single" w:sz="2" w:space="0" w:color="D9D9E3"/>
                  </w:divBdr>
                  <w:divsChild>
                    <w:div w:id="2392909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11427979">
      <w:bodyDiv w:val="1"/>
      <w:marLeft w:val="0"/>
      <w:marRight w:val="0"/>
      <w:marTop w:val="0"/>
      <w:marBottom w:val="0"/>
      <w:divBdr>
        <w:top w:val="none" w:sz="0" w:space="0" w:color="auto"/>
        <w:left w:val="none" w:sz="0" w:space="0" w:color="auto"/>
        <w:bottom w:val="none" w:sz="0" w:space="0" w:color="auto"/>
        <w:right w:val="none" w:sz="0" w:space="0" w:color="auto"/>
      </w:divBdr>
    </w:div>
    <w:div w:id="2064021239">
      <w:bodyDiv w:val="1"/>
      <w:marLeft w:val="0"/>
      <w:marRight w:val="0"/>
      <w:marTop w:val="0"/>
      <w:marBottom w:val="0"/>
      <w:divBdr>
        <w:top w:val="none" w:sz="0" w:space="0" w:color="auto"/>
        <w:left w:val="none" w:sz="0" w:space="0" w:color="auto"/>
        <w:bottom w:val="none" w:sz="0" w:space="0" w:color="auto"/>
        <w:right w:val="none" w:sz="0" w:space="0" w:color="auto"/>
      </w:divBdr>
    </w:div>
    <w:div w:id="2125148167">
      <w:bodyDiv w:val="1"/>
      <w:marLeft w:val="0"/>
      <w:marRight w:val="0"/>
      <w:marTop w:val="0"/>
      <w:marBottom w:val="0"/>
      <w:divBdr>
        <w:top w:val="none" w:sz="0" w:space="0" w:color="auto"/>
        <w:left w:val="none" w:sz="0" w:space="0" w:color="auto"/>
        <w:bottom w:val="none" w:sz="0" w:space="0" w:color="auto"/>
        <w:right w:val="none" w:sz="0" w:space="0" w:color="auto"/>
      </w:divBdr>
    </w:div>
    <w:div w:id="2131125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entalhealthlaw.co.uk/R_v_Joyce_and_Kay_(2017)_EWCA_Crim_64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awteacher.net/cases/r-v-constanza.php" TargetMode="External"/><Relationship Id="rId5" Type="http://schemas.openxmlformats.org/officeDocument/2006/relationships/hyperlink" Target="http://www.legislation.gov.uk/ukpga/1971/48/section/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6</Pages>
  <Words>1598</Words>
  <Characters>9115</Characters>
  <Application>Microsoft Office Word</Application>
  <DocSecurity>0</DocSecurity>
  <Lines>75</Lines>
  <Paragraphs>21</Paragraphs>
  <ScaleCrop>false</ScaleCrop>
  <Company/>
  <LinksUpToDate>false</LinksUpToDate>
  <CharactersWithSpaces>10692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Collins (2223837)</dc:creator>
  <cp:keywords/>
  <dc:description/>
  <cp:lastModifiedBy>Kimberley Collins (2223837)</cp:lastModifiedBy>
  <cp:revision>12</cp:revision>
  <dcterms:created xsi:type="dcterms:W3CDTF">2023-05-04T15:48:00Z</dcterms:created>
  <dcterms:modified xsi:type="dcterms:W3CDTF">2023-05-05T13:07:00Z</dcterms:modified>
</cp:coreProperties>
</file>