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DE699" w14:textId="48CEE1D1" w:rsidR="000B2E64" w:rsidRDefault="000B2E64">
      <w:pPr>
        <w:spacing w:after="0" w:line="240" w:lineRule="auto"/>
        <w:rPr>
          <w:rFonts w:ascii="Times New Roman" w:eastAsiaTheme="minorHAnsi" w:hAnsi="Times New Roman" w:cs="Times New Roman"/>
          <w:color w:val="0F6FC6" w:themeColor="accent1"/>
          <w:kern w:val="2"/>
          <w:sz w:val="32"/>
          <w:szCs w:val="32"/>
          <w:lang w:val="en-IN"/>
          <w14:ligatures w14:val="standardContextual"/>
        </w:rPr>
      </w:pPr>
      <w:bookmarkStart w:id="0" w:name="_Hlk214461187"/>
      <w:r>
        <w:rPr>
          <w:noProof/>
        </w:rPr>
        <mc:AlternateContent>
          <mc:Choice Requires="wps">
            <w:drawing>
              <wp:anchor distT="0" distB="0" distL="114300" distR="114300" simplePos="0" relativeHeight="251661312" behindDoc="0" locked="0" layoutInCell="1" allowOverlap="1" wp14:anchorId="43B9DA14" wp14:editId="232433E9">
                <wp:simplePos x="0" y="0"/>
                <wp:positionH relativeFrom="column">
                  <wp:posOffset>5215467</wp:posOffset>
                </wp:positionH>
                <wp:positionV relativeFrom="paragraph">
                  <wp:posOffset>-711200</wp:posOffset>
                </wp:positionV>
                <wp:extent cx="575733" cy="1363133"/>
                <wp:effectExtent l="57150" t="19050" r="72390" b="104140"/>
                <wp:wrapNone/>
                <wp:docPr id="1719673064" name="Text Box 7"/>
                <wp:cNvGraphicFramePr/>
                <a:graphic xmlns:a="http://schemas.openxmlformats.org/drawingml/2006/main">
                  <a:graphicData uri="http://schemas.microsoft.com/office/word/2010/wordprocessingShape">
                    <wps:wsp>
                      <wps:cNvSpPr txBox="1"/>
                      <wps:spPr>
                        <a:xfrm>
                          <a:off x="0" y="0"/>
                          <a:ext cx="575733" cy="1363133"/>
                        </a:xfrm>
                        <a:prstGeom prst="rect">
                          <a:avLst/>
                        </a:prstGeom>
                        <a:ln/>
                      </wps:spPr>
                      <wps:style>
                        <a:lnRef idx="1">
                          <a:schemeClr val="accent1"/>
                        </a:lnRef>
                        <a:fillRef idx="3">
                          <a:schemeClr val="accent1"/>
                        </a:fillRef>
                        <a:effectRef idx="2">
                          <a:schemeClr val="accent1"/>
                        </a:effectRef>
                        <a:fontRef idx="minor">
                          <a:schemeClr val="lt1"/>
                        </a:fontRef>
                      </wps:style>
                      <wps:txbx>
                        <w:txbxContent>
                          <w:p w14:paraId="57243092" w14:textId="77777777" w:rsidR="000B2E64" w:rsidRDefault="000B2E64">
                            <w:pPr>
                              <w:rPr>
                                <w:lang w:val="en-IN"/>
                              </w:rPr>
                            </w:pPr>
                          </w:p>
                          <w:p w14:paraId="14ABA419" w14:textId="77777777" w:rsidR="000B2E64" w:rsidRDefault="000B2E64">
                            <w:pPr>
                              <w:rPr>
                                <w:lang w:val="en-IN"/>
                              </w:rPr>
                            </w:pPr>
                          </w:p>
                          <w:p w14:paraId="31C817A3" w14:textId="77777777" w:rsidR="000B2E64" w:rsidRDefault="000B2E64">
                            <w:pPr>
                              <w:rPr>
                                <w:lang w:val="en-IN"/>
                              </w:rPr>
                            </w:pPr>
                          </w:p>
                          <w:p w14:paraId="76A656DC" w14:textId="77777777" w:rsidR="000B2E64" w:rsidRDefault="000B2E64">
                            <w:pPr>
                              <w:rPr>
                                <w:lang w:val="en-IN"/>
                              </w:rPr>
                            </w:pPr>
                          </w:p>
                          <w:p w14:paraId="53F7F032" w14:textId="0B485658" w:rsidR="000B2E64" w:rsidRPr="000B2E64" w:rsidRDefault="000B2E64">
                            <w:pPr>
                              <w:rPr>
                                <w:lang w:val="en-IN"/>
                              </w:rPr>
                            </w:pPr>
                            <w:r>
                              <w:rPr>
                                <w:lang w:val="en-IN"/>
                              </w:rPr>
                              <w:t xml:space="preserv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3B9DA14" id="_x0000_t202" coordsize="21600,21600" o:spt="202" path="m,l,21600r21600,l21600,xe">
                <v:stroke joinstyle="miter"/>
                <v:path gradientshapeok="t" o:connecttype="rect"/>
              </v:shapetype>
              <v:shape id="Text Box 7" o:spid="_x0000_s1026" type="#_x0000_t202" style="position:absolute;margin-left:410.65pt;margin-top:-56pt;width:45.35pt;height:107.3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4jrVgIAAAoFAAAOAAAAZHJzL2Uyb0RvYy54bWysVG1r2zAQ/j7YfxD6vjivzRbqlCylYxDa&#10;snb0syJLjUHWadIldvbrd5IdN3Rlg7EvsnTv99xzvrxqKsMOyocSbM5HgyFnykooSvuc8++PNx8+&#10;chZQ2EIYsCrnRxX41fL9u8vaLdQYdmAK5RkFsWFRu5zvEN0iy4LcqUqEAThlSanBVwLp6Z+zwoua&#10;olcmGw+HF1kNvnAepAqBpNetki9TfK2VxDutg0Jmck61YTp9OrfxzJaXYvHshduVsitD/EMVlSgt&#10;Je1DXQsUbO/L30JVpfQQQONAQpWB1qVUqQfqZjR81c3DTjiVeiFwguthCv8vrLw9PLh7z7D5DA0N&#10;MAJSu7AIJIz9NNpX8UuVMtIThMceNtUgkySczWfzyYQzSarR5GIyogeFyV68nQ/4RUHF4iXnnsaS&#10;0BKHTcDW9GQSkxkbZS9lpBsejWqV35RmZZGqjYLEFbU2nh0ETVlIqSymRqgCY8k6WunSmN5xkrL/&#10;0bGzj64q8ah3Hv/dufdImcFi71yVFvxbAUxfsm7tTwi0fUcIsNk23Xi2UBxpah5aQgcnb0qCdiMC&#10;3gtPDKZB0VbiHR3aQJ1z6G6c7cD/fEse7YlYpOWspo3IefixF15xZr5aotyn0XQaVyg9prP5mB7+&#10;XLM919h9tQYax4j238l0jfZoTlftoXqi5V3FrKQSVlLunOPpusZ2T2n5pVqtkhEtjRO4sQ9OxtAR&#10;3kicx+ZJeNexC4mXt3DaHbF4RbLWNnpaWO0RdJkYGAFuUe2Ap4VLHO5+DnGjz9/J6uUXtvwFAAD/&#10;/wMAUEsDBBQABgAIAAAAIQCzWnnw3wAAAAwBAAAPAAAAZHJzL2Rvd25yZXYueG1sTI/BTsMwDIbv&#10;SLxDZCRuW9oiutE1nRCIAwcOrEhc08ZrKxKnNNlWeHoMl3Gz5U+/v7/czs6KI05h8KQgXSYgkFpv&#10;BuoUvNVPizWIEDUZbT2hgi8MsK0uL0pdGH+iVzzuYic4hEKhFfQxjoWUoe3R6bD0IxLf9n5yOvI6&#10;ddJM+sThzsosSXLp9ED8odcjPvTYfuwOTkE+vtB3fK79bbKyjw3Wn/m7zZW6vprvNyAizvEMw68+&#10;q0PFTo0/kAnCKlhn6Q2jChZpmnErRu7+hobZJFuBrEr5v0T1AwAA//8DAFBLAQItABQABgAIAAAA&#10;IQC2gziS/gAAAOEBAAATAAAAAAAAAAAAAAAAAAAAAABbQ29udGVudF9UeXBlc10ueG1sUEsBAi0A&#10;FAAGAAgAAAAhADj9If/WAAAAlAEAAAsAAAAAAAAAAAAAAAAALwEAAF9yZWxzLy5yZWxzUEsBAi0A&#10;FAAGAAgAAAAhAGsHiOtWAgAACgUAAA4AAAAAAAAAAAAAAAAALgIAAGRycy9lMm9Eb2MueG1sUEsB&#10;Ai0AFAAGAAgAAAAhALNaefDfAAAADAEAAA8AAAAAAAAAAAAAAAAAsAQAAGRycy9kb3ducmV2Lnht&#10;bFBLBQYAAAAABAAEAPMAAAC8BQAAAAA=&#10;" fillcolor="#073864 [1636]" strokecolor="#0e68bb [3044]">
                <v:fill color2="#0e67b9 [3012]" rotate="t" angle="180" colors="0 #0051a7;52429f #006dda;1 #006de0" focus="100%" type="gradient">
                  <o:fill v:ext="view" type="gradientUnscaled"/>
                </v:fill>
                <v:shadow on="t" color="black" opacity="22937f" origin=",.5" offset="0,.63889mm"/>
                <v:textbox>
                  <w:txbxContent>
                    <w:p w14:paraId="57243092" w14:textId="77777777" w:rsidR="000B2E64" w:rsidRDefault="000B2E64">
                      <w:pPr>
                        <w:rPr>
                          <w:lang w:val="en-IN"/>
                        </w:rPr>
                      </w:pPr>
                    </w:p>
                    <w:p w14:paraId="14ABA419" w14:textId="77777777" w:rsidR="000B2E64" w:rsidRDefault="000B2E64">
                      <w:pPr>
                        <w:rPr>
                          <w:lang w:val="en-IN"/>
                        </w:rPr>
                      </w:pPr>
                    </w:p>
                    <w:p w14:paraId="31C817A3" w14:textId="77777777" w:rsidR="000B2E64" w:rsidRDefault="000B2E64">
                      <w:pPr>
                        <w:rPr>
                          <w:lang w:val="en-IN"/>
                        </w:rPr>
                      </w:pPr>
                    </w:p>
                    <w:p w14:paraId="76A656DC" w14:textId="77777777" w:rsidR="000B2E64" w:rsidRDefault="000B2E64">
                      <w:pPr>
                        <w:rPr>
                          <w:lang w:val="en-IN"/>
                        </w:rPr>
                      </w:pPr>
                    </w:p>
                    <w:p w14:paraId="53F7F032" w14:textId="0B485658" w:rsidR="000B2E64" w:rsidRPr="000B2E64" w:rsidRDefault="000B2E64">
                      <w:pPr>
                        <w:rPr>
                          <w:lang w:val="en-IN"/>
                        </w:rPr>
                      </w:pPr>
                      <w:r>
                        <w:rPr>
                          <w:lang w:val="en-IN"/>
                        </w:rPr>
                        <w:t xml:space="preserve"> 2026</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F3ED59D" wp14:editId="022D581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24475"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24475" cy="9653270"/>
                        </a:xfrm>
                        <a:prstGeom prst="rect">
                          <a:avLst/>
                        </a:prstGeom>
                        <a:solidFill>
                          <a:schemeClr val="accent1"/>
                        </a:solidFill>
                        <a:ln>
                          <a:noFill/>
                        </a:ln>
                      </wps:spPr>
                      <wps:txbx>
                        <w:txbxContent>
                          <w:sdt>
                            <w:sdtPr>
                              <w:rPr>
                                <w:rFonts w:ascii="Times New Roman" w:hAnsi="Times New Roman" w:cs="Times New Roman"/>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4DF1880" w14:textId="49A81244" w:rsidR="000B2E64" w:rsidRDefault="00276A87" w:rsidP="00276A87">
                                <w:pPr>
                                  <w:pStyle w:val="Title"/>
                                  <w:rPr>
                                    <w:caps/>
                                    <w:color w:val="FFFFFF" w:themeColor="background1"/>
                                    <w:sz w:val="80"/>
                                    <w:szCs w:val="80"/>
                                  </w:rPr>
                                </w:pPr>
                                <w:r w:rsidRPr="005F6A37">
                                  <w:rPr>
                                    <w:rFonts w:ascii="Times New Roman" w:hAnsi="Times New Roman" w:cs="Times New Roman"/>
                                    <w:caps/>
                                    <w:color w:val="FFFFFF" w:themeColor="background1"/>
                                    <w:sz w:val="48"/>
                                    <w:szCs w:val="48"/>
                                  </w:rPr>
                                  <w:t xml:space="preserve">Strategic Human Resource Management </w:t>
                                </w:r>
                                <w:r w:rsidR="009F1517" w:rsidRPr="005F6A37">
                                  <w:rPr>
                                    <w:rFonts w:ascii="Times New Roman" w:hAnsi="Times New Roman" w:cs="Times New Roman"/>
                                    <w:caps/>
                                    <w:color w:val="FFFFFF" w:themeColor="background1"/>
                                    <w:sz w:val="48"/>
                                    <w:szCs w:val="48"/>
                                  </w:rPr>
                                  <w:t>in</w:t>
                                </w:r>
                                <w:r w:rsidRPr="005F6A37">
                                  <w:rPr>
                                    <w:rFonts w:ascii="Times New Roman" w:hAnsi="Times New Roman" w:cs="Times New Roman"/>
                                    <w:caps/>
                                    <w:color w:val="FFFFFF" w:themeColor="background1"/>
                                    <w:sz w:val="48"/>
                                    <w:szCs w:val="48"/>
                                  </w:rPr>
                                  <w:t xml:space="preserve"> Project </w:t>
                                </w:r>
                                <w:r w:rsidR="005F6A37" w:rsidRPr="005F6A37">
                                  <w:rPr>
                                    <w:rFonts w:ascii="Times New Roman" w:hAnsi="Times New Roman" w:cs="Times New Roman"/>
                                    <w:caps/>
                                    <w:color w:val="FFFFFF" w:themeColor="background1"/>
                                    <w:sz w:val="48"/>
                                    <w:szCs w:val="48"/>
                                  </w:rPr>
                                  <w:t>Organisations</w:t>
                                </w:r>
                                <w:r w:rsidRPr="005F6A37">
                                  <w:rPr>
                                    <w:rFonts w:ascii="Times New Roman" w:hAnsi="Times New Roman" w:cs="Times New Roman"/>
                                    <w:caps/>
                                    <w:color w:val="FFFFFF" w:themeColor="background1"/>
                                    <w:sz w:val="48"/>
                                    <w:szCs w:val="48"/>
                                  </w:rPr>
                                  <w:t>:  A Critical Evaluation of Unilever HRM Practices</w:t>
                                </w:r>
                              </w:p>
                            </w:sdtContent>
                          </w:sdt>
                          <w:p w14:paraId="1DBBB447" w14:textId="77777777" w:rsidR="000B2E64" w:rsidRDefault="000B2E64">
                            <w:pPr>
                              <w:spacing w:before="240"/>
                              <w:ind w:left="720"/>
                              <w:jc w:val="right"/>
                              <w:rPr>
                                <w:color w:val="FFFFFF" w:themeColor="background1"/>
                              </w:rPr>
                            </w:pPr>
                          </w:p>
                          <w:sdt>
                            <w:sdtPr>
                              <w:rPr>
                                <w:rFonts w:ascii="Times New Roman" w:hAnsi="Times New Roman" w:cs="Times New Roman"/>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7AAC677" w14:textId="7F884C6F" w:rsidR="000B2E64" w:rsidRPr="000B2E64" w:rsidRDefault="001B62C7" w:rsidP="000B2E64">
                                <w:pPr>
                                  <w:pStyle w:val="Subtitle"/>
                                  <w:rPr>
                                    <w:rFonts w:ascii="Times New Roman" w:hAnsi="Times New Roman" w:cs="Times New Roman"/>
                                    <w:caps w:val="0"/>
                                    <w:color w:val="FFFFFF" w:themeColor="background1"/>
                                    <w:spacing w:val="0"/>
                                    <w:sz w:val="32"/>
                                    <w:szCs w:val="32"/>
                                  </w:rPr>
                                </w:pPr>
                                <w:r>
                                  <w:rPr>
                                    <w:rFonts w:ascii="Times New Roman" w:hAnsi="Times New Roman" w:cs="Times New Roman"/>
                                    <w:caps w:val="0"/>
                                    <w:color w:val="FFFFFF" w:themeColor="background1"/>
                                    <w:sz w:val="32"/>
                                    <w:szCs w:val="32"/>
                                  </w:rPr>
                                  <w:t>SUBJECT</w:t>
                                </w:r>
                                <w:r w:rsidRPr="000B2E64">
                                  <w:rPr>
                                    <w:rFonts w:ascii="Times New Roman" w:hAnsi="Times New Roman" w:cs="Times New Roman"/>
                                    <w:caps w:val="0"/>
                                    <w:color w:val="FFFFFF" w:themeColor="background1"/>
                                    <w:sz w:val="32"/>
                                    <w:szCs w:val="32"/>
                                  </w:rPr>
                                  <w:t xml:space="preserve">: </w:t>
                                </w:r>
                                <w:r>
                                  <w:rPr>
                                    <w:rFonts w:ascii="Times New Roman" w:hAnsi="Times New Roman" w:cs="Times New Roman"/>
                                    <w:caps w:val="0"/>
                                    <w:color w:val="FFFFFF" w:themeColor="background1"/>
                                    <w:sz w:val="32"/>
                                    <w:szCs w:val="32"/>
                                  </w:rPr>
                                  <w:t>R</w:t>
                                </w:r>
                                <w:r w:rsidRPr="000B2E64">
                                  <w:rPr>
                                    <w:rFonts w:ascii="Times New Roman" w:hAnsi="Times New Roman" w:cs="Times New Roman"/>
                                    <w:caps w:val="0"/>
                                    <w:color w:val="FFFFFF" w:themeColor="background1"/>
                                    <w:sz w:val="32"/>
                                    <w:szCs w:val="32"/>
                                  </w:rPr>
                                  <w:t xml:space="preserve">esourcing and </w:t>
                                </w:r>
                                <w:r w:rsidR="00276A87">
                                  <w:rPr>
                                    <w:rFonts w:ascii="Times New Roman" w:hAnsi="Times New Roman" w:cs="Times New Roman"/>
                                    <w:caps w:val="0"/>
                                    <w:color w:val="FFFFFF" w:themeColor="background1"/>
                                    <w:sz w:val="32"/>
                                    <w:szCs w:val="32"/>
                                  </w:rPr>
                                  <w:t>F</w:t>
                                </w:r>
                                <w:r w:rsidRPr="000B2E64">
                                  <w:rPr>
                                    <w:rFonts w:ascii="Times New Roman" w:hAnsi="Times New Roman" w:cs="Times New Roman"/>
                                    <w:caps w:val="0"/>
                                    <w:color w:val="FFFFFF" w:themeColor="background1"/>
                                    <w:sz w:val="32"/>
                                    <w:szCs w:val="32"/>
                                  </w:rPr>
                                  <w:t xml:space="preserve">inancial </w:t>
                                </w:r>
                                <w:r w:rsidR="00276A87">
                                  <w:rPr>
                                    <w:rFonts w:ascii="Times New Roman" w:hAnsi="Times New Roman" w:cs="Times New Roman"/>
                                    <w:caps w:val="0"/>
                                    <w:color w:val="FFFFFF" w:themeColor="background1"/>
                                    <w:sz w:val="32"/>
                                    <w:szCs w:val="32"/>
                                  </w:rPr>
                                  <w:t>M</w:t>
                                </w:r>
                                <w:r w:rsidRPr="000B2E64">
                                  <w:rPr>
                                    <w:rFonts w:ascii="Times New Roman" w:hAnsi="Times New Roman" w:cs="Times New Roman"/>
                                    <w:caps w:val="0"/>
                                    <w:color w:val="FFFFFF" w:themeColor="background1"/>
                                    <w:sz w:val="32"/>
                                    <w:szCs w:val="32"/>
                                  </w:rPr>
                                  <w:t>anagement (</w:t>
                                </w:r>
                                <w:r>
                                  <w:rPr>
                                    <w:rFonts w:ascii="Times New Roman" w:hAnsi="Times New Roman" w:cs="Times New Roman"/>
                                    <w:caps w:val="0"/>
                                    <w:color w:val="FFFFFF" w:themeColor="background1"/>
                                    <w:sz w:val="32"/>
                                    <w:szCs w:val="32"/>
                                  </w:rPr>
                                  <w:t>ACHA</w:t>
                                </w:r>
                                <w:r w:rsidRPr="000B2E64">
                                  <w:rPr>
                                    <w:rFonts w:ascii="Times New Roman" w:hAnsi="Times New Roman" w:cs="Times New Roman"/>
                                    <w:caps w:val="0"/>
                                    <w:color w:val="FFFFFF" w:themeColor="background1"/>
                                    <w:sz w:val="32"/>
                                    <w:szCs w:val="32"/>
                                  </w:rPr>
                                  <w:t xml:space="preserve"> 7028)                                 </w:t>
                                </w:r>
                                <w:r>
                                  <w:rPr>
                                    <w:rFonts w:ascii="Times New Roman" w:hAnsi="Times New Roman" w:cs="Times New Roman"/>
                                    <w:caps w:val="0"/>
                                    <w:color w:val="FFFFFF" w:themeColor="background1"/>
                                    <w:sz w:val="32"/>
                                    <w:szCs w:val="32"/>
                                  </w:rPr>
                                  <w:t xml:space="preserve">                 NAME</w:t>
                                </w:r>
                                <w:r w:rsidRPr="000B2E64">
                                  <w:rPr>
                                    <w:rFonts w:ascii="Times New Roman" w:hAnsi="Times New Roman" w:cs="Times New Roman"/>
                                    <w:caps w:val="0"/>
                                    <w:color w:val="FFFFFF" w:themeColor="background1"/>
                                    <w:sz w:val="32"/>
                                    <w:szCs w:val="32"/>
                                  </w:rPr>
                                  <w:t>:</w:t>
                                </w:r>
                                <w:r>
                                  <w:rPr>
                                    <w:rFonts w:ascii="Times New Roman" w:hAnsi="Times New Roman" w:cs="Times New Roman"/>
                                    <w:caps w:val="0"/>
                                    <w:color w:val="FFFFFF" w:themeColor="background1"/>
                                    <w:sz w:val="32"/>
                                    <w:szCs w:val="32"/>
                                  </w:rPr>
                                  <w:t xml:space="preserve"> S</w:t>
                                </w:r>
                                <w:r w:rsidRPr="000B2E64">
                                  <w:rPr>
                                    <w:rFonts w:ascii="Times New Roman" w:hAnsi="Times New Roman" w:cs="Times New Roman"/>
                                    <w:caps w:val="0"/>
                                    <w:color w:val="FFFFFF" w:themeColor="background1"/>
                                    <w:sz w:val="32"/>
                                    <w:szCs w:val="32"/>
                                  </w:rPr>
                                  <w:t xml:space="preserve">meetkumar </w:t>
                                </w:r>
                                <w:r>
                                  <w:rPr>
                                    <w:rFonts w:ascii="Times New Roman" w:hAnsi="Times New Roman" w:cs="Times New Roman"/>
                                    <w:caps w:val="0"/>
                                    <w:color w:val="FFFFFF" w:themeColor="background1"/>
                                    <w:sz w:val="32"/>
                                    <w:szCs w:val="32"/>
                                  </w:rPr>
                                  <w:t>P</w:t>
                                </w:r>
                                <w:r w:rsidRPr="000B2E64">
                                  <w:rPr>
                                    <w:rFonts w:ascii="Times New Roman" w:hAnsi="Times New Roman" w:cs="Times New Roman"/>
                                    <w:caps w:val="0"/>
                                    <w:color w:val="FFFFFF" w:themeColor="background1"/>
                                    <w:sz w:val="32"/>
                                    <w:szCs w:val="32"/>
                                  </w:rPr>
                                  <w:t>rajapati (2505418)</w:t>
                                </w:r>
                              </w:p>
                            </w:sdtContent>
                          </w:sdt>
                          <w:p w14:paraId="44FFD019" w14:textId="10320B9B" w:rsidR="000B2E64" w:rsidRDefault="000B2E64">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0F3ED59D" id="Rectangle 16" o:spid="_x0000_s1027" style="position:absolute;margin-left:0;margin-top:0;width:419.2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q7b6wEAALkDAAAOAAAAZHJzL2Uyb0RvYy54bWysU9tu2zAMfR+wfxD0vjhJnWY14hRDiw4D&#10;ugvQ7QMUWY6FyaJGKrGzrx+lXNptb8NeBB+SOuIhj1e3Y+/E3iBZ8LWcTaZSGK+hsX5by29fH968&#10;lYKi8o1y4E0tD4bk7fr1q9UQKjOHDlxjUDCJp2oItexiDFVRkO5Mr2gCwXhOtoC9igxxWzSoBmbv&#10;XTGfTq+LAbAJCNoQcfT+mJTrzN+2RsfPbUsmCldL7i3mE/O5SWexXqlqiyp0Vp/aUP/QRa+s50cv&#10;VPcqKrFD+xdVbzUCQRsnGvoC2tZqkzWwmtn0DzVPnQoma+HhULiMif4frf60fwpfMLVO4RH0d+KJ&#10;FEOg6pJJgLhGbIaP0PAO1S5CFju22KebLEOMeaaHy0zNGIXm4OJqXpbLhRSaczfXDJd56oWqztcD&#10;UnxvoBfpo5bIS8v0av9IMbWjqnNJ7hOcbR6scxkko5g7h2KveMVKa+PjLK2Vb9HLSudTvYd085hO&#10;kSw1qUuOoSqOm1HYhp2cKFJkA82BtSMcrcNW548O8KcUA9umlvRjp9BI4T543st8WV7Nk9EyupmV&#10;5ZQR/pbbZFQulqlQec1stdQRz+AuHg26C2i3HT83y+Pw8I4H39o8kufWThrYH1nzycvJgC9xrnr+&#10;49a/AAAA//8DAFBLAwQUAAYACAAAACEAVS/s190AAAAGAQAADwAAAGRycy9kb3ducmV2LnhtbEyP&#10;QUvDQBCF74L/YRnBi7QbUyIhZlOkIOpB0Frv2+yYTbs7G7LbNv33jl708mB4j/e+qZeTd+KIY+wD&#10;KbidZyCQ2mB66hRsPh5nJYiYNBntAqGCM0ZYNpcXta5MONE7HtepE1xCsdIKbEpDJWVsLXod52FA&#10;Yu8rjF4nPsdOmlGfuNw7mWfZnfS6J16wesCVxXa/PngF01v2shu6sy12e/vqVgt8ev68Uer6anq4&#10;B5FwSn9h+MFndGiYaRsOZKJwCviR9KvslYuyALHlUJFnOcimlv/xm28AAAD//wMAUEsBAi0AFAAG&#10;AAgAAAAhALaDOJL+AAAA4QEAABMAAAAAAAAAAAAAAAAAAAAAAFtDb250ZW50X1R5cGVzXS54bWxQ&#10;SwECLQAUAAYACAAAACEAOP0h/9YAAACUAQAACwAAAAAAAAAAAAAAAAAvAQAAX3JlbHMvLnJlbHNQ&#10;SwECLQAUAAYACAAAACEAV4au2+sBAAC5AwAADgAAAAAAAAAAAAAAAAAuAgAAZHJzL2Uyb0RvYy54&#10;bWxQSwECLQAUAAYACAAAACEAVS/s190AAAAGAQAADwAAAAAAAAAAAAAAAABFBAAAZHJzL2Rvd25y&#10;ZXYueG1sUEsFBgAAAAAEAAQA8wAAAE8FAAAAAA==&#10;" fillcolor="#0f6fc6 [3204]" stroked="f">
                <v:textbox inset="21.6pt,1in,21.6pt">
                  <w:txbxContent>
                    <w:sdt>
                      <w:sdtPr>
                        <w:rPr>
                          <w:rFonts w:ascii="Times New Roman" w:hAnsi="Times New Roman" w:cs="Times New Roman"/>
                          <w:caps/>
                          <w:color w:val="FFFFFF" w:themeColor="background1"/>
                          <w:sz w:val="48"/>
                          <w:szCs w:val="48"/>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24DF1880" w14:textId="49A81244" w:rsidR="000B2E64" w:rsidRDefault="00276A87" w:rsidP="00276A87">
                          <w:pPr>
                            <w:pStyle w:val="Title"/>
                            <w:rPr>
                              <w:caps/>
                              <w:color w:val="FFFFFF" w:themeColor="background1"/>
                              <w:sz w:val="80"/>
                              <w:szCs w:val="80"/>
                            </w:rPr>
                          </w:pPr>
                          <w:r w:rsidRPr="005F6A37">
                            <w:rPr>
                              <w:rFonts w:ascii="Times New Roman" w:hAnsi="Times New Roman" w:cs="Times New Roman"/>
                              <w:caps/>
                              <w:color w:val="FFFFFF" w:themeColor="background1"/>
                              <w:sz w:val="48"/>
                              <w:szCs w:val="48"/>
                            </w:rPr>
                            <w:t xml:space="preserve">Strategic Human Resource Management </w:t>
                          </w:r>
                          <w:r w:rsidR="009F1517" w:rsidRPr="005F6A37">
                            <w:rPr>
                              <w:rFonts w:ascii="Times New Roman" w:hAnsi="Times New Roman" w:cs="Times New Roman"/>
                              <w:caps/>
                              <w:color w:val="FFFFFF" w:themeColor="background1"/>
                              <w:sz w:val="48"/>
                              <w:szCs w:val="48"/>
                            </w:rPr>
                            <w:t>in</w:t>
                          </w:r>
                          <w:r w:rsidRPr="005F6A37">
                            <w:rPr>
                              <w:rFonts w:ascii="Times New Roman" w:hAnsi="Times New Roman" w:cs="Times New Roman"/>
                              <w:caps/>
                              <w:color w:val="FFFFFF" w:themeColor="background1"/>
                              <w:sz w:val="48"/>
                              <w:szCs w:val="48"/>
                            </w:rPr>
                            <w:t xml:space="preserve"> Project </w:t>
                          </w:r>
                          <w:r w:rsidR="005F6A37" w:rsidRPr="005F6A37">
                            <w:rPr>
                              <w:rFonts w:ascii="Times New Roman" w:hAnsi="Times New Roman" w:cs="Times New Roman"/>
                              <w:caps/>
                              <w:color w:val="FFFFFF" w:themeColor="background1"/>
                              <w:sz w:val="48"/>
                              <w:szCs w:val="48"/>
                            </w:rPr>
                            <w:t>Organisations</w:t>
                          </w:r>
                          <w:r w:rsidRPr="005F6A37">
                            <w:rPr>
                              <w:rFonts w:ascii="Times New Roman" w:hAnsi="Times New Roman" w:cs="Times New Roman"/>
                              <w:caps/>
                              <w:color w:val="FFFFFF" w:themeColor="background1"/>
                              <w:sz w:val="48"/>
                              <w:szCs w:val="48"/>
                            </w:rPr>
                            <w:t>:  A Critical Evaluation of Unilever HRM Practices</w:t>
                          </w:r>
                        </w:p>
                      </w:sdtContent>
                    </w:sdt>
                    <w:p w14:paraId="1DBBB447" w14:textId="77777777" w:rsidR="000B2E64" w:rsidRDefault="000B2E64">
                      <w:pPr>
                        <w:spacing w:before="240"/>
                        <w:ind w:left="720"/>
                        <w:jc w:val="right"/>
                        <w:rPr>
                          <w:color w:val="FFFFFF" w:themeColor="background1"/>
                        </w:rPr>
                      </w:pPr>
                    </w:p>
                    <w:sdt>
                      <w:sdtPr>
                        <w:rPr>
                          <w:rFonts w:ascii="Times New Roman" w:hAnsi="Times New Roman" w:cs="Times New Roman"/>
                          <w:color w:val="FFFFFF" w:themeColor="background1"/>
                          <w:sz w:val="32"/>
                          <w:szCs w:val="32"/>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7AAC677" w14:textId="7F884C6F" w:rsidR="000B2E64" w:rsidRPr="000B2E64" w:rsidRDefault="001B62C7" w:rsidP="000B2E64">
                          <w:pPr>
                            <w:pStyle w:val="Subtitle"/>
                            <w:rPr>
                              <w:rFonts w:ascii="Times New Roman" w:hAnsi="Times New Roman" w:cs="Times New Roman"/>
                              <w:caps w:val="0"/>
                              <w:color w:val="FFFFFF" w:themeColor="background1"/>
                              <w:spacing w:val="0"/>
                              <w:sz w:val="32"/>
                              <w:szCs w:val="32"/>
                            </w:rPr>
                          </w:pPr>
                          <w:r>
                            <w:rPr>
                              <w:rFonts w:ascii="Times New Roman" w:hAnsi="Times New Roman" w:cs="Times New Roman"/>
                              <w:caps w:val="0"/>
                              <w:color w:val="FFFFFF" w:themeColor="background1"/>
                              <w:sz w:val="32"/>
                              <w:szCs w:val="32"/>
                            </w:rPr>
                            <w:t>SUBJECT</w:t>
                          </w:r>
                          <w:r w:rsidRPr="000B2E64">
                            <w:rPr>
                              <w:rFonts w:ascii="Times New Roman" w:hAnsi="Times New Roman" w:cs="Times New Roman"/>
                              <w:caps w:val="0"/>
                              <w:color w:val="FFFFFF" w:themeColor="background1"/>
                              <w:sz w:val="32"/>
                              <w:szCs w:val="32"/>
                            </w:rPr>
                            <w:t xml:space="preserve">: </w:t>
                          </w:r>
                          <w:r>
                            <w:rPr>
                              <w:rFonts w:ascii="Times New Roman" w:hAnsi="Times New Roman" w:cs="Times New Roman"/>
                              <w:caps w:val="0"/>
                              <w:color w:val="FFFFFF" w:themeColor="background1"/>
                              <w:sz w:val="32"/>
                              <w:szCs w:val="32"/>
                            </w:rPr>
                            <w:t>R</w:t>
                          </w:r>
                          <w:r w:rsidRPr="000B2E64">
                            <w:rPr>
                              <w:rFonts w:ascii="Times New Roman" w:hAnsi="Times New Roman" w:cs="Times New Roman"/>
                              <w:caps w:val="0"/>
                              <w:color w:val="FFFFFF" w:themeColor="background1"/>
                              <w:sz w:val="32"/>
                              <w:szCs w:val="32"/>
                            </w:rPr>
                            <w:t xml:space="preserve">esourcing and </w:t>
                          </w:r>
                          <w:r w:rsidR="00276A87">
                            <w:rPr>
                              <w:rFonts w:ascii="Times New Roman" w:hAnsi="Times New Roman" w:cs="Times New Roman"/>
                              <w:caps w:val="0"/>
                              <w:color w:val="FFFFFF" w:themeColor="background1"/>
                              <w:sz w:val="32"/>
                              <w:szCs w:val="32"/>
                            </w:rPr>
                            <w:t>F</w:t>
                          </w:r>
                          <w:r w:rsidRPr="000B2E64">
                            <w:rPr>
                              <w:rFonts w:ascii="Times New Roman" w:hAnsi="Times New Roman" w:cs="Times New Roman"/>
                              <w:caps w:val="0"/>
                              <w:color w:val="FFFFFF" w:themeColor="background1"/>
                              <w:sz w:val="32"/>
                              <w:szCs w:val="32"/>
                            </w:rPr>
                            <w:t xml:space="preserve">inancial </w:t>
                          </w:r>
                          <w:r w:rsidR="00276A87">
                            <w:rPr>
                              <w:rFonts w:ascii="Times New Roman" w:hAnsi="Times New Roman" w:cs="Times New Roman"/>
                              <w:caps w:val="0"/>
                              <w:color w:val="FFFFFF" w:themeColor="background1"/>
                              <w:sz w:val="32"/>
                              <w:szCs w:val="32"/>
                            </w:rPr>
                            <w:t>M</w:t>
                          </w:r>
                          <w:r w:rsidRPr="000B2E64">
                            <w:rPr>
                              <w:rFonts w:ascii="Times New Roman" w:hAnsi="Times New Roman" w:cs="Times New Roman"/>
                              <w:caps w:val="0"/>
                              <w:color w:val="FFFFFF" w:themeColor="background1"/>
                              <w:sz w:val="32"/>
                              <w:szCs w:val="32"/>
                            </w:rPr>
                            <w:t>anagement (</w:t>
                          </w:r>
                          <w:r>
                            <w:rPr>
                              <w:rFonts w:ascii="Times New Roman" w:hAnsi="Times New Roman" w:cs="Times New Roman"/>
                              <w:caps w:val="0"/>
                              <w:color w:val="FFFFFF" w:themeColor="background1"/>
                              <w:sz w:val="32"/>
                              <w:szCs w:val="32"/>
                            </w:rPr>
                            <w:t>ACHA</w:t>
                          </w:r>
                          <w:r w:rsidRPr="000B2E64">
                            <w:rPr>
                              <w:rFonts w:ascii="Times New Roman" w:hAnsi="Times New Roman" w:cs="Times New Roman"/>
                              <w:caps w:val="0"/>
                              <w:color w:val="FFFFFF" w:themeColor="background1"/>
                              <w:sz w:val="32"/>
                              <w:szCs w:val="32"/>
                            </w:rPr>
                            <w:t xml:space="preserve"> 7028)                                 </w:t>
                          </w:r>
                          <w:r>
                            <w:rPr>
                              <w:rFonts w:ascii="Times New Roman" w:hAnsi="Times New Roman" w:cs="Times New Roman"/>
                              <w:caps w:val="0"/>
                              <w:color w:val="FFFFFF" w:themeColor="background1"/>
                              <w:sz w:val="32"/>
                              <w:szCs w:val="32"/>
                            </w:rPr>
                            <w:t xml:space="preserve">                 NAME</w:t>
                          </w:r>
                          <w:r w:rsidRPr="000B2E64">
                            <w:rPr>
                              <w:rFonts w:ascii="Times New Roman" w:hAnsi="Times New Roman" w:cs="Times New Roman"/>
                              <w:caps w:val="0"/>
                              <w:color w:val="FFFFFF" w:themeColor="background1"/>
                              <w:sz w:val="32"/>
                              <w:szCs w:val="32"/>
                            </w:rPr>
                            <w:t>:</w:t>
                          </w:r>
                          <w:r>
                            <w:rPr>
                              <w:rFonts w:ascii="Times New Roman" w:hAnsi="Times New Roman" w:cs="Times New Roman"/>
                              <w:caps w:val="0"/>
                              <w:color w:val="FFFFFF" w:themeColor="background1"/>
                              <w:sz w:val="32"/>
                              <w:szCs w:val="32"/>
                            </w:rPr>
                            <w:t xml:space="preserve"> S</w:t>
                          </w:r>
                          <w:r w:rsidRPr="000B2E64">
                            <w:rPr>
                              <w:rFonts w:ascii="Times New Roman" w:hAnsi="Times New Roman" w:cs="Times New Roman"/>
                              <w:caps w:val="0"/>
                              <w:color w:val="FFFFFF" w:themeColor="background1"/>
                              <w:sz w:val="32"/>
                              <w:szCs w:val="32"/>
                            </w:rPr>
                            <w:t xml:space="preserve">meetkumar </w:t>
                          </w:r>
                          <w:r>
                            <w:rPr>
                              <w:rFonts w:ascii="Times New Roman" w:hAnsi="Times New Roman" w:cs="Times New Roman"/>
                              <w:caps w:val="0"/>
                              <w:color w:val="FFFFFF" w:themeColor="background1"/>
                              <w:sz w:val="32"/>
                              <w:szCs w:val="32"/>
                            </w:rPr>
                            <w:t>P</w:t>
                          </w:r>
                          <w:r w:rsidRPr="000B2E64">
                            <w:rPr>
                              <w:rFonts w:ascii="Times New Roman" w:hAnsi="Times New Roman" w:cs="Times New Roman"/>
                              <w:caps w:val="0"/>
                              <w:color w:val="FFFFFF" w:themeColor="background1"/>
                              <w:sz w:val="32"/>
                              <w:szCs w:val="32"/>
                            </w:rPr>
                            <w:t>rajapati (2505418)</w:t>
                          </w:r>
                        </w:p>
                      </w:sdtContent>
                    </w:sdt>
                    <w:p w14:paraId="44FFD019" w14:textId="10320B9B" w:rsidR="000B2E64" w:rsidRDefault="000B2E64">
                      <w:pPr>
                        <w:spacing w:before="240"/>
                        <w:ind w:left="1008"/>
                        <w:jc w:val="right"/>
                        <w:rPr>
                          <w:color w:val="FFFFFF" w:themeColor="background1"/>
                        </w:rPr>
                      </w:pPr>
                    </w:p>
                  </w:txbxContent>
                </v:textbox>
                <w10:wrap anchorx="page" anchory="page"/>
              </v:rect>
            </w:pict>
          </mc:Fallback>
        </mc:AlternateContent>
      </w:r>
    </w:p>
    <w:sdt>
      <w:sdtPr>
        <w:id w:val="-844158160"/>
        <w:docPartObj>
          <w:docPartGallery w:val="Cover Pages"/>
          <w:docPartUnique/>
        </w:docPartObj>
      </w:sdtPr>
      <w:sdtContent>
        <w:p w14:paraId="21D284A8" w14:textId="0AFC1AAD" w:rsidR="000B2E64" w:rsidRDefault="000B2E64">
          <w:r>
            <w:rPr>
              <w:noProof/>
            </w:rPr>
            <mc:AlternateContent>
              <mc:Choice Requires="wps">
                <w:drawing>
                  <wp:anchor distT="0" distB="0" distL="114300" distR="114300" simplePos="0" relativeHeight="251660288" behindDoc="0" locked="0" layoutInCell="1" allowOverlap="1" wp14:anchorId="20560CED" wp14:editId="225528C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DF33CA" w14:textId="73636872" w:rsidR="000B2E64" w:rsidRDefault="000B2E64">
                                <w:pPr>
                                  <w:pStyle w:val="Subtitle"/>
                                  <w:rPr>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0560CED" id="Rectangle 268" o:spid="_x0000_s1028"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lRn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JtADVqGmx3UxztLLKRxcoZft/iQ&#10;W+b8HbM4P/j4uBP8LR5SQV9RGP8oacD+fOs+2GNbo5aSHuexou7HnllBifqiseGL1QL7Cic4Sh+X&#10;ZwsU7G+q3UuV3neXgP1R4P4xPP4GB6+mX2mhe8TlsQlxUcU0x+gV5d5OwqVPmwLXDxebTTTDsTXM&#10;b/W94QE8MB1a9WF4ZNaM/exxFG5gml5WvmrrZBs8NWz2HmQbe/6Z2fENcORjM43rKeyUl3K0el6i&#10;618AAAD//wMAUEsDBBQABgAIAAAAIQDMjBiz3AAAAAYBAAAPAAAAZHJzL2Rvd25yZXYueG1sTI9B&#10;S8QwEIXvgv8hjODNTSxsqbXpUsRV2Iu4evA4bca2bDOpTbbb/fdGL3p5MLzHe98Um8UOYqbJ9441&#10;3K4UCOLGmZ5bDe9v25sMhA/IBgfHpOFMHjbl5UWBuXEnfqV5H1oRS9jnqKELYcyl9E1HFv3KjcTR&#10;+3STxRDPqZVmwlMst4NMlEqlxZ7jQocjPXTUHPZHq6HaPu6yqv1Yt0/ZQS3h+Wt+qVHr66ulugcR&#10;aAl/YfjBj+hQRqbaHdl4MWiIj4RfjV5ylyYg6hhaJyoFWRbyP375DQAA//8DAFBLAQItABQABgAI&#10;AAAAIQC2gziS/gAAAOEBAAATAAAAAAAAAAAAAAAAAAAAAABbQ29udGVudF9UeXBlc10ueG1sUEsB&#10;Ai0AFAAGAAgAAAAhADj9If/WAAAAlAEAAAsAAAAAAAAAAAAAAAAALwEAAF9yZWxzLy5yZWxzUEsB&#10;Ai0AFAAGAAgAAAAhAEo6VGeVAgAAjAUAAA4AAAAAAAAAAAAAAAAALgIAAGRycy9lMm9Eb2MueG1s&#10;UEsBAi0AFAAGAAgAAAAhAMyMGLPcAAAABgEAAA8AAAAAAAAAAAAAAAAA7wQAAGRycy9kb3ducmV2&#10;LnhtbFBLBQYAAAAABAAEAPMAAAD4BQAAAAA=&#10;" fillcolor="#17406d [3215]" stroked="f" strokeweight="2pt">
                    <v:textbox inset="14.4pt,,14.4pt">
                      <w:txbxContent>
                        <w:p w14:paraId="24DF33CA" w14:textId="73636872" w:rsidR="000B2E64" w:rsidRDefault="000B2E64">
                          <w:pPr>
                            <w:pStyle w:val="Subtitle"/>
                            <w:rPr>
                              <w:color w:val="FFFFFF" w:themeColor="background1"/>
                            </w:rPr>
                          </w:pPr>
                        </w:p>
                      </w:txbxContent>
                    </v:textbox>
                    <w10:wrap anchorx="page" anchory="page"/>
                  </v:rect>
                </w:pict>
              </mc:Fallback>
            </mc:AlternateContent>
          </w:r>
        </w:p>
        <w:p w14:paraId="2437E452" w14:textId="77777777" w:rsidR="000B2E64" w:rsidRDefault="000B2E64"/>
        <w:p w14:paraId="1F51EC33" w14:textId="26D3FF67" w:rsidR="000B2E64" w:rsidRDefault="000B2E64">
          <w:pPr>
            <w:spacing w:after="0" w:line="240" w:lineRule="auto"/>
          </w:pPr>
          <w:r>
            <w:br w:type="page"/>
          </w:r>
        </w:p>
      </w:sdtContent>
    </w:sdt>
    <w:sdt>
      <w:sdtPr>
        <w:rPr>
          <w:rFonts w:asciiTheme="minorHAnsi" w:eastAsiaTheme="minorEastAsia" w:hAnsiTheme="minorHAnsi" w:cstheme="minorBidi"/>
          <w:color w:val="auto"/>
          <w:sz w:val="21"/>
          <w:szCs w:val="21"/>
        </w:rPr>
        <w:id w:val="1360474803"/>
        <w:docPartObj>
          <w:docPartGallery w:val="Table of Contents"/>
          <w:docPartUnique/>
        </w:docPartObj>
      </w:sdtPr>
      <w:sdtEndPr>
        <w:rPr>
          <w:b/>
          <w:bCs/>
          <w:noProof/>
        </w:rPr>
      </w:sdtEndPr>
      <w:sdtContent>
        <w:p w14:paraId="2A5CC45A" w14:textId="6D743CEB" w:rsidR="004F29A4" w:rsidRDefault="004F29A4">
          <w:pPr>
            <w:pStyle w:val="TOCHeading"/>
          </w:pPr>
          <w:r>
            <w:t>Contents</w:t>
          </w:r>
        </w:p>
        <w:p w14:paraId="1C476DD6" w14:textId="5F31213D" w:rsidR="00E667EA" w:rsidRDefault="004F29A4">
          <w:pPr>
            <w:pStyle w:val="TOC1"/>
            <w:rPr>
              <w:rFonts w:asciiTheme="minorHAnsi" w:hAnsiTheme="minorHAnsi" w:cstheme="minorBidi"/>
              <w:b w:val="0"/>
              <w:bCs w:val="0"/>
              <w:noProof/>
              <w:color w:val="auto"/>
              <w:kern w:val="2"/>
              <w:szCs w:val="24"/>
              <w:lang w:val="en-IN" w:eastAsia="en-IN"/>
              <w14:ligatures w14:val="standardContextual"/>
            </w:rPr>
          </w:pPr>
          <w:r>
            <w:fldChar w:fldCharType="begin"/>
          </w:r>
          <w:r>
            <w:instrText xml:space="preserve"> TOC \o "1-3" \h \z \u </w:instrText>
          </w:r>
          <w:r>
            <w:fldChar w:fldCharType="separate"/>
          </w:r>
          <w:hyperlink w:anchor="_Toc230524386" w:history="1">
            <w:r w:rsidR="00E667EA" w:rsidRPr="004D31C8">
              <w:rPr>
                <w:rStyle w:val="Hyperlink"/>
                <w:noProof/>
              </w:rPr>
              <w:t>1.0 INTRODUCTION</w:t>
            </w:r>
            <w:r w:rsidR="00E667EA">
              <w:rPr>
                <w:noProof/>
                <w:webHidden/>
              </w:rPr>
              <w:tab/>
            </w:r>
            <w:r w:rsidR="00E667EA">
              <w:rPr>
                <w:noProof/>
                <w:webHidden/>
              </w:rPr>
              <w:fldChar w:fldCharType="begin"/>
            </w:r>
            <w:r w:rsidR="00E667EA">
              <w:rPr>
                <w:noProof/>
                <w:webHidden/>
              </w:rPr>
              <w:instrText xml:space="preserve"> PAGEREF _Toc230524386 \h </w:instrText>
            </w:r>
            <w:r w:rsidR="00E667EA">
              <w:rPr>
                <w:noProof/>
                <w:webHidden/>
              </w:rPr>
            </w:r>
            <w:r w:rsidR="00E667EA">
              <w:rPr>
                <w:noProof/>
                <w:webHidden/>
              </w:rPr>
              <w:fldChar w:fldCharType="separate"/>
            </w:r>
            <w:r w:rsidR="00E667EA">
              <w:rPr>
                <w:noProof/>
                <w:webHidden/>
              </w:rPr>
              <w:t>3</w:t>
            </w:r>
            <w:r w:rsidR="00E667EA">
              <w:rPr>
                <w:noProof/>
                <w:webHidden/>
              </w:rPr>
              <w:fldChar w:fldCharType="end"/>
            </w:r>
          </w:hyperlink>
        </w:p>
        <w:p w14:paraId="7B4D7811" w14:textId="5B8AD42F"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87" w:history="1">
            <w:r w:rsidRPr="004D31C8">
              <w:rPr>
                <w:rStyle w:val="Hyperlink"/>
                <w:noProof/>
              </w:rPr>
              <w:t>2.0 UNILEVER HR DEPARTMENT</w:t>
            </w:r>
            <w:r>
              <w:rPr>
                <w:noProof/>
                <w:webHidden/>
              </w:rPr>
              <w:tab/>
            </w:r>
            <w:r>
              <w:rPr>
                <w:noProof/>
                <w:webHidden/>
              </w:rPr>
              <w:fldChar w:fldCharType="begin"/>
            </w:r>
            <w:r>
              <w:rPr>
                <w:noProof/>
                <w:webHidden/>
              </w:rPr>
              <w:instrText xml:space="preserve"> PAGEREF _Toc230524387 \h </w:instrText>
            </w:r>
            <w:r>
              <w:rPr>
                <w:noProof/>
                <w:webHidden/>
              </w:rPr>
            </w:r>
            <w:r>
              <w:rPr>
                <w:noProof/>
                <w:webHidden/>
              </w:rPr>
              <w:fldChar w:fldCharType="separate"/>
            </w:r>
            <w:r>
              <w:rPr>
                <w:noProof/>
                <w:webHidden/>
              </w:rPr>
              <w:t>4</w:t>
            </w:r>
            <w:r>
              <w:rPr>
                <w:noProof/>
                <w:webHidden/>
              </w:rPr>
              <w:fldChar w:fldCharType="end"/>
            </w:r>
          </w:hyperlink>
        </w:p>
        <w:p w14:paraId="66040F65" w14:textId="6FFFA817"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88" w:history="1">
            <w:r w:rsidRPr="004D31C8">
              <w:rPr>
                <w:rStyle w:val="Hyperlink"/>
                <w:noProof/>
              </w:rPr>
              <w:t>3.0 SCENARIO 1: HIGH-PERFORMING WORKPLACES</w:t>
            </w:r>
            <w:r>
              <w:rPr>
                <w:noProof/>
                <w:webHidden/>
              </w:rPr>
              <w:tab/>
            </w:r>
            <w:r>
              <w:rPr>
                <w:noProof/>
                <w:webHidden/>
              </w:rPr>
              <w:fldChar w:fldCharType="begin"/>
            </w:r>
            <w:r>
              <w:rPr>
                <w:noProof/>
                <w:webHidden/>
              </w:rPr>
              <w:instrText xml:space="preserve"> PAGEREF _Toc230524388 \h </w:instrText>
            </w:r>
            <w:r>
              <w:rPr>
                <w:noProof/>
                <w:webHidden/>
              </w:rPr>
            </w:r>
            <w:r>
              <w:rPr>
                <w:noProof/>
                <w:webHidden/>
              </w:rPr>
              <w:fldChar w:fldCharType="separate"/>
            </w:r>
            <w:r>
              <w:rPr>
                <w:noProof/>
                <w:webHidden/>
              </w:rPr>
              <w:t>5</w:t>
            </w:r>
            <w:r>
              <w:rPr>
                <w:noProof/>
                <w:webHidden/>
              </w:rPr>
              <w:fldChar w:fldCharType="end"/>
            </w:r>
          </w:hyperlink>
        </w:p>
        <w:p w14:paraId="44CF9332" w14:textId="66E49C0A"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89" w:history="1">
            <w:r w:rsidRPr="004D31C8">
              <w:rPr>
                <w:rStyle w:val="Hyperlink"/>
                <w:noProof/>
              </w:rPr>
              <w:t>4.0 SCENARIO 2: EMPLOYEE ORIENTATION PRACTICES</w:t>
            </w:r>
            <w:r>
              <w:rPr>
                <w:noProof/>
                <w:webHidden/>
              </w:rPr>
              <w:tab/>
            </w:r>
            <w:r>
              <w:rPr>
                <w:noProof/>
                <w:webHidden/>
              </w:rPr>
              <w:fldChar w:fldCharType="begin"/>
            </w:r>
            <w:r>
              <w:rPr>
                <w:noProof/>
                <w:webHidden/>
              </w:rPr>
              <w:instrText xml:space="preserve"> PAGEREF _Toc230524389 \h </w:instrText>
            </w:r>
            <w:r>
              <w:rPr>
                <w:noProof/>
                <w:webHidden/>
              </w:rPr>
            </w:r>
            <w:r>
              <w:rPr>
                <w:noProof/>
                <w:webHidden/>
              </w:rPr>
              <w:fldChar w:fldCharType="separate"/>
            </w:r>
            <w:r>
              <w:rPr>
                <w:noProof/>
                <w:webHidden/>
              </w:rPr>
              <w:t>8</w:t>
            </w:r>
            <w:r>
              <w:rPr>
                <w:noProof/>
                <w:webHidden/>
              </w:rPr>
              <w:fldChar w:fldCharType="end"/>
            </w:r>
          </w:hyperlink>
        </w:p>
        <w:p w14:paraId="6A4EC884" w14:textId="0999B211"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90" w:history="1">
            <w:r w:rsidRPr="004D31C8">
              <w:rPr>
                <w:rStyle w:val="Hyperlink"/>
                <w:noProof/>
              </w:rPr>
              <w:t>5.0 SCENARIO 3: MODERN APPROACHES TO SUCCESSION PLANNING</w:t>
            </w:r>
            <w:r>
              <w:rPr>
                <w:noProof/>
                <w:webHidden/>
              </w:rPr>
              <w:tab/>
            </w:r>
            <w:r>
              <w:rPr>
                <w:noProof/>
                <w:webHidden/>
              </w:rPr>
              <w:fldChar w:fldCharType="begin"/>
            </w:r>
            <w:r>
              <w:rPr>
                <w:noProof/>
                <w:webHidden/>
              </w:rPr>
              <w:instrText xml:space="preserve"> PAGEREF _Toc230524390 \h </w:instrText>
            </w:r>
            <w:r>
              <w:rPr>
                <w:noProof/>
                <w:webHidden/>
              </w:rPr>
            </w:r>
            <w:r>
              <w:rPr>
                <w:noProof/>
                <w:webHidden/>
              </w:rPr>
              <w:fldChar w:fldCharType="separate"/>
            </w:r>
            <w:r>
              <w:rPr>
                <w:noProof/>
                <w:webHidden/>
              </w:rPr>
              <w:t>10</w:t>
            </w:r>
            <w:r>
              <w:rPr>
                <w:noProof/>
                <w:webHidden/>
              </w:rPr>
              <w:fldChar w:fldCharType="end"/>
            </w:r>
          </w:hyperlink>
        </w:p>
        <w:p w14:paraId="6B6F6A9C" w14:textId="030F3E1F"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91" w:history="1">
            <w:r w:rsidRPr="004D31C8">
              <w:rPr>
                <w:rStyle w:val="Hyperlink"/>
                <w:noProof/>
              </w:rPr>
              <w:t>6.0 SCENARIO 4: RESOURCING AND RETENTION STRATEGIES</w:t>
            </w:r>
            <w:r>
              <w:rPr>
                <w:noProof/>
                <w:webHidden/>
              </w:rPr>
              <w:tab/>
            </w:r>
            <w:r>
              <w:rPr>
                <w:noProof/>
                <w:webHidden/>
              </w:rPr>
              <w:fldChar w:fldCharType="begin"/>
            </w:r>
            <w:r>
              <w:rPr>
                <w:noProof/>
                <w:webHidden/>
              </w:rPr>
              <w:instrText xml:space="preserve"> PAGEREF _Toc230524391 \h </w:instrText>
            </w:r>
            <w:r>
              <w:rPr>
                <w:noProof/>
                <w:webHidden/>
              </w:rPr>
            </w:r>
            <w:r>
              <w:rPr>
                <w:noProof/>
                <w:webHidden/>
              </w:rPr>
              <w:fldChar w:fldCharType="separate"/>
            </w:r>
            <w:r>
              <w:rPr>
                <w:noProof/>
                <w:webHidden/>
              </w:rPr>
              <w:t>12</w:t>
            </w:r>
            <w:r>
              <w:rPr>
                <w:noProof/>
                <w:webHidden/>
              </w:rPr>
              <w:fldChar w:fldCharType="end"/>
            </w:r>
          </w:hyperlink>
        </w:p>
        <w:p w14:paraId="2C59C9C6" w14:textId="6B2762A5"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92" w:history="1">
            <w:r w:rsidRPr="004D31C8">
              <w:rPr>
                <w:rStyle w:val="Hyperlink"/>
                <w:noProof/>
              </w:rPr>
              <w:t>7.0 SCENARIO 5: TALENT INSIGHT AND STRATEGIC RETENTION</w:t>
            </w:r>
            <w:r>
              <w:rPr>
                <w:noProof/>
                <w:webHidden/>
              </w:rPr>
              <w:tab/>
            </w:r>
            <w:r>
              <w:rPr>
                <w:noProof/>
                <w:webHidden/>
              </w:rPr>
              <w:fldChar w:fldCharType="begin"/>
            </w:r>
            <w:r>
              <w:rPr>
                <w:noProof/>
                <w:webHidden/>
              </w:rPr>
              <w:instrText xml:space="preserve"> PAGEREF _Toc230524392 \h </w:instrText>
            </w:r>
            <w:r>
              <w:rPr>
                <w:noProof/>
                <w:webHidden/>
              </w:rPr>
            </w:r>
            <w:r>
              <w:rPr>
                <w:noProof/>
                <w:webHidden/>
              </w:rPr>
              <w:fldChar w:fldCharType="separate"/>
            </w:r>
            <w:r>
              <w:rPr>
                <w:noProof/>
                <w:webHidden/>
              </w:rPr>
              <w:t>14</w:t>
            </w:r>
            <w:r>
              <w:rPr>
                <w:noProof/>
                <w:webHidden/>
              </w:rPr>
              <w:fldChar w:fldCharType="end"/>
            </w:r>
          </w:hyperlink>
        </w:p>
        <w:p w14:paraId="0B9E8860" w14:textId="636CAF6A"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93" w:history="1">
            <w:r w:rsidRPr="004D31C8">
              <w:rPr>
                <w:rStyle w:val="Hyperlink"/>
                <w:noProof/>
              </w:rPr>
              <w:t>8.0 CONCLUSION</w:t>
            </w:r>
            <w:r>
              <w:rPr>
                <w:noProof/>
                <w:webHidden/>
              </w:rPr>
              <w:tab/>
            </w:r>
            <w:r>
              <w:rPr>
                <w:noProof/>
                <w:webHidden/>
              </w:rPr>
              <w:fldChar w:fldCharType="begin"/>
            </w:r>
            <w:r>
              <w:rPr>
                <w:noProof/>
                <w:webHidden/>
              </w:rPr>
              <w:instrText xml:space="preserve"> PAGEREF _Toc230524393 \h </w:instrText>
            </w:r>
            <w:r>
              <w:rPr>
                <w:noProof/>
                <w:webHidden/>
              </w:rPr>
            </w:r>
            <w:r>
              <w:rPr>
                <w:noProof/>
                <w:webHidden/>
              </w:rPr>
              <w:fldChar w:fldCharType="separate"/>
            </w:r>
            <w:r>
              <w:rPr>
                <w:noProof/>
                <w:webHidden/>
              </w:rPr>
              <w:t>16</w:t>
            </w:r>
            <w:r>
              <w:rPr>
                <w:noProof/>
                <w:webHidden/>
              </w:rPr>
              <w:fldChar w:fldCharType="end"/>
            </w:r>
          </w:hyperlink>
        </w:p>
        <w:p w14:paraId="5BE27D60" w14:textId="16E6BBE9" w:rsidR="00E667EA" w:rsidRDefault="00E667EA">
          <w:pPr>
            <w:pStyle w:val="TOC1"/>
            <w:rPr>
              <w:rFonts w:asciiTheme="minorHAnsi" w:hAnsiTheme="minorHAnsi" w:cstheme="minorBidi"/>
              <w:b w:val="0"/>
              <w:bCs w:val="0"/>
              <w:noProof/>
              <w:color w:val="auto"/>
              <w:kern w:val="2"/>
              <w:szCs w:val="24"/>
              <w:lang w:val="en-IN" w:eastAsia="en-IN"/>
              <w14:ligatures w14:val="standardContextual"/>
            </w:rPr>
          </w:pPr>
          <w:hyperlink w:anchor="_Toc230524394" w:history="1">
            <w:r w:rsidRPr="004D31C8">
              <w:rPr>
                <w:rStyle w:val="Hyperlink"/>
                <w:noProof/>
              </w:rPr>
              <w:t>9.0 REFERENCES</w:t>
            </w:r>
            <w:r>
              <w:rPr>
                <w:noProof/>
                <w:webHidden/>
              </w:rPr>
              <w:tab/>
            </w:r>
            <w:r>
              <w:rPr>
                <w:noProof/>
                <w:webHidden/>
              </w:rPr>
              <w:fldChar w:fldCharType="begin"/>
            </w:r>
            <w:r>
              <w:rPr>
                <w:noProof/>
                <w:webHidden/>
              </w:rPr>
              <w:instrText xml:space="preserve"> PAGEREF _Toc230524394 \h </w:instrText>
            </w:r>
            <w:r>
              <w:rPr>
                <w:noProof/>
                <w:webHidden/>
              </w:rPr>
            </w:r>
            <w:r>
              <w:rPr>
                <w:noProof/>
                <w:webHidden/>
              </w:rPr>
              <w:fldChar w:fldCharType="separate"/>
            </w:r>
            <w:r>
              <w:rPr>
                <w:noProof/>
                <w:webHidden/>
              </w:rPr>
              <w:t>17</w:t>
            </w:r>
            <w:r>
              <w:rPr>
                <w:noProof/>
                <w:webHidden/>
              </w:rPr>
              <w:fldChar w:fldCharType="end"/>
            </w:r>
          </w:hyperlink>
        </w:p>
        <w:p w14:paraId="1AF0B60D" w14:textId="01EE01C7" w:rsidR="00E667EA" w:rsidRDefault="00E667EA">
          <w:pPr>
            <w:pStyle w:val="TOC1"/>
            <w:tabs>
              <w:tab w:val="left" w:pos="600"/>
            </w:tabs>
            <w:rPr>
              <w:rFonts w:asciiTheme="minorHAnsi" w:hAnsiTheme="minorHAnsi" w:cstheme="minorBidi"/>
              <w:b w:val="0"/>
              <w:bCs w:val="0"/>
              <w:noProof/>
              <w:color w:val="auto"/>
              <w:kern w:val="2"/>
              <w:szCs w:val="24"/>
              <w:lang w:val="en-IN" w:eastAsia="en-IN"/>
              <w14:ligatures w14:val="standardContextual"/>
            </w:rPr>
          </w:pPr>
          <w:hyperlink w:anchor="_Toc230524395" w:history="1">
            <w:r w:rsidRPr="004D31C8">
              <w:rPr>
                <w:rStyle w:val="Hyperlink"/>
                <w:noProof/>
              </w:rPr>
              <w:t>10.APPE</w:t>
            </w:r>
            <w:r w:rsidRPr="004D31C8">
              <w:rPr>
                <w:rStyle w:val="Hyperlink"/>
                <w:noProof/>
              </w:rPr>
              <w:t>N</w:t>
            </w:r>
            <w:r w:rsidRPr="004D31C8">
              <w:rPr>
                <w:rStyle w:val="Hyperlink"/>
                <w:noProof/>
              </w:rPr>
              <w:t>DIX</w:t>
            </w:r>
            <w:r>
              <w:rPr>
                <w:noProof/>
                <w:webHidden/>
              </w:rPr>
              <w:tab/>
            </w:r>
            <w:r>
              <w:rPr>
                <w:noProof/>
                <w:webHidden/>
              </w:rPr>
              <w:fldChar w:fldCharType="begin"/>
            </w:r>
            <w:r>
              <w:rPr>
                <w:noProof/>
                <w:webHidden/>
              </w:rPr>
              <w:instrText xml:space="preserve"> PAGEREF _Toc230524395 \h </w:instrText>
            </w:r>
            <w:r>
              <w:rPr>
                <w:noProof/>
                <w:webHidden/>
              </w:rPr>
            </w:r>
            <w:r>
              <w:rPr>
                <w:noProof/>
                <w:webHidden/>
              </w:rPr>
              <w:fldChar w:fldCharType="separate"/>
            </w:r>
            <w:r>
              <w:rPr>
                <w:noProof/>
                <w:webHidden/>
              </w:rPr>
              <w:t>19</w:t>
            </w:r>
            <w:r>
              <w:rPr>
                <w:noProof/>
                <w:webHidden/>
              </w:rPr>
              <w:fldChar w:fldCharType="end"/>
            </w:r>
          </w:hyperlink>
        </w:p>
        <w:p w14:paraId="1AF6F9E3" w14:textId="1F84D2F6" w:rsidR="004F29A4" w:rsidRDefault="004F29A4">
          <w:r>
            <w:rPr>
              <w:b/>
              <w:bCs/>
              <w:noProof/>
            </w:rPr>
            <w:fldChar w:fldCharType="end"/>
          </w:r>
        </w:p>
      </w:sdtContent>
    </w:sdt>
    <w:p w14:paraId="0FDD4452" w14:textId="77777777" w:rsidR="008C1C1A" w:rsidRDefault="008C1C1A"/>
    <w:p w14:paraId="3692C2E0" w14:textId="77777777" w:rsidR="008C1C1A" w:rsidRDefault="008C1C1A" w:rsidP="005A0CDD"/>
    <w:p w14:paraId="374AD0FC" w14:textId="77777777" w:rsidR="00173014" w:rsidRDefault="00173014" w:rsidP="005A0CDD"/>
    <w:p w14:paraId="4C402392" w14:textId="77777777" w:rsidR="00173014" w:rsidRDefault="00173014" w:rsidP="005A0CDD"/>
    <w:p w14:paraId="53A17194" w14:textId="77777777" w:rsidR="00173014" w:rsidRDefault="00173014" w:rsidP="005A0CDD"/>
    <w:p w14:paraId="738F16ED" w14:textId="77777777" w:rsidR="00173014" w:rsidRDefault="00173014" w:rsidP="005A0CDD"/>
    <w:p w14:paraId="536F6BF8" w14:textId="77777777" w:rsidR="00173014" w:rsidRDefault="00173014" w:rsidP="005A0CDD"/>
    <w:p w14:paraId="748DFC41" w14:textId="77777777" w:rsidR="00173014" w:rsidRDefault="00173014" w:rsidP="005A0CDD"/>
    <w:p w14:paraId="061350CA" w14:textId="77777777" w:rsidR="00173014" w:rsidRDefault="00173014" w:rsidP="005A0CDD"/>
    <w:p w14:paraId="2E0EFC92" w14:textId="77777777" w:rsidR="00173014" w:rsidRDefault="00173014" w:rsidP="005A0CDD"/>
    <w:p w14:paraId="365FFB49" w14:textId="77777777" w:rsidR="00F33F4F" w:rsidRDefault="00F33F4F" w:rsidP="005A0CDD"/>
    <w:p w14:paraId="4E732CFE" w14:textId="77777777" w:rsidR="00F33F4F" w:rsidRDefault="00F33F4F" w:rsidP="005A0CDD"/>
    <w:p w14:paraId="7F2758DA" w14:textId="77777777" w:rsidR="00F33F4F" w:rsidRDefault="00F33F4F" w:rsidP="005A0CDD"/>
    <w:p w14:paraId="4936D127" w14:textId="77777777" w:rsidR="00F33F4F" w:rsidRDefault="00F33F4F" w:rsidP="005A0CDD"/>
    <w:p w14:paraId="1B21FB53" w14:textId="77777777" w:rsidR="00F33F4F" w:rsidRDefault="00F33F4F" w:rsidP="005A0CDD"/>
    <w:p w14:paraId="571CA02B" w14:textId="77777777" w:rsidR="00F33F4F" w:rsidRDefault="00F33F4F" w:rsidP="005A0CDD"/>
    <w:p w14:paraId="271EAB2D" w14:textId="63FAEC58" w:rsidR="0060625F" w:rsidRPr="0060625F" w:rsidRDefault="0060625F" w:rsidP="0060625F">
      <w:pPr>
        <w:rPr>
          <w:rFonts w:ascii="Times New Roman" w:hAnsi="Times New Roman" w:cs="Times New Roman"/>
          <w:sz w:val="24"/>
          <w:szCs w:val="24"/>
        </w:rPr>
      </w:pPr>
    </w:p>
    <w:tbl>
      <w:tblPr>
        <w:tblpPr w:leftFromText="180" w:rightFromText="180" w:vertAnchor="text" w:horzAnchor="margin" w:tblpY="-38"/>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05"/>
        <w:gridCol w:w="4935"/>
        <w:gridCol w:w="1260"/>
      </w:tblGrid>
      <w:tr w:rsidR="0060625F" w:rsidRPr="0060625F" w14:paraId="6B2C2E38" w14:textId="77777777">
        <w:trPr>
          <w:trHeight w:val="300"/>
        </w:trPr>
        <w:tc>
          <w:tcPr>
            <w:tcW w:w="2205" w:type="dxa"/>
            <w:tcBorders>
              <w:top w:val="single" w:sz="6" w:space="0" w:color="auto"/>
              <w:left w:val="single" w:sz="6" w:space="0" w:color="auto"/>
              <w:bottom w:val="single" w:sz="6" w:space="0" w:color="000000" w:themeColor="text1"/>
              <w:right w:val="single" w:sz="6" w:space="0" w:color="000000" w:themeColor="text1"/>
            </w:tcBorders>
            <w:tcMar>
              <w:top w:w="0" w:type="dxa"/>
              <w:left w:w="105" w:type="dxa"/>
              <w:bottom w:w="0" w:type="dxa"/>
              <w:right w:w="105" w:type="dxa"/>
            </w:tcMar>
            <w:hideMark/>
          </w:tcPr>
          <w:p w14:paraId="5E9991F3"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lastRenderedPageBreak/>
              <w:t>RESEARCH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4480F563" w14:textId="77DAD0F1"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For this assessment, you can use Generative AI to support you in research, including searching for bibliography, using tools to </w:t>
            </w:r>
            <w:r w:rsidR="009F1517" w:rsidRPr="0060625F">
              <w:rPr>
                <w:rFonts w:ascii="Times New Roman" w:hAnsi="Times New Roman" w:cs="Times New Roman"/>
                <w:sz w:val="24"/>
                <w:szCs w:val="24"/>
              </w:rPr>
              <w:t>summaries</w:t>
            </w:r>
            <w:r w:rsidRPr="0060625F">
              <w:rPr>
                <w:rFonts w:ascii="Times New Roman" w:hAnsi="Times New Roman" w:cs="Times New Roman"/>
                <w:sz w:val="24"/>
                <w:szCs w:val="24"/>
              </w:rPr>
              <w:t>, compare and interrogate materials.  </w:t>
            </w:r>
          </w:p>
        </w:tc>
        <w:tc>
          <w:tcPr>
            <w:tcW w:w="1260" w:type="dxa"/>
            <w:tcBorders>
              <w:top w:val="single" w:sz="6" w:space="0" w:color="auto"/>
              <w:left w:val="single" w:sz="6" w:space="0" w:color="000000" w:themeColor="text1"/>
              <w:bottom w:val="single" w:sz="6" w:space="0" w:color="000000" w:themeColor="text1"/>
              <w:right w:val="single" w:sz="6" w:space="0" w:color="auto"/>
            </w:tcBorders>
            <w:tcMar>
              <w:top w:w="0" w:type="dxa"/>
              <w:left w:w="105" w:type="dxa"/>
              <w:bottom w:w="0" w:type="dxa"/>
              <w:right w:w="105" w:type="dxa"/>
            </w:tcMar>
            <w:hideMark/>
          </w:tcPr>
          <w:p w14:paraId="2252B633"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5A249732"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48C93CBE"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374552DC" w14:textId="77777777">
        <w:trPr>
          <w:trHeight w:val="300"/>
        </w:trPr>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8F61B73"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STRUCTURE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3487BD0E"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For this assessment, you can use Generative AI to support you in structuring your submission, including creating a draft argument structure, identifying parts and headings, etc.  </w:t>
            </w:r>
          </w:p>
        </w:tc>
        <w:tc>
          <w:tcPr>
            <w:tcW w:w="12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566C975A"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1EF74CA9"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1044B7A1"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3F96C6AD" w14:textId="77777777">
        <w:trPr>
          <w:trHeight w:val="300"/>
        </w:trPr>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7988A4AD"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PROOFREADING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A226A20"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For this assessment, you can use Generative AI to check your own text/creation for grammatical and syntactical mistakes, including rephrasing of your own work within specific standards.  </w:t>
            </w:r>
          </w:p>
        </w:tc>
        <w:tc>
          <w:tcPr>
            <w:tcW w:w="12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654E090B"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7DBDC668"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747174B2"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3BF7FBD3" w14:textId="77777777">
        <w:trPr>
          <w:trHeight w:val="300"/>
        </w:trPr>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650B7FD"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WRITING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31AF0FEC"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For this assessment, you can use Generative AI to create text for submission.  </w:t>
            </w:r>
          </w:p>
        </w:tc>
        <w:tc>
          <w:tcPr>
            <w:tcW w:w="12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4028E41"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11180BF6"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628FA69F"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63B7FABF" w14:textId="77777777">
        <w:trPr>
          <w:trHeight w:val="300"/>
        </w:trPr>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3384B43B"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CREATIVE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5030877"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For this assessment, you can use Generative AI to create creative materials, such as images.  </w:t>
            </w:r>
          </w:p>
        </w:tc>
        <w:tc>
          <w:tcPr>
            <w:tcW w:w="12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60686637"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20263389"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7493C34B"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545C027F" w14:textId="77777777">
        <w:trPr>
          <w:trHeight w:val="300"/>
        </w:trPr>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41B5DCF"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PROGRAMING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48EAA1AB"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For this assessment, you can use Generative AI to create and check code.  </w:t>
            </w:r>
          </w:p>
        </w:tc>
        <w:tc>
          <w:tcPr>
            <w:tcW w:w="126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6C49044C"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4836B605"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75F1B28F"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r w:rsidR="0060625F" w:rsidRPr="0060625F" w14:paraId="7B13AD3A" w14:textId="77777777">
        <w:trPr>
          <w:trHeight w:val="300"/>
        </w:trPr>
        <w:tc>
          <w:tcPr>
            <w:tcW w:w="2205" w:type="dxa"/>
            <w:tcBorders>
              <w:top w:val="single" w:sz="6" w:space="0" w:color="000000" w:themeColor="text1"/>
              <w:left w:val="single" w:sz="6" w:space="0" w:color="auto"/>
              <w:bottom w:val="single" w:sz="6" w:space="0" w:color="auto"/>
              <w:right w:val="single" w:sz="6" w:space="0" w:color="000000" w:themeColor="text1"/>
            </w:tcBorders>
            <w:tcMar>
              <w:top w:w="0" w:type="dxa"/>
              <w:left w:w="105" w:type="dxa"/>
              <w:bottom w:w="0" w:type="dxa"/>
              <w:right w:w="105" w:type="dxa"/>
            </w:tcMar>
            <w:hideMark/>
          </w:tcPr>
          <w:p w14:paraId="68D8A75D"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NONE  </w:t>
            </w:r>
          </w:p>
        </w:tc>
        <w:tc>
          <w:tcPr>
            <w:tcW w:w="49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5A9983D5"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For this assessment, you are not allowed to use </w:t>
            </w:r>
            <w:r w:rsidRPr="009F1517">
              <w:rPr>
                <w:rFonts w:ascii="Times New Roman" w:hAnsi="Times New Roman" w:cs="Times New Roman"/>
                <w:sz w:val="24"/>
                <w:szCs w:val="24"/>
              </w:rPr>
              <w:t>any</w:t>
            </w:r>
            <w:r w:rsidRPr="0060625F">
              <w:rPr>
                <w:rFonts w:ascii="Times New Roman" w:hAnsi="Times New Roman" w:cs="Times New Roman"/>
                <w:sz w:val="24"/>
                <w:szCs w:val="24"/>
              </w:rPr>
              <w:t xml:space="preserve"> type of Generative AI support. This includes research support, structure support, writing/proofreading support and creative support.  </w:t>
            </w:r>
          </w:p>
        </w:tc>
        <w:tc>
          <w:tcPr>
            <w:tcW w:w="1260" w:type="dxa"/>
            <w:tcBorders>
              <w:top w:val="single" w:sz="6" w:space="0" w:color="000000" w:themeColor="text1"/>
              <w:left w:val="single" w:sz="6" w:space="0" w:color="000000" w:themeColor="text1"/>
              <w:bottom w:val="single" w:sz="6" w:space="0" w:color="auto"/>
              <w:right w:val="single" w:sz="6" w:space="0" w:color="auto"/>
            </w:tcBorders>
            <w:tcMar>
              <w:top w:w="0" w:type="dxa"/>
              <w:left w:w="105" w:type="dxa"/>
              <w:bottom w:w="0" w:type="dxa"/>
              <w:right w:w="105" w:type="dxa"/>
            </w:tcMar>
            <w:hideMark/>
          </w:tcPr>
          <w:p w14:paraId="4E63758B"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Yes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p w14:paraId="58A1364D"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w:t>
            </w:r>
          </w:p>
          <w:p w14:paraId="3BAD1BE3" w14:textId="77777777"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No </w:t>
            </w:r>
            <w:r w:rsidRPr="0060625F">
              <w:rPr>
                <w:rFonts w:ascii="Segoe UI Symbol" w:hAnsi="Segoe UI Symbol" w:cs="Segoe UI Symbol"/>
                <w:sz w:val="24"/>
                <w:szCs w:val="24"/>
              </w:rPr>
              <w:t>☒</w:t>
            </w:r>
            <w:r w:rsidRPr="0060625F">
              <w:rPr>
                <w:rFonts w:ascii="Times New Roman" w:hAnsi="Times New Roman" w:cs="Times New Roman"/>
                <w:sz w:val="24"/>
                <w:szCs w:val="24"/>
              </w:rPr>
              <w:t xml:space="preserve">   </w:t>
            </w:r>
          </w:p>
        </w:tc>
      </w:tr>
    </w:tbl>
    <w:p w14:paraId="6425CB4C" w14:textId="236ABD1E" w:rsidR="0060625F" w:rsidRPr="0060625F" w:rsidRDefault="0060625F" w:rsidP="0060625F">
      <w:pPr>
        <w:rPr>
          <w:rFonts w:ascii="Times New Roman" w:hAnsi="Times New Roman" w:cs="Times New Roman"/>
          <w:sz w:val="24"/>
          <w:szCs w:val="24"/>
        </w:rPr>
      </w:pPr>
      <w:r w:rsidRPr="0060625F">
        <w:rPr>
          <w:rFonts w:ascii="Times New Roman" w:hAnsi="Times New Roman" w:cs="Times New Roman"/>
          <w:sz w:val="24"/>
          <w:szCs w:val="24"/>
        </w:rPr>
        <w:t xml:space="preserve"> AI Acknowledgement </w:t>
      </w:r>
    </w:p>
    <w:p w14:paraId="217071C2" w14:textId="38A488E2" w:rsidR="0060625F" w:rsidRDefault="0060625F" w:rsidP="00040A13">
      <w:pPr>
        <w:spacing w:line="360" w:lineRule="auto"/>
        <w:jc w:val="both"/>
        <w:rPr>
          <w:rFonts w:ascii="Times New Roman" w:hAnsi="Times New Roman" w:cs="Times New Roman"/>
          <w:sz w:val="24"/>
          <w:szCs w:val="24"/>
        </w:rPr>
      </w:pPr>
      <w:r w:rsidRPr="0060625F">
        <w:rPr>
          <w:rFonts w:ascii="Times New Roman" w:hAnsi="Times New Roman" w:cs="Times New Roman"/>
          <w:sz w:val="24"/>
          <w:szCs w:val="24"/>
        </w:rPr>
        <w:t xml:space="preserve"> </w:t>
      </w:r>
      <w:r w:rsidR="00792DEB" w:rsidRPr="00792DEB">
        <w:rPr>
          <w:rFonts w:ascii="Times New Roman" w:hAnsi="Times New Roman" w:cs="Times New Roman"/>
          <w:sz w:val="24"/>
          <w:szCs w:val="24"/>
        </w:rPr>
        <w:t>I acknowledge that artificial intelligence tools were used to support aspects of research, structure and proofreading during the preparation of this portfolio. No AI-generated content has been submitted as my own work.</w:t>
      </w:r>
    </w:p>
    <w:p w14:paraId="275F0CCA" w14:textId="50E5F839" w:rsidR="0060625F" w:rsidRPr="0060625F" w:rsidRDefault="0060625F" w:rsidP="00040A13">
      <w:pPr>
        <w:spacing w:after="0"/>
        <w:rPr>
          <w:rFonts w:ascii="Times New Roman" w:hAnsi="Times New Roman" w:cs="Times New Roman"/>
          <w:sz w:val="24"/>
          <w:szCs w:val="24"/>
        </w:rPr>
      </w:pPr>
      <w:r w:rsidRPr="0060625F">
        <w:rPr>
          <w:rFonts w:ascii="Times New Roman" w:hAnsi="Times New Roman" w:cs="Times New Roman"/>
          <w:sz w:val="24"/>
          <w:szCs w:val="24"/>
        </w:rPr>
        <w:t>Name: Smeetkumar prajapati</w:t>
      </w:r>
    </w:p>
    <w:p w14:paraId="3EEE8500" w14:textId="28B61DE0" w:rsidR="0060625F" w:rsidRPr="009E1E60" w:rsidRDefault="0060625F" w:rsidP="00040A13">
      <w:pPr>
        <w:spacing w:after="0"/>
        <w:rPr>
          <w:rFonts w:ascii="Times New Roman" w:hAnsi="Times New Roman" w:cs="Times New Roman"/>
          <w:sz w:val="24"/>
          <w:szCs w:val="24"/>
        </w:rPr>
      </w:pPr>
      <w:r w:rsidRPr="0060625F">
        <w:rPr>
          <w:rFonts w:ascii="Times New Roman" w:hAnsi="Times New Roman" w:cs="Times New Roman"/>
          <w:sz w:val="24"/>
          <w:szCs w:val="24"/>
        </w:rPr>
        <w:t> Student id: 250541</w:t>
      </w:r>
      <w:r>
        <w:rPr>
          <w:rFonts w:ascii="Times New Roman" w:hAnsi="Times New Roman" w:cs="Times New Roman"/>
          <w:sz w:val="24"/>
          <w:szCs w:val="24"/>
        </w:rPr>
        <w:t>8</w:t>
      </w:r>
    </w:p>
    <w:p w14:paraId="73B77561" w14:textId="4CAEC66D" w:rsidR="000C1ACF" w:rsidRPr="00AA4F7B" w:rsidRDefault="00E667EA" w:rsidP="00AA4F7B">
      <w:pPr>
        <w:pStyle w:val="Heading1"/>
        <w:rPr>
          <w:rFonts w:ascii="Times New Roman" w:hAnsi="Times New Roman" w:cs="Times New Roman"/>
          <w:b/>
          <w:bCs/>
          <w:sz w:val="32"/>
          <w:szCs w:val="32"/>
        </w:rPr>
      </w:pPr>
      <w:bookmarkStart w:id="1" w:name="_Toc230524386"/>
      <w:r>
        <w:rPr>
          <w:rFonts w:ascii="Times New Roman" w:hAnsi="Times New Roman" w:cs="Times New Roman"/>
          <w:b/>
          <w:bCs/>
          <w:sz w:val="32"/>
          <w:szCs w:val="32"/>
        </w:rPr>
        <w:lastRenderedPageBreak/>
        <w:t>1.0 I</w:t>
      </w:r>
      <w:r w:rsidRPr="003D27E2">
        <w:rPr>
          <w:rFonts w:ascii="Times New Roman" w:hAnsi="Times New Roman" w:cs="Times New Roman"/>
          <w:b/>
          <w:bCs/>
          <w:sz w:val="32"/>
          <w:szCs w:val="32"/>
        </w:rPr>
        <w:t>NTRODUCTION</w:t>
      </w:r>
      <w:bookmarkEnd w:id="1"/>
      <w:r>
        <w:rPr>
          <w:rFonts w:ascii="Times New Roman" w:hAnsi="Times New Roman" w:cs="Times New Roman"/>
          <w:b/>
          <w:bCs/>
          <w:sz w:val="32"/>
          <w:szCs w:val="32"/>
        </w:rPr>
        <w:t xml:space="preserve"> </w:t>
      </w:r>
    </w:p>
    <w:p w14:paraId="0225DC1B" w14:textId="25CF2AEB" w:rsidR="00AA4F7B" w:rsidRDefault="00AA4F7B"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Resource management is no longer a purely administrative function concerned only with recruitment, contracts and compliance. In contemporary project-based </w:t>
      </w:r>
      <w:r w:rsidR="00FF0FC7">
        <w:rPr>
          <w:rFonts w:ascii="Times New Roman" w:hAnsi="Times New Roman" w:cs="Times New Roman"/>
          <w:sz w:val="24"/>
          <w:szCs w:val="24"/>
        </w:rPr>
        <w:t>organizations</w:t>
      </w:r>
      <w:r>
        <w:rPr>
          <w:rFonts w:ascii="Times New Roman" w:hAnsi="Times New Roman" w:cs="Times New Roman"/>
          <w:sz w:val="24"/>
          <w:szCs w:val="24"/>
        </w:rPr>
        <w:t xml:space="preserve">, HRM has become a strategic capability because organizational performance depends heavily on the ability to attract, orientate, develop, </w:t>
      </w:r>
      <w:r w:rsidR="00D04194">
        <w:rPr>
          <w:rFonts w:ascii="Times New Roman" w:hAnsi="Times New Roman" w:cs="Times New Roman"/>
          <w:sz w:val="24"/>
          <w:szCs w:val="24"/>
        </w:rPr>
        <w:t>r</w:t>
      </w:r>
      <w:r w:rsidR="00792DEB">
        <w:rPr>
          <w:rFonts w:ascii="Times New Roman" w:hAnsi="Times New Roman" w:cs="Times New Roman"/>
          <w:sz w:val="24"/>
          <w:szCs w:val="24"/>
        </w:rPr>
        <w:t>e</w:t>
      </w:r>
      <w:r w:rsidR="00D04194">
        <w:rPr>
          <w:rFonts w:ascii="Times New Roman" w:hAnsi="Times New Roman" w:cs="Times New Roman"/>
          <w:sz w:val="24"/>
          <w:szCs w:val="24"/>
        </w:rPr>
        <w:t>t</w:t>
      </w:r>
      <w:r w:rsidR="00792DEB">
        <w:rPr>
          <w:rFonts w:ascii="Times New Roman" w:hAnsi="Times New Roman" w:cs="Times New Roman"/>
          <w:sz w:val="24"/>
          <w:szCs w:val="24"/>
        </w:rPr>
        <w:t>ai</w:t>
      </w:r>
      <w:r w:rsidR="00D04194">
        <w:rPr>
          <w:rFonts w:ascii="Times New Roman" w:hAnsi="Times New Roman" w:cs="Times New Roman"/>
          <w:sz w:val="24"/>
          <w:szCs w:val="24"/>
        </w:rPr>
        <w:t>n</w:t>
      </w:r>
      <w:r>
        <w:rPr>
          <w:rFonts w:ascii="Times New Roman" w:hAnsi="Times New Roman" w:cs="Times New Roman"/>
          <w:sz w:val="24"/>
          <w:szCs w:val="24"/>
        </w:rPr>
        <w:t xml:space="preserve"> and redeploy people across changing projects demands. This is particularly important in sectors such as construction, engineering, consultancy, technology and infrastructure, where </w:t>
      </w:r>
      <w:r w:rsidR="00FF0FC7">
        <w:rPr>
          <w:rFonts w:ascii="Times New Roman" w:hAnsi="Times New Roman" w:cs="Times New Roman"/>
          <w:sz w:val="24"/>
          <w:szCs w:val="24"/>
        </w:rPr>
        <w:t>organizations</w:t>
      </w:r>
      <w:r>
        <w:rPr>
          <w:rFonts w:ascii="Times New Roman" w:hAnsi="Times New Roman" w:cs="Times New Roman"/>
          <w:sz w:val="24"/>
          <w:szCs w:val="24"/>
        </w:rPr>
        <w:t xml:space="preserve"> operate through temporary teams, shifting client requirements, specialist knowledge and tight delivery deadlines. In such contexts, people management decision directly influences project quality, innovation, employee commitment and organizational continuity.</w:t>
      </w:r>
    </w:p>
    <w:p w14:paraId="71D905E3" w14:textId="6442383A" w:rsidR="00DB5F67" w:rsidRDefault="00DB5F67" w:rsidP="00442CDA">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report adopts a strategic HRM perspective, arguing that HR practices create value when they operate as a mutually reinforcing system rather than as isolated administrative activities</w:t>
      </w:r>
      <w:r w:rsidR="00510D9D">
        <w:rPr>
          <w:rFonts w:ascii="Times New Roman" w:hAnsi="Times New Roman" w:cs="Times New Roman"/>
          <w:sz w:val="24"/>
          <w:szCs w:val="24"/>
        </w:rPr>
        <w:t xml:space="preserve"> (Boxall and Purcell,</w:t>
      </w:r>
      <w:r w:rsidR="00CB2ABD">
        <w:rPr>
          <w:rFonts w:ascii="Times New Roman" w:hAnsi="Times New Roman" w:cs="Times New Roman"/>
          <w:sz w:val="24"/>
          <w:szCs w:val="24"/>
        </w:rPr>
        <w:t xml:space="preserve"> j. and Bartram, T. (2003). </w:t>
      </w:r>
      <w:r>
        <w:rPr>
          <w:rFonts w:ascii="Times New Roman" w:hAnsi="Times New Roman" w:cs="Times New Roman"/>
          <w:sz w:val="24"/>
          <w:szCs w:val="24"/>
        </w:rPr>
        <w:t xml:space="preserve">The analysis is informed by the AMO framework, which </w:t>
      </w:r>
      <w:r w:rsidR="00FF0FC7">
        <w:rPr>
          <w:rFonts w:ascii="Times New Roman" w:hAnsi="Times New Roman" w:cs="Times New Roman"/>
          <w:sz w:val="24"/>
          <w:szCs w:val="24"/>
        </w:rPr>
        <w:t>advises</w:t>
      </w:r>
      <w:r>
        <w:rPr>
          <w:rFonts w:ascii="Times New Roman" w:hAnsi="Times New Roman" w:cs="Times New Roman"/>
          <w:sz w:val="24"/>
          <w:szCs w:val="24"/>
        </w:rPr>
        <w:t xml:space="preserve"> that organizational </w:t>
      </w:r>
      <w:r w:rsidR="00FF0FC7">
        <w:rPr>
          <w:rFonts w:ascii="Times New Roman" w:hAnsi="Times New Roman" w:cs="Times New Roman"/>
          <w:sz w:val="24"/>
          <w:szCs w:val="24"/>
        </w:rPr>
        <w:t>act</w:t>
      </w:r>
      <w:r>
        <w:rPr>
          <w:rFonts w:ascii="Times New Roman" w:hAnsi="Times New Roman" w:cs="Times New Roman"/>
          <w:sz w:val="24"/>
          <w:szCs w:val="24"/>
        </w:rPr>
        <w:t xml:space="preserve"> </w:t>
      </w:r>
      <w:r w:rsidR="00FF0FC7">
        <w:rPr>
          <w:rFonts w:ascii="Times New Roman" w:hAnsi="Times New Roman" w:cs="Times New Roman"/>
          <w:sz w:val="24"/>
          <w:szCs w:val="24"/>
        </w:rPr>
        <w:t xml:space="preserve">rest on </w:t>
      </w:r>
      <w:r>
        <w:rPr>
          <w:rFonts w:ascii="Times New Roman" w:hAnsi="Times New Roman" w:cs="Times New Roman"/>
          <w:sz w:val="24"/>
          <w:szCs w:val="24"/>
        </w:rPr>
        <w:t xml:space="preserve">employees having the </w:t>
      </w:r>
      <w:r w:rsidR="00FF0FC7">
        <w:rPr>
          <w:rFonts w:ascii="Times New Roman" w:hAnsi="Times New Roman" w:cs="Times New Roman"/>
          <w:sz w:val="24"/>
          <w:szCs w:val="24"/>
        </w:rPr>
        <w:t>capability</w:t>
      </w:r>
      <w:r>
        <w:rPr>
          <w:rFonts w:ascii="Times New Roman" w:hAnsi="Times New Roman" w:cs="Times New Roman"/>
          <w:sz w:val="24"/>
          <w:szCs w:val="24"/>
        </w:rPr>
        <w:t xml:space="preserve">, </w:t>
      </w:r>
      <w:r w:rsidR="00FF0FC7">
        <w:rPr>
          <w:rFonts w:ascii="Times New Roman" w:hAnsi="Times New Roman" w:cs="Times New Roman"/>
          <w:sz w:val="24"/>
          <w:szCs w:val="24"/>
        </w:rPr>
        <w:t>inspiration</w:t>
      </w:r>
      <w:r>
        <w:rPr>
          <w:rFonts w:ascii="Times New Roman" w:hAnsi="Times New Roman" w:cs="Times New Roman"/>
          <w:sz w:val="24"/>
          <w:szCs w:val="24"/>
        </w:rPr>
        <w:t xml:space="preserve"> and opportunity to contribute</w:t>
      </w:r>
      <w:r w:rsidR="00510D9D">
        <w:rPr>
          <w:rFonts w:ascii="Times New Roman" w:hAnsi="Times New Roman" w:cs="Times New Roman"/>
          <w:sz w:val="24"/>
          <w:szCs w:val="24"/>
        </w:rPr>
        <w:t xml:space="preserve"> (Appelbaum et al, 2000).</w:t>
      </w:r>
      <w:r>
        <w:rPr>
          <w:rFonts w:ascii="Times New Roman" w:hAnsi="Times New Roman" w:cs="Times New Roman"/>
          <w:sz w:val="24"/>
          <w:szCs w:val="24"/>
        </w:rPr>
        <w:t xml:space="preserve"> This is particularly relevant in project-based </w:t>
      </w:r>
      <w:r w:rsidR="00794015">
        <w:rPr>
          <w:rFonts w:ascii="Times New Roman" w:hAnsi="Times New Roman" w:cs="Times New Roman"/>
          <w:sz w:val="24"/>
          <w:szCs w:val="24"/>
        </w:rPr>
        <w:t>organizations</w:t>
      </w:r>
      <w:r>
        <w:rPr>
          <w:rFonts w:ascii="Times New Roman" w:hAnsi="Times New Roman" w:cs="Times New Roman"/>
          <w:sz w:val="24"/>
          <w:szCs w:val="24"/>
        </w:rPr>
        <w:t xml:space="preserve"> because performance depends on temporary teams, rapid employee integration, specialist knowledge retention and effective redeployment of people across changing project demands. Therefore, the report evaluates HRM not only by identify good practice, but </w:t>
      </w:r>
      <w:r w:rsidR="005F6A37">
        <w:rPr>
          <w:rFonts w:ascii="Times New Roman" w:hAnsi="Times New Roman" w:cs="Times New Roman"/>
          <w:sz w:val="24"/>
          <w:szCs w:val="24"/>
        </w:rPr>
        <w:t xml:space="preserve">also </w:t>
      </w:r>
      <w:r>
        <w:rPr>
          <w:rFonts w:ascii="Times New Roman" w:hAnsi="Times New Roman" w:cs="Times New Roman"/>
          <w:sz w:val="24"/>
          <w:szCs w:val="24"/>
        </w:rPr>
        <w:t>by examining its limitations, implementation challenges and strategic relevance to Unilever.</w:t>
      </w:r>
    </w:p>
    <w:p w14:paraId="29185A09"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339BA1F9"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7431F999"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2F6CB953"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3B41D26C" w14:textId="77777777" w:rsidR="00AA4F7B" w:rsidRDefault="00AA4F7B" w:rsidP="00442CDA">
      <w:pPr>
        <w:tabs>
          <w:tab w:val="left" w:pos="1008"/>
        </w:tabs>
        <w:spacing w:line="360" w:lineRule="auto"/>
        <w:jc w:val="both"/>
        <w:rPr>
          <w:rFonts w:ascii="Times New Roman" w:hAnsi="Times New Roman" w:cs="Times New Roman"/>
          <w:sz w:val="24"/>
          <w:szCs w:val="24"/>
        </w:rPr>
      </w:pPr>
    </w:p>
    <w:p w14:paraId="7150EDDB" w14:textId="77777777" w:rsidR="00CF661A" w:rsidRDefault="00CF661A" w:rsidP="00DD4278">
      <w:pPr>
        <w:tabs>
          <w:tab w:val="left" w:pos="1008"/>
        </w:tabs>
      </w:pPr>
    </w:p>
    <w:p w14:paraId="512FF9D5" w14:textId="77777777" w:rsidR="00CF661A" w:rsidRDefault="00CF661A" w:rsidP="00DD4278">
      <w:pPr>
        <w:tabs>
          <w:tab w:val="left" w:pos="1008"/>
        </w:tabs>
      </w:pPr>
    </w:p>
    <w:p w14:paraId="0CDD9D6C" w14:textId="77777777" w:rsidR="00442CDA" w:rsidRDefault="00442CDA" w:rsidP="00DD4278">
      <w:pPr>
        <w:tabs>
          <w:tab w:val="left" w:pos="1008"/>
        </w:tabs>
      </w:pPr>
    </w:p>
    <w:p w14:paraId="386121B9" w14:textId="77777777" w:rsidR="00442CDA" w:rsidRDefault="00442CDA" w:rsidP="00DD4278">
      <w:pPr>
        <w:tabs>
          <w:tab w:val="left" w:pos="1008"/>
        </w:tabs>
      </w:pPr>
    </w:p>
    <w:p w14:paraId="179F69F0" w14:textId="2FFB9375" w:rsidR="00404255" w:rsidRPr="00E667EA" w:rsidRDefault="00E667EA" w:rsidP="000A5145">
      <w:pPr>
        <w:pStyle w:val="Heading1"/>
        <w:rPr>
          <w:rFonts w:ascii="Times New Roman" w:hAnsi="Times New Roman" w:cs="Times New Roman"/>
          <w:b/>
          <w:bCs/>
          <w:sz w:val="32"/>
          <w:szCs w:val="32"/>
        </w:rPr>
      </w:pPr>
      <w:bookmarkStart w:id="2" w:name="_Toc230524387"/>
      <w:r w:rsidRPr="00E667EA">
        <w:rPr>
          <w:rFonts w:ascii="Times New Roman" w:hAnsi="Times New Roman" w:cs="Times New Roman"/>
          <w:b/>
          <w:bCs/>
          <w:sz w:val="32"/>
          <w:szCs w:val="32"/>
        </w:rPr>
        <w:lastRenderedPageBreak/>
        <w:t>2.0 UNILEVER HR DEPARTMENT</w:t>
      </w:r>
      <w:bookmarkEnd w:id="2"/>
    </w:p>
    <w:p w14:paraId="3482F437" w14:textId="47CC1485" w:rsidR="00B34AC8" w:rsidRDefault="00D0419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This report uses Unilever as the selected international company to examine contemporary HRM practices. Unilever is a multinational consumer goods organization with global operations across marketing, supply chain, finance, research and deve</w:t>
      </w:r>
      <w:r w:rsidR="00D0105E">
        <w:rPr>
          <w:rFonts w:ascii="Times New Roman" w:hAnsi="Times New Roman" w:cs="Times New Roman"/>
          <w:sz w:val="24"/>
          <w:szCs w:val="24"/>
        </w:rPr>
        <w:t>lopment, digital transformation and human resources. Its HR department is suitable for this analysis because it is positioned as a strategic function that supports employee development, inclusion, wellbeing, flexible working and business performance. Unilever states that its HR teams enable business performance by empowering approximately 12,000 colleagues across the wor</w:t>
      </w:r>
      <w:r w:rsidR="005F6A37">
        <w:rPr>
          <w:rFonts w:ascii="Times New Roman" w:hAnsi="Times New Roman" w:cs="Times New Roman"/>
          <w:sz w:val="24"/>
          <w:szCs w:val="24"/>
        </w:rPr>
        <w:t>l</w:t>
      </w:r>
      <w:r w:rsidR="00D0105E">
        <w:rPr>
          <w:rFonts w:ascii="Times New Roman" w:hAnsi="Times New Roman" w:cs="Times New Roman"/>
          <w:sz w:val="24"/>
          <w:szCs w:val="24"/>
        </w:rPr>
        <w:t>d to thrive and perform at their best.</w:t>
      </w:r>
    </w:p>
    <w:p w14:paraId="49CE321F" w14:textId="3116EB88" w:rsidR="00510D9D" w:rsidRDefault="00D0105E"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Unilever is also relevant to project-based </w:t>
      </w:r>
      <w:r w:rsidR="00794015">
        <w:rPr>
          <w:rFonts w:ascii="Times New Roman" w:hAnsi="Times New Roman" w:cs="Times New Roman"/>
          <w:sz w:val="24"/>
          <w:szCs w:val="24"/>
        </w:rPr>
        <w:t>organizations</w:t>
      </w:r>
      <w:r>
        <w:rPr>
          <w:rFonts w:ascii="Times New Roman" w:hAnsi="Times New Roman" w:cs="Times New Roman"/>
          <w:sz w:val="24"/>
          <w:szCs w:val="24"/>
        </w:rPr>
        <w:t xml:space="preserve"> because many of its activities depend on cross-functional teams, innovation projects, sustainability </w:t>
      </w:r>
      <w:r w:rsidR="009F1517">
        <w:rPr>
          <w:rFonts w:ascii="Times New Roman" w:hAnsi="Times New Roman" w:cs="Times New Roman"/>
          <w:sz w:val="24"/>
          <w:szCs w:val="24"/>
        </w:rPr>
        <w:t>programme</w:t>
      </w:r>
      <w:r w:rsidR="00E95FB1">
        <w:rPr>
          <w:rFonts w:ascii="Times New Roman" w:hAnsi="Times New Roman" w:cs="Times New Roman"/>
          <w:sz w:val="24"/>
          <w:szCs w:val="24"/>
        </w:rPr>
        <w:t>s</w:t>
      </w:r>
      <w:r>
        <w:rPr>
          <w:rFonts w:ascii="Times New Roman" w:hAnsi="Times New Roman" w:cs="Times New Roman"/>
          <w:sz w:val="24"/>
          <w:szCs w:val="24"/>
        </w:rPr>
        <w:t>, digital change and supply chain transformation. These activ</w:t>
      </w:r>
      <w:r w:rsidR="007212D6">
        <w:rPr>
          <w:rFonts w:ascii="Times New Roman" w:hAnsi="Times New Roman" w:cs="Times New Roman"/>
          <w:sz w:val="24"/>
          <w:szCs w:val="24"/>
        </w:rPr>
        <w:t>ities</w:t>
      </w:r>
      <w:r>
        <w:rPr>
          <w:rFonts w:ascii="Times New Roman" w:hAnsi="Times New Roman" w:cs="Times New Roman"/>
          <w:sz w:val="24"/>
          <w:szCs w:val="24"/>
        </w:rPr>
        <w:t xml:space="preserve"> require HR practices that can attract skilled employees, onboard them effectively, retain knowledge and develop future leaders. However, Unilever should not be presented as a perfect organization. Like many multinational companies, it faces challenges such as maintaining consistent employee experience across different countries, balancing flexibility with business performance and ensuring that development opportunities are accessible to all employees rather than only high-potential groups.</w:t>
      </w:r>
      <w:r w:rsidR="00896DAC">
        <w:rPr>
          <w:rFonts w:ascii="Times New Roman" w:hAnsi="Times New Roman" w:cs="Times New Roman"/>
          <w:sz w:val="24"/>
          <w:szCs w:val="24"/>
        </w:rPr>
        <w:t xml:space="preserve"> </w:t>
      </w:r>
    </w:p>
    <w:p w14:paraId="10D4D57C" w14:textId="689229CC" w:rsidR="00D0105E" w:rsidRDefault="00896DAC"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Unilever should not be treated as a model </w:t>
      </w:r>
      <w:r w:rsidR="00794015">
        <w:rPr>
          <w:rFonts w:ascii="Times New Roman" w:hAnsi="Times New Roman" w:cs="Times New Roman"/>
          <w:sz w:val="24"/>
          <w:szCs w:val="24"/>
        </w:rPr>
        <w:t>organization</w:t>
      </w:r>
      <w:r>
        <w:rPr>
          <w:rFonts w:ascii="Times New Roman" w:hAnsi="Times New Roman" w:cs="Times New Roman"/>
          <w:sz w:val="24"/>
          <w:szCs w:val="24"/>
        </w:rPr>
        <w:t xml:space="preserve"> without </w:t>
      </w:r>
      <w:r w:rsidR="009F1517">
        <w:rPr>
          <w:rFonts w:ascii="Times New Roman" w:hAnsi="Times New Roman" w:cs="Times New Roman"/>
          <w:sz w:val="24"/>
          <w:szCs w:val="24"/>
        </w:rPr>
        <w:t>criti</w:t>
      </w:r>
      <w:r w:rsidR="00695070">
        <w:rPr>
          <w:rFonts w:ascii="Times New Roman" w:hAnsi="Times New Roman" w:cs="Times New Roman"/>
          <w:sz w:val="24"/>
          <w:szCs w:val="24"/>
        </w:rPr>
        <w:t>cism</w:t>
      </w:r>
      <w:r>
        <w:rPr>
          <w:rFonts w:ascii="Times New Roman" w:hAnsi="Times New Roman" w:cs="Times New Roman"/>
          <w:sz w:val="24"/>
          <w:szCs w:val="24"/>
        </w:rPr>
        <w:t xml:space="preserve">. A global HR policy may appear strong at corporate level, but employees may experience it differently across countries, functions and project </w:t>
      </w:r>
      <w:r w:rsidR="005133B7">
        <w:rPr>
          <w:rFonts w:ascii="Times New Roman" w:hAnsi="Times New Roman" w:cs="Times New Roman"/>
          <w:sz w:val="24"/>
          <w:szCs w:val="24"/>
        </w:rPr>
        <w:t xml:space="preserve">teams (Guest, 2017). </w:t>
      </w:r>
      <w:r>
        <w:rPr>
          <w:rFonts w:ascii="Times New Roman" w:hAnsi="Times New Roman" w:cs="Times New Roman"/>
          <w:sz w:val="24"/>
          <w:szCs w:val="24"/>
        </w:rPr>
        <w:t xml:space="preserve">This creates a gap between intended HR strategy and lived employee experience. For this reason, the report evaluates Unilever’s HRM </w:t>
      </w:r>
      <w:r w:rsidR="009F1517">
        <w:rPr>
          <w:rFonts w:ascii="Times New Roman" w:hAnsi="Times New Roman" w:cs="Times New Roman"/>
          <w:sz w:val="24"/>
          <w:szCs w:val="24"/>
        </w:rPr>
        <w:t>practices</w:t>
      </w:r>
      <w:r>
        <w:rPr>
          <w:rFonts w:ascii="Times New Roman" w:hAnsi="Times New Roman" w:cs="Times New Roman"/>
          <w:sz w:val="24"/>
          <w:szCs w:val="24"/>
        </w:rPr>
        <w:t xml:space="preserve"> by considering not only whether policies exist, but whether they are likely to be consistent, inclusive, feasible and strategically useful in project-based contexts.</w:t>
      </w:r>
    </w:p>
    <w:p w14:paraId="05AE7610"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7B4B7913"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1946409F"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5C063BB7"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537AB1FC" w14:textId="77777777" w:rsidR="00B34AC8" w:rsidRDefault="00B34AC8" w:rsidP="006D7088">
      <w:pPr>
        <w:tabs>
          <w:tab w:val="left" w:pos="1008"/>
        </w:tabs>
        <w:spacing w:line="360" w:lineRule="auto"/>
        <w:jc w:val="both"/>
        <w:rPr>
          <w:rFonts w:ascii="Times New Roman" w:hAnsi="Times New Roman" w:cs="Times New Roman"/>
          <w:sz w:val="24"/>
          <w:szCs w:val="24"/>
        </w:rPr>
      </w:pPr>
    </w:p>
    <w:p w14:paraId="3F099FAA" w14:textId="77777777" w:rsidR="002F004B" w:rsidRPr="0056601B" w:rsidRDefault="002F004B" w:rsidP="006D7088">
      <w:pPr>
        <w:tabs>
          <w:tab w:val="left" w:pos="1008"/>
        </w:tabs>
        <w:spacing w:line="360" w:lineRule="auto"/>
        <w:jc w:val="both"/>
        <w:rPr>
          <w:rFonts w:ascii="Times New Roman" w:hAnsi="Times New Roman" w:cs="Times New Roman"/>
          <w:sz w:val="24"/>
          <w:szCs w:val="24"/>
        </w:rPr>
      </w:pPr>
    </w:p>
    <w:p w14:paraId="16983365" w14:textId="128316D5" w:rsidR="000A5145" w:rsidRPr="00E667EA" w:rsidRDefault="00E667EA" w:rsidP="000A5145">
      <w:pPr>
        <w:pStyle w:val="Heading1"/>
        <w:rPr>
          <w:rFonts w:ascii="Times New Roman" w:hAnsi="Times New Roman" w:cs="Times New Roman"/>
          <w:b/>
          <w:bCs/>
          <w:sz w:val="28"/>
          <w:szCs w:val="28"/>
        </w:rPr>
      </w:pPr>
      <w:bookmarkStart w:id="3" w:name="_Toc230524388"/>
      <w:r w:rsidRPr="00E667EA">
        <w:rPr>
          <w:rFonts w:ascii="Times New Roman" w:hAnsi="Times New Roman" w:cs="Times New Roman"/>
          <w:b/>
          <w:bCs/>
          <w:sz w:val="28"/>
          <w:szCs w:val="28"/>
        </w:rPr>
        <w:lastRenderedPageBreak/>
        <w:t>3.0 SCENARIO 1: HIGH-PERFORMING WORKPLACES</w:t>
      </w:r>
      <w:bookmarkEnd w:id="3"/>
    </w:p>
    <w:p w14:paraId="6E0B0B3D" w14:textId="2E34A950" w:rsidR="00AE49F3" w:rsidRDefault="00AE49F3"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High-performing workplace</w:t>
      </w:r>
      <w:r w:rsidR="000B32CF">
        <w:rPr>
          <w:rFonts w:ascii="Times New Roman" w:hAnsi="Times New Roman" w:cs="Times New Roman"/>
          <w:sz w:val="24"/>
          <w:szCs w:val="24"/>
        </w:rPr>
        <w:t>s</w:t>
      </w:r>
      <w:r>
        <w:rPr>
          <w:rFonts w:ascii="Times New Roman" w:hAnsi="Times New Roman" w:cs="Times New Roman"/>
          <w:sz w:val="24"/>
          <w:szCs w:val="24"/>
        </w:rPr>
        <w:t xml:space="preserve"> are often associated with trust-based leadership, employee voice, wellbeing support, development opportunities and inclusive working culture</w:t>
      </w:r>
      <w:r w:rsidR="00146207">
        <w:rPr>
          <w:rFonts w:ascii="Times New Roman" w:hAnsi="Times New Roman" w:cs="Times New Roman"/>
          <w:sz w:val="24"/>
          <w:szCs w:val="24"/>
        </w:rPr>
        <w:t>s</w:t>
      </w:r>
      <w:r w:rsidR="005133B7">
        <w:rPr>
          <w:rFonts w:ascii="Times New Roman" w:hAnsi="Times New Roman" w:cs="Times New Roman"/>
          <w:sz w:val="24"/>
          <w:szCs w:val="24"/>
        </w:rPr>
        <w:t xml:space="preserve"> (Guest 2017; Appelbaum et al; 2000).</w:t>
      </w:r>
      <w:r>
        <w:rPr>
          <w:rFonts w:ascii="Times New Roman" w:hAnsi="Times New Roman" w:cs="Times New Roman"/>
          <w:sz w:val="24"/>
          <w:szCs w:val="24"/>
        </w:rPr>
        <w:t xml:space="preserve"> </w:t>
      </w:r>
      <w:r w:rsidR="005133B7">
        <w:rPr>
          <w:rFonts w:ascii="Times New Roman" w:hAnsi="Times New Roman" w:cs="Times New Roman"/>
          <w:sz w:val="24"/>
          <w:szCs w:val="24"/>
        </w:rPr>
        <w:t>Employer</w:t>
      </w:r>
      <w:r>
        <w:rPr>
          <w:rFonts w:ascii="Times New Roman" w:hAnsi="Times New Roman" w:cs="Times New Roman"/>
          <w:sz w:val="24"/>
          <w:szCs w:val="24"/>
        </w:rPr>
        <w:t xml:space="preserve"> rankings such as great place to work can provide useful evidence of employee experience, but they should be interpreted critically</w:t>
      </w:r>
      <w:r w:rsidR="005133B7">
        <w:rPr>
          <w:rFonts w:ascii="Times New Roman" w:hAnsi="Times New Roman" w:cs="Times New Roman"/>
          <w:sz w:val="24"/>
          <w:szCs w:val="24"/>
        </w:rPr>
        <w:t xml:space="preserve"> (Great place to </w:t>
      </w:r>
      <w:r w:rsidR="000253DB">
        <w:rPr>
          <w:rFonts w:ascii="Times New Roman" w:hAnsi="Times New Roman" w:cs="Times New Roman"/>
          <w:sz w:val="24"/>
          <w:szCs w:val="24"/>
        </w:rPr>
        <w:t>W</w:t>
      </w:r>
      <w:r w:rsidR="005133B7">
        <w:rPr>
          <w:rFonts w:ascii="Times New Roman" w:hAnsi="Times New Roman" w:cs="Times New Roman"/>
          <w:sz w:val="24"/>
          <w:szCs w:val="24"/>
        </w:rPr>
        <w:t>ork UK, 2025).</w:t>
      </w:r>
      <w:r>
        <w:rPr>
          <w:rFonts w:ascii="Times New Roman" w:hAnsi="Times New Roman" w:cs="Times New Roman"/>
          <w:sz w:val="24"/>
          <w:szCs w:val="24"/>
        </w:rPr>
        <w:t xml:space="preserve"> Such rankings may show that employees report positive experiences, but they do not always reveal whether these experiences are consistent across departments, countries, job levels or project teams. Therefore, a high-performing workplace should not be judged only by </w:t>
      </w:r>
      <w:r w:rsidR="002F341E">
        <w:rPr>
          <w:rFonts w:ascii="Times New Roman" w:hAnsi="Times New Roman" w:cs="Times New Roman"/>
          <w:sz w:val="24"/>
          <w:szCs w:val="24"/>
        </w:rPr>
        <w:t>a</w:t>
      </w:r>
      <w:r>
        <w:rPr>
          <w:rFonts w:ascii="Times New Roman" w:hAnsi="Times New Roman" w:cs="Times New Roman"/>
          <w:sz w:val="24"/>
          <w:szCs w:val="24"/>
        </w:rPr>
        <w:t>wards, benefits or employer reputation. It should be assessed by whether employees experience fairness, trust, development and psychological safety in everyday work.</w:t>
      </w:r>
    </w:p>
    <w:p w14:paraId="00FD934F" w14:textId="03020C68" w:rsidR="00784FFC" w:rsidRDefault="00784FFC"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AMO framework provides a stronger theoretical explanation of high performance. It suggests that employee performance depends on ability, motivation and opportunity to contribute. From these perspectives, HR practices such as training, flexible working, wellbeing support and employee involvement only create value when they operate as a connected system. For Unilever, this means that flexible working or wellbeing policies are not enough on their own. They must be supported by capable line managers, fair workload allocation, clear communication and opportunities for employees to influence decision. </w:t>
      </w:r>
    </w:p>
    <w:p w14:paraId="6480F36D" w14:textId="07673A5D" w:rsidR="004204BF" w:rsidRDefault="00635F9E"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 the case of Unilever, high-performing workplace practices can be linked to its focus on employee empowerment, flexible work, wellbeing and inclusion. Its HR function is not presented simply as an administrative department, but as a function that shapes argument that employee commitment improves when HR practices operate as a coherent system rather than disconnected initi</w:t>
      </w:r>
      <w:r w:rsidR="00CA642E">
        <w:rPr>
          <w:rFonts w:ascii="Times New Roman" w:hAnsi="Times New Roman" w:cs="Times New Roman"/>
          <w:sz w:val="24"/>
          <w:szCs w:val="24"/>
        </w:rPr>
        <w:t>atives</w:t>
      </w:r>
      <w:r>
        <w:rPr>
          <w:rFonts w:ascii="Times New Roman" w:hAnsi="Times New Roman" w:cs="Times New Roman"/>
          <w:sz w:val="24"/>
          <w:szCs w:val="24"/>
        </w:rPr>
        <w:t xml:space="preserve">. In project-based </w:t>
      </w:r>
      <w:r w:rsidR="00794015">
        <w:rPr>
          <w:rFonts w:ascii="Times New Roman" w:hAnsi="Times New Roman" w:cs="Times New Roman"/>
          <w:sz w:val="24"/>
          <w:szCs w:val="24"/>
        </w:rPr>
        <w:t>organizations</w:t>
      </w:r>
      <w:r>
        <w:rPr>
          <w:rFonts w:ascii="Times New Roman" w:hAnsi="Times New Roman" w:cs="Times New Roman"/>
          <w:sz w:val="24"/>
          <w:szCs w:val="24"/>
        </w:rPr>
        <w:t>, this is important because employees often move between temporary teams. Without consistent leadership behaviors and communication routines, employees may feel attached to a project but disconnected form the wider organization.</w:t>
      </w:r>
    </w:p>
    <w:p w14:paraId="28641106"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3F882C0A"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7BA4BB65" w14:textId="77777777" w:rsidR="00784FFC" w:rsidRDefault="00784FFC" w:rsidP="006D7088">
      <w:pPr>
        <w:tabs>
          <w:tab w:val="left" w:pos="1008"/>
        </w:tabs>
        <w:spacing w:line="360" w:lineRule="auto"/>
        <w:jc w:val="both"/>
        <w:rPr>
          <w:rFonts w:ascii="Times New Roman" w:hAnsi="Times New Roman" w:cs="Times New Roman"/>
          <w:sz w:val="24"/>
          <w:szCs w:val="24"/>
        </w:rPr>
      </w:pPr>
    </w:p>
    <w:p w14:paraId="5A3D865B" w14:textId="77777777" w:rsidR="00784FFC" w:rsidRDefault="00784FFC" w:rsidP="006D7088">
      <w:pPr>
        <w:tabs>
          <w:tab w:val="left" w:pos="1008"/>
        </w:tabs>
        <w:spacing w:line="360" w:lineRule="auto"/>
        <w:jc w:val="both"/>
        <w:rPr>
          <w:rFonts w:ascii="Times New Roman" w:hAnsi="Times New Roman" w:cs="Times New Roman"/>
          <w:sz w:val="24"/>
          <w:szCs w:val="24"/>
        </w:rPr>
      </w:pPr>
    </w:p>
    <w:p w14:paraId="2477F3F3" w14:textId="77777777" w:rsidR="00784FFC" w:rsidRDefault="00784FFC" w:rsidP="006D7088">
      <w:pPr>
        <w:tabs>
          <w:tab w:val="left" w:pos="1008"/>
        </w:tabs>
        <w:spacing w:line="360" w:lineRule="auto"/>
        <w:jc w:val="both"/>
        <w:rPr>
          <w:rFonts w:ascii="Times New Roman" w:hAnsi="Times New Roman" w:cs="Times New Roman"/>
          <w:sz w:val="24"/>
          <w:szCs w:val="24"/>
        </w:rPr>
      </w:pPr>
    </w:p>
    <w:p w14:paraId="47A42697" w14:textId="718001F4" w:rsidR="00784FFC" w:rsidRPr="00784FFC" w:rsidRDefault="00784FFC" w:rsidP="006D7088">
      <w:pPr>
        <w:tabs>
          <w:tab w:val="left" w:pos="1008"/>
        </w:tabs>
        <w:spacing w:line="360" w:lineRule="auto"/>
        <w:jc w:val="both"/>
        <w:rPr>
          <w:rFonts w:ascii="Times New Roman" w:hAnsi="Times New Roman" w:cs="Times New Roman"/>
          <w:b/>
          <w:bCs/>
          <w:sz w:val="24"/>
          <w:szCs w:val="24"/>
          <w:u w:val="single"/>
        </w:rPr>
      </w:pPr>
      <w:r w:rsidRPr="00784FFC">
        <w:rPr>
          <w:rFonts w:ascii="Times New Roman" w:hAnsi="Times New Roman" w:cs="Times New Roman"/>
          <w:b/>
          <w:bCs/>
          <w:sz w:val="24"/>
          <w:szCs w:val="24"/>
          <w:u w:val="single"/>
        </w:rPr>
        <w:lastRenderedPageBreak/>
        <w:t>Table 1: HRM Practices associated with high-performing project-based workplaces</w:t>
      </w:r>
    </w:p>
    <w:tbl>
      <w:tblPr>
        <w:tblStyle w:val="TableGrid"/>
        <w:tblW w:w="0" w:type="auto"/>
        <w:tblLook w:val="04A0" w:firstRow="1" w:lastRow="0" w:firstColumn="1" w:lastColumn="0" w:noHBand="0" w:noVBand="1"/>
      </w:tblPr>
      <w:tblGrid>
        <w:gridCol w:w="3005"/>
        <w:gridCol w:w="3005"/>
        <w:gridCol w:w="3006"/>
      </w:tblGrid>
      <w:tr w:rsidR="00F71F5D" w14:paraId="1B1C793B" w14:textId="77777777" w:rsidTr="00F71F5D">
        <w:tc>
          <w:tcPr>
            <w:tcW w:w="3005" w:type="dxa"/>
          </w:tcPr>
          <w:p w14:paraId="2F9FC57D" w14:textId="3EE8D217" w:rsidR="00F71F5D" w:rsidRPr="00F71F5D" w:rsidRDefault="00F71F5D" w:rsidP="00F71F5D">
            <w:pPr>
              <w:tabs>
                <w:tab w:val="left" w:pos="1008"/>
              </w:tabs>
              <w:spacing w:line="360" w:lineRule="auto"/>
              <w:jc w:val="center"/>
              <w:rPr>
                <w:rFonts w:ascii="Times New Roman" w:hAnsi="Times New Roman" w:cs="Times New Roman"/>
                <w:b/>
                <w:bCs/>
                <w:sz w:val="24"/>
                <w:szCs w:val="24"/>
              </w:rPr>
            </w:pPr>
            <w:r w:rsidRPr="00F71F5D">
              <w:rPr>
                <w:rFonts w:ascii="Times New Roman" w:hAnsi="Times New Roman" w:cs="Times New Roman"/>
                <w:b/>
                <w:bCs/>
                <w:sz w:val="24"/>
                <w:szCs w:val="24"/>
              </w:rPr>
              <w:t>HR practice</w:t>
            </w:r>
          </w:p>
        </w:tc>
        <w:tc>
          <w:tcPr>
            <w:tcW w:w="3005" w:type="dxa"/>
          </w:tcPr>
          <w:p w14:paraId="1F681C96" w14:textId="6077B5C4" w:rsidR="00F71F5D" w:rsidRPr="00F71F5D" w:rsidRDefault="00F71F5D" w:rsidP="00F71F5D">
            <w:pPr>
              <w:tabs>
                <w:tab w:val="left" w:pos="1008"/>
              </w:tabs>
              <w:spacing w:line="360" w:lineRule="auto"/>
              <w:jc w:val="center"/>
              <w:rPr>
                <w:rFonts w:ascii="Times New Roman" w:hAnsi="Times New Roman" w:cs="Times New Roman"/>
                <w:b/>
                <w:bCs/>
                <w:sz w:val="24"/>
                <w:szCs w:val="24"/>
              </w:rPr>
            </w:pPr>
            <w:r w:rsidRPr="00F71F5D">
              <w:rPr>
                <w:rFonts w:ascii="Times New Roman" w:hAnsi="Times New Roman" w:cs="Times New Roman"/>
                <w:b/>
                <w:bCs/>
                <w:sz w:val="24"/>
                <w:szCs w:val="24"/>
              </w:rPr>
              <w:t>Example in High-performing workplaces</w:t>
            </w:r>
          </w:p>
        </w:tc>
        <w:tc>
          <w:tcPr>
            <w:tcW w:w="3006" w:type="dxa"/>
          </w:tcPr>
          <w:p w14:paraId="781D679A" w14:textId="360243EC" w:rsidR="00F71F5D" w:rsidRPr="00F71F5D" w:rsidRDefault="00F71F5D" w:rsidP="00F71F5D">
            <w:pPr>
              <w:tabs>
                <w:tab w:val="left" w:pos="1008"/>
              </w:tabs>
              <w:spacing w:line="360" w:lineRule="auto"/>
              <w:jc w:val="center"/>
              <w:rPr>
                <w:rFonts w:ascii="Times New Roman" w:hAnsi="Times New Roman" w:cs="Times New Roman"/>
                <w:b/>
                <w:bCs/>
                <w:sz w:val="24"/>
                <w:szCs w:val="24"/>
              </w:rPr>
            </w:pPr>
            <w:r w:rsidRPr="00F71F5D">
              <w:rPr>
                <w:rFonts w:ascii="Times New Roman" w:hAnsi="Times New Roman" w:cs="Times New Roman"/>
                <w:b/>
                <w:bCs/>
                <w:sz w:val="24"/>
                <w:szCs w:val="24"/>
              </w:rPr>
              <w:t xml:space="preserve">Relevance to project-based </w:t>
            </w:r>
            <w:r w:rsidR="00794015">
              <w:rPr>
                <w:rFonts w:ascii="Times New Roman" w:hAnsi="Times New Roman" w:cs="Times New Roman"/>
                <w:b/>
                <w:bCs/>
                <w:sz w:val="24"/>
                <w:szCs w:val="24"/>
              </w:rPr>
              <w:t>organizations</w:t>
            </w:r>
          </w:p>
        </w:tc>
      </w:tr>
      <w:tr w:rsidR="00F71F5D" w14:paraId="35DDF092" w14:textId="77777777" w:rsidTr="00F71F5D">
        <w:tc>
          <w:tcPr>
            <w:tcW w:w="3005" w:type="dxa"/>
          </w:tcPr>
          <w:p w14:paraId="2E6390B2" w14:textId="7B382F08"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Trust based leadership</w:t>
            </w:r>
          </w:p>
        </w:tc>
        <w:tc>
          <w:tcPr>
            <w:tcW w:w="3005" w:type="dxa"/>
          </w:tcPr>
          <w:p w14:paraId="3CB2C259" w14:textId="6D4139B9"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Open communication, ethical leadership and employee voice</w:t>
            </w:r>
          </w:p>
        </w:tc>
        <w:tc>
          <w:tcPr>
            <w:tcW w:w="3006" w:type="dxa"/>
          </w:tcPr>
          <w:p w14:paraId="30D6A753" w14:textId="1727ABE2"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Reduces conflict and support </w:t>
            </w:r>
            <w:r w:rsidR="00794015">
              <w:rPr>
                <w:rFonts w:ascii="Times New Roman" w:hAnsi="Times New Roman" w:cs="Times New Roman"/>
                <w:sz w:val="24"/>
                <w:szCs w:val="24"/>
              </w:rPr>
              <w:t>collaboration</w:t>
            </w:r>
          </w:p>
        </w:tc>
      </w:tr>
      <w:tr w:rsidR="00F71F5D" w14:paraId="4FC9E14B" w14:textId="77777777" w:rsidTr="00F71F5D">
        <w:tc>
          <w:tcPr>
            <w:tcW w:w="3005" w:type="dxa"/>
          </w:tcPr>
          <w:p w14:paraId="1E62ED94" w14:textId="745D6A4C"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Flexible working</w:t>
            </w:r>
          </w:p>
        </w:tc>
        <w:tc>
          <w:tcPr>
            <w:tcW w:w="3005" w:type="dxa"/>
          </w:tcPr>
          <w:p w14:paraId="544106C1" w14:textId="042C9CB4"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Hybrid work, flexible hours and career flexibility</w:t>
            </w:r>
          </w:p>
        </w:tc>
        <w:tc>
          <w:tcPr>
            <w:tcW w:w="3006" w:type="dxa"/>
          </w:tcPr>
          <w:p w14:paraId="5DACF899" w14:textId="16AAABAA" w:rsidR="00F71F5D" w:rsidRDefault="00F71F5D"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Support retention and work life balance</w:t>
            </w:r>
          </w:p>
        </w:tc>
      </w:tr>
      <w:tr w:rsidR="00F71F5D" w14:paraId="663D3218" w14:textId="77777777" w:rsidTr="00F71F5D">
        <w:tc>
          <w:tcPr>
            <w:tcW w:w="3005" w:type="dxa"/>
          </w:tcPr>
          <w:p w14:paraId="0ED4E0AD" w14:textId="5F33AD9E"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Wellbeing support</w:t>
            </w:r>
          </w:p>
        </w:tc>
        <w:tc>
          <w:tcPr>
            <w:tcW w:w="3005" w:type="dxa"/>
          </w:tcPr>
          <w:p w14:paraId="17BC0BF1" w14:textId="7A0E5B64"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Mental health, workload support and employee assistance</w:t>
            </w:r>
          </w:p>
        </w:tc>
        <w:tc>
          <w:tcPr>
            <w:tcW w:w="3006" w:type="dxa"/>
          </w:tcPr>
          <w:p w14:paraId="2422CDC8" w14:textId="62046507"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Reduces burnout during project pressure</w:t>
            </w:r>
          </w:p>
        </w:tc>
      </w:tr>
      <w:tr w:rsidR="00F71F5D" w14:paraId="1221D84C" w14:textId="77777777" w:rsidTr="00F71F5D">
        <w:tc>
          <w:tcPr>
            <w:tcW w:w="3005" w:type="dxa"/>
          </w:tcPr>
          <w:p w14:paraId="54B7A4A6" w14:textId="3C9E6AAF"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Development Opportunities </w:t>
            </w:r>
          </w:p>
        </w:tc>
        <w:tc>
          <w:tcPr>
            <w:tcW w:w="3005" w:type="dxa"/>
          </w:tcPr>
          <w:p w14:paraId="24345DA8" w14:textId="6D93C488"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Training, mentoring and career progression</w:t>
            </w:r>
          </w:p>
        </w:tc>
        <w:tc>
          <w:tcPr>
            <w:tcW w:w="3006" w:type="dxa"/>
          </w:tcPr>
          <w:p w14:paraId="07F9B859" w14:textId="2F1DC43E"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Build future project capability</w:t>
            </w:r>
          </w:p>
        </w:tc>
      </w:tr>
      <w:tr w:rsidR="00F71F5D" w14:paraId="4F6D19D5" w14:textId="77777777" w:rsidTr="00F71F5D">
        <w:tc>
          <w:tcPr>
            <w:tcW w:w="3005" w:type="dxa"/>
          </w:tcPr>
          <w:p w14:paraId="3773844C" w14:textId="54A84481"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Inclusion and recognition</w:t>
            </w:r>
          </w:p>
        </w:tc>
        <w:tc>
          <w:tcPr>
            <w:tcW w:w="3005" w:type="dxa"/>
          </w:tcPr>
          <w:p w14:paraId="65A72349" w14:textId="0AAC7ADC"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Fair treatment, belonging and employee appreciation</w:t>
            </w:r>
          </w:p>
        </w:tc>
        <w:tc>
          <w:tcPr>
            <w:tcW w:w="3006" w:type="dxa"/>
          </w:tcPr>
          <w:p w14:paraId="580192E4" w14:textId="50BCF58B" w:rsidR="00F71F5D" w:rsidRDefault="004204B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Improves loyalty and engagement</w:t>
            </w:r>
          </w:p>
        </w:tc>
      </w:tr>
    </w:tbl>
    <w:p w14:paraId="33FB5DFD" w14:textId="77777777" w:rsidR="00F71F5D" w:rsidRDefault="00F71F5D" w:rsidP="006D7088">
      <w:pPr>
        <w:tabs>
          <w:tab w:val="left" w:pos="1008"/>
        </w:tabs>
        <w:spacing w:line="360" w:lineRule="auto"/>
        <w:jc w:val="both"/>
        <w:rPr>
          <w:rFonts w:ascii="Times New Roman" w:hAnsi="Times New Roman" w:cs="Times New Roman"/>
          <w:sz w:val="24"/>
          <w:szCs w:val="24"/>
        </w:rPr>
      </w:pPr>
    </w:p>
    <w:p w14:paraId="264D2199" w14:textId="3E2692B2" w:rsidR="00D0105E" w:rsidRDefault="00784FFC"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table shows that high-performing workplace depends on a combination of structural and relational HR practices. However, the limitation of a ‘best practice’ approach is that it may assume the same HR practices work equally well in every organization. In project-based environments, this assumption is problematic because work is often temporary, deadline-driven and dependent on cross-functional </w:t>
      </w:r>
      <w:r w:rsidR="00794015">
        <w:rPr>
          <w:rFonts w:ascii="Times New Roman" w:hAnsi="Times New Roman" w:cs="Times New Roman"/>
          <w:sz w:val="24"/>
          <w:szCs w:val="24"/>
        </w:rPr>
        <w:t>collaboration</w:t>
      </w:r>
      <w:r>
        <w:rPr>
          <w:rFonts w:ascii="Times New Roman" w:hAnsi="Times New Roman" w:cs="Times New Roman"/>
          <w:sz w:val="24"/>
          <w:szCs w:val="24"/>
        </w:rPr>
        <w:t xml:space="preserve">. For example, flexible working may improve retention and work-life balance, but it can also create coordination problems if project </w:t>
      </w:r>
      <w:r w:rsidR="006942F7">
        <w:rPr>
          <w:rFonts w:ascii="Times New Roman" w:hAnsi="Times New Roman" w:cs="Times New Roman"/>
          <w:sz w:val="24"/>
          <w:szCs w:val="24"/>
        </w:rPr>
        <w:t>teams lack clear communication routines or availability expectations. Therefore, Unilever should treat high performance as a system of aligned HR practices rather than as a list of employee benefits.</w:t>
      </w:r>
    </w:p>
    <w:p w14:paraId="0E3E4EFE" w14:textId="3C81C142" w:rsidR="006942F7" w:rsidRDefault="006942F7"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Common benefits such as flexible working, wellbeing support, recognition schemes and development opportunities can improve employee commitment, but their value depends on implementation quality. A benefit may exist formally but still fail if employees cannot access it fairly or if managers discourage its use during busy project periods. This is why Unilever </w:t>
      </w:r>
      <w:r>
        <w:rPr>
          <w:rFonts w:ascii="Times New Roman" w:hAnsi="Times New Roman" w:cs="Times New Roman"/>
          <w:sz w:val="24"/>
          <w:szCs w:val="24"/>
        </w:rPr>
        <w:lastRenderedPageBreak/>
        <w:t>HRM practices should be evaluated not only by policy availability, but by consistency, fairness and impact on employee experience.</w:t>
      </w:r>
    </w:p>
    <w:p w14:paraId="1BA43A96" w14:textId="0A47587B" w:rsidR="006942F7" w:rsidRDefault="00F6321E"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project-based </w:t>
      </w:r>
      <w:r w:rsidR="00794015">
        <w:rPr>
          <w:rFonts w:ascii="Times New Roman" w:hAnsi="Times New Roman" w:cs="Times New Roman"/>
          <w:sz w:val="24"/>
          <w:szCs w:val="24"/>
        </w:rPr>
        <w:t>organizations</w:t>
      </w:r>
      <w:r>
        <w:rPr>
          <w:rFonts w:ascii="Times New Roman" w:hAnsi="Times New Roman" w:cs="Times New Roman"/>
          <w:sz w:val="24"/>
          <w:szCs w:val="24"/>
        </w:rPr>
        <w:t xml:space="preserve">, the key lesson is that high performance depends on both formal HR systems and daily management behavior. </w:t>
      </w:r>
      <w:r w:rsidR="009F1517">
        <w:rPr>
          <w:rFonts w:ascii="Times New Roman" w:hAnsi="Times New Roman" w:cs="Times New Roman"/>
          <w:sz w:val="24"/>
          <w:szCs w:val="24"/>
        </w:rPr>
        <w:t>Employees</w:t>
      </w:r>
      <w:r>
        <w:rPr>
          <w:rFonts w:ascii="Times New Roman" w:hAnsi="Times New Roman" w:cs="Times New Roman"/>
          <w:sz w:val="24"/>
          <w:szCs w:val="24"/>
        </w:rPr>
        <w:t xml:space="preserve"> may feel motivated by Unilever corporate values, but their actual experience will often be shaped by project deadlines, line manager support and workload pressure. Therefore, </w:t>
      </w:r>
      <w:r w:rsidR="009F1517">
        <w:rPr>
          <w:rFonts w:ascii="Times New Roman" w:hAnsi="Times New Roman" w:cs="Times New Roman"/>
          <w:sz w:val="24"/>
          <w:szCs w:val="24"/>
        </w:rPr>
        <w:t>an</w:t>
      </w:r>
      <w:r>
        <w:rPr>
          <w:rFonts w:ascii="Times New Roman" w:hAnsi="Times New Roman" w:cs="Times New Roman"/>
          <w:sz w:val="24"/>
          <w:szCs w:val="24"/>
        </w:rPr>
        <w:t xml:space="preserve"> evaluation must recognize that high-performing workplaces are not created by benefits alone; they are created through the consistent alignment of culture, leadership, development, wellbeing and employee voice. </w:t>
      </w:r>
    </w:p>
    <w:p w14:paraId="0A33AA07"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777381EA"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6D37DCC6"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7181C0BF"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51760A6D"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5ACA26F8"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4D67C365"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7C30E268"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6BD3F25C"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1DD75DBD"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61BAD695"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075FA35D" w14:textId="77777777" w:rsidR="00D240BC" w:rsidRDefault="00D240BC" w:rsidP="006D7088">
      <w:pPr>
        <w:tabs>
          <w:tab w:val="left" w:pos="1008"/>
        </w:tabs>
        <w:spacing w:line="360" w:lineRule="auto"/>
        <w:jc w:val="both"/>
        <w:rPr>
          <w:rFonts w:ascii="Times New Roman" w:hAnsi="Times New Roman" w:cs="Times New Roman"/>
          <w:sz w:val="24"/>
          <w:szCs w:val="24"/>
        </w:rPr>
      </w:pPr>
    </w:p>
    <w:p w14:paraId="508A0244"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7A4AEBC1"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0CAAF40D"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7F7A7132" w14:textId="77777777" w:rsidR="004204BF" w:rsidRDefault="004204BF" w:rsidP="006D7088">
      <w:pPr>
        <w:tabs>
          <w:tab w:val="left" w:pos="1008"/>
        </w:tabs>
        <w:spacing w:line="360" w:lineRule="auto"/>
        <w:jc w:val="both"/>
        <w:rPr>
          <w:rFonts w:ascii="Times New Roman" w:hAnsi="Times New Roman" w:cs="Times New Roman"/>
          <w:sz w:val="24"/>
          <w:szCs w:val="24"/>
        </w:rPr>
      </w:pPr>
    </w:p>
    <w:p w14:paraId="2DF4C37D" w14:textId="4793C47E" w:rsidR="00404255" w:rsidRPr="00E500F8" w:rsidRDefault="00E667EA" w:rsidP="00404255">
      <w:pPr>
        <w:pStyle w:val="Heading1"/>
        <w:rPr>
          <w:rFonts w:ascii="Times New Roman" w:hAnsi="Times New Roman" w:cs="Times New Roman"/>
          <w:b/>
          <w:bCs/>
          <w:sz w:val="32"/>
          <w:szCs w:val="32"/>
        </w:rPr>
      </w:pPr>
      <w:bookmarkStart w:id="4" w:name="_Toc230524389"/>
      <w:r>
        <w:rPr>
          <w:rFonts w:ascii="Times New Roman" w:hAnsi="Times New Roman" w:cs="Times New Roman"/>
          <w:b/>
          <w:bCs/>
          <w:sz w:val="32"/>
          <w:szCs w:val="32"/>
        </w:rPr>
        <w:lastRenderedPageBreak/>
        <w:t>4</w:t>
      </w:r>
      <w:r w:rsidRPr="00E500F8">
        <w:rPr>
          <w:rFonts w:ascii="Times New Roman" w:hAnsi="Times New Roman" w:cs="Times New Roman"/>
          <w:b/>
          <w:bCs/>
          <w:sz w:val="32"/>
          <w:szCs w:val="32"/>
        </w:rPr>
        <w:t>.0</w:t>
      </w:r>
      <w:r>
        <w:rPr>
          <w:rFonts w:ascii="Times New Roman" w:hAnsi="Times New Roman" w:cs="Times New Roman"/>
          <w:b/>
          <w:bCs/>
          <w:sz w:val="32"/>
          <w:szCs w:val="32"/>
        </w:rPr>
        <w:t xml:space="preserve"> SCENARIO 2: EMPLOYEE ORIENTATION PRACTICES</w:t>
      </w:r>
      <w:bookmarkEnd w:id="4"/>
    </w:p>
    <w:p w14:paraId="027DDE8F" w14:textId="781D2313" w:rsidR="006A4E46" w:rsidRDefault="006A4E46"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orientation, or onboarding, is the process through which new employees understand their role, workplace expectations, organizational culture and performance requirements. In project-based </w:t>
      </w:r>
      <w:r w:rsidR="00794015">
        <w:rPr>
          <w:rFonts w:ascii="Times New Roman" w:hAnsi="Times New Roman" w:cs="Times New Roman"/>
          <w:sz w:val="24"/>
          <w:szCs w:val="24"/>
        </w:rPr>
        <w:t>organizations</w:t>
      </w:r>
      <w:r>
        <w:rPr>
          <w:rFonts w:ascii="Times New Roman" w:hAnsi="Times New Roman" w:cs="Times New Roman"/>
          <w:sz w:val="24"/>
          <w:szCs w:val="24"/>
        </w:rPr>
        <w:t>, onboarding is strategically important because new employees often need to become productive quickly while also understanding project governance, stakeholder relationships, safety procedures and communication routines. Therefore, orientation should not be treated as a one-day administrative induction, but as a structured socialization and performance-readiness process.</w:t>
      </w:r>
    </w:p>
    <w:p w14:paraId="24B650AB" w14:textId="45D531E7" w:rsidR="006959C4" w:rsidRDefault="006A4E46"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Bauer’s onboarding model</w:t>
      </w:r>
      <w:r w:rsidR="00D1026B">
        <w:rPr>
          <w:rFonts w:ascii="Times New Roman" w:hAnsi="Times New Roman" w:cs="Times New Roman"/>
          <w:sz w:val="24"/>
          <w:szCs w:val="24"/>
        </w:rPr>
        <w:t xml:space="preserve"> identifies</w:t>
      </w:r>
      <w:r>
        <w:rPr>
          <w:rFonts w:ascii="Times New Roman" w:hAnsi="Times New Roman" w:cs="Times New Roman"/>
          <w:sz w:val="24"/>
          <w:szCs w:val="24"/>
        </w:rPr>
        <w:t xml:space="preserve"> </w:t>
      </w:r>
      <w:r w:rsidR="00D1026B">
        <w:rPr>
          <w:rFonts w:ascii="Times New Roman" w:hAnsi="Times New Roman" w:cs="Times New Roman"/>
          <w:sz w:val="24"/>
          <w:szCs w:val="24"/>
        </w:rPr>
        <w:t>role clarity</w:t>
      </w:r>
      <w:r>
        <w:rPr>
          <w:rFonts w:ascii="Times New Roman" w:hAnsi="Times New Roman" w:cs="Times New Roman"/>
          <w:sz w:val="24"/>
          <w:szCs w:val="24"/>
        </w:rPr>
        <w:t xml:space="preserve"> useful because it identifies </w:t>
      </w:r>
      <w:r w:rsidR="00FF0FC7">
        <w:rPr>
          <w:rFonts w:ascii="Times New Roman" w:hAnsi="Times New Roman" w:cs="Times New Roman"/>
          <w:sz w:val="24"/>
          <w:szCs w:val="24"/>
        </w:rPr>
        <w:t>title role</w:t>
      </w:r>
      <w:r>
        <w:rPr>
          <w:rFonts w:ascii="Times New Roman" w:hAnsi="Times New Roman" w:cs="Times New Roman"/>
          <w:sz w:val="24"/>
          <w:szCs w:val="24"/>
        </w:rPr>
        <w:t xml:space="preserve"> clarity, self-efficacy, social integration and </w:t>
      </w:r>
      <w:r w:rsidR="00FF0FC7">
        <w:rPr>
          <w:rFonts w:ascii="Times New Roman" w:hAnsi="Times New Roman" w:cs="Times New Roman"/>
          <w:sz w:val="24"/>
          <w:szCs w:val="24"/>
        </w:rPr>
        <w:t>social</w:t>
      </w:r>
      <w:r>
        <w:rPr>
          <w:rFonts w:ascii="Times New Roman" w:hAnsi="Times New Roman" w:cs="Times New Roman"/>
          <w:sz w:val="24"/>
          <w:szCs w:val="24"/>
        </w:rPr>
        <w:t xml:space="preserve"> knowledge as important condition</w:t>
      </w:r>
      <w:r w:rsidR="00F43DA1">
        <w:rPr>
          <w:rFonts w:ascii="Times New Roman" w:hAnsi="Times New Roman" w:cs="Times New Roman"/>
          <w:sz w:val="24"/>
          <w:szCs w:val="24"/>
        </w:rPr>
        <w:t>s</w:t>
      </w:r>
      <w:r>
        <w:rPr>
          <w:rFonts w:ascii="Times New Roman" w:hAnsi="Times New Roman" w:cs="Times New Roman"/>
          <w:sz w:val="24"/>
          <w:szCs w:val="24"/>
        </w:rPr>
        <w:t xml:space="preserve"> for successful onboarding. This is more advanced than a traditional induction checklist because it considers both performance and belonging. However, the model should not be applied mechanically. A new employee may complete all induction documents but still lack confidence, informal knowledge or understanding of project-specific expectations. This is particularly risky in project-based </w:t>
      </w:r>
      <w:r w:rsidR="00794015">
        <w:rPr>
          <w:rFonts w:ascii="Times New Roman" w:hAnsi="Times New Roman" w:cs="Times New Roman"/>
          <w:sz w:val="24"/>
          <w:szCs w:val="24"/>
        </w:rPr>
        <w:t>organizations</w:t>
      </w:r>
      <w:r>
        <w:rPr>
          <w:rFonts w:ascii="Times New Roman" w:hAnsi="Times New Roman" w:cs="Times New Roman"/>
          <w:sz w:val="24"/>
          <w:szCs w:val="24"/>
        </w:rPr>
        <w:t xml:space="preserve"> </w:t>
      </w:r>
      <w:r w:rsidR="00794015">
        <w:rPr>
          <w:rFonts w:ascii="Times New Roman" w:hAnsi="Times New Roman" w:cs="Times New Roman"/>
          <w:sz w:val="24"/>
          <w:szCs w:val="24"/>
        </w:rPr>
        <w:t>were</w:t>
      </w:r>
      <w:r>
        <w:rPr>
          <w:rFonts w:ascii="Times New Roman" w:hAnsi="Times New Roman" w:cs="Times New Roman"/>
          <w:sz w:val="24"/>
          <w:szCs w:val="24"/>
        </w:rPr>
        <w:t xml:space="preserve"> mistakes in communication, safety </w:t>
      </w:r>
      <w:r w:rsidR="00041FC9">
        <w:rPr>
          <w:rFonts w:ascii="Times New Roman" w:hAnsi="Times New Roman" w:cs="Times New Roman"/>
          <w:sz w:val="24"/>
          <w:szCs w:val="24"/>
        </w:rPr>
        <w:t>or</w:t>
      </w:r>
      <w:r>
        <w:rPr>
          <w:rFonts w:ascii="Times New Roman" w:hAnsi="Times New Roman" w:cs="Times New Roman"/>
          <w:sz w:val="24"/>
          <w:szCs w:val="24"/>
        </w:rPr>
        <w:t xml:space="preserve"> stakeholder management can quickly affect delivery performance.</w:t>
      </w:r>
    </w:p>
    <w:p w14:paraId="234E5800" w14:textId="5039CB00" w:rsidR="006A4E46" w:rsidRDefault="006A4E46"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959C4">
        <w:rPr>
          <w:rFonts w:ascii="Times New Roman" w:hAnsi="Times New Roman" w:cs="Times New Roman"/>
          <w:sz w:val="24"/>
          <w:szCs w:val="24"/>
        </w:rPr>
        <w:t>For Unilever, onboarding should connect corporate values such as sustainability, inclusion and innovation with practical role expectations</w:t>
      </w:r>
      <w:r w:rsidR="005133B7">
        <w:rPr>
          <w:rFonts w:ascii="Times New Roman" w:hAnsi="Times New Roman" w:cs="Times New Roman"/>
          <w:sz w:val="24"/>
          <w:szCs w:val="24"/>
        </w:rPr>
        <w:t xml:space="preserve"> (Unilever, 2026a).</w:t>
      </w:r>
      <w:r w:rsidR="006959C4">
        <w:rPr>
          <w:rFonts w:ascii="Times New Roman" w:hAnsi="Times New Roman" w:cs="Times New Roman"/>
          <w:sz w:val="24"/>
          <w:szCs w:val="24"/>
        </w:rPr>
        <w:t xml:space="preserve"> For example, a new employee joining a supply chain transformation, digital change or sustainability project should not only receive HR policy information, but also understand cross-functional decision, project milestones, reporting channels and expected behaviors. This would make onboarding more relevant to actual performance rather than simply organizational familiarization.</w:t>
      </w:r>
    </w:p>
    <w:p w14:paraId="712C360F"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7A597B89"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54BA28CB"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34DBD8E1"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5A6932CB"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5A1D24DA"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60E6D09B"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20135D7E" w14:textId="36811EDC" w:rsidR="00596A51" w:rsidRDefault="00596A51"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004E792E">
        <w:rPr>
          <w:rFonts w:ascii="Times New Roman" w:hAnsi="Times New Roman" w:cs="Times New Roman"/>
          <w:sz w:val="24"/>
          <w:szCs w:val="24"/>
        </w:rPr>
        <w:t>ro</w:t>
      </w:r>
      <w:r>
        <w:rPr>
          <w:rFonts w:ascii="Times New Roman" w:hAnsi="Times New Roman" w:cs="Times New Roman"/>
          <w:sz w:val="24"/>
          <w:szCs w:val="24"/>
        </w:rPr>
        <w:t xml:space="preserve">m a critical perspective, effective orientation should balance compliance, socialization and performance </w:t>
      </w:r>
      <w:r w:rsidR="006A4E46">
        <w:rPr>
          <w:rFonts w:ascii="Times New Roman" w:hAnsi="Times New Roman" w:cs="Times New Roman"/>
          <w:sz w:val="24"/>
          <w:szCs w:val="24"/>
        </w:rPr>
        <w:t>readiness</w:t>
      </w:r>
      <w:r>
        <w:rPr>
          <w:rFonts w:ascii="Times New Roman" w:hAnsi="Times New Roman" w:cs="Times New Roman"/>
          <w:sz w:val="24"/>
          <w:szCs w:val="24"/>
        </w:rPr>
        <w:t xml:space="preserve">. </w:t>
      </w:r>
      <w:r w:rsidR="00BE3C25">
        <w:rPr>
          <w:rFonts w:ascii="Times New Roman" w:hAnsi="Times New Roman" w:cs="Times New Roman"/>
          <w:sz w:val="24"/>
          <w:szCs w:val="24"/>
        </w:rPr>
        <w:t>A new employee may understand formal policies quickly, but it takes longer to understand informal expectations, stakeholder relationship and project-specific working norms. Therefore, onboarding should continue beyond the first day or first week.</w:t>
      </w:r>
    </w:p>
    <w:p w14:paraId="5791A888" w14:textId="18988B67" w:rsidR="00237B76" w:rsidRDefault="006959C4"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stronger approach would be to introduce a 30-60-90-day onboarding model supported by a line manager, buddy and project-specific learning plan. The first 30 days should focus on role clarity, organizational values and cultural integration. The next 30 days should focus on project contribution, stakeholder understanding and team relationship</w:t>
      </w:r>
      <w:r w:rsidR="00B67ECF">
        <w:rPr>
          <w:rFonts w:ascii="Times New Roman" w:hAnsi="Times New Roman" w:cs="Times New Roman"/>
          <w:sz w:val="24"/>
          <w:szCs w:val="24"/>
        </w:rPr>
        <w:t>s</w:t>
      </w:r>
      <w:r>
        <w:rPr>
          <w:rFonts w:ascii="Times New Roman" w:hAnsi="Times New Roman" w:cs="Times New Roman"/>
          <w:sz w:val="24"/>
          <w:szCs w:val="24"/>
        </w:rPr>
        <w:t xml:space="preserve">. The final 30 days should review performance, confidence and development needs. The risk is that managers may treat this process as paperwork; therefore, Unilever should link onboarding quality to manager accountability and early employee feedback. </w:t>
      </w:r>
    </w:p>
    <w:p w14:paraId="02CBEAFE"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599CE618"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09CFA607"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13951989"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06E855F8"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1C4F5F6E"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47B22E65"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0E85CD06"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497C491C"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75DF77A7"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1B45ED3C"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4DB42E64" w14:textId="77777777" w:rsidR="00FF0FC7" w:rsidRDefault="00FF0FC7" w:rsidP="006D7088">
      <w:pPr>
        <w:tabs>
          <w:tab w:val="left" w:pos="1008"/>
        </w:tabs>
        <w:spacing w:line="360" w:lineRule="auto"/>
        <w:jc w:val="both"/>
        <w:rPr>
          <w:rFonts w:ascii="Times New Roman" w:hAnsi="Times New Roman" w:cs="Times New Roman"/>
          <w:sz w:val="24"/>
          <w:szCs w:val="24"/>
        </w:rPr>
      </w:pPr>
    </w:p>
    <w:p w14:paraId="730E4083" w14:textId="77777777" w:rsidR="00FF0FC7" w:rsidRDefault="00FF0FC7" w:rsidP="006D7088">
      <w:pPr>
        <w:tabs>
          <w:tab w:val="left" w:pos="1008"/>
        </w:tabs>
        <w:spacing w:line="360" w:lineRule="auto"/>
        <w:jc w:val="both"/>
        <w:rPr>
          <w:rFonts w:ascii="Times New Roman" w:hAnsi="Times New Roman" w:cs="Times New Roman"/>
          <w:sz w:val="24"/>
          <w:szCs w:val="24"/>
        </w:rPr>
      </w:pPr>
    </w:p>
    <w:p w14:paraId="660920C5" w14:textId="77777777" w:rsidR="00FF0FC7" w:rsidRDefault="00FF0FC7" w:rsidP="006D7088">
      <w:pPr>
        <w:tabs>
          <w:tab w:val="left" w:pos="1008"/>
        </w:tabs>
        <w:spacing w:line="360" w:lineRule="auto"/>
        <w:jc w:val="both"/>
        <w:rPr>
          <w:rFonts w:ascii="Times New Roman" w:hAnsi="Times New Roman" w:cs="Times New Roman"/>
          <w:sz w:val="24"/>
          <w:szCs w:val="24"/>
        </w:rPr>
      </w:pPr>
    </w:p>
    <w:p w14:paraId="1A4EE4B1" w14:textId="77777777" w:rsidR="006959C4" w:rsidRDefault="006959C4" w:rsidP="006D7088">
      <w:pPr>
        <w:tabs>
          <w:tab w:val="left" w:pos="1008"/>
        </w:tabs>
        <w:spacing w:line="360" w:lineRule="auto"/>
        <w:jc w:val="both"/>
        <w:rPr>
          <w:rFonts w:ascii="Times New Roman" w:hAnsi="Times New Roman" w:cs="Times New Roman"/>
          <w:sz w:val="24"/>
          <w:szCs w:val="24"/>
        </w:rPr>
      </w:pPr>
    </w:p>
    <w:p w14:paraId="1B9C4400" w14:textId="752FA4EB" w:rsidR="00B92031" w:rsidRPr="005133B7" w:rsidRDefault="00237B76" w:rsidP="005133B7">
      <w:pPr>
        <w:pStyle w:val="Heading1"/>
        <w:rPr>
          <w:rFonts w:ascii="Times New Roman" w:hAnsi="Times New Roman" w:cs="Times New Roman"/>
          <w:b/>
          <w:bCs/>
          <w:sz w:val="32"/>
          <w:szCs w:val="32"/>
        </w:rPr>
      </w:pPr>
      <w:bookmarkStart w:id="5" w:name="_Toc230524390"/>
      <w:r w:rsidRPr="00237B76">
        <w:rPr>
          <w:rFonts w:ascii="Times New Roman" w:hAnsi="Times New Roman" w:cs="Times New Roman"/>
          <w:b/>
          <w:bCs/>
          <w:sz w:val="32"/>
          <w:szCs w:val="32"/>
        </w:rPr>
        <w:lastRenderedPageBreak/>
        <w:t>5</w:t>
      </w:r>
      <w:r w:rsidR="00E667EA" w:rsidRPr="00237B76">
        <w:rPr>
          <w:rFonts w:ascii="Times New Roman" w:hAnsi="Times New Roman" w:cs="Times New Roman"/>
          <w:b/>
          <w:bCs/>
          <w:sz w:val="32"/>
          <w:szCs w:val="32"/>
        </w:rPr>
        <w:t>.0 SCENARIO 3: MODERN APPROACHES TO SUCCESSION PLANNING</w:t>
      </w:r>
      <w:bookmarkEnd w:id="5"/>
    </w:p>
    <w:p w14:paraId="56B285BE" w14:textId="5DFF0963" w:rsidR="00237B76" w:rsidRDefault="00237B76"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Succession planning refers to identifying and developing people who can fill future leadership or business-critical roles</w:t>
      </w:r>
      <w:r w:rsidR="005133B7">
        <w:rPr>
          <w:rFonts w:ascii="Times New Roman" w:hAnsi="Times New Roman" w:cs="Times New Roman"/>
          <w:sz w:val="24"/>
          <w:szCs w:val="24"/>
        </w:rPr>
        <w:t xml:space="preserve"> (CIPD, 2025a; collings and Mellahi,2019).</w:t>
      </w:r>
      <w:r>
        <w:rPr>
          <w:rFonts w:ascii="Times New Roman" w:hAnsi="Times New Roman" w:cs="Times New Roman"/>
          <w:sz w:val="24"/>
          <w:szCs w:val="24"/>
        </w:rPr>
        <w:t xml:space="preserve"> </w:t>
      </w:r>
      <w:r w:rsidR="00A54367">
        <w:rPr>
          <w:rFonts w:ascii="Times New Roman" w:hAnsi="Times New Roman" w:cs="Times New Roman"/>
          <w:sz w:val="24"/>
          <w:szCs w:val="24"/>
        </w:rPr>
        <w:t xml:space="preserve">In project-based </w:t>
      </w:r>
      <w:r w:rsidR="00FF0FC7">
        <w:rPr>
          <w:rFonts w:ascii="Times New Roman" w:hAnsi="Times New Roman" w:cs="Times New Roman"/>
          <w:sz w:val="24"/>
          <w:szCs w:val="24"/>
        </w:rPr>
        <w:t>organizations</w:t>
      </w:r>
      <w:r w:rsidR="00A54367">
        <w:rPr>
          <w:rFonts w:ascii="Times New Roman" w:hAnsi="Times New Roman" w:cs="Times New Roman"/>
          <w:sz w:val="24"/>
          <w:szCs w:val="24"/>
        </w:rPr>
        <w:t>, succession planning is not only about replacing senior managers. It also concerns project managers, technical specialists, commercial managers, planners, digital specialists and client-facing professionals whose knowledge is essential for delivery continuity.</w:t>
      </w:r>
    </w:p>
    <w:p w14:paraId="10BC1107" w14:textId="5FC6811B" w:rsidR="00A54367" w:rsidRDefault="00A54367"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From a resource-based view perspective, succession planning is important because leadership capability, technical expertise, organizational knowledge and client relationships can become valuable strategic resource</w:t>
      </w:r>
      <w:r w:rsidR="0010542C">
        <w:rPr>
          <w:rFonts w:ascii="Times New Roman" w:hAnsi="Times New Roman" w:cs="Times New Roman"/>
          <w:sz w:val="24"/>
          <w:szCs w:val="24"/>
        </w:rPr>
        <w:t>s</w:t>
      </w:r>
      <w:r w:rsidR="005133B7">
        <w:rPr>
          <w:rFonts w:ascii="Times New Roman" w:hAnsi="Times New Roman" w:cs="Times New Roman"/>
          <w:sz w:val="24"/>
          <w:szCs w:val="24"/>
        </w:rPr>
        <w:t xml:space="preserve"> (Barney, 1991).</w:t>
      </w:r>
      <w:r>
        <w:rPr>
          <w:rFonts w:ascii="Times New Roman" w:hAnsi="Times New Roman" w:cs="Times New Roman"/>
          <w:sz w:val="24"/>
          <w:szCs w:val="24"/>
        </w:rPr>
        <w:t xml:space="preserve"> In project-based </w:t>
      </w:r>
      <w:r w:rsidR="00FF0FC7">
        <w:rPr>
          <w:rFonts w:ascii="Times New Roman" w:hAnsi="Times New Roman" w:cs="Times New Roman"/>
          <w:sz w:val="24"/>
          <w:szCs w:val="24"/>
        </w:rPr>
        <w:t>organizations</w:t>
      </w:r>
      <w:r>
        <w:rPr>
          <w:rFonts w:ascii="Times New Roman" w:hAnsi="Times New Roman" w:cs="Times New Roman"/>
          <w:sz w:val="24"/>
          <w:szCs w:val="24"/>
        </w:rPr>
        <w:t>, these resources are often held by specific individuals rather than fully embedded in systems. If these employees leave without knowledge transfer, the organization does not only lose a person; it loses project memory, delivery capability and client confidence</w:t>
      </w:r>
      <w:r w:rsidR="009C68A0">
        <w:rPr>
          <w:rFonts w:ascii="Times New Roman" w:hAnsi="Times New Roman" w:cs="Times New Roman"/>
          <w:sz w:val="24"/>
          <w:szCs w:val="24"/>
        </w:rPr>
        <w:t>.</w:t>
      </w:r>
    </w:p>
    <w:p w14:paraId="6A01D9F6" w14:textId="7666F209" w:rsidR="00311164" w:rsidRDefault="00311164" w:rsidP="00A5436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Traditional succession planning </w:t>
      </w:r>
      <w:r w:rsidR="00A54367">
        <w:rPr>
          <w:rFonts w:ascii="Times New Roman" w:hAnsi="Times New Roman" w:cs="Times New Roman"/>
          <w:sz w:val="24"/>
          <w:szCs w:val="24"/>
        </w:rPr>
        <w:t xml:space="preserve">provides stability because it prepares potential replacements for key roles. However, it can become narrow and exclusionary if it focuses only on visible senior leadership positions. High-potential lists may </w:t>
      </w:r>
      <w:r w:rsidR="00FF0FC7">
        <w:rPr>
          <w:rFonts w:ascii="Times New Roman" w:hAnsi="Times New Roman" w:cs="Times New Roman"/>
          <w:sz w:val="24"/>
          <w:szCs w:val="24"/>
        </w:rPr>
        <w:t>favor</w:t>
      </w:r>
      <w:r w:rsidR="00A54367">
        <w:rPr>
          <w:rFonts w:ascii="Times New Roman" w:hAnsi="Times New Roman" w:cs="Times New Roman"/>
          <w:sz w:val="24"/>
          <w:szCs w:val="24"/>
        </w:rPr>
        <w:t xml:space="preserve"> employees who already have access to senior managers, while overlooking technical experts, part-time workers, international employees or those with non-linear career paths. This creates a risk that succession planning </w:t>
      </w:r>
      <w:r w:rsidR="00083B78">
        <w:rPr>
          <w:rFonts w:ascii="Times New Roman" w:hAnsi="Times New Roman" w:cs="Times New Roman"/>
          <w:sz w:val="24"/>
          <w:szCs w:val="24"/>
        </w:rPr>
        <w:t>reproduces existing privilege rather than identifying genuine future capability.</w:t>
      </w:r>
    </w:p>
    <w:p w14:paraId="15ED45C7" w14:textId="154013C2" w:rsidR="00083B78" w:rsidRDefault="00083B78" w:rsidP="00A5436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A more modern approach is to shift f</w:t>
      </w:r>
      <w:r w:rsidR="00CF54D5">
        <w:rPr>
          <w:rFonts w:ascii="Times New Roman" w:hAnsi="Times New Roman" w:cs="Times New Roman"/>
          <w:sz w:val="24"/>
          <w:szCs w:val="24"/>
        </w:rPr>
        <w:t>ro</w:t>
      </w:r>
      <w:r>
        <w:rPr>
          <w:rFonts w:ascii="Times New Roman" w:hAnsi="Times New Roman" w:cs="Times New Roman"/>
          <w:sz w:val="24"/>
          <w:szCs w:val="24"/>
        </w:rPr>
        <w:t>m replacement planning to capability planning</w:t>
      </w:r>
      <w:r w:rsidR="00630323">
        <w:rPr>
          <w:rFonts w:ascii="Times New Roman" w:hAnsi="Times New Roman" w:cs="Times New Roman"/>
          <w:sz w:val="24"/>
          <w:szCs w:val="24"/>
        </w:rPr>
        <w:t xml:space="preserve"> (collings and </w:t>
      </w:r>
      <w:r w:rsidR="009F1517">
        <w:rPr>
          <w:rFonts w:ascii="Times New Roman" w:hAnsi="Times New Roman" w:cs="Times New Roman"/>
          <w:sz w:val="24"/>
          <w:szCs w:val="24"/>
        </w:rPr>
        <w:t>Mellah</w:t>
      </w:r>
      <w:r w:rsidR="00630323">
        <w:rPr>
          <w:rFonts w:ascii="Times New Roman" w:hAnsi="Times New Roman" w:cs="Times New Roman"/>
          <w:sz w:val="24"/>
          <w:szCs w:val="24"/>
        </w:rPr>
        <w:t>, 2019).</w:t>
      </w:r>
      <w:r>
        <w:rPr>
          <w:rFonts w:ascii="Times New Roman" w:hAnsi="Times New Roman" w:cs="Times New Roman"/>
          <w:sz w:val="24"/>
          <w:szCs w:val="24"/>
        </w:rPr>
        <w:t xml:space="preserve"> Instead of asking, who will replace these managers? Unilever should ask, what capabilities will the organization need in the next three to five years, and where are the current talent risks? This is more suitable for project-based </w:t>
      </w:r>
      <w:r w:rsidR="00FF0FC7">
        <w:rPr>
          <w:rFonts w:ascii="Times New Roman" w:hAnsi="Times New Roman" w:cs="Times New Roman"/>
          <w:sz w:val="24"/>
          <w:szCs w:val="24"/>
        </w:rPr>
        <w:t>organizations</w:t>
      </w:r>
      <w:r>
        <w:rPr>
          <w:rFonts w:ascii="Times New Roman" w:hAnsi="Times New Roman" w:cs="Times New Roman"/>
          <w:sz w:val="24"/>
          <w:szCs w:val="24"/>
        </w:rPr>
        <w:t xml:space="preserve"> because future performance depends not only on leadership roles but also on digital skills, sustainability knowledge, stakeholder management, commercial awareness and technical expertise.</w:t>
      </w:r>
    </w:p>
    <w:p w14:paraId="77C13CCD" w14:textId="15407937" w:rsidR="00DA084F" w:rsidRDefault="00DA084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multinational organization such as Unilever, succession planning should focus on future capability needs across digital, supply chain, sustainability, marketing and leadership roles. This </w:t>
      </w:r>
      <w:r w:rsidR="00083B78">
        <w:rPr>
          <w:rFonts w:ascii="Times New Roman" w:hAnsi="Times New Roman" w:cs="Times New Roman"/>
          <w:sz w:val="24"/>
          <w:szCs w:val="24"/>
        </w:rPr>
        <w:t>requires talent pools, mentoring, leadership development, project rotations, secondments and transparent career pathways. These practices can help Unilever build internal mobility and reduce dependency on external recruitment.</w:t>
      </w:r>
    </w:p>
    <w:p w14:paraId="12AE19EB" w14:textId="4111C0F4" w:rsidR="00DA084F" w:rsidRDefault="00DA084F" w:rsidP="006D7088">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Workforce analytics can strengthen succession planning by </w:t>
      </w:r>
      <w:r w:rsidR="00083B78">
        <w:rPr>
          <w:rFonts w:ascii="Times New Roman" w:hAnsi="Times New Roman" w:cs="Times New Roman"/>
          <w:sz w:val="24"/>
          <w:szCs w:val="24"/>
        </w:rPr>
        <w:t xml:space="preserve">identifying retirement risk, turnover patterns, skill gaps, promotion rates and diversity gaps. However, analytics </w:t>
      </w:r>
      <w:r w:rsidR="008538F5">
        <w:rPr>
          <w:rFonts w:ascii="Times New Roman" w:hAnsi="Times New Roman" w:cs="Times New Roman"/>
          <w:sz w:val="24"/>
          <w:szCs w:val="24"/>
        </w:rPr>
        <w:t>should</w:t>
      </w:r>
      <w:r w:rsidR="00083B78">
        <w:rPr>
          <w:rFonts w:ascii="Times New Roman" w:hAnsi="Times New Roman" w:cs="Times New Roman"/>
          <w:sz w:val="24"/>
          <w:szCs w:val="24"/>
        </w:rPr>
        <w:t xml:space="preserve"> support judgement rather than replace it. If past performance data reflects unequal access to opportunities, talent analytics may reinforce bias</w:t>
      </w:r>
      <w:r w:rsidR="00630323">
        <w:rPr>
          <w:rFonts w:ascii="Times New Roman" w:hAnsi="Times New Roman" w:cs="Times New Roman"/>
          <w:sz w:val="24"/>
          <w:szCs w:val="24"/>
        </w:rPr>
        <w:t xml:space="preserve"> (marler and Boudreau, 2017; Angrave et al. 2016).</w:t>
      </w:r>
      <w:r w:rsidR="00083B78">
        <w:rPr>
          <w:rFonts w:ascii="Times New Roman" w:hAnsi="Times New Roman" w:cs="Times New Roman"/>
          <w:sz w:val="24"/>
          <w:szCs w:val="24"/>
        </w:rPr>
        <w:t xml:space="preserve"> For example, employees who have already been given high-visibility projects may appear more ready than equally capable employees who lacked the same exposure. Therefore, Unilever should combine workforce analytics with transparent criteria, career conversations, diversity monitoring and calibration panels.</w:t>
      </w:r>
    </w:p>
    <w:p w14:paraId="32813ABE" w14:textId="75219612" w:rsidR="00596A51" w:rsidRDefault="00596A51" w:rsidP="006D7088">
      <w:pPr>
        <w:tabs>
          <w:tab w:val="left" w:pos="1008"/>
        </w:tabs>
        <w:spacing w:line="360" w:lineRule="auto"/>
        <w:jc w:val="both"/>
        <w:rPr>
          <w:rFonts w:ascii="Times New Roman" w:hAnsi="Times New Roman" w:cs="Times New Roman"/>
          <w:sz w:val="24"/>
          <w:szCs w:val="24"/>
        </w:rPr>
      </w:pPr>
    </w:p>
    <w:p w14:paraId="150EDEA7" w14:textId="77777777" w:rsidR="00CA703B" w:rsidRDefault="00CA703B" w:rsidP="006D7088">
      <w:pPr>
        <w:tabs>
          <w:tab w:val="left" w:pos="1008"/>
        </w:tabs>
        <w:spacing w:line="360" w:lineRule="auto"/>
        <w:jc w:val="both"/>
        <w:rPr>
          <w:rFonts w:ascii="Times New Roman" w:hAnsi="Times New Roman" w:cs="Times New Roman"/>
          <w:sz w:val="24"/>
          <w:szCs w:val="24"/>
        </w:rPr>
      </w:pPr>
    </w:p>
    <w:p w14:paraId="35994141" w14:textId="77777777" w:rsidR="00CA703B" w:rsidRDefault="00CA703B" w:rsidP="006D7088">
      <w:pPr>
        <w:tabs>
          <w:tab w:val="left" w:pos="1008"/>
        </w:tabs>
        <w:spacing w:line="360" w:lineRule="auto"/>
        <w:jc w:val="both"/>
        <w:rPr>
          <w:rFonts w:ascii="Times New Roman" w:hAnsi="Times New Roman" w:cs="Times New Roman"/>
          <w:sz w:val="24"/>
          <w:szCs w:val="24"/>
        </w:rPr>
      </w:pPr>
    </w:p>
    <w:p w14:paraId="72C12A93" w14:textId="77777777" w:rsidR="00E11AD4" w:rsidRDefault="00E11AD4" w:rsidP="006D7088">
      <w:pPr>
        <w:tabs>
          <w:tab w:val="left" w:pos="1008"/>
        </w:tabs>
        <w:spacing w:line="360" w:lineRule="auto"/>
        <w:jc w:val="both"/>
        <w:rPr>
          <w:rFonts w:ascii="Times New Roman" w:hAnsi="Times New Roman" w:cs="Times New Roman"/>
          <w:sz w:val="24"/>
          <w:szCs w:val="24"/>
        </w:rPr>
      </w:pPr>
    </w:p>
    <w:p w14:paraId="4065B12F"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164E20A0"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7A74FA9B"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5E58C5E4"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127FDE8C"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08D951DC"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17A7AE85"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7D851E5D"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29B8A150" w14:textId="77777777" w:rsidR="00160E6E" w:rsidRDefault="00160E6E" w:rsidP="006D7088">
      <w:pPr>
        <w:tabs>
          <w:tab w:val="left" w:pos="1008"/>
        </w:tabs>
        <w:spacing w:line="360" w:lineRule="auto"/>
        <w:jc w:val="both"/>
        <w:rPr>
          <w:rFonts w:ascii="Times New Roman" w:hAnsi="Times New Roman" w:cs="Times New Roman"/>
          <w:sz w:val="24"/>
          <w:szCs w:val="24"/>
        </w:rPr>
      </w:pPr>
    </w:p>
    <w:p w14:paraId="02F3EA71" w14:textId="77777777" w:rsidR="00FF0FC7" w:rsidRDefault="00FF0FC7" w:rsidP="006D7088">
      <w:pPr>
        <w:tabs>
          <w:tab w:val="left" w:pos="1008"/>
        </w:tabs>
        <w:spacing w:line="360" w:lineRule="auto"/>
        <w:jc w:val="both"/>
        <w:rPr>
          <w:rFonts w:ascii="Times New Roman" w:hAnsi="Times New Roman" w:cs="Times New Roman"/>
          <w:sz w:val="24"/>
          <w:szCs w:val="24"/>
        </w:rPr>
      </w:pPr>
    </w:p>
    <w:p w14:paraId="2B3CBC39" w14:textId="77777777" w:rsidR="0080030A" w:rsidRDefault="0080030A" w:rsidP="006D7088">
      <w:pPr>
        <w:spacing w:line="360" w:lineRule="auto"/>
        <w:jc w:val="both"/>
        <w:rPr>
          <w:rFonts w:ascii="Times New Roman" w:hAnsi="Times New Roman" w:cs="Times New Roman"/>
          <w:b/>
          <w:bCs/>
          <w:sz w:val="24"/>
          <w:szCs w:val="24"/>
        </w:rPr>
      </w:pPr>
    </w:p>
    <w:p w14:paraId="24650EB0" w14:textId="77777777" w:rsidR="00F707D2" w:rsidRDefault="00F707D2" w:rsidP="006D7088">
      <w:pPr>
        <w:spacing w:line="360" w:lineRule="auto"/>
        <w:jc w:val="both"/>
        <w:rPr>
          <w:rFonts w:ascii="Times New Roman" w:hAnsi="Times New Roman" w:cs="Times New Roman"/>
          <w:b/>
          <w:bCs/>
          <w:sz w:val="24"/>
          <w:szCs w:val="24"/>
        </w:rPr>
      </w:pPr>
    </w:p>
    <w:p w14:paraId="6915F36A" w14:textId="77777777" w:rsidR="00F707D2" w:rsidRDefault="00F707D2" w:rsidP="006D7088">
      <w:pPr>
        <w:spacing w:line="360" w:lineRule="auto"/>
        <w:jc w:val="both"/>
        <w:rPr>
          <w:rFonts w:ascii="Times New Roman" w:hAnsi="Times New Roman" w:cs="Times New Roman"/>
          <w:b/>
          <w:bCs/>
          <w:sz w:val="24"/>
          <w:szCs w:val="24"/>
        </w:rPr>
      </w:pPr>
    </w:p>
    <w:p w14:paraId="3339B854" w14:textId="77777777" w:rsidR="00F707D2" w:rsidRPr="007621AD" w:rsidRDefault="00F707D2" w:rsidP="006D7088">
      <w:pPr>
        <w:spacing w:line="360" w:lineRule="auto"/>
        <w:jc w:val="both"/>
        <w:rPr>
          <w:rFonts w:ascii="Times New Roman" w:hAnsi="Times New Roman" w:cs="Times New Roman"/>
          <w:b/>
          <w:bCs/>
          <w:sz w:val="24"/>
          <w:szCs w:val="24"/>
        </w:rPr>
      </w:pPr>
    </w:p>
    <w:p w14:paraId="3100992E" w14:textId="43048853" w:rsidR="006D7088" w:rsidRPr="00F707D2" w:rsidRDefault="00E667EA" w:rsidP="007621AD">
      <w:pPr>
        <w:pStyle w:val="Heading1"/>
        <w:rPr>
          <w:rFonts w:ascii="Times New Roman" w:hAnsi="Times New Roman" w:cs="Times New Roman"/>
          <w:b/>
          <w:bCs/>
          <w:sz w:val="28"/>
          <w:szCs w:val="28"/>
        </w:rPr>
      </w:pPr>
      <w:bookmarkStart w:id="6" w:name="_Toc230524391"/>
      <w:r w:rsidRPr="00F707D2">
        <w:rPr>
          <w:rFonts w:ascii="Times New Roman" w:hAnsi="Times New Roman" w:cs="Times New Roman"/>
          <w:b/>
          <w:bCs/>
          <w:sz w:val="28"/>
          <w:szCs w:val="28"/>
        </w:rPr>
        <w:lastRenderedPageBreak/>
        <w:t>6.0 SCENARIO 4: RESOURCING AND RETENTION STRATEGIES</w:t>
      </w:r>
      <w:bookmarkEnd w:id="6"/>
    </w:p>
    <w:p w14:paraId="16C218B8" w14:textId="25EFD3F2" w:rsidR="001B7C4C" w:rsidRDefault="001B7C4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Attracting and retaining diverse talent has become a major HRM challenge due to skills shortages, </w:t>
      </w:r>
      <w:r w:rsidR="00F707D2">
        <w:rPr>
          <w:rFonts w:ascii="Times New Roman" w:hAnsi="Times New Roman" w:cs="Times New Roman"/>
          <w:sz w:val="24"/>
          <w:szCs w:val="24"/>
        </w:rPr>
        <w:t xml:space="preserve">hybrid working expectations, workforce mobility and increased competition for specialist </w:t>
      </w:r>
      <w:r w:rsidR="00EC3965">
        <w:rPr>
          <w:rFonts w:ascii="Times New Roman" w:hAnsi="Times New Roman" w:cs="Times New Roman"/>
          <w:sz w:val="24"/>
          <w:szCs w:val="24"/>
        </w:rPr>
        <w:t>labour</w:t>
      </w:r>
      <w:r w:rsidR="00630323">
        <w:rPr>
          <w:rFonts w:ascii="Times New Roman" w:hAnsi="Times New Roman" w:cs="Times New Roman"/>
          <w:sz w:val="24"/>
          <w:szCs w:val="24"/>
        </w:rPr>
        <w:t xml:space="preserve"> (CIPD, 2024). </w:t>
      </w:r>
      <w:r w:rsidR="00F707D2">
        <w:rPr>
          <w:rFonts w:ascii="Times New Roman" w:hAnsi="Times New Roman" w:cs="Times New Roman"/>
          <w:sz w:val="24"/>
          <w:szCs w:val="24"/>
        </w:rPr>
        <w:t xml:space="preserve">In project-based </w:t>
      </w:r>
      <w:r w:rsidR="00FF0FC7">
        <w:rPr>
          <w:rFonts w:ascii="Times New Roman" w:hAnsi="Times New Roman" w:cs="Times New Roman"/>
          <w:sz w:val="24"/>
          <w:szCs w:val="24"/>
        </w:rPr>
        <w:t>organizations</w:t>
      </w:r>
      <w:r w:rsidR="00F707D2">
        <w:rPr>
          <w:rFonts w:ascii="Times New Roman" w:hAnsi="Times New Roman" w:cs="Times New Roman"/>
          <w:sz w:val="24"/>
          <w:szCs w:val="24"/>
        </w:rPr>
        <w:t xml:space="preserve">, the challenge is intensified because employees may be recruited for specialist expertise and can move easily between employers, clients or contractors. Therefore, resourcing and retention should be </w:t>
      </w:r>
      <w:r w:rsidR="00FF0FC7">
        <w:rPr>
          <w:rFonts w:ascii="Times New Roman" w:hAnsi="Times New Roman" w:cs="Times New Roman"/>
          <w:sz w:val="24"/>
          <w:szCs w:val="24"/>
        </w:rPr>
        <w:t>analyzed</w:t>
      </w:r>
      <w:r w:rsidR="00F707D2">
        <w:rPr>
          <w:rFonts w:ascii="Times New Roman" w:hAnsi="Times New Roman" w:cs="Times New Roman"/>
          <w:sz w:val="24"/>
          <w:szCs w:val="24"/>
        </w:rPr>
        <w:t xml:space="preserve"> as a connected cycle: attracting talent creates little value if the organization cannot retain and develop that capability.</w:t>
      </w:r>
    </w:p>
    <w:p w14:paraId="781B38A8" w14:textId="2CA5ECDA" w:rsidR="00F707D2" w:rsidRDefault="00F707D2"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Psychological contract theory provides a useful explanation of retention. Employees form expectations about fairness, development, flexibility and career opportunity, even when these expectations are not written into formal contracts. If Unilever promotes itself as an inclusive and flexible employer but employees experience excessive workload, limited progression or inconsistent management, the psychological contract may be damaged. This can reduce trust and increase avoidable turnover. </w:t>
      </w:r>
    </w:p>
    <w:p w14:paraId="3B8C2F9B" w14:textId="06F384DF" w:rsidR="00926BC5" w:rsidRDefault="001B7C4C"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Effective attraction begins with a credible employer brand</w:t>
      </w:r>
      <w:r w:rsidR="00630323">
        <w:rPr>
          <w:rFonts w:ascii="Times New Roman" w:hAnsi="Times New Roman" w:cs="Times New Roman"/>
          <w:sz w:val="24"/>
          <w:szCs w:val="24"/>
        </w:rPr>
        <w:t xml:space="preserve"> (Backhaus and Tikoo, 2004).</w:t>
      </w:r>
      <w:r>
        <w:rPr>
          <w:rFonts w:ascii="Times New Roman" w:hAnsi="Times New Roman" w:cs="Times New Roman"/>
          <w:sz w:val="24"/>
          <w:szCs w:val="24"/>
        </w:rPr>
        <w:t xml:space="preserve"> </w:t>
      </w:r>
      <w:r w:rsidR="00B415BB">
        <w:rPr>
          <w:rFonts w:ascii="Times New Roman" w:hAnsi="Times New Roman" w:cs="Times New Roman"/>
          <w:sz w:val="24"/>
          <w:szCs w:val="24"/>
        </w:rPr>
        <w:t xml:space="preserve">However, employer branding must be authentic. If </w:t>
      </w:r>
      <w:r w:rsidR="00FF0FC7">
        <w:rPr>
          <w:rFonts w:ascii="Times New Roman" w:hAnsi="Times New Roman" w:cs="Times New Roman"/>
          <w:sz w:val="24"/>
          <w:szCs w:val="24"/>
        </w:rPr>
        <w:t>organizations</w:t>
      </w:r>
      <w:r w:rsidR="00B415BB">
        <w:rPr>
          <w:rFonts w:ascii="Times New Roman" w:hAnsi="Times New Roman" w:cs="Times New Roman"/>
          <w:sz w:val="24"/>
          <w:szCs w:val="24"/>
        </w:rPr>
        <w:t xml:space="preserve"> advertise flexibility, progression and inclusion but employees experience long hours, poor management or limited development, retention will weaken. This is especially risky in project environments where deadlines and pressure can normalize excessive workloads. For </w:t>
      </w:r>
      <w:r w:rsidR="00FC331E">
        <w:rPr>
          <w:rFonts w:ascii="Times New Roman" w:hAnsi="Times New Roman" w:cs="Times New Roman"/>
          <w:sz w:val="24"/>
          <w:szCs w:val="24"/>
        </w:rPr>
        <w:t>Unilever</w:t>
      </w:r>
      <w:r w:rsidR="00B415BB">
        <w:rPr>
          <w:rFonts w:ascii="Times New Roman" w:hAnsi="Times New Roman" w:cs="Times New Roman"/>
          <w:sz w:val="24"/>
          <w:szCs w:val="24"/>
        </w:rPr>
        <w:t xml:space="preserve">, the HR challenge is not simply attracting talented employees but ensuring that its global employer brand is matched by employees lived experience across different countries and </w:t>
      </w:r>
      <w:r w:rsidR="00FC331E">
        <w:rPr>
          <w:rFonts w:ascii="Times New Roman" w:hAnsi="Times New Roman" w:cs="Times New Roman"/>
          <w:sz w:val="24"/>
          <w:szCs w:val="24"/>
        </w:rPr>
        <w:t>functions</w:t>
      </w:r>
      <w:r w:rsidR="00B415BB">
        <w:rPr>
          <w:rFonts w:ascii="Times New Roman" w:hAnsi="Times New Roman" w:cs="Times New Roman"/>
          <w:sz w:val="24"/>
          <w:szCs w:val="24"/>
        </w:rPr>
        <w:t>.</w:t>
      </w:r>
    </w:p>
    <w:p w14:paraId="345B6346" w14:textId="523AEBD7" w:rsidR="00926BC5" w:rsidRDefault="00926BC5"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attract diverse talent, </w:t>
      </w:r>
      <w:r w:rsidR="00FF0FC7">
        <w:rPr>
          <w:rFonts w:ascii="Times New Roman" w:hAnsi="Times New Roman" w:cs="Times New Roman"/>
          <w:sz w:val="24"/>
          <w:szCs w:val="24"/>
        </w:rPr>
        <w:t>organizations</w:t>
      </w:r>
      <w:r>
        <w:rPr>
          <w:rFonts w:ascii="Times New Roman" w:hAnsi="Times New Roman" w:cs="Times New Roman"/>
          <w:sz w:val="24"/>
          <w:szCs w:val="24"/>
        </w:rPr>
        <w:t xml:space="preserve"> should use inclusive job design, transparent pay ranges, structured interviews, diverse shortlists and flexible working arrangements. Job descriptions should focus on essential capabilities rather than unnecessarily narrow experience requirements. This matters because over-specific criteria can exclude </w:t>
      </w:r>
      <w:r w:rsidR="00441F00">
        <w:rPr>
          <w:rFonts w:ascii="Times New Roman" w:hAnsi="Times New Roman" w:cs="Times New Roman"/>
          <w:sz w:val="24"/>
          <w:szCs w:val="24"/>
        </w:rPr>
        <w:t>candidates</w:t>
      </w:r>
      <w:r>
        <w:rPr>
          <w:rFonts w:ascii="Times New Roman" w:hAnsi="Times New Roman" w:cs="Times New Roman"/>
          <w:sz w:val="24"/>
          <w:szCs w:val="24"/>
        </w:rPr>
        <w:t xml:space="preserve"> f</w:t>
      </w:r>
      <w:r w:rsidR="00EC3965">
        <w:rPr>
          <w:rFonts w:ascii="Times New Roman" w:hAnsi="Times New Roman" w:cs="Times New Roman"/>
          <w:sz w:val="24"/>
          <w:szCs w:val="24"/>
        </w:rPr>
        <w:t>rom</w:t>
      </w:r>
      <w:r>
        <w:rPr>
          <w:rFonts w:ascii="Times New Roman" w:hAnsi="Times New Roman" w:cs="Times New Roman"/>
          <w:sz w:val="24"/>
          <w:szCs w:val="24"/>
        </w:rPr>
        <w:t xml:space="preserve"> different industries, career breaks or international backgrounds. In project-based sectors such as </w:t>
      </w:r>
      <w:r w:rsidR="00FF0FC7">
        <w:rPr>
          <w:rFonts w:ascii="Times New Roman" w:hAnsi="Times New Roman" w:cs="Times New Roman"/>
          <w:sz w:val="24"/>
          <w:szCs w:val="24"/>
        </w:rPr>
        <w:t>Organizations</w:t>
      </w:r>
      <w:r w:rsidR="00B415BB">
        <w:rPr>
          <w:rFonts w:ascii="Times New Roman" w:hAnsi="Times New Roman" w:cs="Times New Roman"/>
          <w:sz w:val="24"/>
          <w:szCs w:val="24"/>
        </w:rPr>
        <w:t>, inclusive attraction also requires challenging the idea that high performance depends only on long working hours or constant availability.</w:t>
      </w:r>
    </w:p>
    <w:p w14:paraId="5F74C80B" w14:textId="1CD63DFF" w:rsidR="00FB7132" w:rsidRDefault="00926BC5"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41F00">
        <w:rPr>
          <w:rFonts w:ascii="Times New Roman" w:hAnsi="Times New Roman" w:cs="Times New Roman"/>
          <w:sz w:val="24"/>
          <w:szCs w:val="24"/>
        </w:rPr>
        <w:t>Retention</w:t>
      </w:r>
      <w:r>
        <w:rPr>
          <w:rFonts w:ascii="Times New Roman" w:hAnsi="Times New Roman" w:cs="Times New Roman"/>
          <w:sz w:val="24"/>
          <w:szCs w:val="24"/>
        </w:rPr>
        <w:t xml:space="preserve"> requires more than preventing resignation. It involves creating </w:t>
      </w:r>
      <w:r w:rsidR="00FB7132">
        <w:rPr>
          <w:rFonts w:ascii="Times New Roman" w:hAnsi="Times New Roman" w:cs="Times New Roman"/>
          <w:sz w:val="24"/>
          <w:szCs w:val="24"/>
        </w:rPr>
        <w:t>reasons</w:t>
      </w:r>
      <w:r>
        <w:rPr>
          <w:rFonts w:ascii="Times New Roman" w:hAnsi="Times New Roman" w:cs="Times New Roman"/>
          <w:sz w:val="24"/>
          <w:szCs w:val="24"/>
        </w:rPr>
        <w:t xml:space="preserve"> for empl</w:t>
      </w:r>
      <w:r w:rsidR="00FB7132">
        <w:rPr>
          <w:rFonts w:ascii="Times New Roman" w:hAnsi="Times New Roman" w:cs="Times New Roman"/>
          <w:sz w:val="24"/>
          <w:szCs w:val="24"/>
        </w:rPr>
        <w:t xml:space="preserve">oyees to stay, contribute and develop. </w:t>
      </w:r>
      <w:r w:rsidR="00441F00">
        <w:rPr>
          <w:rFonts w:ascii="Times New Roman" w:hAnsi="Times New Roman" w:cs="Times New Roman"/>
          <w:sz w:val="24"/>
          <w:szCs w:val="24"/>
        </w:rPr>
        <w:t xml:space="preserve">Key strategies include fair reward, career development, manager quality, wellbeing support, workload management, recognition and </w:t>
      </w:r>
      <w:r w:rsidR="00441F00">
        <w:rPr>
          <w:rFonts w:ascii="Times New Roman" w:hAnsi="Times New Roman" w:cs="Times New Roman"/>
          <w:sz w:val="24"/>
          <w:szCs w:val="24"/>
        </w:rPr>
        <w:lastRenderedPageBreak/>
        <w:t>employee voice. Employees often leave not only placed onto stressful projects without recovery time.</w:t>
      </w:r>
    </w:p>
    <w:p w14:paraId="201F5581" w14:textId="504287D1" w:rsidR="008E48E9" w:rsidRDefault="008E48E9"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Unilever should </w:t>
      </w:r>
      <w:r w:rsidR="00FF0FC7">
        <w:rPr>
          <w:rFonts w:ascii="Times New Roman" w:hAnsi="Times New Roman" w:cs="Times New Roman"/>
          <w:sz w:val="24"/>
          <w:szCs w:val="24"/>
        </w:rPr>
        <w:t>priorities</w:t>
      </w:r>
      <w:r>
        <w:rPr>
          <w:rFonts w:ascii="Times New Roman" w:hAnsi="Times New Roman" w:cs="Times New Roman"/>
          <w:sz w:val="24"/>
          <w:szCs w:val="24"/>
        </w:rPr>
        <w:t xml:space="preserve"> retention strategies that combine fair reward, meaningful work, career visibility, workload management and manager capability. A dual career ladder would be particularly useful because it allows technical specialists to progress without being forced into people management. However, this requires clear criteria, investment </w:t>
      </w:r>
      <w:r w:rsidR="009F1517">
        <w:rPr>
          <w:rFonts w:ascii="Times New Roman" w:hAnsi="Times New Roman" w:cs="Times New Roman"/>
          <w:sz w:val="24"/>
          <w:szCs w:val="24"/>
        </w:rPr>
        <w:t>in</w:t>
      </w:r>
      <w:r>
        <w:rPr>
          <w:rFonts w:ascii="Times New Roman" w:hAnsi="Times New Roman" w:cs="Times New Roman"/>
          <w:sz w:val="24"/>
          <w:szCs w:val="24"/>
        </w:rPr>
        <w:t xml:space="preserve"> development pathways and senior support; otherwise, it may become a symbolic policy rather than a real retention mechanism. </w:t>
      </w:r>
    </w:p>
    <w:p w14:paraId="23EF00C7" w14:textId="61E3C15E" w:rsidR="0076525B" w:rsidRDefault="0076525B"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Overall, resourcing and retention should be viewed as a connected cycle. Attracting talent without retaining it creates cost and instability. Retaining talent without development can create stagnation</w:t>
      </w:r>
      <w:r w:rsidR="008E48E9">
        <w:rPr>
          <w:rFonts w:ascii="Times New Roman" w:hAnsi="Times New Roman" w:cs="Times New Roman"/>
          <w:sz w:val="24"/>
          <w:szCs w:val="24"/>
        </w:rPr>
        <w:t>.</w:t>
      </w:r>
      <w:r>
        <w:rPr>
          <w:rFonts w:ascii="Times New Roman" w:hAnsi="Times New Roman" w:cs="Times New Roman"/>
          <w:sz w:val="24"/>
          <w:szCs w:val="24"/>
        </w:rPr>
        <w:t xml:space="preserve"> </w:t>
      </w:r>
      <w:r w:rsidR="008E48E9">
        <w:rPr>
          <w:rFonts w:ascii="Times New Roman" w:hAnsi="Times New Roman" w:cs="Times New Roman"/>
          <w:sz w:val="24"/>
          <w:szCs w:val="24"/>
        </w:rPr>
        <w:t xml:space="preserve"> For project </w:t>
      </w:r>
      <w:r w:rsidR="00FF0FC7">
        <w:rPr>
          <w:rFonts w:ascii="Times New Roman" w:hAnsi="Times New Roman" w:cs="Times New Roman"/>
          <w:sz w:val="24"/>
          <w:szCs w:val="24"/>
        </w:rPr>
        <w:t>organizations</w:t>
      </w:r>
      <w:r w:rsidR="008E48E9">
        <w:rPr>
          <w:rFonts w:ascii="Times New Roman" w:hAnsi="Times New Roman" w:cs="Times New Roman"/>
          <w:sz w:val="24"/>
          <w:szCs w:val="24"/>
        </w:rPr>
        <w:t>, the strongest approach is one where meaningful work, fair reward, development, workload control and employee voice reinforce each other.</w:t>
      </w:r>
    </w:p>
    <w:p w14:paraId="55E1D25C" w14:textId="77777777" w:rsidR="001B7C4C" w:rsidRDefault="001B7C4C" w:rsidP="00BA19BB">
      <w:pPr>
        <w:tabs>
          <w:tab w:val="left" w:pos="1008"/>
        </w:tabs>
        <w:spacing w:line="360" w:lineRule="auto"/>
        <w:jc w:val="both"/>
        <w:rPr>
          <w:rFonts w:ascii="Times New Roman" w:hAnsi="Times New Roman" w:cs="Times New Roman"/>
          <w:sz w:val="24"/>
          <w:szCs w:val="24"/>
        </w:rPr>
      </w:pPr>
    </w:p>
    <w:p w14:paraId="3DA4059F" w14:textId="77777777" w:rsidR="001B7C4C" w:rsidRDefault="001B7C4C" w:rsidP="00BA19BB">
      <w:pPr>
        <w:tabs>
          <w:tab w:val="left" w:pos="1008"/>
        </w:tabs>
        <w:spacing w:line="360" w:lineRule="auto"/>
        <w:jc w:val="both"/>
        <w:rPr>
          <w:rFonts w:ascii="Times New Roman" w:hAnsi="Times New Roman" w:cs="Times New Roman"/>
          <w:sz w:val="24"/>
          <w:szCs w:val="24"/>
        </w:rPr>
      </w:pPr>
    </w:p>
    <w:p w14:paraId="0B3F1BAF" w14:textId="0F053579" w:rsidR="00BA19BB" w:rsidRDefault="00BA19BB" w:rsidP="00BA19BB">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58C2BD3F" w14:textId="77777777" w:rsidR="0080030A" w:rsidRDefault="0080030A" w:rsidP="00C175B0">
      <w:pPr>
        <w:tabs>
          <w:tab w:val="left" w:pos="1008"/>
        </w:tabs>
      </w:pPr>
    </w:p>
    <w:p w14:paraId="4E967D40" w14:textId="77777777" w:rsidR="00F33F85" w:rsidRDefault="00F33F85" w:rsidP="00C175B0">
      <w:pPr>
        <w:tabs>
          <w:tab w:val="left" w:pos="1008"/>
        </w:tabs>
        <w:spacing w:line="360" w:lineRule="auto"/>
        <w:jc w:val="both"/>
        <w:rPr>
          <w:rFonts w:ascii="Times New Roman" w:hAnsi="Times New Roman" w:cs="Times New Roman"/>
          <w:sz w:val="24"/>
          <w:szCs w:val="24"/>
        </w:rPr>
      </w:pPr>
    </w:p>
    <w:p w14:paraId="38E90F7E"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1C2986F3"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0FECFCDF"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73A2510A" w14:textId="77777777" w:rsidR="00BA19BB" w:rsidRDefault="00BA19BB" w:rsidP="00C175B0">
      <w:pPr>
        <w:tabs>
          <w:tab w:val="left" w:pos="1008"/>
        </w:tabs>
        <w:spacing w:line="360" w:lineRule="auto"/>
        <w:jc w:val="both"/>
        <w:rPr>
          <w:rFonts w:ascii="Times New Roman" w:hAnsi="Times New Roman" w:cs="Times New Roman"/>
          <w:sz w:val="24"/>
          <w:szCs w:val="24"/>
        </w:rPr>
      </w:pPr>
    </w:p>
    <w:p w14:paraId="07D7B5E6" w14:textId="77777777" w:rsidR="0076525B" w:rsidRDefault="0076525B" w:rsidP="00C175B0">
      <w:pPr>
        <w:tabs>
          <w:tab w:val="left" w:pos="1008"/>
        </w:tabs>
        <w:spacing w:line="360" w:lineRule="auto"/>
        <w:jc w:val="both"/>
        <w:rPr>
          <w:rFonts w:ascii="Times New Roman" w:hAnsi="Times New Roman" w:cs="Times New Roman"/>
          <w:sz w:val="24"/>
          <w:szCs w:val="24"/>
        </w:rPr>
      </w:pPr>
    </w:p>
    <w:p w14:paraId="71D56674" w14:textId="77777777" w:rsidR="0076525B" w:rsidRDefault="0076525B" w:rsidP="00C175B0">
      <w:pPr>
        <w:tabs>
          <w:tab w:val="left" w:pos="1008"/>
        </w:tabs>
        <w:spacing w:line="360" w:lineRule="auto"/>
        <w:jc w:val="both"/>
        <w:rPr>
          <w:rFonts w:ascii="Times New Roman" w:hAnsi="Times New Roman" w:cs="Times New Roman"/>
          <w:sz w:val="24"/>
          <w:szCs w:val="24"/>
        </w:rPr>
      </w:pPr>
    </w:p>
    <w:p w14:paraId="21191B82" w14:textId="77777777" w:rsidR="0076525B" w:rsidRDefault="0076525B" w:rsidP="00C175B0">
      <w:pPr>
        <w:tabs>
          <w:tab w:val="left" w:pos="1008"/>
        </w:tabs>
        <w:spacing w:line="360" w:lineRule="auto"/>
        <w:jc w:val="both"/>
        <w:rPr>
          <w:rFonts w:ascii="Times New Roman" w:hAnsi="Times New Roman" w:cs="Times New Roman"/>
          <w:sz w:val="24"/>
          <w:szCs w:val="24"/>
        </w:rPr>
      </w:pPr>
    </w:p>
    <w:p w14:paraId="2AF6E515" w14:textId="77777777" w:rsidR="0076525B" w:rsidRDefault="0076525B" w:rsidP="00C175B0">
      <w:pPr>
        <w:tabs>
          <w:tab w:val="left" w:pos="1008"/>
        </w:tabs>
        <w:spacing w:line="360" w:lineRule="auto"/>
        <w:jc w:val="both"/>
        <w:rPr>
          <w:rFonts w:ascii="Times New Roman" w:hAnsi="Times New Roman" w:cs="Times New Roman"/>
          <w:sz w:val="24"/>
          <w:szCs w:val="24"/>
        </w:rPr>
      </w:pPr>
    </w:p>
    <w:p w14:paraId="3A644578" w14:textId="77777777" w:rsidR="0076525B" w:rsidRPr="00C175B0" w:rsidRDefault="0076525B" w:rsidP="00C175B0">
      <w:pPr>
        <w:tabs>
          <w:tab w:val="left" w:pos="1008"/>
        </w:tabs>
        <w:spacing w:line="360" w:lineRule="auto"/>
        <w:jc w:val="both"/>
        <w:rPr>
          <w:rFonts w:ascii="Times New Roman" w:hAnsi="Times New Roman" w:cs="Times New Roman"/>
          <w:sz w:val="24"/>
          <w:szCs w:val="24"/>
        </w:rPr>
      </w:pPr>
    </w:p>
    <w:p w14:paraId="7E4FEEFE" w14:textId="2CE00E01" w:rsidR="00C175B0" w:rsidRPr="008E48E9" w:rsidRDefault="00E667EA" w:rsidP="00C175B0">
      <w:pPr>
        <w:pStyle w:val="Heading1"/>
        <w:rPr>
          <w:rFonts w:ascii="Times New Roman" w:hAnsi="Times New Roman" w:cs="Times New Roman"/>
          <w:b/>
          <w:bCs/>
          <w:sz w:val="28"/>
          <w:szCs w:val="28"/>
        </w:rPr>
      </w:pPr>
      <w:bookmarkStart w:id="7" w:name="_Toc230524392"/>
      <w:r w:rsidRPr="008E48E9">
        <w:rPr>
          <w:rFonts w:ascii="Times New Roman" w:hAnsi="Times New Roman" w:cs="Times New Roman"/>
          <w:b/>
          <w:bCs/>
          <w:sz w:val="28"/>
          <w:szCs w:val="28"/>
        </w:rPr>
        <w:lastRenderedPageBreak/>
        <w:t>7.0 SCENARIO 5: TALENT INSIGHT AND STRATEGIC RETENTION</w:t>
      </w:r>
      <w:bookmarkEnd w:id="7"/>
    </w:p>
    <w:p w14:paraId="01CB622C" w14:textId="75C7A06E" w:rsidR="0076525B" w:rsidRDefault="0076525B" w:rsidP="00816CE7">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Talent insight </w:t>
      </w:r>
      <w:r w:rsidR="008E48E9">
        <w:rPr>
          <w:rFonts w:ascii="Times New Roman" w:hAnsi="Times New Roman" w:cs="Times New Roman"/>
          <w:sz w:val="24"/>
          <w:szCs w:val="24"/>
        </w:rPr>
        <w:t>refers to the use of data, assessment tools and employee</w:t>
      </w:r>
      <w:r w:rsidR="007D7CE8">
        <w:rPr>
          <w:rFonts w:ascii="Times New Roman" w:hAnsi="Times New Roman" w:cs="Times New Roman"/>
          <w:sz w:val="24"/>
          <w:szCs w:val="24"/>
        </w:rPr>
        <w:t xml:space="preserve"> </w:t>
      </w:r>
      <w:r w:rsidR="008E48E9">
        <w:rPr>
          <w:rFonts w:ascii="Times New Roman" w:hAnsi="Times New Roman" w:cs="Times New Roman"/>
          <w:sz w:val="24"/>
          <w:szCs w:val="24"/>
        </w:rPr>
        <w:t>feedback to understand workforce capability, potential, motivation and retention risk</w:t>
      </w:r>
      <w:r w:rsidR="00630323">
        <w:rPr>
          <w:rFonts w:ascii="Times New Roman" w:hAnsi="Times New Roman" w:cs="Times New Roman"/>
          <w:sz w:val="24"/>
          <w:szCs w:val="24"/>
        </w:rPr>
        <w:t xml:space="preserve"> (Marler and Boudreau, 2017). </w:t>
      </w:r>
      <w:r w:rsidR="008E48E9">
        <w:rPr>
          <w:rFonts w:ascii="Times New Roman" w:hAnsi="Times New Roman" w:cs="Times New Roman"/>
          <w:sz w:val="24"/>
          <w:szCs w:val="24"/>
        </w:rPr>
        <w:t xml:space="preserve">In project </w:t>
      </w:r>
      <w:r w:rsidR="00FF0FC7">
        <w:rPr>
          <w:rFonts w:ascii="Times New Roman" w:hAnsi="Times New Roman" w:cs="Times New Roman"/>
          <w:sz w:val="24"/>
          <w:szCs w:val="24"/>
        </w:rPr>
        <w:t>organizations</w:t>
      </w:r>
      <w:r w:rsidR="008E48E9">
        <w:rPr>
          <w:rFonts w:ascii="Times New Roman" w:hAnsi="Times New Roman" w:cs="Times New Roman"/>
          <w:sz w:val="24"/>
          <w:szCs w:val="24"/>
        </w:rPr>
        <w:t>, talent insight is valuable because managers need to form teams quickly, identify skill gaps and match employees to project</w:t>
      </w:r>
      <w:r w:rsidR="00A4500F">
        <w:rPr>
          <w:rFonts w:ascii="Times New Roman" w:hAnsi="Times New Roman" w:cs="Times New Roman"/>
          <w:sz w:val="24"/>
          <w:szCs w:val="24"/>
        </w:rPr>
        <w:t xml:space="preserve"> requirements. However, talent insight should be understood as a decision-support tool rather than a replacement for human judgement.</w:t>
      </w:r>
    </w:p>
    <w:bookmarkEnd w:id="0"/>
    <w:p w14:paraId="33955FD3" w14:textId="5E145046" w:rsidR="00A4500F" w:rsidRDefault="00A4500F"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Evidence based HRM argues that people decisions should be informed by reliable data</w:t>
      </w:r>
      <w:r w:rsidR="00F71949">
        <w:rPr>
          <w:rFonts w:ascii="Times New Roman" w:hAnsi="Times New Roman" w:cs="Times New Roman"/>
          <w:sz w:val="24"/>
          <w:szCs w:val="24"/>
        </w:rPr>
        <w:t xml:space="preserve">, </w:t>
      </w:r>
      <w:r>
        <w:rPr>
          <w:rFonts w:ascii="Times New Roman" w:hAnsi="Times New Roman" w:cs="Times New Roman"/>
          <w:sz w:val="24"/>
          <w:szCs w:val="24"/>
        </w:rPr>
        <w:t>professional expertise, organizational context and stakeholder values</w:t>
      </w:r>
      <w:r w:rsidR="00630323">
        <w:rPr>
          <w:rFonts w:ascii="Times New Roman" w:hAnsi="Times New Roman" w:cs="Times New Roman"/>
          <w:sz w:val="24"/>
          <w:szCs w:val="24"/>
        </w:rPr>
        <w:t xml:space="preserve"> (Rousseau and Barends, 2011).</w:t>
      </w:r>
      <w:r>
        <w:rPr>
          <w:rFonts w:ascii="Times New Roman" w:hAnsi="Times New Roman" w:cs="Times New Roman"/>
          <w:sz w:val="24"/>
          <w:szCs w:val="24"/>
        </w:rPr>
        <w:t xml:space="preserve"> This is useful because recruitment and retention decision</w:t>
      </w:r>
      <w:r w:rsidR="00F71949">
        <w:rPr>
          <w:rFonts w:ascii="Times New Roman" w:hAnsi="Times New Roman" w:cs="Times New Roman"/>
          <w:sz w:val="24"/>
          <w:szCs w:val="24"/>
        </w:rPr>
        <w:t>s</w:t>
      </w:r>
      <w:r>
        <w:rPr>
          <w:rFonts w:ascii="Times New Roman" w:hAnsi="Times New Roman" w:cs="Times New Roman"/>
          <w:sz w:val="24"/>
          <w:szCs w:val="24"/>
        </w:rPr>
        <w:t xml:space="preserve"> are often affected by bias, habit or managers preference</w:t>
      </w:r>
      <w:r w:rsidR="00AD408B">
        <w:rPr>
          <w:rFonts w:ascii="Times New Roman" w:hAnsi="Times New Roman" w:cs="Times New Roman"/>
          <w:sz w:val="24"/>
          <w:szCs w:val="24"/>
        </w:rPr>
        <w:t>s</w:t>
      </w:r>
      <w:r>
        <w:rPr>
          <w:rFonts w:ascii="Times New Roman" w:hAnsi="Times New Roman" w:cs="Times New Roman"/>
          <w:sz w:val="24"/>
          <w:szCs w:val="24"/>
        </w:rPr>
        <w:t>. For Unilever, talent insight tools such as skills inventories, engagement surveys, 360-degree feedback and stay interviews can support more consistent decisions across global teams.</w:t>
      </w:r>
    </w:p>
    <w:p w14:paraId="643FD29F" w14:textId="7B29843C" w:rsidR="00A4500F" w:rsidRDefault="00A4500F"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Talent insight tools may include psychometric assessments, skill inventories, performance data, engagement surveys, career preference tools, 360-degree feedback, learning analytics and retention-risk indicators. For recruitment, structured interviews and work-sample tests can provide stronger evidence than informal interviews because they reduce </w:t>
      </w:r>
      <w:r w:rsidR="009F1517">
        <w:rPr>
          <w:rFonts w:ascii="Times New Roman" w:hAnsi="Times New Roman" w:cs="Times New Roman"/>
          <w:sz w:val="24"/>
          <w:szCs w:val="24"/>
        </w:rPr>
        <w:t>reliance</w:t>
      </w:r>
      <w:r>
        <w:rPr>
          <w:rFonts w:ascii="Times New Roman" w:hAnsi="Times New Roman" w:cs="Times New Roman"/>
          <w:sz w:val="24"/>
          <w:szCs w:val="24"/>
        </w:rPr>
        <w:t xml:space="preserve"> on gut feeling. For example, a project manager role may require stakeholder communication, risk management, planning capability and emotional resilience. A combination of scenario-based assessment and structured interview questions may therefore predict suitability better than an informal conversation.</w:t>
      </w:r>
    </w:p>
    <w:p w14:paraId="49ABD60B" w14:textId="53DBD55E" w:rsidR="00441F00" w:rsidRDefault="00441F00"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For Unilever, talent insight to</w:t>
      </w:r>
      <w:r w:rsidR="005B4247">
        <w:rPr>
          <w:rFonts w:ascii="Times New Roman" w:hAnsi="Times New Roman" w:cs="Times New Roman"/>
          <w:sz w:val="24"/>
          <w:szCs w:val="24"/>
        </w:rPr>
        <w:t>ols</w:t>
      </w:r>
      <w:r>
        <w:rPr>
          <w:rFonts w:ascii="Times New Roman" w:hAnsi="Times New Roman" w:cs="Times New Roman"/>
          <w:sz w:val="24"/>
          <w:szCs w:val="24"/>
        </w:rPr>
        <w:t xml:space="preserve"> can support recruitment, internal mobility and personalized retention by identifying </w:t>
      </w:r>
      <w:r w:rsidR="00A4500F">
        <w:rPr>
          <w:rFonts w:ascii="Times New Roman" w:hAnsi="Times New Roman" w:cs="Times New Roman"/>
          <w:sz w:val="24"/>
          <w:szCs w:val="24"/>
        </w:rPr>
        <w:t>employee’s</w:t>
      </w:r>
      <w:r>
        <w:rPr>
          <w:rFonts w:ascii="Times New Roman" w:hAnsi="Times New Roman" w:cs="Times New Roman"/>
          <w:sz w:val="24"/>
          <w:szCs w:val="24"/>
        </w:rPr>
        <w:t xml:space="preserve"> skill, career interests, development needs and engagement risks. This is useful in a global organization where employees may move across functions, regions and project teams. Talent data can help HR understand where capability exists and where future skills gaps may emerge.</w:t>
      </w:r>
    </w:p>
    <w:p w14:paraId="6BC42CE6" w14:textId="607733D8" w:rsidR="000E3875" w:rsidRDefault="000E3875"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However, talent analytics is not neutral</w:t>
      </w:r>
      <w:r w:rsidR="00630323">
        <w:rPr>
          <w:rFonts w:ascii="Times New Roman" w:hAnsi="Times New Roman" w:cs="Times New Roman"/>
          <w:sz w:val="24"/>
          <w:szCs w:val="24"/>
        </w:rPr>
        <w:t xml:space="preserve"> (Angrave et al, 2016).</w:t>
      </w:r>
      <w:r>
        <w:rPr>
          <w:rFonts w:ascii="Times New Roman" w:hAnsi="Times New Roman" w:cs="Times New Roman"/>
          <w:sz w:val="24"/>
          <w:szCs w:val="24"/>
        </w:rPr>
        <w:t xml:space="preserve"> Data can reproduce historical inequality if some employees have had less access to mentoring, development or high-profile assignments. There is also a trust risk if employees believe that analytics is being used to secretly label them as low potential or likely to resign. Therefore, Unilever should use talent </w:t>
      </w:r>
      <w:r>
        <w:rPr>
          <w:rFonts w:ascii="Times New Roman" w:hAnsi="Times New Roman" w:cs="Times New Roman"/>
          <w:sz w:val="24"/>
          <w:szCs w:val="24"/>
        </w:rPr>
        <w:lastRenderedPageBreak/>
        <w:t xml:space="preserve">data transparently, explain what data is collected and ensure that analytics supports employee development rather than </w:t>
      </w:r>
      <w:r w:rsidR="009F1517">
        <w:rPr>
          <w:rFonts w:ascii="Times New Roman" w:hAnsi="Times New Roman" w:cs="Times New Roman"/>
          <w:sz w:val="24"/>
          <w:szCs w:val="24"/>
        </w:rPr>
        <w:t>surveill</w:t>
      </w:r>
      <w:r w:rsidR="00AA5429">
        <w:rPr>
          <w:rFonts w:ascii="Times New Roman" w:hAnsi="Times New Roman" w:cs="Times New Roman"/>
          <w:sz w:val="24"/>
          <w:szCs w:val="24"/>
        </w:rPr>
        <w:t>ance</w:t>
      </w:r>
      <w:r>
        <w:rPr>
          <w:rFonts w:ascii="Times New Roman" w:hAnsi="Times New Roman" w:cs="Times New Roman"/>
          <w:sz w:val="24"/>
          <w:szCs w:val="24"/>
        </w:rPr>
        <w:t>.</w:t>
      </w:r>
    </w:p>
    <w:p w14:paraId="06E845E8" w14:textId="2916F2E7" w:rsidR="00A5367D" w:rsidRDefault="00A5367D"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Ongoing employee feedback mechanisms, such as retention surveys, pulse surveys and stay interviews, are also important. HR should not wait until exit interviews reveal problems because, by that stage, the organization has already lost knowledge and capability. Retention surveys can identify early warning signs such as declining trust in leadership, workload pressure, limited career confidence or dissatisfaction with reward.</w:t>
      </w:r>
    </w:p>
    <w:p w14:paraId="452B552B" w14:textId="15BEBCC8" w:rsidR="00FC1A53" w:rsidRDefault="000E3875"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The strongest approach would combine quantitative and qualitative evidence. For example, retention data may show that early-career employees are leaving, but stay interviews may reveal whether the cause is workload, unclear progression, weak mentoring or reward dissatisfaction. This combination would allow Unilever to design targeted interventions rather than relying on generic retention policies.</w:t>
      </w:r>
    </w:p>
    <w:p w14:paraId="78CFE931" w14:textId="36257713" w:rsidR="000E3875" w:rsidRDefault="000E3875" w:rsidP="00441F00">
      <w:pPr>
        <w:tabs>
          <w:tab w:val="left" w:pos="1008"/>
        </w:tabs>
        <w:spacing w:line="360" w:lineRule="auto"/>
        <w:jc w:val="both"/>
        <w:rPr>
          <w:rFonts w:ascii="Times New Roman" w:hAnsi="Times New Roman" w:cs="Times New Roman"/>
          <w:sz w:val="24"/>
          <w:szCs w:val="24"/>
        </w:rPr>
      </w:pPr>
      <w:r>
        <w:rPr>
          <w:rFonts w:ascii="Times New Roman" w:hAnsi="Times New Roman" w:cs="Times New Roman"/>
          <w:sz w:val="24"/>
          <w:szCs w:val="24"/>
        </w:rPr>
        <w:t>Overall, talent insight can support strategic recruitment and retention, but only when used ethically and critically. For Unilever, the aim should not be to replace human judgement with data, but to improve the quality, fairness and consistency of HR decision</w:t>
      </w:r>
      <w:r w:rsidR="00EF18D1">
        <w:rPr>
          <w:rFonts w:ascii="Times New Roman" w:hAnsi="Times New Roman" w:cs="Times New Roman"/>
          <w:sz w:val="24"/>
          <w:szCs w:val="24"/>
        </w:rPr>
        <w:t>s</w:t>
      </w:r>
      <w:r>
        <w:rPr>
          <w:rFonts w:ascii="Times New Roman" w:hAnsi="Times New Roman" w:cs="Times New Roman"/>
          <w:sz w:val="24"/>
          <w:szCs w:val="24"/>
        </w:rPr>
        <w:t>.</w:t>
      </w:r>
    </w:p>
    <w:p w14:paraId="612DD573" w14:textId="77777777" w:rsidR="000E3875" w:rsidRDefault="000E3875" w:rsidP="00441F00">
      <w:pPr>
        <w:tabs>
          <w:tab w:val="left" w:pos="1008"/>
        </w:tabs>
        <w:spacing w:line="360" w:lineRule="auto"/>
        <w:jc w:val="both"/>
        <w:rPr>
          <w:rFonts w:ascii="Times New Roman" w:hAnsi="Times New Roman" w:cs="Times New Roman"/>
          <w:sz w:val="24"/>
          <w:szCs w:val="24"/>
        </w:rPr>
      </w:pPr>
    </w:p>
    <w:p w14:paraId="05BEBFE8"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5C9724A2"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1EC011AF"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63A0A984"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3EEE9C37"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087F4F94"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3F2AB7CA" w14:textId="77777777" w:rsidR="00FC1A53" w:rsidRDefault="00FC1A53" w:rsidP="00441F00">
      <w:pPr>
        <w:tabs>
          <w:tab w:val="left" w:pos="1008"/>
        </w:tabs>
        <w:spacing w:line="360" w:lineRule="auto"/>
        <w:jc w:val="both"/>
        <w:rPr>
          <w:rFonts w:ascii="Times New Roman" w:hAnsi="Times New Roman" w:cs="Times New Roman"/>
          <w:sz w:val="24"/>
          <w:szCs w:val="24"/>
        </w:rPr>
      </w:pPr>
    </w:p>
    <w:p w14:paraId="369CB8A3" w14:textId="77777777" w:rsidR="006879D0" w:rsidRDefault="006879D0" w:rsidP="00441F00">
      <w:pPr>
        <w:tabs>
          <w:tab w:val="left" w:pos="1008"/>
        </w:tabs>
        <w:spacing w:line="360" w:lineRule="auto"/>
        <w:jc w:val="both"/>
        <w:rPr>
          <w:rFonts w:ascii="Times New Roman" w:hAnsi="Times New Roman" w:cs="Times New Roman"/>
          <w:sz w:val="24"/>
          <w:szCs w:val="24"/>
        </w:rPr>
      </w:pPr>
    </w:p>
    <w:p w14:paraId="5B47C1EE" w14:textId="77777777" w:rsidR="006879D0" w:rsidRDefault="006879D0" w:rsidP="00441F00">
      <w:pPr>
        <w:tabs>
          <w:tab w:val="left" w:pos="1008"/>
        </w:tabs>
        <w:spacing w:line="360" w:lineRule="auto"/>
        <w:jc w:val="both"/>
        <w:rPr>
          <w:rFonts w:ascii="Times New Roman" w:hAnsi="Times New Roman" w:cs="Times New Roman"/>
          <w:sz w:val="24"/>
          <w:szCs w:val="24"/>
        </w:rPr>
      </w:pPr>
    </w:p>
    <w:p w14:paraId="3C12C9AF" w14:textId="77777777" w:rsidR="00FC1A53" w:rsidRPr="00441F00" w:rsidRDefault="00FC1A53" w:rsidP="00441F00">
      <w:pPr>
        <w:tabs>
          <w:tab w:val="left" w:pos="1008"/>
        </w:tabs>
        <w:spacing w:line="360" w:lineRule="auto"/>
        <w:jc w:val="both"/>
        <w:rPr>
          <w:rFonts w:ascii="Times New Roman" w:hAnsi="Times New Roman" w:cs="Times New Roman"/>
          <w:sz w:val="24"/>
          <w:szCs w:val="24"/>
        </w:rPr>
      </w:pPr>
    </w:p>
    <w:p w14:paraId="13FEAF4A" w14:textId="753DACF5" w:rsidR="00E253A1" w:rsidRDefault="00FC1A53" w:rsidP="00173014">
      <w:pPr>
        <w:pStyle w:val="Heading1"/>
        <w:rPr>
          <w:rFonts w:ascii="Times New Roman" w:hAnsi="Times New Roman" w:cs="Times New Roman"/>
          <w:sz w:val="32"/>
          <w:szCs w:val="32"/>
        </w:rPr>
      </w:pPr>
      <w:bookmarkStart w:id="8" w:name="_Toc230524393"/>
      <w:r>
        <w:rPr>
          <w:rFonts w:ascii="Times New Roman" w:hAnsi="Times New Roman" w:cs="Times New Roman"/>
          <w:sz w:val="32"/>
          <w:szCs w:val="32"/>
        </w:rPr>
        <w:lastRenderedPageBreak/>
        <w:t>8</w:t>
      </w:r>
      <w:r w:rsidR="00E253A1" w:rsidRPr="00E253A1">
        <w:rPr>
          <w:rFonts w:ascii="Times New Roman" w:hAnsi="Times New Roman" w:cs="Times New Roman"/>
          <w:sz w:val="32"/>
          <w:szCs w:val="32"/>
        </w:rPr>
        <w:t xml:space="preserve">.0 </w:t>
      </w:r>
      <w:r w:rsidR="00E667EA" w:rsidRPr="00E667EA">
        <w:rPr>
          <w:rFonts w:ascii="Times New Roman" w:hAnsi="Times New Roman" w:cs="Times New Roman"/>
          <w:b/>
          <w:bCs/>
          <w:sz w:val="32"/>
          <w:szCs w:val="32"/>
        </w:rPr>
        <w:t>CONCLUSION</w:t>
      </w:r>
      <w:bookmarkEnd w:id="8"/>
    </w:p>
    <w:p w14:paraId="636EC79C" w14:textId="0EAF18C9" w:rsidR="00604BC5" w:rsidRDefault="00604BC5" w:rsidP="004F2E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has critically evaluated HRM practices in project-based </w:t>
      </w:r>
      <w:r w:rsidR="00FF0FC7">
        <w:rPr>
          <w:rFonts w:ascii="Times New Roman" w:hAnsi="Times New Roman" w:cs="Times New Roman"/>
          <w:sz w:val="24"/>
          <w:szCs w:val="24"/>
        </w:rPr>
        <w:t>organizations</w:t>
      </w:r>
      <w:r>
        <w:rPr>
          <w:rFonts w:ascii="Times New Roman" w:hAnsi="Times New Roman" w:cs="Times New Roman"/>
          <w:sz w:val="24"/>
          <w:szCs w:val="24"/>
        </w:rPr>
        <w:t xml:space="preserve"> using Unilever as the selected international case organization. The analysis shows that employee orientation, succession planning, resourcing, retention and talent insight should not be managed as separate HR activities. Instead, they should operate as an integrated strategic HRM system that develops employee ability, motivation and opportunity to contribute.</w:t>
      </w:r>
    </w:p>
    <w:p w14:paraId="6EB45C26" w14:textId="3A6BB016" w:rsidR="00604BC5" w:rsidRDefault="00604BC5" w:rsidP="004F2E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argument is that HR policies create value only when they are implemented consistently and experienced fairly by employees. Unilever demonstrates several strong HRM features, including flexible working, development opportunities and talent insight. However, the report has also shown that these practices have limitations. Flexible working can create coordination challenges, succession planning can reproduce bias, retention strategies can become generic, and talent analytics can damage trust if used without transparency. </w:t>
      </w:r>
    </w:p>
    <w:p w14:paraId="10D22CBA" w14:textId="0AA14994" w:rsidR="004F2EA6" w:rsidRPr="004F2EA6" w:rsidRDefault="00604BC5" w:rsidP="004F2EA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most effective HRM approach for Unilever and similar project-based </w:t>
      </w:r>
      <w:r w:rsidR="00FF0FC7">
        <w:rPr>
          <w:rFonts w:ascii="Times New Roman" w:hAnsi="Times New Roman" w:cs="Times New Roman"/>
          <w:sz w:val="24"/>
          <w:szCs w:val="24"/>
        </w:rPr>
        <w:t>organizations</w:t>
      </w:r>
      <w:r>
        <w:rPr>
          <w:rFonts w:ascii="Times New Roman" w:hAnsi="Times New Roman" w:cs="Times New Roman"/>
          <w:sz w:val="24"/>
          <w:szCs w:val="24"/>
        </w:rPr>
        <w:t xml:space="preserve"> is one that combines strategic alignment with critical implementation. HRM should support not only employee satisfaction but also project continuity, knowledge retention, inclusive progression and evidence-based workforce planning. This requires stronger manager accountability, ethical use of data, transparent career pathways and contin</w:t>
      </w:r>
      <w:r w:rsidR="00510D9D">
        <w:rPr>
          <w:rFonts w:ascii="Times New Roman" w:hAnsi="Times New Roman" w:cs="Times New Roman"/>
          <w:sz w:val="24"/>
          <w:szCs w:val="24"/>
        </w:rPr>
        <w:t>uous employee feedback. In this way, HRM becomes a source of organizational capability rather than a purely administrative function.</w:t>
      </w:r>
    </w:p>
    <w:p w14:paraId="30F95E39" w14:textId="77777777" w:rsidR="004F2EA6" w:rsidRDefault="004F2EA6" w:rsidP="00E253A1"/>
    <w:p w14:paraId="4E9F7227" w14:textId="77777777" w:rsidR="004F2EA6" w:rsidRDefault="004F2EA6" w:rsidP="00E253A1"/>
    <w:p w14:paraId="37988AA8" w14:textId="77777777" w:rsidR="004F2EA6" w:rsidRDefault="004F2EA6" w:rsidP="00E253A1"/>
    <w:p w14:paraId="58B3B73C" w14:textId="77777777" w:rsidR="004F2EA6" w:rsidRDefault="004F2EA6" w:rsidP="00E253A1"/>
    <w:p w14:paraId="0B2B94CA" w14:textId="77777777" w:rsidR="004F2EA6" w:rsidRDefault="004F2EA6" w:rsidP="00E253A1"/>
    <w:p w14:paraId="375769A2" w14:textId="77777777" w:rsidR="004F2EA6" w:rsidRDefault="004F2EA6" w:rsidP="00E253A1"/>
    <w:p w14:paraId="4A6F9CC5" w14:textId="77777777" w:rsidR="004F2EA6" w:rsidRDefault="004F2EA6" w:rsidP="00E253A1"/>
    <w:p w14:paraId="7E2674EF" w14:textId="77777777" w:rsidR="004F2EA6" w:rsidRDefault="004F2EA6" w:rsidP="00E253A1"/>
    <w:p w14:paraId="36C19DFF" w14:textId="77777777" w:rsidR="004F2EA6" w:rsidRDefault="004F2EA6" w:rsidP="00E253A1"/>
    <w:p w14:paraId="238608A8" w14:textId="77777777" w:rsidR="004F2EA6" w:rsidRDefault="004F2EA6" w:rsidP="00E253A1"/>
    <w:p w14:paraId="3B661BBC" w14:textId="68492022" w:rsidR="004F2EA6" w:rsidRDefault="004F2EA6" w:rsidP="00E253A1">
      <w:r>
        <w:t xml:space="preserve"> </w:t>
      </w:r>
    </w:p>
    <w:p w14:paraId="6CB1BE34" w14:textId="77777777" w:rsidR="004F2EA6" w:rsidRPr="00E253A1" w:rsidRDefault="004F2EA6" w:rsidP="00E253A1"/>
    <w:p w14:paraId="338BAE78" w14:textId="08C5A772" w:rsidR="004F29A4" w:rsidRPr="00015B9F" w:rsidRDefault="007164E0" w:rsidP="00173014">
      <w:pPr>
        <w:pStyle w:val="Heading1"/>
        <w:rPr>
          <w:rFonts w:ascii="Times New Roman" w:hAnsi="Times New Roman" w:cs="Times New Roman"/>
          <w:b/>
          <w:bCs/>
          <w:sz w:val="32"/>
          <w:szCs w:val="32"/>
        </w:rPr>
      </w:pPr>
      <w:bookmarkStart w:id="9" w:name="_Toc230524394"/>
      <w:r>
        <w:rPr>
          <w:rFonts w:ascii="Times New Roman" w:hAnsi="Times New Roman" w:cs="Times New Roman"/>
          <w:b/>
          <w:bCs/>
          <w:sz w:val="32"/>
          <w:szCs w:val="32"/>
        </w:rPr>
        <w:lastRenderedPageBreak/>
        <w:t>9</w:t>
      </w:r>
      <w:r w:rsidR="004F29A4" w:rsidRPr="00015B9F">
        <w:rPr>
          <w:rFonts w:ascii="Times New Roman" w:hAnsi="Times New Roman" w:cs="Times New Roman"/>
          <w:b/>
          <w:bCs/>
          <w:sz w:val="32"/>
          <w:szCs w:val="32"/>
        </w:rPr>
        <w:t>.</w:t>
      </w:r>
      <w:r w:rsidR="004167F8" w:rsidRPr="00015B9F">
        <w:rPr>
          <w:rFonts w:ascii="Times New Roman" w:hAnsi="Times New Roman" w:cs="Times New Roman"/>
          <w:b/>
          <w:bCs/>
          <w:sz w:val="32"/>
          <w:szCs w:val="32"/>
        </w:rPr>
        <w:t>0</w:t>
      </w:r>
      <w:r w:rsidR="004F29A4" w:rsidRPr="00015B9F">
        <w:rPr>
          <w:rFonts w:ascii="Times New Roman" w:hAnsi="Times New Roman" w:cs="Times New Roman"/>
          <w:b/>
          <w:bCs/>
          <w:sz w:val="32"/>
          <w:szCs w:val="32"/>
        </w:rPr>
        <w:t xml:space="preserve"> </w:t>
      </w:r>
      <w:r w:rsidR="00E667EA" w:rsidRPr="00E667EA">
        <w:rPr>
          <w:rFonts w:ascii="Times New Roman" w:hAnsi="Times New Roman" w:cs="Times New Roman"/>
          <w:b/>
          <w:bCs/>
          <w:sz w:val="32"/>
          <w:szCs w:val="32"/>
        </w:rPr>
        <w:t>REFERENCES</w:t>
      </w:r>
      <w:bookmarkEnd w:id="9"/>
    </w:p>
    <w:p w14:paraId="73527AF6" w14:textId="202BD1AD" w:rsidR="00142EA5" w:rsidRDefault="00142EA5"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hAnsi="Times New Roman" w:cs="Times New Roman"/>
          <w:sz w:val="24"/>
          <w:szCs w:val="24"/>
          <w:lang w:val="en-IN"/>
        </w:rPr>
        <w:t xml:space="preserve">Bauer, T.N. (2010) Onboarding new employees: maximising success. Alexandria: SHRM Foundation. Available at: </w:t>
      </w:r>
      <w:hyperlink r:id="rId10" w:history="1">
        <w:r w:rsidR="007164E0" w:rsidRPr="00A552C4">
          <w:rPr>
            <w:rStyle w:val="Hyperlink"/>
            <w:rFonts w:ascii="Times New Roman" w:hAnsi="Times New Roman" w:cs="Times New Roman"/>
            <w:color w:val="0F6FC6" w:themeColor="accent1"/>
            <w:sz w:val="24"/>
            <w:szCs w:val="24"/>
            <w:lang w:val="en-IN"/>
          </w:rPr>
          <w:t>https://penedulearning.com/wp-content/uploads/2019/05/Onboarding-New-Employees_Maximizing-Success.pdf</w:t>
        </w:r>
      </w:hyperlink>
      <w:r w:rsidRPr="00A552C4">
        <w:rPr>
          <w:rFonts w:ascii="Times New Roman" w:hAnsi="Times New Roman" w:cs="Times New Roman"/>
          <w:color w:val="0F6FC6" w:themeColor="accent1"/>
          <w:sz w:val="24"/>
          <w:szCs w:val="24"/>
          <w:lang w:val="en-IN"/>
        </w:rPr>
        <w:t xml:space="preserve"> </w:t>
      </w:r>
      <w:r w:rsidRPr="00A552C4">
        <w:rPr>
          <w:rFonts w:ascii="Times New Roman" w:hAnsi="Times New Roman" w:cs="Times New Roman"/>
          <w:sz w:val="24"/>
          <w:szCs w:val="24"/>
          <w:lang w:val="en-IN"/>
        </w:rPr>
        <w:t xml:space="preserve">(Accessed: </w:t>
      </w:r>
      <w:r w:rsidR="0055569C" w:rsidRPr="00A552C4">
        <w:rPr>
          <w:rFonts w:ascii="Times New Roman" w:hAnsi="Times New Roman" w:cs="Times New Roman"/>
          <w:sz w:val="24"/>
          <w:szCs w:val="24"/>
          <w:lang w:val="en-IN"/>
        </w:rPr>
        <w:t>0</w:t>
      </w:r>
      <w:r w:rsidRPr="00A552C4">
        <w:rPr>
          <w:rFonts w:ascii="Times New Roman" w:hAnsi="Times New Roman" w:cs="Times New Roman"/>
          <w:sz w:val="24"/>
          <w:szCs w:val="24"/>
          <w:lang w:val="en-IN"/>
        </w:rPr>
        <w:t>1 May 2026).</w:t>
      </w:r>
    </w:p>
    <w:p w14:paraId="76542AF9" w14:textId="77777777" w:rsidR="00A552C4" w:rsidRPr="00A552C4" w:rsidRDefault="00A552C4" w:rsidP="00A552C4">
      <w:pPr>
        <w:pStyle w:val="ListParagraph"/>
        <w:spacing w:line="360" w:lineRule="auto"/>
        <w:jc w:val="both"/>
        <w:rPr>
          <w:rFonts w:ascii="Times New Roman" w:hAnsi="Times New Roman" w:cs="Times New Roman"/>
          <w:sz w:val="24"/>
          <w:szCs w:val="24"/>
          <w:lang w:val="en-IN"/>
        </w:rPr>
      </w:pPr>
    </w:p>
    <w:p w14:paraId="13096D3A" w14:textId="61B60D5F" w:rsidR="00630323" w:rsidRPr="00A552C4" w:rsidRDefault="00630323"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eastAsia="Times New Roman" w:hAnsi="Times New Roman" w:cs="Times New Roman"/>
          <w:sz w:val="24"/>
          <w:szCs w:val="24"/>
          <w:lang w:val="en-IN" w:eastAsia="en-IN"/>
        </w:rPr>
        <w:t xml:space="preserve">Backhaus, K. and Tikoo, S. (2004) “Conceptualizing and researching employer branding,” Career development international, 9(5), pp. 501–517. Available at: </w:t>
      </w:r>
      <w:hyperlink r:id="rId11" w:history="1">
        <w:r w:rsidRPr="00A552C4">
          <w:rPr>
            <w:rStyle w:val="Hyperlink"/>
            <w:rFonts w:ascii="Times New Roman" w:eastAsia="Times New Roman" w:hAnsi="Times New Roman" w:cs="Times New Roman"/>
            <w:color w:val="0F6FC6" w:themeColor="accent1"/>
            <w:sz w:val="24"/>
            <w:szCs w:val="24"/>
            <w:lang w:val="en-IN" w:eastAsia="en-IN"/>
          </w:rPr>
          <w:t>https://doi.org/10.1108/13620430410550754</w:t>
        </w:r>
      </w:hyperlink>
      <w:r w:rsidRPr="00A552C4">
        <w:rPr>
          <w:rFonts w:ascii="Times New Roman" w:eastAsia="Times New Roman" w:hAnsi="Times New Roman" w:cs="Times New Roman"/>
          <w:color w:val="0F6FC6" w:themeColor="accent1"/>
          <w:sz w:val="24"/>
          <w:szCs w:val="24"/>
          <w:u w:val="single"/>
          <w:lang w:val="en-IN" w:eastAsia="en-IN"/>
        </w:rPr>
        <w:t xml:space="preserve"> </w:t>
      </w:r>
      <w:r w:rsidR="0055569C" w:rsidRPr="00A552C4">
        <w:rPr>
          <w:rFonts w:ascii="Times New Roman" w:eastAsia="Times New Roman" w:hAnsi="Times New Roman" w:cs="Times New Roman"/>
          <w:color w:val="0F6FC6" w:themeColor="accent1"/>
          <w:sz w:val="24"/>
          <w:szCs w:val="24"/>
          <w:u w:val="single"/>
          <w:lang w:val="en-IN" w:eastAsia="en-IN"/>
        </w:rPr>
        <w:t xml:space="preserve"> </w:t>
      </w:r>
      <w:r w:rsidRPr="00A552C4">
        <w:rPr>
          <w:rFonts w:ascii="Times New Roman" w:hAnsi="Times New Roman" w:cs="Times New Roman"/>
          <w:sz w:val="24"/>
          <w:szCs w:val="24"/>
          <w:lang w:val="en-IN"/>
        </w:rPr>
        <w:t>(Accessed:</w:t>
      </w:r>
      <w:r w:rsidR="0055569C" w:rsidRPr="00A552C4">
        <w:rPr>
          <w:rFonts w:ascii="Times New Roman" w:hAnsi="Times New Roman" w:cs="Times New Roman"/>
          <w:sz w:val="24"/>
          <w:szCs w:val="24"/>
          <w:lang w:val="en-IN"/>
        </w:rPr>
        <w:t xml:space="preserve"> 02</w:t>
      </w:r>
      <w:r w:rsidRPr="00A552C4">
        <w:rPr>
          <w:rFonts w:ascii="Times New Roman" w:hAnsi="Times New Roman" w:cs="Times New Roman"/>
          <w:sz w:val="24"/>
          <w:szCs w:val="24"/>
          <w:lang w:val="en-IN"/>
        </w:rPr>
        <w:t xml:space="preserve"> May 2026).</w:t>
      </w:r>
    </w:p>
    <w:p w14:paraId="27910151" w14:textId="6BB00E07" w:rsidR="00630323" w:rsidRPr="00A552C4" w:rsidRDefault="00630323" w:rsidP="00A552C4">
      <w:pPr>
        <w:pStyle w:val="ListParagraph"/>
        <w:spacing w:after="0" w:line="360" w:lineRule="auto"/>
        <w:jc w:val="both"/>
        <w:rPr>
          <w:rFonts w:ascii="Times New Roman" w:eastAsia="Times New Roman" w:hAnsi="Times New Roman" w:cs="Times New Roman"/>
          <w:sz w:val="24"/>
          <w:szCs w:val="24"/>
          <w:lang w:val="en-IN" w:eastAsia="en-IN"/>
        </w:rPr>
      </w:pPr>
    </w:p>
    <w:p w14:paraId="0ADA77C1" w14:textId="36724EA5" w:rsidR="0055569C" w:rsidRPr="00A552C4" w:rsidRDefault="0055569C" w:rsidP="00A552C4">
      <w:pPr>
        <w:pStyle w:val="ListParagraph"/>
        <w:numPr>
          <w:ilvl w:val="0"/>
          <w:numId w:val="47"/>
        </w:numPr>
        <w:spacing w:after="0" w:line="360" w:lineRule="auto"/>
        <w:jc w:val="both"/>
        <w:rPr>
          <w:rFonts w:ascii="Times New Roman" w:eastAsia="Times New Roman" w:hAnsi="Times New Roman" w:cs="Times New Roman"/>
          <w:sz w:val="24"/>
          <w:szCs w:val="24"/>
          <w:lang w:val="en-IN" w:eastAsia="en-IN"/>
        </w:rPr>
      </w:pPr>
      <w:r w:rsidRPr="00A552C4">
        <w:rPr>
          <w:rFonts w:ascii="Times New Roman" w:eastAsia="Times New Roman" w:hAnsi="Times New Roman" w:cs="Times New Roman"/>
          <w:sz w:val="24"/>
          <w:szCs w:val="24"/>
          <w:lang w:val="en-IN" w:eastAsia="en-IN"/>
        </w:rPr>
        <w:t xml:space="preserve">Barney, J. (1991) “Firm Resources and Sustained Competitive Advantage,” Journal of management, 17(1), pp. 99–120. Available at: </w:t>
      </w:r>
      <w:hyperlink r:id="rId12" w:history="1">
        <w:r w:rsidRPr="00A552C4">
          <w:rPr>
            <w:rStyle w:val="Hyperlink"/>
            <w:rFonts w:ascii="Times New Roman" w:eastAsia="Times New Roman" w:hAnsi="Times New Roman" w:cs="Times New Roman"/>
            <w:color w:val="0F6FC6" w:themeColor="accent1"/>
            <w:sz w:val="24"/>
            <w:szCs w:val="24"/>
            <w:lang w:val="en-IN" w:eastAsia="en-IN"/>
          </w:rPr>
          <w:t>https://doi.org/10.1177/014920639101700108</w:t>
        </w:r>
      </w:hyperlink>
      <w:r w:rsidRPr="00A552C4">
        <w:rPr>
          <w:rFonts w:ascii="Times New Roman" w:eastAsia="Times New Roman" w:hAnsi="Times New Roman" w:cs="Times New Roman"/>
          <w:color w:val="0F6FC6" w:themeColor="accent1"/>
          <w:sz w:val="24"/>
          <w:szCs w:val="24"/>
          <w:lang w:val="en-IN" w:eastAsia="en-IN"/>
        </w:rPr>
        <w:t xml:space="preserve"> </w:t>
      </w:r>
      <w:r w:rsidRPr="00A552C4">
        <w:rPr>
          <w:rFonts w:ascii="Times New Roman" w:hAnsi="Times New Roman" w:cs="Times New Roman"/>
          <w:sz w:val="24"/>
          <w:szCs w:val="24"/>
          <w:lang w:val="en-IN"/>
        </w:rPr>
        <w:t>(Accessed: 02 May 2026).</w:t>
      </w:r>
    </w:p>
    <w:p w14:paraId="4A9AB90C" w14:textId="77777777" w:rsidR="0055569C" w:rsidRPr="00A552C4" w:rsidRDefault="0055569C" w:rsidP="00A552C4">
      <w:pPr>
        <w:spacing w:after="0" w:line="360" w:lineRule="auto"/>
        <w:jc w:val="both"/>
        <w:rPr>
          <w:rFonts w:ascii="Times New Roman" w:eastAsia="Times New Roman" w:hAnsi="Times New Roman" w:cs="Times New Roman"/>
          <w:sz w:val="24"/>
          <w:szCs w:val="24"/>
          <w:lang w:val="en-IN" w:eastAsia="en-IN"/>
        </w:rPr>
      </w:pPr>
    </w:p>
    <w:p w14:paraId="4E464844" w14:textId="42733304" w:rsidR="0055569C" w:rsidRPr="00A552C4" w:rsidRDefault="0055569C" w:rsidP="00A552C4">
      <w:pPr>
        <w:pStyle w:val="ListParagraph"/>
        <w:numPr>
          <w:ilvl w:val="0"/>
          <w:numId w:val="47"/>
        </w:numPr>
        <w:spacing w:after="0" w:line="360" w:lineRule="auto"/>
        <w:jc w:val="both"/>
        <w:rPr>
          <w:rFonts w:ascii="Times New Roman" w:eastAsia="Times New Roman" w:hAnsi="Times New Roman" w:cs="Times New Roman"/>
          <w:sz w:val="24"/>
          <w:szCs w:val="24"/>
          <w:lang w:val="en-IN" w:eastAsia="en-IN"/>
        </w:rPr>
      </w:pPr>
      <w:r w:rsidRPr="00A552C4">
        <w:rPr>
          <w:rFonts w:ascii="Times New Roman" w:eastAsia="Times New Roman" w:hAnsi="Times New Roman" w:cs="Times New Roman"/>
          <w:sz w:val="24"/>
          <w:szCs w:val="24"/>
          <w:lang w:val="en-IN" w:eastAsia="en-IN"/>
        </w:rPr>
        <w:t xml:space="preserve">Becker, B.E. and Huselid, M.A. (2006) “Strategic Human Resources Management: Where Do We Go </w:t>
      </w:r>
      <w:r w:rsidR="009F1517" w:rsidRPr="00A552C4">
        <w:rPr>
          <w:rFonts w:ascii="Times New Roman" w:eastAsia="Times New Roman" w:hAnsi="Times New Roman" w:cs="Times New Roman"/>
          <w:sz w:val="24"/>
          <w:szCs w:val="24"/>
          <w:lang w:val="en-IN" w:eastAsia="en-IN"/>
        </w:rPr>
        <w:t>from</w:t>
      </w:r>
      <w:r w:rsidRPr="00A552C4">
        <w:rPr>
          <w:rFonts w:ascii="Times New Roman" w:eastAsia="Times New Roman" w:hAnsi="Times New Roman" w:cs="Times New Roman"/>
          <w:sz w:val="24"/>
          <w:szCs w:val="24"/>
          <w:lang w:val="en-IN" w:eastAsia="en-IN"/>
        </w:rPr>
        <w:t xml:space="preserve"> </w:t>
      </w:r>
      <w:r w:rsidR="009F1517" w:rsidRPr="00A552C4">
        <w:rPr>
          <w:rFonts w:ascii="Times New Roman" w:eastAsia="Times New Roman" w:hAnsi="Times New Roman" w:cs="Times New Roman"/>
          <w:sz w:val="24"/>
          <w:szCs w:val="24"/>
          <w:lang w:val="en-IN" w:eastAsia="en-IN"/>
        </w:rPr>
        <w:t>Here?</w:t>
      </w:r>
      <w:r w:rsidRPr="00A552C4">
        <w:rPr>
          <w:rFonts w:ascii="Times New Roman" w:eastAsia="Times New Roman" w:hAnsi="Times New Roman" w:cs="Times New Roman"/>
          <w:sz w:val="24"/>
          <w:szCs w:val="24"/>
          <w:lang w:val="en-IN" w:eastAsia="en-IN"/>
        </w:rPr>
        <w:t xml:space="preserve">” Journal of management, 32(6), pp. 898–925. Available at: </w:t>
      </w:r>
      <w:hyperlink r:id="rId13" w:history="1">
        <w:r w:rsidRPr="00A552C4">
          <w:rPr>
            <w:rStyle w:val="Hyperlink"/>
            <w:rFonts w:ascii="Times New Roman" w:eastAsia="Times New Roman" w:hAnsi="Times New Roman" w:cs="Times New Roman"/>
            <w:color w:val="0F6FC6" w:themeColor="accent1"/>
            <w:sz w:val="24"/>
            <w:szCs w:val="24"/>
            <w:lang w:val="en-IN" w:eastAsia="en-IN"/>
          </w:rPr>
          <w:t>https://doi.org/10.1177/0149206306293668</w:t>
        </w:r>
      </w:hyperlink>
      <w:r w:rsidRPr="00A552C4">
        <w:rPr>
          <w:rFonts w:ascii="Times New Roman" w:eastAsia="Times New Roman" w:hAnsi="Times New Roman" w:cs="Times New Roman"/>
          <w:color w:val="0F6FC6" w:themeColor="accent1"/>
          <w:sz w:val="24"/>
          <w:szCs w:val="24"/>
          <w:lang w:val="en-IN" w:eastAsia="en-IN"/>
        </w:rPr>
        <w:t xml:space="preserve"> </w:t>
      </w:r>
      <w:r w:rsidRPr="00A552C4">
        <w:rPr>
          <w:rFonts w:ascii="Times New Roman" w:hAnsi="Times New Roman" w:cs="Times New Roman"/>
          <w:sz w:val="24"/>
          <w:szCs w:val="24"/>
          <w:lang w:val="en-IN"/>
        </w:rPr>
        <w:t>(Accessed: 0</w:t>
      </w:r>
      <w:r w:rsidR="00A552C4">
        <w:rPr>
          <w:rFonts w:ascii="Times New Roman" w:hAnsi="Times New Roman" w:cs="Times New Roman"/>
          <w:sz w:val="24"/>
          <w:szCs w:val="24"/>
          <w:lang w:val="en-IN"/>
        </w:rPr>
        <w:t>3</w:t>
      </w:r>
      <w:r w:rsidRPr="00A552C4">
        <w:rPr>
          <w:rFonts w:ascii="Times New Roman" w:hAnsi="Times New Roman" w:cs="Times New Roman"/>
          <w:sz w:val="24"/>
          <w:szCs w:val="24"/>
          <w:lang w:val="en-IN"/>
        </w:rPr>
        <w:t xml:space="preserve"> May 2026).</w:t>
      </w:r>
    </w:p>
    <w:p w14:paraId="1C1228E0" w14:textId="77777777" w:rsidR="0055569C" w:rsidRPr="00A552C4" w:rsidRDefault="0055569C" w:rsidP="00A552C4">
      <w:pPr>
        <w:pStyle w:val="ListParagraph"/>
        <w:spacing w:after="0" w:line="360" w:lineRule="auto"/>
        <w:jc w:val="both"/>
        <w:rPr>
          <w:rFonts w:ascii="Times New Roman" w:eastAsia="Times New Roman" w:hAnsi="Times New Roman" w:cs="Times New Roman"/>
          <w:sz w:val="24"/>
          <w:szCs w:val="24"/>
          <w:lang w:val="en-IN" w:eastAsia="en-IN"/>
        </w:rPr>
      </w:pPr>
    </w:p>
    <w:p w14:paraId="2966A0E3" w14:textId="1DBA61D8" w:rsidR="00630323" w:rsidRPr="00A552C4" w:rsidRDefault="0055569C" w:rsidP="00A552C4">
      <w:pPr>
        <w:pStyle w:val="ListParagraph"/>
        <w:numPr>
          <w:ilvl w:val="0"/>
          <w:numId w:val="47"/>
        </w:numPr>
        <w:spacing w:after="0" w:line="360" w:lineRule="auto"/>
        <w:jc w:val="both"/>
        <w:rPr>
          <w:rFonts w:ascii="Times New Roman" w:eastAsia="Times New Roman" w:hAnsi="Times New Roman" w:cs="Times New Roman"/>
          <w:sz w:val="24"/>
          <w:szCs w:val="24"/>
          <w:lang w:val="en-IN" w:eastAsia="en-IN"/>
        </w:rPr>
      </w:pPr>
      <w:r w:rsidRPr="00A552C4">
        <w:rPr>
          <w:rFonts w:ascii="Times New Roman" w:eastAsia="Times New Roman" w:hAnsi="Times New Roman" w:cs="Times New Roman"/>
          <w:sz w:val="24"/>
          <w:szCs w:val="24"/>
          <w:lang w:val="en-IN" w:eastAsia="en-IN"/>
        </w:rPr>
        <w:t>Boxall, P., Purcell, J. and Bartram, T. (2003) “Strategy and human resource management,” Journal of industrial relations, pp. 555–556</w:t>
      </w:r>
      <w:r w:rsidR="00A552C4">
        <w:rPr>
          <w:rFonts w:ascii="Times New Roman" w:eastAsia="Times New Roman" w:hAnsi="Times New Roman" w:cs="Times New Roman"/>
          <w:sz w:val="24"/>
          <w:szCs w:val="24"/>
          <w:lang w:val="en-IN" w:eastAsia="en-IN"/>
        </w:rPr>
        <w:t xml:space="preserve"> </w:t>
      </w:r>
      <w:r w:rsidR="00A552C4" w:rsidRPr="00A552C4">
        <w:rPr>
          <w:rFonts w:ascii="Times New Roman" w:hAnsi="Times New Roman" w:cs="Times New Roman"/>
          <w:sz w:val="24"/>
          <w:szCs w:val="24"/>
          <w:lang w:val="en-IN"/>
        </w:rPr>
        <w:t>(Accessed: 0</w:t>
      </w:r>
      <w:r w:rsidR="00A552C4">
        <w:rPr>
          <w:rFonts w:ascii="Times New Roman" w:hAnsi="Times New Roman" w:cs="Times New Roman"/>
          <w:sz w:val="24"/>
          <w:szCs w:val="24"/>
          <w:lang w:val="en-IN"/>
        </w:rPr>
        <w:t>5</w:t>
      </w:r>
      <w:r w:rsidR="00A552C4" w:rsidRPr="00A552C4">
        <w:rPr>
          <w:rFonts w:ascii="Times New Roman" w:hAnsi="Times New Roman" w:cs="Times New Roman"/>
          <w:sz w:val="24"/>
          <w:szCs w:val="24"/>
          <w:lang w:val="en-IN"/>
        </w:rPr>
        <w:t xml:space="preserve"> May 2026).</w:t>
      </w:r>
    </w:p>
    <w:p w14:paraId="3AA0CF40" w14:textId="77777777" w:rsidR="0055569C" w:rsidRPr="00A552C4" w:rsidRDefault="0055569C" w:rsidP="00A552C4">
      <w:pPr>
        <w:spacing w:after="0" w:line="360" w:lineRule="auto"/>
        <w:jc w:val="both"/>
        <w:rPr>
          <w:rFonts w:ascii="Times New Roman" w:eastAsia="Times New Roman" w:hAnsi="Times New Roman" w:cs="Times New Roman"/>
          <w:sz w:val="24"/>
          <w:szCs w:val="24"/>
          <w:lang w:val="en-IN" w:eastAsia="en-IN"/>
        </w:rPr>
      </w:pPr>
    </w:p>
    <w:p w14:paraId="4973CE1E" w14:textId="0DD8E864" w:rsidR="00A552C4" w:rsidRPr="00A552C4" w:rsidRDefault="00142EA5"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hAnsi="Times New Roman" w:cs="Times New Roman"/>
          <w:sz w:val="24"/>
          <w:szCs w:val="24"/>
          <w:lang w:val="en-IN"/>
        </w:rPr>
        <w:t xml:space="preserve">CIPD (2021) Employee engagement: definitions, measures and outcomes. London: Chartered Institute of Personnel and Development. Available at: </w:t>
      </w:r>
      <w:hyperlink r:id="rId14" w:tgtFrame="_new" w:history="1">
        <w:r w:rsidRPr="00A552C4">
          <w:rPr>
            <w:rStyle w:val="Hyperlink"/>
            <w:rFonts w:ascii="Times New Roman" w:hAnsi="Times New Roman" w:cs="Times New Roman"/>
            <w:color w:val="0F6FC6" w:themeColor="accent1"/>
            <w:sz w:val="24"/>
            <w:szCs w:val="24"/>
            <w:lang w:val="en-IN"/>
          </w:rPr>
          <w:t>https://www.cipd.org/globalassets/media/knowledge/knowledge-hub/evidence-reviews/employee-engagement-discussion-report_tcm18-89598.pdf</w:t>
        </w:r>
      </w:hyperlink>
      <w:r w:rsidRPr="00A552C4">
        <w:rPr>
          <w:rFonts w:ascii="Times New Roman" w:hAnsi="Times New Roman" w:cs="Times New Roman"/>
          <w:sz w:val="24"/>
          <w:szCs w:val="24"/>
          <w:lang w:val="en-IN"/>
        </w:rPr>
        <w:t xml:space="preserve"> (Accessed: </w:t>
      </w:r>
      <w:r w:rsidR="00A552C4">
        <w:rPr>
          <w:rFonts w:ascii="Times New Roman" w:hAnsi="Times New Roman" w:cs="Times New Roman"/>
          <w:sz w:val="24"/>
          <w:szCs w:val="24"/>
          <w:lang w:val="en-IN"/>
        </w:rPr>
        <w:t>08</w:t>
      </w:r>
      <w:r w:rsidRPr="00A552C4">
        <w:rPr>
          <w:rFonts w:ascii="Times New Roman" w:hAnsi="Times New Roman" w:cs="Times New Roman"/>
          <w:sz w:val="24"/>
          <w:szCs w:val="24"/>
          <w:lang w:val="en-IN"/>
        </w:rPr>
        <w:t xml:space="preserve"> May 2026).</w:t>
      </w:r>
    </w:p>
    <w:p w14:paraId="1E12972A" w14:textId="3BD5BCE9" w:rsidR="00142EA5" w:rsidRPr="00A552C4" w:rsidRDefault="00142EA5"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hAnsi="Times New Roman" w:cs="Times New Roman"/>
          <w:sz w:val="24"/>
          <w:szCs w:val="24"/>
          <w:lang w:val="en-IN"/>
        </w:rPr>
        <w:t>CIPD (2025</w:t>
      </w:r>
      <w:r w:rsidR="0055569C" w:rsidRPr="00A552C4">
        <w:rPr>
          <w:rFonts w:ascii="Times New Roman" w:hAnsi="Times New Roman" w:cs="Times New Roman"/>
          <w:sz w:val="24"/>
          <w:szCs w:val="24"/>
          <w:lang w:val="en-IN"/>
        </w:rPr>
        <w:t>a</w:t>
      </w:r>
      <w:r w:rsidRPr="00A552C4">
        <w:rPr>
          <w:rFonts w:ascii="Times New Roman" w:hAnsi="Times New Roman" w:cs="Times New Roman"/>
          <w:sz w:val="24"/>
          <w:szCs w:val="24"/>
          <w:lang w:val="en-IN"/>
        </w:rPr>
        <w:t xml:space="preserve">) Succession planning. London: Chartered Institute of Personnel and Development. Available at: </w:t>
      </w:r>
      <w:hyperlink r:id="rId15" w:tgtFrame="_new" w:history="1">
        <w:r w:rsidRPr="00A552C4">
          <w:rPr>
            <w:rStyle w:val="Hyperlink"/>
            <w:rFonts w:ascii="Times New Roman" w:hAnsi="Times New Roman" w:cs="Times New Roman"/>
            <w:color w:val="0F6FC6" w:themeColor="accent1"/>
            <w:sz w:val="24"/>
            <w:szCs w:val="24"/>
            <w:lang w:val="en-IN"/>
          </w:rPr>
          <w:t>https://www.cipd.org/uk/knowledge/factsheets/succession-planning-factsheet/</w:t>
        </w:r>
      </w:hyperlink>
      <w:r w:rsidRPr="00A552C4">
        <w:rPr>
          <w:rFonts w:ascii="Times New Roman" w:hAnsi="Times New Roman" w:cs="Times New Roman"/>
          <w:color w:val="0F6FC6" w:themeColor="accent1"/>
          <w:sz w:val="24"/>
          <w:szCs w:val="24"/>
          <w:lang w:val="en-IN"/>
        </w:rPr>
        <w:t xml:space="preserve"> </w:t>
      </w:r>
      <w:r w:rsidRPr="00A552C4">
        <w:rPr>
          <w:rFonts w:ascii="Times New Roman" w:hAnsi="Times New Roman" w:cs="Times New Roman"/>
          <w:sz w:val="24"/>
          <w:szCs w:val="24"/>
          <w:lang w:val="en-IN"/>
        </w:rPr>
        <w:t xml:space="preserve">(Accessed: </w:t>
      </w:r>
      <w:r w:rsidR="00A552C4">
        <w:rPr>
          <w:rFonts w:ascii="Times New Roman" w:hAnsi="Times New Roman" w:cs="Times New Roman"/>
          <w:sz w:val="24"/>
          <w:szCs w:val="24"/>
          <w:lang w:val="en-IN"/>
        </w:rPr>
        <w:t>09</w:t>
      </w:r>
      <w:r w:rsidRPr="00A552C4">
        <w:rPr>
          <w:rFonts w:ascii="Times New Roman" w:hAnsi="Times New Roman" w:cs="Times New Roman"/>
          <w:sz w:val="24"/>
          <w:szCs w:val="24"/>
          <w:lang w:val="en-IN"/>
        </w:rPr>
        <w:t xml:space="preserve"> May 2026).</w:t>
      </w:r>
    </w:p>
    <w:p w14:paraId="43C53CBA" w14:textId="5B3C6F9B" w:rsidR="00142EA5" w:rsidRDefault="00142EA5"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hAnsi="Times New Roman" w:cs="Times New Roman"/>
          <w:sz w:val="24"/>
          <w:szCs w:val="24"/>
          <w:lang w:val="en-IN"/>
        </w:rPr>
        <w:t xml:space="preserve">CIPD (2026) Employee turnover and retention. London: Chartered Institute of Personnel and Development. Available at: </w:t>
      </w:r>
      <w:hyperlink r:id="rId16" w:tgtFrame="_new" w:history="1">
        <w:r w:rsidRPr="00A552C4">
          <w:rPr>
            <w:rStyle w:val="Hyperlink"/>
            <w:rFonts w:ascii="Times New Roman" w:hAnsi="Times New Roman" w:cs="Times New Roman"/>
            <w:color w:val="0F6FC6" w:themeColor="accent1"/>
            <w:sz w:val="24"/>
            <w:szCs w:val="24"/>
            <w:lang w:val="en-IN"/>
          </w:rPr>
          <w:t>https://www.cipd.org/uk/knowledge/factsheets/turnover-retention-factsheet/</w:t>
        </w:r>
      </w:hyperlink>
      <w:r w:rsidRPr="00A552C4">
        <w:rPr>
          <w:rFonts w:ascii="Times New Roman" w:hAnsi="Times New Roman" w:cs="Times New Roman"/>
          <w:color w:val="0F6FC6" w:themeColor="accent1"/>
          <w:sz w:val="24"/>
          <w:szCs w:val="24"/>
          <w:lang w:val="en-IN"/>
        </w:rPr>
        <w:t xml:space="preserve"> </w:t>
      </w:r>
      <w:r w:rsidRPr="00A552C4">
        <w:rPr>
          <w:rFonts w:ascii="Times New Roman" w:hAnsi="Times New Roman" w:cs="Times New Roman"/>
          <w:sz w:val="24"/>
          <w:szCs w:val="24"/>
          <w:lang w:val="en-IN"/>
        </w:rPr>
        <w:t xml:space="preserve">(Accessed: </w:t>
      </w:r>
      <w:r w:rsidR="00A552C4">
        <w:rPr>
          <w:rFonts w:ascii="Times New Roman" w:hAnsi="Times New Roman" w:cs="Times New Roman"/>
          <w:sz w:val="24"/>
          <w:szCs w:val="24"/>
          <w:lang w:val="en-IN"/>
        </w:rPr>
        <w:t>10</w:t>
      </w:r>
      <w:r w:rsidRPr="00A552C4">
        <w:rPr>
          <w:rFonts w:ascii="Times New Roman" w:hAnsi="Times New Roman" w:cs="Times New Roman"/>
          <w:sz w:val="24"/>
          <w:szCs w:val="24"/>
          <w:lang w:val="en-IN"/>
        </w:rPr>
        <w:t xml:space="preserve"> May 2026).</w:t>
      </w:r>
    </w:p>
    <w:p w14:paraId="2796D4B9" w14:textId="77777777" w:rsidR="00A552C4" w:rsidRPr="00A552C4" w:rsidRDefault="00A552C4" w:rsidP="00A552C4">
      <w:pPr>
        <w:pStyle w:val="ListParagraph"/>
        <w:spacing w:line="360" w:lineRule="auto"/>
        <w:jc w:val="both"/>
        <w:rPr>
          <w:rFonts w:ascii="Times New Roman" w:hAnsi="Times New Roman" w:cs="Times New Roman"/>
          <w:sz w:val="24"/>
          <w:szCs w:val="24"/>
          <w:lang w:val="en-IN"/>
        </w:rPr>
      </w:pPr>
    </w:p>
    <w:p w14:paraId="1818F55B" w14:textId="65E1D393" w:rsidR="00A552C4" w:rsidRPr="00A552C4" w:rsidRDefault="00142EA5"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hAnsi="Times New Roman" w:cs="Times New Roman"/>
          <w:sz w:val="24"/>
          <w:szCs w:val="24"/>
          <w:lang w:val="en-IN"/>
        </w:rPr>
        <w:t xml:space="preserve">Great Place to Work UK (2025) UK’s Best Workplaces 2025. Available at: </w:t>
      </w:r>
      <w:hyperlink r:id="rId17" w:tgtFrame="_new" w:history="1">
        <w:r w:rsidRPr="00A552C4">
          <w:rPr>
            <w:rStyle w:val="Hyperlink"/>
            <w:rFonts w:ascii="Times New Roman" w:hAnsi="Times New Roman" w:cs="Times New Roman"/>
            <w:color w:val="0F6FC6" w:themeColor="accent1"/>
            <w:sz w:val="24"/>
            <w:szCs w:val="24"/>
            <w:lang w:val="en-IN"/>
          </w:rPr>
          <w:t>https://www.greatplacetowork.co.uk/best-workplaces/2025</w:t>
        </w:r>
      </w:hyperlink>
      <w:r w:rsidRPr="00A552C4">
        <w:rPr>
          <w:rFonts w:ascii="Times New Roman" w:hAnsi="Times New Roman" w:cs="Times New Roman"/>
          <w:color w:val="0F6FC6" w:themeColor="accent1"/>
          <w:sz w:val="24"/>
          <w:szCs w:val="24"/>
          <w:lang w:val="en-IN"/>
        </w:rPr>
        <w:t xml:space="preserve"> </w:t>
      </w:r>
      <w:r w:rsidRPr="00A552C4">
        <w:rPr>
          <w:rFonts w:ascii="Times New Roman" w:hAnsi="Times New Roman" w:cs="Times New Roman"/>
          <w:sz w:val="24"/>
          <w:szCs w:val="24"/>
          <w:lang w:val="en-IN"/>
        </w:rPr>
        <w:t>(Accessed: 1</w:t>
      </w:r>
      <w:r w:rsidR="00A552C4">
        <w:rPr>
          <w:rFonts w:ascii="Times New Roman" w:hAnsi="Times New Roman" w:cs="Times New Roman"/>
          <w:sz w:val="24"/>
          <w:szCs w:val="24"/>
          <w:lang w:val="en-IN"/>
        </w:rPr>
        <w:t>2</w:t>
      </w:r>
      <w:r w:rsidRPr="00A552C4">
        <w:rPr>
          <w:rFonts w:ascii="Times New Roman" w:hAnsi="Times New Roman" w:cs="Times New Roman"/>
          <w:sz w:val="24"/>
          <w:szCs w:val="24"/>
          <w:lang w:val="en-IN"/>
        </w:rPr>
        <w:t xml:space="preserve"> May 2026).</w:t>
      </w:r>
    </w:p>
    <w:p w14:paraId="53C1B6B0" w14:textId="558FB7B9" w:rsidR="00A552C4" w:rsidRPr="00A552C4" w:rsidRDefault="007164E0" w:rsidP="00A552C4">
      <w:pPr>
        <w:pStyle w:val="NormalWeb"/>
        <w:numPr>
          <w:ilvl w:val="0"/>
          <w:numId w:val="47"/>
        </w:numPr>
        <w:spacing w:line="360" w:lineRule="auto"/>
        <w:jc w:val="both"/>
        <w:rPr>
          <w:rFonts w:ascii="Times New Roman" w:hAnsi="Times New Roman" w:cs="Times New Roman"/>
        </w:rPr>
      </w:pPr>
      <w:r w:rsidRPr="00A552C4">
        <w:rPr>
          <w:rFonts w:ascii="Times New Roman" w:hAnsi="Times New Roman" w:cs="Times New Roman"/>
        </w:rPr>
        <w:t xml:space="preserve">Unilever (2026a) </w:t>
      </w:r>
      <w:r w:rsidRPr="00A552C4">
        <w:rPr>
          <w:rStyle w:val="Emphasis"/>
          <w:rFonts w:ascii="Times New Roman" w:hAnsi="Times New Roman" w:cs="Times New Roman"/>
          <w:color w:val="auto"/>
        </w:rPr>
        <w:t>Human Resources</w:t>
      </w:r>
      <w:r w:rsidRPr="00A552C4">
        <w:rPr>
          <w:rFonts w:ascii="Times New Roman" w:hAnsi="Times New Roman" w:cs="Times New Roman"/>
        </w:rPr>
        <w:t xml:space="preserve">. Available at: </w:t>
      </w:r>
      <w:hyperlink r:id="rId18" w:tgtFrame="_new" w:history="1">
        <w:r w:rsidRPr="00A552C4">
          <w:rPr>
            <w:rStyle w:val="Hyperlink"/>
            <w:rFonts w:ascii="Times New Roman" w:hAnsi="Times New Roman" w:cs="Times New Roman"/>
            <w:color w:val="0F6FC6" w:themeColor="accent1"/>
          </w:rPr>
          <w:t>https://careers.unilever.com/en/human-resources</w:t>
        </w:r>
      </w:hyperlink>
      <w:r w:rsidRPr="00A552C4">
        <w:rPr>
          <w:rFonts w:ascii="Times New Roman" w:hAnsi="Times New Roman" w:cs="Times New Roman"/>
          <w:color w:val="17406D" w:themeColor="text2"/>
        </w:rPr>
        <w:t xml:space="preserve"> </w:t>
      </w:r>
      <w:r w:rsidRPr="00A552C4">
        <w:rPr>
          <w:rFonts w:ascii="Times New Roman" w:hAnsi="Times New Roman" w:cs="Times New Roman"/>
        </w:rPr>
        <w:t>(Accessed: 1</w:t>
      </w:r>
      <w:r w:rsidR="00A552C4">
        <w:rPr>
          <w:rFonts w:ascii="Times New Roman" w:hAnsi="Times New Roman" w:cs="Times New Roman"/>
        </w:rPr>
        <w:t>2</w:t>
      </w:r>
      <w:r w:rsidRPr="00A552C4">
        <w:rPr>
          <w:rFonts w:ascii="Times New Roman" w:hAnsi="Times New Roman" w:cs="Times New Roman"/>
        </w:rPr>
        <w:t xml:space="preserve"> May 2026).</w:t>
      </w:r>
    </w:p>
    <w:p w14:paraId="525F9672" w14:textId="77777777" w:rsidR="0055569C" w:rsidRDefault="0055569C"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eastAsia="Times New Roman" w:hAnsi="Times New Roman" w:cs="Times New Roman"/>
          <w:sz w:val="24"/>
          <w:szCs w:val="24"/>
          <w:lang w:val="en-IN" w:eastAsia="en-IN"/>
        </w:rPr>
        <w:t xml:space="preserve">Tuttle, M. (2002) “A Review and Critique of Van Maanen and Schein’s ‘Toward a Theory of Organizational Socialization’ and Implications for Human Resource Development,” Human resource development review, 1(1), pp. 66–90. Available at: </w:t>
      </w:r>
      <w:hyperlink r:id="rId19" w:history="1">
        <w:r w:rsidRPr="00A552C4">
          <w:rPr>
            <w:rStyle w:val="Hyperlink"/>
            <w:rFonts w:ascii="Times New Roman" w:eastAsia="Times New Roman" w:hAnsi="Times New Roman" w:cs="Times New Roman"/>
            <w:color w:val="0F6FC6" w:themeColor="accent1"/>
            <w:sz w:val="24"/>
            <w:szCs w:val="24"/>
            <w:lang w:val="en-IN" w:eastAsia="en-IN"/>
          </w:rPr>
          <w:t>https://doi.org/10.1177/1534484302011004</w:t>
        </w:r>
      </w:hyperlink>
      <w:r w:rsidRPr="00A552C4">
        <w:rPr>
          <w:rFonts w:ascii="Times New Roman" w:eastAsia="Times New Roman" w:hAnsi="Times New Roman" w:cs="Times New Roman"/>
          <w:sz w:val="24"/>
          <w:szCs w:val="24"/>
          <w:lang w:val="en-IN" w:eastAsia="en-IN"/>
        </w:rPr>
        <w:t xml:space="preserve"> </w:t>
      </w:r>
      <w:r w:rsidRPr="00A552C4">
        <w:rPr>
          <w:rFonts w:ascii="Times New Roman" w:hAnsi="Times New Roman" w:cs="Times New Roman"/>
          <w:sz w:val="24"/>
          <w:szCs w:val="24"/>
          <w:lang w:val="en-IN"/>
        </w:rPr>
        <w:t>(Accessed: 13 May 2026).</w:t>
      </w:r>
    </w:p>
    <w:p w14:paraId="0E3055E8" w14:textId="77777777" w:rsidR="00A552C4" w:rsidRPr="00A552C4" w:rsidRDefault="00A552C4" w:rsidP="00A552C4">
      <w:pPr>
        <w:pStyle w:val="ListParagraph"/>
        <w:spacing w:line="360" w:lineRule="auto"/>
        <w:jc w:val="both"/>
        <w:rPr>
          <w:rFonts w:ascii="Times New Roman" w:hAnsi="Times New Roman" w:cs="Times New Roman"/>
          <w:sz w:val="24"/>
          <w:szCs w:val="24"/>
          <w:lang w:val="en-IN"/>
        </w:rPr>
      </w:pPr>
    </w:p>
    <w:p w14:paraId="2B1FC736" w14:textId="45DCC24B" w:rsidR="00A552C4" w:rsidRDefault="0055569C"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eastAsia="Times New Roman" w:hAnsi="Times New Roman" w:cs="Times New Roman"/>
          <w:sz w:val="24"/>
          <w:szCs w:val="24"/>
          <w:lang w:val="en-IN" w:eastAsia="en-IN"/>
        </w:rPr>
        <w:t xml:space="preserve">Rousseau, D.M. and Barends, E.G.R. (2011) “Becoming an evidence-based HR practitioner,” Human resource management journal, 21(3), pp. 221–235. Available at: </w:t>
      </w:r>
      <w:hyperlink r:id="rId20" w:history="1">
        <w:r w:rsidRPr="00A552C4">
          <w:rPr>
            <w:rStyle w:val="Hyperlink"/>
            <w:rFonts w:ascii="Times New Roman" w:eastAsia="Times New Roman" w:hAnsi="Times New Roman" w:cs="Times New Roman"/>
            <w:color w:val="0F6FC6" w:themeColor="accent1"/>
            <w:sz w:val="24"/>
            <w:szCs w:val="24"/>
            <w:lang w:val="en-IN" w:eastAsia="en-IN"/>
          </w:rPr>
          <w:t>https://doi.org/10.1111/j.1748-8583.2011.00173</w:t>
        </w:r>
      </w:hyperlink>
      <w:r w:rsidRPr="00A552C4">
        <w:rPr>
          <w:rFonts w:ascii="Times New Roman" w:eastAsia="Times New Roman" w:hAnsi="Times New Roman" w:cs="Times New Roman"/>
          <w:color w:val="0F6FC6" w:themeColor="accent1"/>
          <w:sz w:val="24"/>
          <w:szCs w:val="24"/>
          <w:lang w:val="en-IN" w:eastAsia="en-IN"/>
        </w:rPr>
        <w:t xml:space="preserve"> </w:t>
      </w:r>
      <w:r w:rsidRPr="00A552C4">
        <w:rPr>
          <w:rFonts w:ascii="Times New Roman" w:hAnsi="Times New Roman" w:cs="Times New Roman"/>
          <w:sz w:val="24"/>
          <w:szCs w:val="24"/>
          <w:lang w:val="en-IN"/>
        </w:rPr>
        <w:t>(Accessed: 1</w:t>
      </w:r>
      <w:r w:rsidR="00A552C4">
        <w:rPr>
          <w:rFonts w:ascii="Times New Roman" w:hAnsi="Times New Roman" w:cs="Times New Roman"/>
          <w:sz w:val="24"/>
          <w:szCs w:val="24"/>
          <w:lang w:val="en-IN"/>
        </w:rPr>
        <w:t>5</w:t>
      </w:r>
      <w:r w:rsidRPr="00A552C4">
        <w:rPr>
          <w:rFonts w:ascii="Times New Roman" w:hAnsi="Times New Roman" w:cs="Times New Roman"/>
          <w:sz w:val="24"/>
          <w:szCs w:val="24"/>
          <w:lang w:val="en-IN"/>
        </w:rPr>
        <w:t xml:space="preserve"> May 2026).</w:t>
      </w:r>
      <w:r w:rsidR="00A552C4">
        <w:rPr>
          <w:rFonts w:ascii="Times New Roman" w:hAnsi="Times New Roman" w:cs="Times New Roman"/>
          <w:sz w:val="24"/>
          <w:szCs w:val="24"/>
          <w:lang w:val="en-IN"/>
        </w:rPr>
        <w:t xml:space="preserve"> </w:t>
      </w:r>
    </w:p>
    <w:p w14:paraId="7EC4C480" w14:textId="77777777" w:rsidR="00A552C4" w:rsidRPr="00A552C4" w:rsidRDefault="00A552C4" w:rsidP="00A552C4">
      <w:pPr>
        <w:spacing w:line="360" w:lineRule="auto"/>
        <w:jc w:val="both"/>
        <w:rPr>
          <w:rFonts w:ascii="Times New Roman" w:hAnsi="Times New Roman" w:cs="Times New Roman"/>
          <w:sz w:val="24"/>
          <w:szCs w:val="24"/>
          <w:lang w:val="en-IN"/>
        </w:rPr>
      </w:pPr>
    </w:p>
    <w:p w14:paraId="6C9E9E6C" w14:textId="19C5EACC" w:rsidR="00A552C4" w:rsidRDefault="00A552C4"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eastAsia="Times New Roman" w:hAnsi="Times New Roman" w:cs="Times New Roman"/>
          <w:sz w:val="24"/>
          <w:szCs w:val="24"/>
          <w:lang w:val="en-IN" w:eastAsia="en-IN"/>
        </w:rPr>
        <w:t xml:space="preserve">Marler, J.H. and Boudreau, J.W. (2017) “An evidence-based review of HR Analytics,” International journal of human resource management, 28(1), pp. 3–26. Available at: </w:t>
      </w:r>
      <w:hyperlink r:id="rId21" w:history="1">
        <w:r w:rsidRPr="00A552C4">
          <w:rPr>
            <w:rStyle w:val="Hyperlink"/>
            <w:rFonts w:ascii="Times New Roman" w:eastAsia="Times New Roman" w:hAnsi="Times New Roman" w:cs="Times New Roman"/>
            <w:color w:val="0F6FC6" w:themeColor="accent1"/>
            <w:sz w:val="24"/>
            <w:szCs w:val="24"/>
            <w:lang w:val="en-IN" w:eastAsia="en-IN"/>
          </w:rPr>
          <w:t>https://doi.org/10.1080/09585192.2016.1244699</w:t>
        </w:r>
      </w:hyperlink>
      <w:r w:rsidRPr="00A552C4">
        <w:rPr>
          <w:rFonts w:ascii="Times New Roman" w:eastAsia="Times New Roman" w:hAnsi="Times New Roman" w:cs="Times New Roman"/>
          <w:sz w:val="24"/>
          <w:szCs w:val="24"/>
          <w:lang w:val="en-IN" w:eastAsia="en-IN"/>
        </w:rPr>
        <w:t xml:space="preserve"> </w:t>
      </w:r>
      <w:r w:rsidRPr="00A552C4">
        <w:rPr>
          <w:rFonts w:ascii="Times New Roman" w:hAnsi="Times New Roman" w:cs="Times New Roman"/>
          <w:sz w:val="24"/>
          <w:szCs w:val="24"/>
          <w:lang w:val="en-IN"/>
        </w:rPr>
        <w:t>(Accessed: 1</w:t>
      </w:r>
      <w:r>
        <w:rPr>
          <w:rFonts w:ascii="Times New Roman" w:hAnsi="Times New Roman" w:cs="Times New Roman"/>
          <w:sz w:val="24"/>
          <w:szCs w:val="24"/>
          <w:lang w:val="en-IN"/>
        </w:rPr>
        <w:t>9</w:t>
      </w:r>
      <w:r w:rsidRPr="00A552C4">
        <w:rPr>
          <w:rFonts w:ascii="Times New Roman" w:hAnsi="Times New Roman" w:cs="Times New Roman"/>
          <w:sz w:val="24"/>
          <w:szCs w:val="24"/>
          <w:lang w:val="en-IN"/>
        </w:rPr>
        <w:t xml:space="preserve"> May 2026).</w:t>
      </w:r>
    </w:p>
    <w:p w14:paraId="55D4BBFA" w14:textId="77777777" w:rsidR="00A552C4" w:rsidRPr="00A552C4" w:rsidRDefault="00A552C4" w:rsidP="00A552C4">
      <w:pPr>
        <w:pStyle w:val="ListParagraph"/>
        <w:spacing w:line="360" w:lineRule="auto"/>
        <w:jc w:val="both"/>
        <w:rPr>
          <w:rFonts w:ascii="Times New Roman" w:hAnsi="Times New Roman" w:cs="Times New Roman"/>
          <w:sz w:val="24"/>
          <w:szCs w:val="24"/>
          <w:lang w:val="en-IN"/>
        </w:rPr>
      </w:pPr>
    </w:p>
    <w:p w14:paraId="3EC2361C" w14:textId="0F3FC44B" w:rsidR="00A552C4" w:rsidRPr="00A552C4" w:rsidRDefault="00A552C4" w:rsidP="00A552C4">
      <w:pPr>
        <w:pStyle w:val="ListParagraph"/>
        <w:numPr>
          <w:ilvl w:val="0"/>
          <w:numId w:val="47"/>
        </w:numPr>
        <w:spacing w:line="360" w:lineRule="auto"/>
        <w:jc w:val="both"/>
        <w:rPr>
          <w:rFonts w:ascii="Times New Roman" w:hAnsi="Times New Roman" w:cs="Times New Roman"/>
          <w:sz w:val="24"/>
          <w:szCs w:val="24"/>
          <w:lang w:val="en-IN"/>
        </w:rPr>
      </w:pPr>
      <w:r w:rsidRPr="00A552C4">
        <w:rPr>
          <w:rFonts w:ascii="Times New Roman" w:eastAsia="Times New Roman" w:hAnsi="Times New Roman" w:cs="Times New Roman"/>
          <w:sz w:val="24"/>
          <w:szCs w:val="24"/>
          <w:lang w:val="en-IN" w:eastAsia="en-IN"/>
        </w:rPr>
        <w:t xml:space="preserve">Guest, D.E. (2017) “Human resource management and employee well‐being: towards a new analytic framework,” Human resource management journal, 27(1), pp. 22–38. Available at: </w:t>
      </w:r>
      <w:hyperlink r:id="rId22" w:history="1">
        <w:r w:rsidRPr="00A552C4">
          <w:rPr>
            <w:rStyle w:val="Hyperlink"/>
            <w:rFonts w:ascii="Times New Roman" w:eastAsia="Times New Roman" w:hAnsi="Times New Roman" w:cs="Times New Roman"/>
            <w:color w:val="0F6FC6" w:themeColor="accent1"/>
            <w:sz w:val="24"/>
            <w:szCs w:val="24"/>
            <w:lang w:val="en-IN" w:eastAsia="en-IN"/>
          </w:rPr>
          <w:t>https://doi.org/10.1111/1748-8583.12139</w:t>
        </w:r>
      </w:hyperlink>
      <w:r w:rsidRPr="00A552C4">
        <w:rPr>
          <w:rFonts w:ascii="Times New Roman" w:eastAsia="Times New Roman" w:hAnsi="Times New Roman" w:cs="Times New Roman"/>
          <w:color w:val="0F6FC6" w:themeColor="accent1"/>
          <w:sz w:val="24"/>
          <w:szCs w:val="24"/>
          <w:lang w:val="en-IN" w:eastAsia="en-IN"/>
        </w:rPr>
        <w:t xml:space="preserve"> </w:t>
      </w:r>
      <w:r w:rsidRPr="00A552C4">
        <w:rPr>
          <w:rFonts w:ascii="Times New Roman" w:hAnsi="Times New Roman" w:cs="Times New Roman"/>
          <w:sz w:val="24"/>
          <w:szCs w:val="24"/>
          <w:lang w:val="en-IN"/>
        </w:rPr>
        <w:t xml:space="preserve">(Accessed: </w:t>
      </w:r>
      <w:r>
        <w:rPr>
          <w:rFonts w:ascii="Times New Roman" w:hAnsi="Times New Roman" w:cs="Times New Roman"/>
          <w:sz w:val="24"/>
          <w:szCs w:val="24"/>
          <w:lang w:val="en-IN"/>
        </w:rPr>
        <w:t>19</w:t>
      </w:r>
      <w:r w:rsidRPr="00A552C4">
        <w:rPr>
          <w:rFonts w:ascii="Times New Roman" w:hAnsi="Times New Roman" w:cs="Times New Roman"/>
          <w:sz w:val="24"/>
          <w:szCs w:val="24"/>
          <w:lang w:val="en-IN"/>
        </w:rPr>
        <w:t xml:space="preserve"> May 2026).</w:t>
      </w:r>
    </w:p>
    <w:p w14:paraId="3D2514C3" w14:textId="77777777" w:rsidR="0055569C" w:rsidRPr="00A552C4" w:rsidRDefault="0055569C" w:rsidP="00A552C4">
      <w:pPr>
        <w:pStyle w:val="ListParagraph"/>
        <w:spacing w:after="0" w:line="360" w:lineRule="auto"/>
        <w:jc w:val="both"/>
        <w:rPr>
          <w:rFonts w:ascii="Times New Roman" w:eastAsia="Times New Roman" w:hAnsi="Times New Roman" w:cs="Times New Roman"/>
          <w:sz w:val="24"/>
          <w:szCs w:val="24"/>
          <w:lang w:val="en-IN" w:eastAsia="en-IN"/>
        </w:rPr>
      </w:pPr>
    </w:p>
    <w:p w14:paraId="3A45B200" w14:textId="77777777" w:rsidR="007164E0" w:rsidRPr="0055569C" w:rsidRDefault="007164E0" w:rsidP="0055569C">
      <w:pPr>
        <w:pStyle w:val="ListParagraph"/>
        <w:spacing w:after="0" w:line="240" w:lineRule="auto"/>
        <w:rPr>
          <w:rFonts w:ascii="Times New Roman" w:eastAsia="Times New Roman" w:hAnsi="Times New Roman" w:cs="Times New Roman"/>
          <w:sz w:val="24"/>
          <w:szCs w:val="24"/>
          <w:lang w:val="en-IN" w:eastAsia="en-IN"/>
        </w:rPr>
      </w:pPr>
    </w:p>
    <w:p w14:paraId="28255E67" w14:textId="77777777" w:rsidR="00142EA5" w:rsidRDefault="00142EA5" w:rsidP="007C3BD9">
      <w:pPr>
        <w:rPr>
          <w:rFonts w:ascii="Times New Roman" w:hAnsi="Times New Roman" w:cs="Times New Roman"/>
          <w:sz w:val="24"/>
          <w:szCs w:val="24"/>
        </w:rPr>
      </w:pPr>
    </w:p>
    <w:p w14:paraId="53C7E3CA" w14:textId="77777777" w:rsidR="00A552C4" w:rsidRDefault="00A552C4" w:rsidP="007C3BD9">
      <w:pPr>
        <w:rPr>
          <w:rFonts w:ascii="Times New Roman" w:hAnsi="Times New Roman" w:cs="Times New Roman"/>
          <w:sz w:val="24"/>
          <w:szCs w:val="24"/>
        </w:rPr>
      </w:pPr>
    </w:p>
    <w:p w14:paraId="1B09960A" w14:textId="77777777" w:rsidR="00A552C4" w:rsidRDefault="00A552C4" w:rsidP="007C3BD9">
      <w:pPr>
        <w:rPr>
          <w:rFonts w:ascii="Times New Roman" w:hAnsi="Times New Roman" w:cs="Times New Roman"/>
          <w:sz w:val="24"/>
          <w:szCs w:val="24"/>
        </w:rPr>
      </w:pPr>
    </w:p>
    <w:p w14:paraId="40EE484D" w14:textId="77777777" w:rsidR="00A552C4" w:rsidRDefault="00A552C4" w:rsidP="007C3BD9">
      <w:pPr>
        <w:rPr>
          <w:rFonts w:ascii="Times New Roman" w:hAnsi="Times New Roman" w:cs="Times New Roman"/>
          <w:sz w:val="24"/>
          <w:szCs w:val="24"/>
        </w:rPr>
      </w:pPr>
    </w:p>
    <w:p w14:paraId="5E65BA74" w14:textId="77777777" w:rsidR="00F460E2" w:rsidRDefault="00F460E2" w:rsidP="007C3BD9">
      <w:pPr>
        <w:rPr>
          <w:rFonts w:ascii="Times New Roman" w:hAnsi="Times New Roman" w:cs="Times New Roman"/>
          <w:sz w:val="24"/>
          <w:szCs w:val="24"/>
        </w:rPr>
      </w:pPr>
    </w:p>
    <w:p w14:paraId="199817AD" w14:textId="77777777" w:rsidR="00A552C4" w:rsidRDefault="00A552C4" w:rsidP="007C3BD9">
      <w:pPr>
        <w:rPr>
          <w:rFonts w:ascii="Times New Roman" w:hAnsi="Times New Roman" w:cs="Times New Roman"/>
          <w:sz w:val="24"/>
          <w:szCs w:val="24"/>
        </w:rPr>
      </w:pPr>
    </w:p>
    <w:p w14:paraId="5FBA44A7" w14:textId="6CA0196E" w:rsidR="00142EA5" w:rsidRPr="00E667EA" w:rsidRDefault="00E667EA" w:rsidP="00FC331E">
      <w:pPr>
        <w:pStyle w:val="Heading1"/>
        <w:numPr>
          <w:ilvl w:val="0"/>
          <w:numId w:val="48"/>
        </w:numPr>
        <w:rPr>
          <w:rFonts w:ascii="Times New Roman" w:hAnsi="Times New Roman" w:cs="Times New Roman"/>
          <w:b/>
          <w:bCs/>
          <w:sz w:val="32"/>
          <w:szCs w:val="32"/>
        </w:rPr>
      </w:pPr>
      <w:bookmarkStart w:id="10" w:name="_Toc230524395"/>
      <w:r w:rsidRPr="00E667EA">
        <w:rPr>
          <w:rFonts w:ascii="Times New Roman" w:hAnsi="Times New Roman" w:cs="Times New Roman"/>
          <w:b/>
          <w:bCs/>
          <w:sz w:val="32"/>
          <w:szCs w:val="32"/>
        </w:rPr>
        <w:lastRenderedPageBreak/>
        <w:t>APPENDIX</w:t>
      </w:r>
      <w:bookmarkEnd w:id="10"/>
    </w:p>
    <w:p w14:paraId="3F658807" w14:textId="77777777" w:rsidR="00142EA5" w:rsidRDefault="00142EA5" w:rsidP="00142EA5"/>
    <w:p w14:paraId="30C575CC" w14:textId="05C9348C" w:rsidR="00142EA5" w:rsidRPr="006879D0" w:rsidRDefault="00142EA5" w:rsidP="00142EA5">
      <w:pPr>
        <w:rPr>
          <w:rFonts w:ascii="Times New Roman" w:hAnsi="Times New Roman" w:cs="Times New Roman"/>
          <w:b/>
          <w:bCs/>
          <w:sz w:val="24"/>
          <w:szCs w:val="24"/>
          <w:u w:val="single"/>
        </w:rPr>
      </w:pPr>
      <w:r w:rsidRPr="006879D0">
        <w:rPr>
          <w:rFonts w:ascii="Times New Roman" w:hAnsi="Times New Roman" w:cs="Times New Roman"/>
          <w:b/>
          <w:bCs/>
          <w:sz w:val="24"/>
          <w:szCs w:val="24"/>
          <w:u w:val="single"/>
        </w:rPr>
        <w:t xml:space="preserve">Appendix A: </w:t>
      </w:r>
      <w:r w:rsidR="006879D0" w:rsidRPr="006879D0">
        <w:rPr>
          <w:rFonts w:ascii="Times New Roman" w:hAnsi="Times New Roman" w:cs="Times New Roman"/>
          <w:b/>
          <w:bCs/>
          <w:sz w:val="24"/>
          <w:szCs w:val="24"/>
          <w:u w:val="single"/>
        </w:rPr>
        <w:t>I</w:t>
      </w:r>
      <w:r w:rsidRPr="006879D0">
        <w:rPr>
          <w:rFonts w:ascii="Times New Roman" w:hAnsi="Times New Roman" w:cs="Times New Roman"/>
          <w:b/>
          <w:bCs/>
          <w:sz w:val="24"/>
          <w:szCs w:val="24"/>
          <w:u w:val="single"/>
        </w:rPr>
        <w:t xml:space="preserve">ntegrated HRM framework for </w:t>
      </w:r>
      <w:r w:rsidR="006879D0" w:rsidRPr="006879D0">
        <w:rPr>
          <w:rFonts w:ascii="Times New Roman" w:hAnsi="Times New Roman" w:cs="Times New Roman"/>
          <w:b/>
          <w:bCs/>
          <w:sz w:val="24"/>
          <w:szCs w:val="24"/>
          <w:u w:val="single"/>
        </w:rPr>
        <w:t>Unilever</w:t>
      </w:r>
      <w:r w:rsidR="00E53FAC" w:rsidRPr="006879D0">
        <w:rPr>
          <w:rFonts w:ascii="Times New Roman" w:hAnsi="Times New Roman" w:cs="Times New Roman"/>
          <w:b/>
          <w:bCs/>
          <w:sz w:val="24"/>
          <w:szCs w:val="24"/>
          <w:u w:val="single"/>
        </w:rPr>
        <w:t xml:space="preserve"> and </w:t>
      </w:r>
      <w:r w:rsidR="006879D0" w:rsidRPr="006879D0">
        <w:rPr>
          <w:rFonts w:ascii="Times New Roman" w:hAnsi="Times New Roman" w:cs="Times New Roman"/>
          <w:b/>
          <w:bCs/>
          <w:sz w:val="24"/>
          <w:szCs w:val="24"/>
          <w:u w:val="single"/>
        </w:rPr>
        <w:t>project-based</w:t>
      </w:r>
      <w:r w:rsidR="00E53FAC" w:rsidRPr="006879D0">
        <w:rPr>
          <w:rFonts w:ascii="Times New Roman" w:hAnsi="Times New Roman" w:cs="Times New Roman"/>
          <w:b/>
          <w:bCs/>
          <w:sz w:val="24"/>
          <w:szCs w:val="24"/>
          <w:u w:val="single"/>
        </w:rPr>
        <w:t xml:space="preserve"> </w:t>
      </w:r>
      <w:r w:rsidR="00FF0FC7">
        <w:rPr>
          <w:rFonts w:ascii="Times New Roman" w:hAnsi="Times New Roman" w:cs="Times New Roman"/>
          <w:b/>
          <w:bCs/>
          <w:sz w:val="24"/>
          <w:szCs w:val="24"/>
          <w:u w:val="single"/>
        </w:rPr>
        <w:t>organizations</w:t>
      </w:r>
    </w:p>
    <w:p w14:paraId="54392282" w14:textId="77777777" w:rsidR="006879D0" w:rsidRDefault="006879D0" w:rsidP="00142EA5"/>
    <w:tbl>
      <w:tblPr>
        <w:tblStyle w:val="TableGrid"/>
        <w:tblW w:w="9782" w:type="dxa"/>
        <w:tblInd w:w="-289" w:type="dxa"/>
        <w:tblLook w:val="04A0" w:firstRow="1" w:lastRow="0" w:firstColumn="1" w:lastColumn="0" w:noHBand="0" w:noVBand="1"/>
      </w:tblPr>
      <w:tblGrid>
        <w:gridCol w:w="870"/>
        <w:gridCol w:w="2533"/>
        <w:gridCol w:w="1984"/>
        <w:gridCol w:w="1843"/>
        <w:gridCol w:w="2552"/>
      </w:tblGrid>
      <w:tr w:rsidR="006879D0" w14:paraId="0757A2DA" w14:textId="77777777" w:rsidTr="00210848">
        <w:tc>
          <w:tcPr>
            <w:tcW w:w="870" w:type="dxa"/>
          </w:tcPr>
          <w:p w14:paraId="3CD31C65" w14:textId="0F7F796F" w:rsidR="006879D0" w:rsidRDefault="006879D0" w:rsidP="00142EA5">
            <w:r>
              <w:t>Priority</w:t>
            </w:r>
          </w:p>
        </w:tc>
        <w:tc>
          <w:tcPr>
            <w:tcW w:w="2533" w:type="dxa"/>
          </w:tcPr>
          <w:p w14:paraId="09F515E0" w14:textId="1EC00CDB" w:rsidR="006879D0" w:rsidRDefault="006879D0" w:rsidP="00142EA5">
            <w:r>
              <w:t>Recommendation</w:t>
            </w:r>
          </w:p>
        </w:tc>
        <w:tc>
          <w:tcPr>
            <w:tcW w:w="1984" w:type="dxa"/>
          </w:tcPr>
          <w:p w14:paraId="1A54FB48" w14:textId="203A5C50" w:rsidR="006879D0" w:rsidRDefault="006879D0" w:rsidP="00142EA5">
            <w:r>
              <w:t>Strategic value</w:t>
            </w:r>
          </w:p>
        </w:tc>
        <w:tc>
          <w:tcPr>
            <w:tcW w:w="1843" w:type="dxa"/>
          </w:tcPr>
          <w:p w14:paraId="4938C8E1" w14:textId="58F438C6" w:rsidR="006879D0" w:rsidRDefault="006879D0" w:rsidP="00142EA5">
            <w:r>
              <w:t>Risk or limitation</w:t>
            </w:r>
          </w:p>
        </w:tc>
        <w:tc>
          <w:tcPr>
            <w:tcW w:w="2552" w:type="dxa"/>
          </w:tcPr>
          <w:p w14:paraId="227F43C5" w14:textId="32044A6B" w:rsidR="006879D0" w:rsidRDefault="006879D0" w:rsidP="00142EA5">
            <w:r>
              <w:t>Control Measure</w:t>
            </w:r>
          </w:p>
        </w:tc>
      </w:tr>
      <w:tr w:rsidR="006879D0" w14:paraId="4F787017" w14:textId="77777777" w:rsidTr="00210848">
        <w:tc>
          <w:tcPr>
            <w:tcW w:w="870" w:type="dxa"/>
          </w:tcPr>
          <w:p w14:paraId="480F4735" w14:textId="18951930" w:rsidR="006879D0" w:rsidRDefault="006879D0" w:rsidP="00210848">
            <w:pPr>
              <w:spacing w:line="360" w:lineRule="auto"/>
              <w:jc w:val="center"/>
            </w:pPr>
            <w:r>
              <w:t>1</w:t>
            </w:r>
          </w:p>
        </w:tc>
        <w:tc>
          <w:tcPr>
            <w:tcW w:w="2533" w:type="dxa"/>
          </w:tcPr>
          <w:p w14:paraId="0D2B9712" w14:textId="153DE531" w:rsidR="006879D0" w:rsidRDefault="006879D0" w:rsidP="00210848">
            <w:pPr>
              <w:spacing w:line="360" w:lineRule="auto"/>
              <w:jc w:val="center"/>
            </w:pPr>
            <w:r>
              <w:t>Introduce 30-60-90- day onboarding for project-based employees</w:t>
            </w:r>
          </w:p>
        </w:tc>
        <w:tc>
          <w:tcPr>
            <w:tcW w:w="1984" w:type="dxa"/>
          </w:tcPr>
          <w:p w14:paraId="5C4F46B5" w14:textId="2EA23976" w:rsidR="006879D0" w:rsidRDefault="006879D0" w:rsidP="00210848">
            <w:pPr>
              <w:spacing w:line="360" w:lineRule="auto"/>
              <w:jc w:val="center"/>
            </w:pPr>
            <w:r>
              <w:t>Improves role clarity, confidence and early productivity</w:t>
            </w:r>
          </w:p>
        </w:tc>
        <w:tc>
          <w:tcPr>
            <w:tcW w:w="1843" w:type="dxa"/>
          </w:tcPr>
          <w:p w14:paraId="68587E4B" w14:textId="262474DD" w:rsidR="006879D0" w:rsidRDefault="006879D0" w:rsidP="00210848">
            <w:pPr>
              <w:spacing w:line="360" w:lineRule="auto"/>
              <w:jc w:val="center"/>
            </w:pPr>
            <w:r>
              <w:t>Managers may treat it as paperwork</w:t>
            </w:r>
          </w:p>
        </w:tc>
        <w:tc>
          <w:tcPr>
            <w:tcW w:w="2552" w:type="dxa"/>
          </w:tcPr>
          <w:p w14:paraId="25F1FCB5" w14:textId="739997B3" w:rsidR="006879D0" w:rsidRDefault="006879D0" w:rsidP="00210848">
            <w:pPr>
              <w:spacing w:line="360" w:lineRule="auto"/>
              <w:jc w:val="center"/>
            </w:pPr>
            <w:r>
              <w:t>Link onboard</w:t>
            </w:r>
            <w:r w:rsidR="00210848">
              <w:t>ing quality to manager review and new-starter feedback</w:t>
            </w:r>
          </w:p>
        </w:tc>
      </w:tr>
      <w:tr w:rsidR="006879D0" w14:paraId="66D827C2" w14:textId="77777777" w:rsidTr="00210848">
        <w:tc>
          <w:tcPr>
            <w:tcW w:w="870" w:type="dxa"/>
          </w:tcPr>
          <w:p w14:paraId="5A70EF01" w14:textId="2AF3FC9D" w:rsidR="006879D0" w:rsidRDefault="006879D0" w:rsidP="00210848">
            <w:pPr>
              <w:spacing w:line="360" w:lineRule="auto"/>
              <w:jc w:val="center"/>
            </w:pPr>
            <w:r>
              <w:t>2</w:t>
            </w:r>
          </w:p>
        </w:tc>
        <w:tc>
          <w:tcPr>
            <w:tcW w:w="2533" w:type="dxa"/>
          </w:tcPr>
          <w:p w14:paraId="398DF299" w14:textId="37F62CDA" w:rsidR="006879D0" w:rsidRDefault="006879D0" w:rsidP="00210848">
            <w:pPr>
              <w:spacing w:line="360" w:lineRule="auto"/>
              <w:jc w:val="center"/>
            </w:pPr>
            <w:r>
              <w:t>Shift succession planning form replacement planning to capability planning</w:t>
            </w:r>
          </w:p>
        </w:tc>
        <w:tc>
          <w:tcPr>
            <w:tcW w:w="1984" w:type="dxa"/>
          </w:tcPr>
          <w:p w14:paraId="15A0AD61" w14:textId="329F7490" w:rsidR="006879D0" w:rsidRDefault="006879D0" w:rsidP="00210848">
            <w:pPr>
              <w:spacing w:line="360" w:lineRule="auto"/>
              <w:jc w:val="center"/>
            </w:pPr>
            <w:r>
              <w:t>Protects leadership, technical and project-critical knowledge</w:t>
            </w:r>
          </w:p>
        </w:tc>
        <w:tc>
          <w:tcPr>
            <w:tcW w:w="1843" w:type="dxa"/>
          </w:tcPr>
          <w:p w14:paraId="502814E4" w14:textId="56209A97" w:rsidR="006879D0" w:rsidRDefault="006879D0" w:rsidP="00210848">
            <w:pPr>
              <w:spacing w:line="360" w:lineRule="auto"/>
              <w:jc w:val="center"/>
            </w:pPr>
            <w:r>
              <w:t xml:space="preserve">May </w:t>
            </w:r>
            <w:r w:rsidR="00FF0FC7">
              <w:t>favor</w:t>
            </w:r>
            <w:r>
              <w:t xml:space="preserve"> visible employees</w:t>
            </w:r>
          </w:p>
        </w:tc>
        <w:tc>
          <w:tcPr>
            <w:tcW w:w="2552" w:type="dxa"/>
          </w:tcPr>
          <w:p w14:paraId="2CB64094" w14:textId="081EAF12" w:rsidR="006879D0" w:rsidRDefault="006879D0" w:rsidP="00210848">
            <w:pPr>
              <w:spacing w:line="360" w:lineRule="auto"/>
              <w:jc w:val="center"/>
            </w:pPr>
            <w:r>
              <w:t>Use transparen</w:t>
            </w:r>
            <w:r w:rsidR="00210848">
              <w:t>t criteria, calibration panels and diversity monitoring</w:t>
            </w:r>
          </w:p>
        </w:tc>
      </w:tr>
      <w:tr w:rsidR="006879D0" w14:paraId="5333F4BD" w14:textId="77777777" w:rsidTr="00210848">
        <w:tc>
          <w:tcPr>
            <w:tcW w:w="870" w:type="dxa"/>
          </w:tcPr>
          <w:p w14:paraId="0D7A2DF3" w14:textId="6D2ED306" w:rsidR="006879D0" w:rsidRDefault="006879D0" w:rsidP="00210848">
            <w:pPr>
              <w:spacing w:line="360" w:lineRule="auto"/>
              <w:jc w:val="center"/>
            </w:pPr>
            <w:r>
              <w:t>3</w:t>
            </w:r>
          </w:p>
        </w:tc>
        <w:tc>
          <w:tcPr>
            <w:tcW w:w="2533" w:type="dxa"/>
          </w:tcPr>
          <w:p w14:paraId="2341690B" w14:textId="6B560048" w:rsidR="006879D0" w:rsidRDefault="006879D0" w:rsidP="00210848">
            <w:pPr>
              <w:spacing w:line="360" w:lineRule="auto"/>
              <w:jc w:val="center"/>
            </w:pPr>
            <w:r>
              <w:t>Develop dual career ladders for technical and managerial talent</w:t>
            </w:r>
          </w:p>
        </w:tc>
        <w:tc>
          <w:tcPr>
            <w:tcW w:w="1984" w:type="dxa"/>
          </w:tcPr>
          <w:p w14:paraId="1F679374" w14:textId="15A1EBD2" w:rsidR="006879D0" w:rsidRDefault="006879D0" w:rsidP="00210848">
            <w:pPr>
              <w:spacing w:line="360" w:lineRule="auto"/>
              <w:jc w:val="center"/>
            </w:pPr>
            <w:r>
              <w:t>Retains specialists who do not want people-management roles</w:t>
            </w:r>
          </w:p>
        </w:tc>
        <w:tc>
          <w:tcPr>
            <w:tcW w:w="1843" w:type="dxa"/>
          </w:tcPr>
          <w:p w14:paraId="6390956A" w14:textId="6798F14F" w:rsidR="006879D0" w:rsidRDefault="006879D0" w:rsidP="00210848">
            <w:pPr>
              <w:spacing w:line="360" w:lineRule="auto"/>
              <w:jc w:val="center"/>
            </w:pPr>
            <w:r>
              <w:t>Can be costly and complex to design</w:t>
            </w:r>
          </w:p>
        </w:tc>
        <w:tc>
          <w:tcPr>
            <w:tcW w:w="2552" w:type="dxa"/>
          </w:tcPr>
          <w:p w14:paraId="3CC10044" w14:textId="15507901" w:rsidR="006879D0" w:rsidRDefault="00210848" w:rsidP="00210848">
            <w:pPr>
              <w:spacing w:line="360" w:lineRule="auto"/>
              <w:jc w:val="center"/>
            </w:pPr>
            <w:r>
              <w:t>Pilot first in business-critical functions</w:t>
            </w:r>
          </w:p>
        </w:tc>
      </w:tr>
      <w:tr w:rsidR="006879D0" w14:paraId="6A1992DF" w14:textId="77777777" w:rsidTr="00210848">
        <w:tc>
          <w:tcPr>
            <w:tcW w:w="870" w:type="dxa"/>
          </w:tcPr>
          <w:p w14:paraId="0B40CDCE" w14:textId="6BF1A5E4" w:rsidR="006879D0" w:rsidRDefault="006879D0" w:rsidP="00210848">
            <w:pPr>
              <w:spacing w:line="360" w:lineRule="auto"/>
              <w:jc w:val="center"/>
            </w:pPr>
            <w:r>
              <w:t>4</w:t>
            </w:r>
          </w:p>
        </w:tc>
        <w:tc>
          <w:tcPr>
            <w:tcW w:w="2533" w:type="dxa"/>
          </w:tcPr>
          <w:p w14:paraId="502414D4" w14:textId="3FB7E974" w:rsidR="006879D0" w:rsidRDefault="006879D0" w:rsidP="00210848">
            <w:pPr>
              <w:spacing w:line="360" w:lineRule="auto"/>
              <w:jc w:val="center"/>
            </w:pPr>
            <w:r>
              <w:t xml:space="preserve">Use </w:t>
            </w:r>
            <w:r w:rsidR="00210848">
              <w:t>stays</w:t>
            </w:r>
            <w:r>
              <w:t xml:space="preserve"> interviews and pulse surveys alongside exit interviews</w:t>
            </w:r>
          </w:p>
        </w:tc>
        <w:tc>
          <w:tcPr>
            <w:tcW w:w="1984" w:type="dxa"/>
          </w:tcPr>
          <w:p w14:paraId="133FDD50" w14:textId="70664834" w:rsidR="006879D0" w:rsidRDefault="00210848" w:rsidP="00210848">
            <w:pPr>
              <w:spacing w:line="360" w:lineRule="auto"/>
              <w:jc w:val="center"/>
            </w:pPr>
            <w:r>
              <w:t>Identifies retention risks before employees leave</w:t>
            </w:r>
          </w:p>
        </w:tc>
        <w:tc>
          <w:tcPr>
            <w:tcW w:w="1843" w:type="dxa"/>
          </w:tcPr>
          <w:p w14:paraId="141A06CE" w14:textId="09153CAE" w:rsidR="006879D0" w:rsidRDefault="00210848" w:rsidP="00210848">
            <w:pPr>
              <w:spacing w:line="360" w:lineRule="auto"/>
              <w:jc w:val="center"/>
            </w:pPr>
            <w:r>
              <w:t>Employees may not speak honestly</w:t>
            </w:r>
          </w:p>
        </w:tc>
        <w:tc>
          <w:tcPr>
            <w:tcW w:w="2552" w:type="dxa"/>
          </w:tcPr>
          <w:p w14:paraId="4583BDEA" w14:textId="17C5F46B" w:rsidR="006879D0" w:rsidRDefault="00210848" w:rsidP="00210848">
            <w:pPr>
              <w:spacing w:line="360" w:lineRule="auto"/>
              <w:jc w:val="center"/>
            </w:pPr>
            <w:r>
              <w:t>Ensure confidentiality and show visible action</w:t>
            </w:r>
          </w:p>
        </w:tc>
      </w:tr>
      <w:tr w:rsidR="006879D0" w14:paraId="3A687078" w14:textId="77777777" w:rsidTr="00210848">
        <w:tc>
          <w:tcPr>
            <w:tcW w:w="870" w:type="dxa"/>
          </w:tcPr>
          <w:p w14:paraId="72245F2F" w14:textId="3075FD29" w:rsidR="006879D0" w:rsidRDefault="006879D0" w:rsidP="00210848">
            <w:pPr>
              <w:spacing w:line="360" w:lineRule="auto"/>
              <w:jc w:val="center"/>
            </w:pPr>
            <w:r>
              <w:t>5</w:t>
            </w:r>
          </w:p>
        </w:tc>
        <w:tc>
          <w:tcPr>
            <w:tcW w:w="2533" w:type="dxa"/>
          </w:tcPr>
          <w:p w14:paraId="786476AC" w14:textId="4FD2513C" w:rsidR="006879D0" w:rsidRDefault="00210848" w:rsidP="00210848">
            <w:pPr>
              <w:spacing w:line="360" w:lineRule="auto"/>
              <w:jc w:val="center"/>
            </w:pPr>
            <w:r>
              <w:t>Apply talent analytics ethically and transparently</w:t>
            </w:r>
          </w:p>
        </w:tc>
        <w:tc>
          <w:tcPr>
            <w:tcW w:w="1984" w:type="dxa"/>
          </w:tcPr>
          <w:p w14:paraId="41299434" w14:textId="1796DCA6" w:rsidR="006879D0" w:rsidRDefault="00210848" w:rsidP="00210848">
            <w:pPr>
              <w:spacing w:line="360" w:lineRule="auto"/>
              <w:jc w:val="center"/>
            </w:pPr>
            <w:r>
              <w:t>Improves workforce planning and internal mobility</w:t>
            </w:r>
          </w:p>
        </w:tc>
        <w:tc>
          <w:tcPr>
            <w:tcW w:w="1843" w:type="dxa"/>
          </w:tcPr>
          <w:p w14:paraId="73276222" w14:textId="6C514610" w:rsidR="006879D0" w:rsidRDefault="00210848" w:rsidP="00210848">
            <w:pPr>
              <w:spacing w:line="360" w:lineRule="auto"/>
              <w:jc w:val="center"/>
            </w:pPr>
            <w:r>
              <w:t>Risk of surveillance culture or data bias</w:t>
            </w:r>
          </w:p>
        </w:tc>
        <w:tc>
          <w:tcPr>
            <w:tcW w:w="2552" w:type="dxa"/>
          </w:tcPr>
          <w:p w14:paraId="48ECAAFC" w14:textId="3BEE1707" w:rsidR="006879D0" w:rsidRDefault="00210848" w:rsidP="00210848">
            <w:pPr>
              <w:spacing w:line="360" w:lineRule="auto"/>
              <w:jc w:val="center"/>
            </w:pPr>
            <w:r>
              <w:t>Use human judgement, data governance and employee communication</w:t>
            </w:r>
          </w:p>
        </w:tc>
      </w:tr>
    </w:tbl>
    <w:p w14:paraId="7E3A098B" w14:textId="77777777" w:rsidR="00142EA5" w:rsidRDefault="00142EA5" w:rsidP="00142EA5"/>
    <w:p w14:paraId="24625955" w14:textId="524F3BE3" w:rsidR="00142EA5" w:rsidRPr="00705AEC" w:rsidRDefault="00210848" w:rsidP="002108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recommendations should be implemented gradually rather than introduced as a single HR transformation. This is important because project-based </w:t>
      </w:r>
      <w:r w:rsidR="00FF0FC7">
        <w:rPr>
          <w:rFonts w:ascii="Times New Roman" w:hAnsi="Times New Roman" w:cs="Times New Roman"/>
          <w:sz w:val="24"/>
          <w:szCs w:val="24"/>
        </w:rPr>
        <w:t>organizations</w:t>
      </w:r>
      <w:r>
        <w:rPr>
          <w:rFonts w:ascii="Times New Roman" w:hAnsi="Times New Roman" w:cs="Times New Roman"/>
          <w:sz w:val="24"/>
          <w:szCs w:val="24"/>
        </w:rPr>
        <w:t xml:space="preserve"> already operate under time, cost and workload pressures. A phased approach would allow Unilever to test practices, collect employees feedback and refine the model before wider implementation. The recommendations also respond to the need for stronger feasibility and implementation awareness, rather than simply listing ideal HR practices.</w:t>
      </w:r>
    </w:p>
    <w:sectPr w:rsidR="00142EA5" w:rsidRPr="00705AEC">
      <w:headerReference w:type="default" r:id="rId23"/>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B094A" w14:textId="77777777" w:rsidR="004F2B28" w:rsidRDefault="004F2B28">
      <w:pPr>
        <w:spacing w:line="240" w:lineRule="auto"/>
      </w:pPr>
      <w:r>
        <w:separator/>
      </w:r>
    </w:p>
  </w:endnote>
  <w:endnote w:type="continuationSeparator" w:id="0">
    <w:p w14:paraId="09F6A14B" w14:textId="77777777" w:rsidR="004F2B28" w:rsidRDefault="004F2B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582108"/>
      <w:docPartObj>
        <w:docPartGallery w:val="AutoText"/>
      </w:docPartObj>
    </w:sdtPr>
    <w:sdtContent>
      <w:p w14:paraId="1A33D738" w14:textId="77777777" w:rsidR="008C1C1A" w:rsidRDefault="00000000">
        <w:pPr>
          <w:pStyle w:val="Footer"/>
        </w:pPr>
        <w:r>
          <w:fldChar w:fldCharType="begin"/>
        </w:r>
        <w:r>
          <w:instrText xml:space="preserve"> PAGE   \* MERGEFORMAT </w:instrText>
        </w:r>
        <w:r>
          <w:fldChar w:fldCharType="separate"/>
        </w:r>
        <w:r>
          <w:t>2</w:t>
        </w:r>
        <w:r>
          <w:fldChar w:fldCharType="end"/>
        </w:r>
      </w:p>
    </w:sdtContent>
  </w:sdt>
  <w:p w14:paraId="51D44C72" w14:textId="77777777" w:rsidR="008C1C1A" w:rsidRDefault="008C1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5F91A" w14:textId="77777777" w:rsidR="004F2B28" w:rsidRDefault="004F2B28">
      <w:pPr>
        <w:spacing w:after="0"/>
      </w:pPr>
      <w:r>
        <w:separator/>
      </w:r>
    </w:p>
  </w:footnote>
  <w:footnote w:type="continuationSeparator" w:id="0">
    <w:p w14:paraId="034F5027" w14:textId="77777777" w:rsidR="004F2B28" w:rsidRDefault="004F2B2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A6C35" w14:textId="664F1702" w:rsidR="008C1C1A" w:rsidRDefault="00000000">
    <w:pPr>
      <w:pStyle w:val="Header"/>
      <w:jc w:val="right"/>
    </w:pPr>
    <w:r>
      <w:t xml:space="preserve">                                                   ACHA 70</w:t>
    </w:r>
    <w:r w:rsidR="00A82B7A">
      <w:t>2</w:t>
    </w:r>
    <w:r w:rsidR="00620CE2">
      <w:t>8</w:t>
    </w:r>
    <w:r>
      <w:t>- 2505418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0E27AB4"/>
    <w:multiLevelType w:val="hybridMultilevel"/>
    <w:tmpl w:val="32B49A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7643029"/>
    <w:multiLevelType w:val="hybridMultilevel"/>
    <w:tmpl w:val="8A00C99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92D4504"/>
    <w:multiLevelType w:val="hybridMultilevel"/>
    <w:tmpl w:val="E0C6B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946731A"/>
    <w:multiLevelType w:val="hybridMultilevel"/>
    <w:tmpl w:val="EA1CB1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9F959A8"/>
    <w:multiLevelType w:val="hybridMultilevel"/>
    <w:tmpl w:val="F2C40DD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3056CE5"/>
    <w:multiLevelType w:val="hybridMultilevel"/>
    <w:tmpl w:val="AF4811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40D7DA5"/>
    <w:multiLevelType w:val="hybridMultilevel"/>
    <w:tmpl w:val="BD8E8E18"/>
    <w:lvl w:ilvl="0" w:tplc="40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15EE047C"/>
    <w:multiLevelType w:val="hybridMultilevel"/>
    <w:tmpl w:val="6574974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0" w15:restartNumberingAfterBreak="0">
    <w:nsid w:val="16847132"/>
    <w:multiLevelType w:val="hybridMultilevel"/>
    <w:tmpl w:val="A3B83B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8A82D2A"/>
    <w:multiLevelType w:val="hybridMultilevel"/>
    <w:tmpl w:val="C8503A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A99114D"/>
    <w:multiLevelType w:val="hybridMultilevel"/>
    <w:tmpl w:val="8B18A614"/>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1F0D5F92"/>
    <w:multiLevelType w:val="hybridMultilevel"/>
    <w:tmpl w:val="5784FB7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4" w15:restartNumberingAfterBreak="0">
    <w:nsid w:val="1FAA71EF"/>
    <w:multiLevelType w:val="hybridMultilevel"/>
    <w:tmpl w:val="708C2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39B3392"/>
    <w:multiLevelType w:val="hybridMultilevel"/>
    <w:tmpl w:val="33CA5C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5684EB9"/>
    <w:multiLevelType w:val="hybridMultilevel"/>
    <w:tmpl w:val="C21C26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8A8653C"/>
    <w:multiLevelType w:val="hybridMultilevel"/>
    <w:tmpl w:val="1B4ED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8AD2F8F"/>
    <w:multiLevelType w:val="hybridMultilevel"/>
    <w:tmpl w:val="69D223F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9" w15:restartNumberingAfterBreak="0">
    <w:nsid w:val="29542E55"/>
    <w:multiLevelType w:val="hybridMultilevel"/>
    <w:tmpl w:val="712C11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CF15EC2"/>
    <w:multiLevelType w:val="hybridMultilevel"/>
    <w:tmpl w:val="0D84DC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23C612F"/>
    <w:multiLevelType w:val="hybridMultilevel"/>
    <w:tmpl w:val="254A02A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22" w15:restartNumberingAfterBreak="0">
    <w:nsid w:val="334A5FC1"/>
    <w:multiLevelType w:val="hybridMultilevel"/>
    <w:tmpl w:val="690A1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C5718BE"/>
    <w:multiLevelType w:val="hybridMultilevel"/>
    <w:tmpl w:val="9CD41D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FA845B1"/>
    <w:multiLevelType w:val="hybridMultilevel"/>
    <w:tmpl w:val="9A7CF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3FAA1F8D"/>
    <w:multiLevelType w:val="hybridMultilevel"/>
    <w:tmpl w:val="7F4ADE04"/>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3944EE0"/>
    <w:multiLevelType w:val="hybridMultilevel"/>
    <w:tmpl w:val="5518CB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3E85FAC"/>
    <w:multiLevelType w:val="hybridMultilevel"/>
    <w:tmpl w:val="3D7080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94A695F"/>
    <w:multiLevelType w:val="hybridMultilevel"/>
    <w:tmpl w:val="3FF2B0E0"/>
    <w:lvl w:ilvl="0" w:tplc="4009000F">
      <w:start w:val="1"/>
      <w:numFmt w:val="decimal"/>
      <w:lvlText w:val="%1."/>
      <w:lvlJc w:val="left"/>
      <w:pPr>
        <w:ind w:left="644"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AD92F45"/>
    <w:multiLevelType w:val="hybridMultilevel"/>
    <w:tmpl w:val="456E01B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0" w15:restartNumberingAfterBreak="0">
    <w:nsid w:val="4B333540"/>
    <w:multiLevelType w:val="hybridMultilevel"/>
    <w:tmpl w:val="B66845D4"/>
    <w:lvl w:ilvl="0" w:tplc="50E23D6C">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4FE26627"/>
    <w:multiLevelType w:val="hybridMultilevel"/>
    <w:tmpl w:val="74C07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3232498"/>
    <w:multiLevelType w:val="hybridMultilevel"/>
    <w:tmpl w:val="97E6F9FC"/>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542B3FEC"/>
    <w:multiLevelType w:val="hybridMultilevel"/>
    <w:tmpl w:val="D8A01C16"/>
    <w:lvl w:ilvl="0" w:tplc="4009000F">
      <w:start w:val="1"/>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55D47BCA"/>
    <w:multiLevelType w:val="hybridMultilevel"/>
    <w:tmpl w:val="9EB89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566233D2"/>
    <w:multiLevelType w:val="multilevel"/>
    <w:tmpl w:val="566233D2"/>
    <w:lvl w:ilvl="0">
      <w:start w:val="1"/>
      <w:numFmt w:val="decimal"/>
      <w:lvlText w:val="%1."/>
      <w:lvlJc w:val="left"/>
      <w:pPr>
        <w:ind w:left="360" w:hanging="360"/>
      </w:pPr>
      <w:rPr>
        <w:b w:val="0"/>
        <w:bCs w:val="0"/>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6" w15:restartNumberingAfterBreak="0">
    <w:nsid w:val="59781032"/>
    <w:multiLevelType w:val="hybridMultilevel"/>
    <w:tmpl w:val="9926DCAA"/>
    <w:lvl w:ilvl="0" w:tplc="072465C4">
      <w:start w:val="10"/>
      <w:numFmt w:val="decimal"/>
      <w:lvlText w:val="%1."/>
      <w:lvlJc w:val="left"/>
      <w:pPr>
        <w:ind w:left="780" w:hanging="4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A36145A"/>
    <w:multiLevelType w:val="hybridMultilevel"/>
    <w:tmpl w:val="3CFAB0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5AF074CE"/>
    <w:multiLevelType w:val="hybridMultilevel"/>
    <w:tmpl w:val="9D94B8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5B004A3E"/>
    <w:multiLevelType w:val="hybridMultilevel"/>
    <w:tmpl w:val="DF6EF8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60D51B13"/>
    <w:multiLevelType w:val="hybridMultilevel"/>
    <w:tmpl w:val="DB2E2C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640570C7"/>
    <w:multiLevelType w:val="hybridMultilevel"/>
    <w:tmpl w:val="BD3E8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652E645C"/>
    <w:multiLevelType w:val="hybridMultilevel"/>
    <w:tmpl w:val="B704C9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662E4C72"/>
    <w:multiLevelType w:val="hybridMultilevel"/>
    <w:tmpl w:val="1988DBA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6A091FC9"/>
    <w:multiLevelType w:val="hybridMultilevel"/>
    <w:tmpl w:val="1B1E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6B0901F3"/>
    <w:multiLevelType w:val="hybridMultilevel"/>
    <w:tmpl w:val="568827D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6F20203"/>
    <w:multiLevelType w:val="hybridMultilevel"/>
    <w:tmpl w:val="D6B8D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E85105B"/>
    <w:multiLevelType w:val="hybridMultilevel"/>
    <w:tmpl w:val="DC02B1DA"/>
    <w:lvl w:ilvl="0" w:tplc="4009000F">
      <w:start w:val="2"/>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86618969">
    <w:abstractNumId w:val="1"/>
  </w:num>
  <w:num w:numId="2" w16cid:durableId="1717587785">
    <w:abstractNumId w:val="0"/>
  </w:num>
  <w:num w:numId="3" w16cid:durableId="1818913764">
    <w:abstractNumId w:val="35"/>
  </w:num>
  <w:num w:numId="4" w16cid:durableId="1607032640">
    <w:abstractNumId w:val="37"/>
  </w:num>
  <w:num w:numId="5" w16cid:durableId="1208837038">
    <w:abstractNumId w:val="26"/>
  </w:num>
  <w:num w:numId="6" w16cid:durableId="1037856401">
    <w:abstractNumId w:val="4"/>
  </w:num>
  <w:num w:numId="7" w16cid:durableId="19209193">
    <w:abstractNumId w:val="44"/>
  </w:num>
  <w:num w:numId="8" w16cid:durableId="526990841">
    <w:abstractNumId w:val="32"/>
  </w:num>
  <w:num w:numId="9" w16cid:durableId="811950237">
    <w:abstractNumId w:val="22"/>
  </w:num>
  <w:num w:numId="10" w16cid:durableId="1864442355">
    <w:abstractNumId w:val="15"/>
  </w:num>
  <w:num w:numId="11" w16cid:durableId="827403628">
    <w:abstractNumId w:val="21"/>
  </w:num>
  <w:num w:numId="12" w16cid:durableId="141772755">
    <w:abstractNumId w:val="8"/>
  </w:num>
  <w:num w:numId="13" w16cid:durableId="45448401">
    <w:abstractNumId w:val="18"/>
  </w:num>
  <w:num w:numId="14" w16cid:durableId="1747530791">
    <w:abstractNumId w:val="47"/>
  </w:num>
  <w:num w:numId="15" w16cid:durableId="400911645">
    <w:abstractNumId w:val="12"/>
  </w:num>
  <w:num w:numId="16" w16cid:durableId="90318990">
    <w:abstractNumId w:val="43"/>
  </w:num>
  <w:num w:numId="17" w16cid:durableId="604970556">
    <w:abstractNumId w:val="30"/>
  </w:num>
  <w:num w:numId="18" w16cid:durableId="404766815">
    <w:abstractNumId w:val="28"/>
  </w:num>
  <w:num w:numId="19" w16cid:durableId="202518220">
    <w:abstractNumId w:val="25"/>
  </w:num>
  <w:num w:numId="20" w16cid:durableId="1442147349">
    <w:abstractNumId w:val="13"/>
  </w:num>
  <w:num w:numId="21" w16cid:durableId="271671119">
    <w:abstractNumId w:val="14"/>
  </w:num>
  <w:num w:numId="22" w16cid:durableId="339896891">
    <w:abstractNumId w:val="17"/>
  </w:num>
  <w:num w:numId="23" w16cid:durableId="136531577">
    <w:abstractNumId w:val="45"/>
  </w:num>
  <w:num w:numId="24" w16cid:durableId="301080604">
    <w:abstractNumId w:val="10"/>
  </w:num>
  <w:num w:numId="25" w16cid:durableId="1254045798">
    <w:abstractNumId w:val="34"/>
  </w:num>
  <w:num w:numId="26" w16cid:durableId="503010501">
    <w:abstractNumId w:val="24"/>
  </w:num>
  <w:num w:numId="27" w16cid:durableId="958225559">
    <w:abstractNumId w:val="38"/>
  </w:num>
  <w:num w:numId="28" w16cid:durableId="449906009">
    <w:abstractNumId w:val="42"/>
  </w:num>
  <w:num w:numId="29" w16cid:durableId="232396406">
    <w:abstractNumId w:val="33"/>
  </w:num>
  <w:num w:numId="30" w16cid:durableId="257567280">
    <w:abstractNumId w:val="16"/>
  </w:num>
  <w:num w:numId="31" w16cid:durableId="399450349">
    <w:abstractNumId w:val="40"/>
  </w:num>
  <w:num w:numId="32" w16cid:durableId="638999799">
    <w:abstractNumId w:val="29"/>
  </w:num>
  <w:num w:numId="33" w16cid:durableId="1888761048">
    <w:abstractNumId w:val="3"/>
  </w:num>
  <w:num w:numId="34" w16cid:durableId="958801395">
    <w:abstractNumId w:val="5"/>
  </w:num>
  <w:num w:numId="35" w16cid:durableId="758213547">
    <w:abstractNumId w:val="39"/>
  </w:num>
  <w:num w:numId="36" w16cid:durableId="1226989052">
    <w:abstractNumId w:val="41"/>
  </w:num>
  <w:num w:numId="37" w16cid:durableId="782312419">
    <w:abstractNumId w:val="46"/>
  </w:num>
  <w:num w:numId="38" w16cid:durableId="584143659">
    <w:abstractNumId w:val="31"/>
  </w:num>
  <w:num w:numId="39" w16cid:durableId="160855902">
    <w:abstractNumId w:val="7"/>
  </w:num>
  <w:num w:numId="40" w16cid:durableId="465902106">
    <w:abstractNumId w:val="2"/>
  </w:num>
  <w:num w:numId="41" w16cid:durableId="754088625">
    <w:abstractNumId w:val="23"/>
  </w:num>
  <w:num w:numId="42" w16cid:durableId="1806435605">
    <w:abstractNumId w:val="9"/>
  </w:num>
  <w:num w:numId="43" w16cid:durableId="2053773791">
    <w:abstractNumId w:val="20"/>
  </w:num>
  <w:num w:numId="44" w16cid:durableId="1987314438">
    <w:abstractNumId w:val="19"/>
  </w:num>
  <w:num w:numId="45" w16cid:durableId="2010331875">
    <w:abstractNumId w:val="27"/>
  </w:num>
  <w:num w:numId="46" w16cid:durableId="1602028800">
    <w:abstractNumId w:val="6"/>
  </w:num>
  <w:num w:numId="47" w16cid:durableId="306862423">
    <w:abstractNumId w:val="11"/>
  </w:num>
  <w:num w:numId="48" w16cid:durableId="1307051961">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531"/>
    <w:rsid w:val="0000196F"/>
    <w:rsid w:val="00001E23"/>
    <w:rsid w:val="00005CCD"/>
    <w:rsid w:val="00006C1E"/>
    <w:rsid w:val="00007984"/>
    <w:rsid w:val="00014357"/>
    <w:rsid w:val="00014F72"/>
    <w:rsid w:val="0001532D"/>
    <w:rsid w:val="00015B9F"/>
    <w:rsid w:val="00020D77"/>
    <w:rsid w:val="00024353"/>
    <w:rsid w:val="000253DB"/>
    <w:rsid w:val="00026F27"/>
    <w:rsid w:val="00032DBC"/>
    <w:rsid w:val="00040A13"/>
    <w:rsid w:val="0004152A"/>
    <w:rsid w:val="00041FC9"/>
    <w:rsid w:val="00043D2D"/>
    <w:rsid w:val="0004657C"/>
    <w:rsid w:val="000473A3"/>
    <w:rsid w:val="00050479"/>
    <w:rsid w:val="0005054D"/>
    <w:rsid w:val="00052A82"/>
    <w:rsid w:val="00052F5D"/>
    <w:rsid w:val="000621EB"/>
    <w:rsid w:val="00071486"/>
    <w:rsid w:val="00083B78"/>
    <w:rsid w:val="0008592B"/>
    <w:rsid w:val="00092484"/>
    <w:rsid w:val="000958E9"/>
    <w:rsid w:val="000A20B4"/>
    <w:rsid w:val="000A4704"/>
    <w:rsid w:val="000A5145"/>
    <w:rsid w:val="000A7363"/>
    <w:rsid w:val="000B2E64"/>
    <w:rsid w:val="000B32CF"/>
    <w:rsid w:val="000B7126"/>
    <w:rsid w:val="000B77B0"/>
    <w:rsid w:val="000C1ACF"/>
    <w:rsid w:val="000D0732"/>
    <w:rsid w:val="000D2E4B"/>
    <w:rsid w:val="000E0DB8"/>
    <w:rsid w:val="000E1FAF"/>
    <w:rsid w:val="000E2CC8"/>
    <w:rsid w:val="000E3875"/>
    <w:rsid w:val="000E4B0B"/>
    <w:rsid w:val="000F3066"/>
    <w:rsid w:val="00101450"/>
    <w:rsid w:val="0010542C"/>
    <w:rsid w:val="001101BA"/>
    <w:rsid w:val="00110CE7"/>
    <w:rsid w:val="00113AD1"/>
    <w:rsid w:val="001156E3"/>
    <w:rsid w:val="0011664A"/>
    <w:rsid w:val="00116ADB"/>
    <w:rsid w:val="00121997"/>
    <w:rsid w:val="00121A33"/>
    <w:rsid w:val="00123CF2"/>
    <w:rsid w:val="00132EB7"/>
    <w:rsid w:val="00142603"/>
    <w:rsid w:val="00142EA5"/>
    <w:rsid w:val="00144166"/>
    <w:rsid w:val="001460A4"/>
    <w:rsid w:val="00146207"/>
    <w:rsid w:val="001504B8"/>
    <w:rsid w:val="00155232"/>
    <w:rsid w:val="00160E6E"/>
    <w:rsid w:val="00164E8B"/>
    <w:rsid w:val="00173014"/>
    <w:rsid w:val="001847BE"/>
    <w:rsid w:val="00184AD9"/>
    <w:rsid w:val="0018525E"/>
    <w:rsid w:val="00185AE2"/>
    <w:rsid w:val="00195CB4"/>
    <w:rsid w:val="00197FFA"/>
    <w:rsid w:val="001B02D0"/>
    <w:rsid w:val="001B36DA"/>
    <w:rsid w:val="001B54F3"/>
    <w:rsid w:val="001B62C7"/>
    <w:rsid w:val="001B7C4C"/>
    <w:rsid w:val="001C2EC9"/>
    <w:rsid w:val="001D04C4"/>
    <w:rsid w:val="001D476D"/>
    <w:rsid w:val="001D5E69"/>
    <w:rsid w:val="001D774F"/>
    <w:rsid w:val="001F1C54"/>
    <w:rsid w:val="001F4F8B"/>
    <w:rsid w:val="001F65E4"/>
    <w:rsid w:val="002011CE"/>
    <w:rsid w:val="00202273"/>
    <w:rsid w:val="00202809"/>
    <w:rsid w:val="00206628"/>
    <w:rsid w:val="00210848"/>
    <w:rsid w:val="00210C8B"/>
    <w:rsid w:val="0021235B"/>
    <w:rsid w:val="00216412"/>
    <w:rsid w:val="002256CA"/>
    <w:rsid w:val="00237B76"/>
    <w:rsid w:val="002447F3"/>
    <w:rsid w:val="00245271"/>
    <w:rsid w:val="00245818"/>
    <w:rsid w:val="00245C95"/>
    <w:rsid w:val="00251FEC"/>
    <w:rsid w:val="00253F5C"/>
    <w:rsid w:val="002554CD"/>
    <w:rsid w:val="00255AD2"/>
    <w:rsid w:val="00255AFD"/>
    <w:rsid w:val="00255B91"/>
    <w:rsid w:val="00265133"/>
    <w:rsid w:val="00275078"/>
    <w:rsid w:val="00275A5F"/>
    <w:rsid w:val="0027628E"/>
    <w:rsid w:val="00276509"/>
    <w:rsid w:val="00276A87"/>
    <w:rsid w:val="00283CF0"/>
    <w:rsid w:val="002874D4"/>
    <w:rsid w:val="00290C6C"/>
    <w:rsid w:val="00293B83"/>
    <w:rsid w:val="00294D25"/>
    <w:rsid w:val="00295757"/>
    <w:rsid w:val="002B0476"/>
    <w:rsid w:val="002B0DD2"/>
    <w:rsid w:val="002B1582"/>
    <w:rsid w:val="002B4294"/>
    <w:rsid w:val="002B49AC"/>
    <w:rsid w:val="002C6335"/>
    <w:rsid w:val="002C6E43"/>
    <w:rsid w:val="002C6EC7"/>
    <w:rsid w:val="002C75C6"/>
    <w:rsid w:val="002D1EA6"/>
    <w:rsid w:val="002D4AF3"/>
    <w:rsid w:val="002D51C4"/>
    <w:rsid w:val="002D6FAF"/>
    <w:rsid w:val="002E2542"/>
    <w:rsid w:val="002E3ED9"/>
    <w:rsid w:val="002E62CD"/>
    <w:rsid w:val="002F004B"/>
    <w:rsid w:val="002F07CD"/>
    <w:rsid w:val="002F341E"/>
    <w:rsid w:val="002F3F16"/>
    <w:rsid w:val="002F5617"/>
    <w:rsid w:val="00311164"/>
    <w:rsid w:val="003135B3"/>
    <w:rsid w:val="00314256"/>
    <w:rsid w:val="003148E8"/>
    <w:rsid w:val="003168F6"/>
    <w:rsid w:val="00333D0D"/>
    <w:rsid w:val="0034284A"/>
    <w:rsid w:val="00346EDE"/>
    <w:rsid w:val="003511BB"/>
    <w:rsid w:val="0035396F"/>
    <w:rsid w:val="00362261"/>
    <w:rsid w:val="0036385D"/>
    <w:rsid w:val="00373C58"/>
    <w:rsid w:val="00375021"/>
    <w:rsid w:val="00381B87"/>
    <w:rsid w:val="003831EA"/>
    <w:rsid w:val="003857D3"/>
    <w:rsid w:val="00386A9D"/>
    <w:rsid w:val="00391818"/>
    <w:rsid w:val="00396AC7"/>
    <w:rsid w:val="00397B56"/>
    <w:rsid w:val="003A16C4"/>
    <w:rsid w:val="003A229D"/>
    <w:rsid w:val="003A3D6F"/>
    <w:rsid w:val="003A6CFE"/>
    <w:rsid w:val="003B3F4E"/>
    <w:rsid w:val="003B688B"/>
    <w:rsid w:val="003C54CF"/>
    <w:rsid w:val="003C6E4B"/>
    <w:rsid w:val="003C721D"/>
    <w:rsid w:val="003C7BEA"/>
    <w:rsid w:val="003D27E2"/>
    <w:rsid w:val="003D3124"/>
    <w:rsid w:val="003D3406"/>
    <w:rsid w:val="003D341F"/>
    <w:rsid w:val="003D48A4"/>
    <w:rsid w:val="003D5655"/>
    <w:rsid w:val="003E16AF"/>
    <w:rsid w:val="003E59B9"/>
    <w:rsid w:val="003E6E7D"/>
    <w:rsid w:val="003F1325"/>
    <w:rsid w:val="003F22B8"/>
    <w:rsid w:val="003F3C25"/>
    <w:rsid w:val="003F667A"/>
    <w:rsid w:val="00401F44"/>
    <w:rsid w:val="00404255"/>
    <w:rsid w:val="00407E92"/>
    <w:rsid w:val="00410940"/>
    <w:rsid w:val="004167F8"/>
    <w:rsid w:val="00416F00"/>
    <w:rsid w:val="00417228"/>
    <w:rsid w:val="0042003D"/>
    <w:rsid w:val="004204BF"/>
    <w:rsid w:val="00421CF5"/>
    <w:rsid w:val="00422EBC"/>
    <w:rsid w:val="004240FB"/>
    <w:rsid w:val="00424BED"/>
    <w:rsid w:val="00425CC9"/>
    <w:rsid w:val="00431A79"/>
    <w:rsid w:val="00441F00"/>
    <w:rsid w:val="00442B4B"/>
    <w:rsid w:val="00442CDA"/>
    <w:rsid w:val="00444527"/>
    <w:rsid w:val="00446171"/>
    <w:rsid w:val="00454995"/>
    <w:rsid w:val="0045693D"/>
    <w:rsid w:val="00463E88"/>
    <w:rsid w:val="0046446C"/>
    <w:rsid w:val="00465547"/>
    <w:rsid w:val="0047493A"/>
    <w:rsid w:val="00477AB8"/>
    <w:rsid w:val="00480077"/>
    <w:rsid w:val="004803A2"/>
    <w:rsid w:val="004904DA"/>
    <w:rsid w:val="004953D8"/>
    <w:rsid w:val="004A0B3B"/>
    <w:rsid w:val="004A50D6"/>
    <w:rsid w:val="004A6369"/>
    <w:rsid w:val="004B1EE3"/>
    <w:rsid w:val="004B2397"/>
    <w:rsid w:val="004B3A91"/>
    <w:rsid w:val="004B6E9A"/>
    <w:rsid w:val="004C049F"/>
    <w:rsid w:val="004C640A"/>
    <w:rsid w:val="004D7CB2"/>
    <w:rsid w:val="004D7E65"/>
    <w:rsid w:val="004E03AE"/>
    <w:rsid w:val="004E167C"/>
    <w:rsid w:val="004E4E40"/>
    <w:rsid w:val="004E7105"/>
    <w:rsid w:val="004E792E"/>
    <w:rsid w:val="004F29A4"/>
    <w:rsid w:val="004F2B28"/>
    <w:rsid w:val="004F2EA6"/>
    <w:rsid w:val="004F33DC"/>
    <w:rsid w:val="004F44B2"/>
    <w:rsid w:val="005000E2"/>
    <w:rsid w:val="00500DD5"/>
    <w:rsid w:val="0050645C"/>
    <w:rsid w:val="00510D9D"/>
    <w:rsid w:val="00512C96"/>
    <w:rsid w:val="005133B7"/>
    <w:rsid w:val="00515A88"/>
    <w:rsid w:val="0052515D"/>
    <w:rsid w:val="005273DE"/>
    <w:rsid w:val="005303BB"/>
    <w:rsid w:val="00536F91"/>
    <w:rsid w:val="005371C6"/>
    <w:rsid w:val="00540417"/>
    <w:rsid w:val="00542E3B"/>
    <w:rsid w:val="00544C0F"/>
    <w:rsid w:val="00547CE0"/>
    <w:rsid w:val="0055194D"/>
    <w:rsid w:val="005521CB"/>
    <w:rsid w:val="0055362B"/>
    <w:rsid w:val="0055569C"/>
    <w:rsid w:val="00555862"/>
    <w:rsid w:val="005604BE"/>
    <w:rsid w:val="005610A3"/>
    <w:rsid w:val="00561C7F"/>
    <w:rsid w:val="00562561"/>
    <w:rsid w:val="0056601B"/>
    <w:rsid w:val="0056680D"/>
    <w:rsid w:val="00567A18"/>
    <w:rsid w:val="00571584"/>
    <w:rsid w:val="0057511C"/>
    <w:rsid w:val="005862C9"/>
    <w:rsid w:val="00596A51"/>
    <w:rsid w:val="00596D04"/>
    <w:rsid w:val="005A0BCF"/>
    <w:rsid w:val="005A0CDD"/>
    <w:rsid w:val="005A328F"/>
    <w:rsid w:val="005A3621"/>
    <w:rsid w:val="005B4247"/>
    <w:rsid w:val="005C77D0"/>
    <w:rsid w:val="005D70B6"/>
    <w:rsid w:val="005D7300"/>
    <w:rsid w:val="005D7D36"/>
    <w:rsid w:val="005E190F"/>
    <w:rsid w:val="005E5911"/>
    <w:rsid w:val="005E61B1"/>
    <w:rsid w:val="005E6DC0"/>
    <w:rsid w:val="005F5981"/>
    <w:rsid w:val="005F599D"/>
    <w:rsid w:val="005F6A37"/>
    <w:rsid w:val="00604BC5"/>
    <w:rsid w:val="00605FCF"/>
    <w:rsid w:val="0060625F"/>
    <w:rsid w:val="006103C1"/>
    <w:rsid w:val="00611511"/>
    <w:rsid w:val="006176B9"/>
    <w:rsid w:val="00617AB8"/>
    <w:rsid w:val="00620CE2"/>
    <w:rsid w:val="00626A31"/>
    <w:rsid w:val="00630323"/>
    <w:rsid w:val="00631CBB"/>
    <w:rsid w:val="00634DF4"/>
    <w:rsid w:val="00635F9E"/>
    <w:rsid w:val="006452F3"/>
    <w:rsid w:val="006456CD"/>
    <w:rsid w:val="00646659"/>
    <w:rsid w:val="006472F4"/>
    <w:rsid w:val="0065036D"/>
    <w:rsid w:val="0065037D"/>
    <w:rsid w:val="006539C2"/>
    <w:rsid w:val="0066454F"/>
    <w:rsid w:val="00667384"/>
    <w:rsid w:val="00667E49"/>
    <w:rsid w:val="00672946"/>
    <w:rsid w:val="0067401C"/>
    <w:rsid w:val="006778B1"/>
    <w:rsid w:val="00677F2E"/>
    <w:rsid w:val="006812D8"/>
    <w:rsid w:val="00681441"/>
    <w:rsid w:val="006833C2"/>
    <w:rsid w:val="00683610"/>
    <w:rsid w:val="006863E8"/>
    <w:rsid w:val="006879D0"/>
    <w:rsid w:val="006942F7"/>
    <w:rsid w:val="00695070"/>
    <w:rsid w:val="006959C4"/>
    <w:rsid w:val="006963D5"/>
    <w:rsid w:val="006A159D"/>
    <w:rsid w:val="006A3CE7"/>
    <w:rsid w:val="006A4E46"/>
    <w:rsid w:val="006A608E"/>
    <w:rsid w:val="006B09D8"/>
    <w:rsid w:val="006B2EDF"/>
    <w:rsid w:val="006B3650"/>
    <w:rsid w:val="006B5373"/>
    <w:rsid w:val="006B78D1"/>
    <w:rsid w:val="006C0FAD"/>
    <w:rsid w:val="006D295D"/>
    <w:rsid w:val="006D39DC"/>
    <w:rsid w:val="006D7088"/>
    <w:rsid w:val="006E0193"/>
    <w:rsid w:val="006E0630"/>
    <w:rsid w:val="006E0AB9"/>
    <w:rsid w:val="006E3B7B"/>
    <w:rsid w:val="006E48DF"/>
    <w:rsid w:val="006E4E6B"/>
    <w:rsid w:val="006E7638"/>
    <w:rsid w:val="006E7E55"/>
    <w:rsid w:val="006F0B22"/>
    <w:rsid w:val="006F305C"/>
    <w:rsid w:val="006F41EB"/>
    <w:rsid w:val="006F7739"/>
    <w:rsid w:val="0070045F"/>
    <w:rsid w:val="00700B17"/>
    <w:rsid w:val="00702608"/>
    <w:rsid w:val="00705AEC"/>
    <w:rsid w:val="0070704A"/>
    <w:rsid w:val="007145CF"/>
    <w:rsid w:val="00714DBD"/>
    <w:rsid w:val="00715909"/>
    <w:rsid w:val="007164E0"/>
    <w:rsid w:val="007212D6"/>
    <w:rsid w:val="007229E5"/>
    <w:rsid w:val="00724AD1"/>
    <w:rsid w:val="00745F20"/>
    <w:rsid w:val="007621AD"/>
    <w:rsid w:val="00763AB5"/>
    <w:rsid w:val="0076525B"/>
    <w:rsid w:val="00767A74"/>
    <w:rsid w:val="0077604C"/>
    <w:rsid w:val="0077666F"/>
    <w:rsid w:val="0077730D"/>
    <w:rsid w:val="00784FFC"/>
    <w:rsid w:val="00787055"/>
    <w:rsid w:val="00791F71"/>
    <w:rsid w:val="0079210B"/>
    <w:rsid w:val="00792DEB"/>
    <w:rsid w:val="00794015"/>
    <w:rsid w:val="00796166"/>
    <w:rsid w:val="00796C2B"/>
    <w:rsid w:val="007A0D01"/>
    <w:rsid w:val="007A5208"/>
    <w:rsid w:val="007A52F2"/>
    <w:rsid w:val="007A6B94"/>
    <w:rsid w:val="007B0B2F"/>
    <w:rsid w:val="007B20ED"/>
    <w:rsid w:val="007B297D"/>
    <w:rsid w:val="007C3BD9"/>
    <w:rsid w:val="007C4429"/>
    <w:rsid w:val="007C4B80"/>
    <w:rsid w:val="007C58D5"/>
    <w:rsid w:val="007C5E19"/>
    <w:rsid w:val="007C73F6"/>
    <w:rsid w:val="007C7E2B"/>
    <w:rsid w:val="007D5900"/>
    <w:rsid w:val="007D7CE8"/>
    <w:rsid w:val="007E19F0"/>
    <w:rsid w:val="007E30D0"/>
    <w:rsid w:val="007E560F"/>
    <w:rsid w:val="007E705C"/>
    <w:rsid w:val="007F1005"/>
    <w:rsid w:val="007F2EE0"/>
    <w:rsid w:val="0080030A"/>
    <w:rsid w:val="008008B1"/>
    <w:rsid w:val="00804576"/>
    <w:rsid w:val="0081200D"/>
    <w:rsid w:val="008158CD"/>
    <w:rsid w:val="008159D5"/>
    <w:rsid w:val="00816CE7"/>
    <w:rsid w:val="008275CC"/>
    <w:rsid w:val="00834FE5"/>
    <w:rsid w:val="008422FB"/>
    <w:rsid w:val="008451DF"/>
    <w:rsid w:val="00845701"/>
    <w:rsid w:val="008538F5"/>
    <w:rsid w:val="00864FB2"/>
    <w:rsid w:val="008713AD"/>
    <w:rsid w:val="0087201D"/>
    <w:rsid w:val="00875BD1"/>
    <w:rsid w:val="0087683C"/>
    <w:rsid w:val="00876A36"/>
    <w:rsid w:val="00880B30"/>
    <w:rsid w:val="00881D22"/>
    <w:rsid w:val="008824C7"/>
    <w:rsid w:val="00896DAC"/>
    <w:rsid w:val="008971A1"/>
    <w:rsid w:val="008A380D"/>
    <w:rsid w:val="008A5604"/>
    <w:rsid w:val="008A709A"/>
    <w:rsid w:val="008C05E6"/>
    <w:rsid w:val="008C1C1A"/>
    <w:rsid w:val="008D0D78"/>
    <w:rsid w:val="008D766D"/>
    <w:rsid w:val="008E2090"/>
    <w:rsid w:val="008E20AE"/>
    <w:rsid w:val="008E46B4"/>
    <w:rsid w:val="008E48E9"/>
    <w:rsid w:val="008F2D8D"/>
    <w:rsid w:val="009012B7"/>
    <w:rsid w:val="0090285A"/>
    <w:rsid w:val="00902C7F"/>
    <w:rsid w:val="00906365"/>
    <w:rsid w:val="00906F3D"/>
    <w:rsid w:val="009125C1"/>
    <w:rsid w:val="00915B0C"/>
    <w:rsid w:val="00916690"/>
    <w:rsid w:val="0092042A"/>
    <w:rsid w:val="009209F4"/>
    <w:rsid w:val="00926BC5"/>
    <w:rsid w:val="00926C93"/>
    <w:rsid w:val="00926E7D"/>
    <w:rsid w:val="0093083E"/>
    <w:rsid w:val="00936398"/>
    <w:rsid w:val="00937F73"/>
    <w:rsid w:val="00944A97"/>
    <w:rsid w:val="00945444"/>
    <w:rsid w:val="0094609F"/>
    <w:rsid w:val="00955301"/>
    <w:rsid w:val="00956322"/>
    <w:rsid w:val="00962811"/>
    <w:rsid w:val="00963100"/>
    <w:rsid w:val="0096442E"/>
    <w:rsid w:val="0096506C"/>
    <w:rsid w:val="00965C17"/>
    <w:rsid w:val="00974B45"/>
    <w:rsid w:val="00980384"/>
    <w:rsid w:val="00981ECE"/>
    <w:rsid w:val="00983501"/>
    <w:rsid w:val="00984BA2"/>
    <w:rsid w:val="00984E7B"/>
    <w:rsid w:val="0098623B"/>
    <w:rsid w:val="0098635B"/>
    <w:rsid w:val="00986939"/>
    <w:rsid w:val="00993468"/>
    <w:rsid w:val="0099460F"/>
    <w:rsid w:val="00994843"/>
    <w:rsid w:val="009A1949"/>
    <w:rsid w:val="009A23EF"/>
    <w:rsid w:val="009A2607"/>
    <w:rsid w:val="009A2A89"/>
    <w:rsid w:val="009B1294"/>
    <w:rsid w:val="009B5395"/>
    <w:rsid w:val="009C68A0"/>
    <w:rsid w:val="009D0723"/>
    <w:rsid w:val="009D1C77"/>
    <w:rsid w:val="009D3789"/>
    <w:rsid w:val="009D56F7"/>
    <w:rsid w:val="009D70CA"/>
    <w:rsid w:val="009E1E60"/>
    <w:rsid w:val="009E528B"/>
    <w:rsid w:val="009F1517"/>
    <w:rsid w:val="009F7FF2"/>
    <w:rsid w:val="00A00E6F"/>
    <w:rsid w:val="00A013BA"/>
    <w:rsid w:val="00A0312D"/>
    <w:rsid w:val="00A06140"/>
    <w:rsid w:val="00A2130A"/>
    <w:rsid w:val="00A229B3"/>
    <w:rsid w:val="00A2692C"/>
    <w:rsid w:val="00A27FCB"/>
    <w:rsid w:val="00A314A6"/>
    <w:rsid w:val="00A41D84"/>
    <w:rsid w:val="00A42681"/>
    <w:rsid w:val="00A4500F"/>
    <w:rsid w:val="00A45ECD"/>
    <w:rsid w:val="00A46161"/>
    <w:rsid w:val="00A4690D"/>
    <w:rsid w:val="00A5157B"/>
    <w:rsid w:val="00A5367D"/>
    <w:rsid w:val="00A54367"/>
    <w:rsid w:val="00A548DA"/>
    <w:rsid w:val="00A552C4"/>
    <w:rsid w:val="00A578AA"/>
    <w:rsid w:val="00A61C85"/>
    <w:rsid w:val="00A64713"/>
    <w:rsid w:val="00A72A23"/>
    <w:rsid w:val="00A7692F"/>
    <w:rsid w:val="00A77B95"/>
    <w:rsid w:val="00A82B7A"/>
    <w:rsid w:val="00A836C1"/>
    <w:rsid w:val="00A83708"/>
    <w:rsid w:val="00A853AE"/>
    <w:rsid w:val="00A95FBB"/>
    <w:rsid w:val="00AA083E"/>
    <w:rsid w:val="00AA0C80"/>
    <w:rsid w:val="00AA3C3C"/>
    <w:rsid w:val="00AA3D60"/>
    <w:rsid w:val="00AA4F7B"/>
    <w:rsid w:val="00AA5429"/>
    <w:rsid w:val="00AA7023"/>
    <w:rsid w:val="00AB1810"/>
    <w:rsid w:val="00AB5524"/>
    <w:rsid w:val="00AC709D"/>
    <w:rsid w:val="00AD0352"/>
    <w:rsid w:val="00AD408B"/>
    <w:rsid w:val="00AD552E"/>
    <w:rsid w:val="00AD5E00"/>
    <w:rsid w:val="00AE49F3"/>
    <w:rsid w:val="00AF011C"/>
    <w:rsid w:val="00AF0D35"/>
    <w:rsid w:val="00AF5676"/>
    <w:rsid w:val="00B05C3E"/>
    <w:rsid w:val="00B16B81"/>
    <w:rsid w:val="00B16EB6"/>
    <w:rsid w:val="00B200C9"/>
    <w:rsid w:val="00B23491"/>
    <w:rsid w:val="00B24767"/>
    <w:rsid w:val="00B24A49"/>
    <w:rsid w:val="00B24F7B"/>
    <w:rsid w:val="00B30F7E"/>
    <w:rsid w:val="00B34786"/>
    <w:rsid w:val="00B34AC8"/>
    <w:rsid w:val="00B36D91"/>
    <w:rsid w:val="00B4136F"/>
    <w:rsid w:val="00B415BB"/>
    <w:rsid w:val="00B421BF"/>
    <w:rsid w:val="00B45017"/>
    <w:rsid w:val="00B46B7B"/>
    <w:rsid w:val="00B53E12"/>
    <w:rsid w:val="00B648A3"/>
    <w:rsid w:val="00B648DB"/>
    <w:rsid w:val="00B66195"/>
    <w:rsid w:val="00B67ECF"/>
    <w:rsid w:val="00B701A7"/>
    <w:rsid w:val="00B734D0"/>
    <w:rsid w:val="00B76504"/>
    <w:rsid w:val="00B80020"/>
    <w:rsid w:val="00B92031"/>
    <w:rsid w:val="00B95AE1"/>
    <w:rsid w:val="00BA08B5"/>
    <w:rsid w:val="00BA19BB"/>
    <w:rsid w:val="00BA20AA"/>
    <w:rsid w:val="00BA2224"/>
    <w:rsid w:val="00BC555D"/>
    <w:rsid w:val="00BC5FD3"/>
    <w:rsid w:val="00BD2EF6"/>
    <w:rsid w:val="00BD5AAD"/>
    <w:rsid w:val="00BD5C22"/>
    <w:rsid w:val="00BE3C25"/>
    <w:rsid w:val="00BE6090"/>
    <w:rsid w:val="00BF4357"/>
    <w:rsid w:val="00BF4AE4"/>
    <w:rsid w:val="00BF4BE7"/>
    <w:rsid w:val="00BF5D65"/>
    <w:rsid w:val="00BF5ED2"/>
    <w:rsid w:val="00C02C7A"/>
    <w:rsid w:val="00C0422E"/>
    <w:rsid w:val="00C07B29"/>
    <w:rsid w:val="00C100F5"/>
    <w:rsid w:val="00C12853"/>
    <w:rsid w:val="00C12C91"/>
    <w:rsid w:val="00C1422D"/>
    <w:rsid w:val="00C16DDC"/>
    <w:rsid w:val="00C175B0"/>
    <w:rsid w:val="00C23531"/>
    <w:rsid w:val="00C27C5F"/>
    <w:rsid w:val="00C47A12"/>
    <w:rsid w:val="00C515A4"/>
    <w:rsid w:val="00C572EF"/>
    <w:rsid w:val="00C57B1A"/>
    <w:rsid w:val="00C6116E"/>
    <w:rsid w:val="00C619B3"/>
    <w:rsid w:val="00C621E0"/>
    <w:rsid w:val="00C6243A"/>
    <w:rsid w:val="00C6554A"/>
    <w:rsid w:val="00C720F5"/>
    <w:rsid w:val="00C836D3"/>
    <w:rsid w:val="00C84FB1"/>
    <w:rsid w:val="00C86AD4"/>
    <w:rsid w:val="00C87CDB"/>
    <w:rsid w:val="00C92797"/>
    <w:rsid w:val="00C966AB"/>
    <w:rsid w:val="00CA1B42"/>
    <w:rsid w:val="00CA235D"/>
    <w:rsid w:val="00CA642E"/>
    <w:rsid w:val="00CA6DC0"/>
    <w:rsid w:val="00CA703B"/>
    <w:rsid w:val="00CA7512"/>
    <w:rsid w:val="00CB2ABD"/>
    <w:rsid w:val="00CB6F83"/>
    <w:rsid w:val="00CB7172"/>
    <w:rsid w:val="00CC1A85"/>
    <w:rsid w:val="00CC6245"/>
    <w:rsid w:val="00CC6DE8"/>
    <w:rsid w:val="00CD0FC8"/>
    <w:rsid w:val="00CD3D72"/>
    <w:rsid w:val="00CD54E0"/>
    <w:rsid w:val="00CD7B3F"/>
    <w:rsid w:val="00CE5562"/>
    <w:rsid w:val="00CE6F54"/>
    <w:rsid w:val="00CE77B7"/>
    <w:rsid w:val="00CF2971"/>
    <w:rsid w:val="00CF54D5"/>
    <w:rsid w:val="00CF647B"/>
    <w:rsid w:val="00CF661A"/>
    <w:rsid w:val="00D0105E"/>
    <w:rsid w:val="00D04194"/>
    <w:rsid w:val="00D1026B"/>
    <w:rsid w:val="00D1204A"/>
    <w:rsid w:val="00D13778"/>
    <w:rsid w:val="00D208D3"/>
    <w:rsid w:val="00D240BC"/>
    <w:rsid w:val="00D32163"/>
    <w:rsid w:val="00D3543D"/>
    <w:rsid w:val="00D44259"/>
    <w:rsid w:val="00D473E6"/>
    <w:rsid w:val="00D47EE9"/>
    <w:rsid w:val="00D568F3"/>
    <w:rsid w:val="00D60343"/>
    <w:rsid w:val="00D62460"/>
    <w:rsid w:val="00D6619D"/>
    <w:rsid w:val="00D6710C"/>
    <w:rsid w:val="00D7066D"/>
    <w:rsid w:val="00D80FE0"/>
    <w:rsid w:val="00D83215"/>
    <w:rsid w:val="00D903E5"/>
    <w:rsid w:val="00D93EDF"/>
    <w:rsid w:val="00D9598C"/>
    <w:rsid w:val="00DA084F"/>
    <w:rsid w:val="00DB016E"/>
    <w:rsid w:val="00DB4118"/>
    <w:rsid w:val="00DB5F67"/>
    <w:rsid w:val="00DB641A"/>
    <w:rsid w:val="00DC0B2A"/>
    <w:rsid w:val="00DC6081"/>
    <w:rsid w:val="00DC7CAA"/>
    <w:rsid w:val="00DD0806"/>
    <w:rsid w:val="00DD114B"/>
    <w:rsid w:val="00DD1BC4"/>
    <w:rsid w:val="00DD3D79"/>
    <w:rsid w:val="00DD4278"/>
    <w:rsid w:val="00DE7C1A"/>
    <w:rsid w:val="00DF0458"/>
    <w:rsid w:val="00E00056"/>
    <w:rsid w:val="00E077D3"/>
    <w:rsid w:val="00E10B6C"/>
    <w:rsid w:val="00E11AD4"/>
    <w:rsid w:val="00E1216D"/>
    <w:rsid w:val="00E1447D"/>
    <w:rsid w:val="00E23065"/>
    <w:rsid w:val="00E2376A"/>
    <w:rsid w:val="00E253A1"/>
    <w:rsid w:val="00E26EC1"/>
    <w:rsid w:val="00E32A3B"/>
    <w:rsid w:val="00E336B7"/>
    <w:rsid w:val="00E36A62"/>
    <w:rsid w:val="00E42C14"/>
    <w:rsid w:val="00E46E01"/>
    <w:rsid w:val="00E500F8"/>
    <w:rsid w:val="00E53FAC"/>
    <w:rsid w:val="00E62229"/>
    <w:rsid w:val="00E667EA"/>
    <w:rsid w:val="00E71D12"/>
    <w:rsid w:val="00E73003"/>
    <w:rsid w:val="00E773C3"/>
    <w:rsid w:val="00E77617"/>
    <w:rsid w:val="00E80AF4"/>
    <w:rsid w:val="00E84D25"/>
    <w:rsid w:val="00E8700F"/>
    <w:rsid w:val="00E95C5C"/>
    <w:rsid w:val="00E95FB1"/>
    <w:rsid w:val="00E96DF5"/>
    <w:rsid w:val="00EA13DE"/>
    <w:rsid w:val="00EA4D17"/>
    <w:rsid w:val="00EB4716"/>
    <w:rsid w:val="00EB7F61"/>
    <w:rsid w:val="00EC0FBA"/>
    <w:rsid w:val="00EC11A8"/>
    <w:rsid w:val="00EC3965"/>
    <w:rsid w:val="00EC4041"/>
    <w:rsid w:val="00EC5561"/>
    <w:rsid w:val="00ED3617"/>
    <w:rsid w:val="00ED7C44"/>
    <w:rsid w:val="00EE2503"/>
    <w:rsid w:val="00EE2D28"/>
    <w:rsid w:val="00EE56D0"/>
    <w:rsid w:val="00EE686C"/>
    <w:rsid w:val="00EF18D1"/>
    <w:rsid w:val="00F03A96"/>
    <w:rsid w:val="00F05D4D"/>
    <w:rsid w:val="00F1282B"/>
    <w:rsid w:val="00F1288E"/>
    <w:rsid w:val="00F13993"/>
    <w:rsid w:val="00F16BA0"/>
    <w:rsid w:val="00F20B40"/>
    <w:rsid w:val="00F24E2D"/>
    <w:rsid w:val="00F259B0"/>
    <w:rsid w:val="00F33F4F"/>
    <w:rsid w:val="00F33F85"/>
    <w:rsid w:val="00F36775"/>
    <w:rsid w:val="00F37754"/>
    <w:rsid w:val="00F43DA1"/>
    <w:rsid w:val="00F460E2"/>
    <w:rsid w:val="00F54504"/>
    <w:rsid w:val="00F57147"/>
    <w:rsid w:val="00F6321E"/>
    <w:rsid w:val="00F66BD9"/>
    <w:rsid w:val="00F67A9E"/>
    <w:rsid w:val="00F707D2"/>
    <w:rsid w:val="00F71949"/>
    <w:rsid w:val="00F71CE9"/>
    <w:rsid w:val="00F71F5D"/>
    <w:rsid w:val="00F732FC"/>
    <w:rsid w:val="00F750CA"/>
    <w:rsid w:val="00F81803"/>
    <w:rsid w:val="00F81BEF"/>
    <w:rsid w:val="00F82618"/>
    <w:rsid w:val="00F84579"/>
    <w:rsid w:val="00F87634"/>
    <w:rsid w:val="00F93755"/>
    <w:rsid w:val="00F941A0"/>
    <w:rsid w:val="00FA6944"/>
    <w:rsid w:val="00FB28E9"/>
    <w:rsid w:val="00FB7132"/>
    <w:rsid w:val="00FB7149"/>
    <w:rsid w:val="00FC0446"/>
    <w:rsid w:val="00FC1001"/>
    <w:rsid w:val="00FC1A53"/>
    <w:rsid w:val="00FC2164"/>
    <w:rsid w:val="00FC331E"/>
    <w:rsid w:val="00FC44F2"/>
    <w:rsid w:val="00FC7917"/>
    <w:rsid w:val="00FC7FF5"/>
    <w:rsid w:val="00FD0B7C"/>
    <w:rsid w:val="00FD2E8D"/>
    <w:rsid w:val="00FD32DA"/>
    <w:rsid w:val="00FD5DD5"/>
    <w:rsid w:val="00FD6529"/>
    <w:rsid w:val="00FD7057"/>
    <w:rsid w:val="00FE2E45"/>
    <w:rsid w:val="00FE6B37"/>
    <w:rsid w:val="00FE76D6"/>
    <w:rsid w:val="00FF0FC7"/>
    <w:rsid w:val="00FF6AED"/>
    <w:rsid w:val="30924B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7EE08D7"/>
  <w15:docId w15:val="{2D6A9771-2539-44DA-9DA8-FC6908390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qFormat="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qFormat="1"/>
    <w:lsdException w:name="toa heading" w:semiHidden="1" w:unhideWhenUsed="1"/>
    <w:lsdException w:name="List" w:semiHidden="1" w:unhideWhenUsed="1"/>
    <w:lsdException w:name="List Bullet" w:uiPriority="10" w:unhideWhenUsed="1" w:qFormat="1"/>
    <w:lsdException w:name="List Number"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qFormat="1"/>
    <w:lsdException w:name="Body Text Indent 2" w:semiHidden="1" w:unhideWhenUsed="1"/>
    <w:lsdException w:name="Body Text Indent 3" w:semiHidden="1" w:unhideWhenUsed="1" w:qFormat="1"/>
    <w:lsdException w:name="Block Text" w:semiHidden="1" w:unhideWhenUsed="1" w:qFormat="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qFormat="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qFormat="1"/>
    <w:lsdException w:name="HTML Preformatted" w:semiHidden="1" w:unhideWhenUsed="1"/>
    <w:lsdException w:name="HTML Sample" w:semiHidden="1" w:unhideWhenUsed="1"/>
    <w:lsdException w:name="HTML Typewriter" w:semiHidden="1" w:unhideWhenUsed="1" w:qFormat="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1"/>
      <w:szCs w:val="21"/>
      <w:lang w:val="en-US" w:eastAsia="en-US"/>
    </w:rPr>
  </w:style>
  <w:style w:type="paragraph" w:styleId="Heading1">
    <w:name w:val="heading 1"/>
    <w:basedOn w:val="Normal"/>
    <w:next w:val="Normal"/>
    <w:link w:val="Heading1Char"/>
    <w:uiPriority w:val="9"/>
    <w:qFormat/>
    <w:pPr>
      <w:keepNext/>
      <w:keepLines/>
      <w:pBdr>
        <w:bottom w:val="single" w:sz="4" w:space="2" w:color="009DD9"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color w:val="009DD9" w:themeColor="accent2"/>
      <w:sz w:val="36"/>
      <w:szCs w:val="36"/>
    </w:rPr>
  </w:style>
  <w:style w:type="paragraph" w:styleId="Heading3">
    <w:name w:val="heading 3"/>
    <w:basedOn w:val="Normal"/>
    <w:next w:val="Normal"/>
    <w:link w:val="Heading3Char"/>
    <w:uiPriority w:val="9"/>
    <w:semiHidden/>
    <w:unhideWhenUsed/>
    <w:qFormat/>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pPr>
      <w:keepNext/>
      <w:keepLines/>
      <w:spacing w:before="80" w:after="0" w:line="240" w:lineRule="auto"/>
      <w:outlineLvl w:val="4"/>
    </w:pPr>
    <w:rPr>
      <w:rFonts w:asciiTheme="majorHAnsi" w:eastAsiaTheme="majorEastAsia" w:hAnsiTheme="majorHAnsi" w:cstheme="majorBidi"/>
      <w:color w:val="0075A2" w:themeColor="accent2" w:themeShade="BF"/>
      <w:sz w:val="24"/>
      <w:szCs w:val="24"/>
    </w:rPr>
  </w:style>
  <w:style w:type="paragraph" w:styleId="Heading6">
    <w:name w:val="heading 6"/>
    <w:basedOn w:val="Normal"/>
    <w:next w:val="Normal"/>
    <w:link w:val="Heading6Char"/>
    <w:uiPriority w:val="9"/>
    <w:semiHidden/>
    <w:unhideWhenUsed/>
    <w:qFormat/>
    <w:pPr>
      <w:keepNext/>
      <w:keepLines/>
      <w:spacing w:before="80" w:after="0" w:line="240" w:lineRule="auto"/>
      <w:outlineLvl w:val="5"/>
    </w:pPr>
    <w:rPr>
      <w:rFonts w:asciiTheme="majorHAnsi" w:eastAsiaTheme="majorEastAsia" w:hAnsiTheme="majorHAnsi" w:cstheme="majorBidi"/>
      <w:i/>
      <w:iCs/>
      <w:color w:val="004E6C" w:themeColor="accent2" w:themeShade="80"/>
      <w:sz w:val="24"/>
      <w:szCs w:val="24"/>
    </w:rPr>
  </w:style>
  <w:style w:type="paragraph" w:styleId="Heading7">
    <w:name w:val="heading 7"/>
    <w:basedOn w:val="Normal"/>
    <w:next w:val="Normal"/>
    <w:link w:val="Heading7Char"/>
    <w:uiPriority w:val="9"/>
    <w:semiHidden/>
    <w:unhideWhenUsed/>
    <w:qFormat/>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Cs w:val="18"/>
    </w:rPr>
  </w:style>
  <w:style w:type="paragraph" w:styleId="BlockText">
    <w:name w:val="Block Text"/>
    <w:basedOn w:val="Normal"/>
    <w:uiPriority w:val="99"/>
    <w:semiHidden/>
    <w:unhideWhenUsed/>
    <w:qFormat/>
    <w:pPr>
      <w:pBdr>
        <w:top w:val="single" w:sz="2" w:space="10" w:color="0B5294" w:themeColor="accent1" w:themeShade="BF"/>
        <w:left w:val="single" w:sz="2" w:space="10" w:color="0B5294" w:themeColor="accent1" w:themeShade="BF"/>
        <w:bottom w:val="single" w:sz="2" w:space="10" w:color="0B5294" w:themeColor="accent1" w:themeShade="BF"/>
        <w:right w:val="single" w:sz="2" w:space="10" w:color="0B5294" w:themeColor="accent1" w:themeShade="BF"/>
      </w:pBdr>
      <w:ind w:left="1152" w:right="1152"/>
    </w:pPr>
    <w:rPr>
      <w:i/>
      <w:iCs/>
      <w:color w:val="0B5294" w:themeColor="accent1" w:themeShade="BF"/>
    </w:rPr>
  </w:style>
  <w:style w:type="paragraph" w:styleId="BodyText3">
    <w:name w:val="Body Text 3"/>
    <w:basedOn w:val="Normal"/>
    <w:link w:val="BodyText3Char"/>
    <w:uiPriority w:val="99"/>
    <w:semiHidden/>
    <w:unhideWhenUsed/>
    <w:qFormat/>
    <w:pPr>
      <w:spacing w:after="120"/>
    </w:pPr>
    <w:rPr>
      <w:szCs w:val="16"/>
    </w:rPr>
  </w:style>
  <w:style w:type="paragraph" w:styleId="BodyTextIndent3">
    <w:name w:val="Body Text Indent 3"/>
    <w:basedOn w:val="Normal"/>
    <w:link w:val="BodyTextIndent3Char"/>
    <w:uiPriority w:val="99"/>
    <w:semiHidden/>
    <w:unhideWhenUsed/>
    <w:qFormat/>
    <w:pPr>
      <w:spacing w:after="120"/>
      <w:ind w:left="360"/>
    </w:pPr>
    <w:rPr>
      <w:szCs w:val="16"/>
    </w:rPr>
  </w:style>
  <w:style w:type="paragraph" w:styleId="Caption">
    <w:name w:val="caption"/>
    <w:basedOn w:val="Normal"/>
    <w:next w:val="Normal"/>
    <w:uiPriority w:val="35"/>
    <w:semiHidden/>
    <w:unhideWhenUsed/>
    <w:qFormat/>
    <w:pPr>
      <w:spacing w:line="240" w:lineRule="auto"/>
    </w:pPr>
    <w:rPr>
      <w:b/>
      <w:bCs/>
      <w:color w:val="404040" w:themeColor="text1" w:themeTint="BF"/>
      <w:sz w:val="16"/>
      <w:szCs w:val="16"/>
    </w:rPr>
  </w:style>
  <w:style w:type="character" w:styleId="CommentReference">
    <w:name w:val="annotation reference"/>
    <w:basedOn w:val="DefaultParagraphFont"/>
    <w:uiPriority w:val="99"/>
    <w:semiHidden/>
    <w:unhideWhenUsed/>
    <w:rPr>
      <w:sz w:val="22"/>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paragraph" w:styleId="DocumentMap">
    <w:name w:val="Document Map"/>
    <w:basedOn w:val="Normal"/>
    <w:link w:val="DocumentMapChar"/>
    <w:uiPriority w:val="99"/>
    <w:semiHidden/>
    <w:unhideWhenUsed/>
    <w:qFormat/>
    <w:rPr>
      <w:rFonts w:ascii="Segoe UI" w:hAnsi="Segoe UI" w:cs="Segoe UI"/>
      <w:szCs w:val="16"/>
    </w:rPr>
  </w:style>
  <w:style w:type="character" w:styleId="Emphasis">
    <w:name w:val="Emphasis"/>
    <w:basedOn w:val="DefaultParagraphFont"/>
    <w:uiPriority w:val="20"/>
    <w:qFormat/>
    <w:rPr>
      <w:i/>
      <w:iCs/>
      <w:color w:val="000000" w:themeColor="text1"/>
    </w:rPr>
  </w:style>
  <w:style w:type="paragraph" w:styleId="EndnoteText">
    <w:name w:val="endnote text"/>
    <w:basedOn w:val="Normal"/>
    <w:link w:val="EndnoteTextChar"/>
    <w:uiPriority w:val="99"/>
    <w:semiHidden/>
    <w:unhideWhenUsed/>
    <w:qFormat/>
  </w:style>
  <w:style w:type="paragraph" w:styleId="EnvelopeReturn">
    <w:name w:val="envelope return"/>
    <w:basedOn w:val="Normal"/>
    <w:uiPriority w:val="99"/>
    <w:semiHidden/>
    <w:unhideWhenUsed/>
    <w:qFormat/>
    <w:rPr>
      <w:rFonts w:asciiTheme="majorHAnsi" w:eastAsiaTheme="majorEastAsia" w:hAnsiTheme="majorHAnsi" w:cstheme="majorBidi"/>
    </w:rPr>
  </w:style>
  <w:style w:type="character" w:styleId="FollowedHyperlink">
    <w:name w:val="FollowedHyperlink"/>
    <w:basedOn w:val="DefaultParagraphFont"/>
    <w:uiPriority w:val="99"/>
    <w:semiHidden/>
    <w:unhideWhenUsed/>
    <w:qFormat/>
    <w:rPr>
      <w:color w:val="0B5294" w:themeColor="accent1" w:themeShade="BF"/>
      <w:u w:val="single"/>
    </w:rPr>
  </w:style>
  <w:style w:type="paragraph" w:styleId="Footer">
    <w:name w:val="footer"/>
    <w:basedOn w:val="Normal"/>
    <w:link w:val="FooterChar"/>
    <w:uiPriority w:val="99"/>
    <w:unhideWhenUsed/>
    <w:qFormat/>
    <w:pPr>
      <w:jc w:val="right"/>
    </w:pPr>
    <w:rPr>
      <w:caps/>
    </w:rPr>
  </w:style>
  <w:style w:type="paragraph" w:styleId="FootnoteText">
    <w:name w:val="footnote text"/>
    <w:basedOn w:val="Normal"/>
    <w:link w:val="FootnoteTextChar"/>
    <w:uiPriority w:val="99"/>
    <w:semiHidden/>
    <w:unhideWhenUsed/>
  </w:style>
  <w:style w:type="paragraph" w:styleId="Header">
    <w:name w:val="header"/>
    <w:basedOn w:val="Normal"/>
    <w:link w:val="HeaderChar"/>
    <w:uiPriority w:val="99"/>
    <w:unhideWhenUsed/>
    <w:qFormat/>
  </w:style>
  <w:style w:type="character" w:styleId="HTMLCode">
    <w:name w:val="HTML Code"/>
    <w:basedOn w:val="DefaultParagraphFont"/>
    <w:uiPriority w:val="99"/>
    <w:semiHidden/>
    <w:unhideWhenUsed/>
    <w:rPr>
      <w:rFonts w:ascii="Consolas" w:hAnsi="Consolas"/>
      <w:sz w:val="22"/>
      <w:szCs w:val="20"/>
    </w:rPr>
  </w:style>
  <w:style w:type="character" w:styleId="HTMLKeyboard">
    <w:name w:val="HTML Keyboard"/>
    <w:basedOn w:val="DefaultParagraphFont"/>
    <w:uiPriority w:val="99"/>
    <w:semiHidden/>
    <w:unhideWhenUsed/>
    <w:qFormat/>
    <w:rPr>
      <w:rFonts w:ascii="Consolas" w:hAnsi="Consolas"/>
      <w:sz w:val="22"/>
      <w:szCs w:val="20"/>
    </w:rPr>
  </w:style>
  <w:style w:type="paragraph" w:styleId="HTMLPreformatted">
    <w:name w:val="HTML Preformatted"/>
    <w:basedOn w:val="Normal"/>
    <w:link w:val="HTMLPreformattedChar"/>
    <w:uiPriority w:val="99"/>
    <w:semiHidden/>
    <w:unhideWhenUsed/>
    <w:rPr>
      <w:rFonts w:ascii="Consolas" w:hAnsi="Consolas"/>
    </w:rPr>
  </w:style>
  <w:style w:type="character" w:styleId="HTMLTypewriter">
    <w:name w:val="HTML Typewriter"/>
    <w:basedOn w:val="DefaultParagraphFont"/>
    <w:uiPriority w:val="99"/>
    <w:semiHidden/>
    <w:unhideWhenUsed/>
    <w:qFormat/>
    <w:rPr>
      <w:rFonts w:ascii="Consolas" w:hAnsi="Consolas"/>
      <w:sz w:val="22"/>
      <w:szCs w:val="20"/>
    </w:rPr>
  </w:style>
  <w:style w:type="character" w:styleId="Hyperlink">
    <w:name w:val="Hyperlink"/>
    <w:basedOn w:val="DefaultParagraphFont"/>
    <w:uiPriority w:val="99"/>
    <w:unhideWhenUsed/>
    <w:qFormat/>
    <w:rPr>
      <w:color w:val="05676C" w:themeColor="accent3" w:themeShade="80"/>
      <w:u w:val="single"/>
    </w:rPr>
  </w:style>
  <w:style w:type="paragraph" w:styleId="ListBullet">
    <w:name w:val="List Bullet"/>
    <w:basedOn w:val="Normal"/>
    <w:uiPriority w:val="10"/>
    <w:unhideWhenUsed/>
    <w:qFormat/>
    <w:pPr>
      <w:numPr>
        <w:numId w:val="1"/>
      </w:numPr>
    </w:pPr>
  </w:style>
  <w:style w:type="paragraph" w:styleId="ListNumber">
    <w:name w:val="List Number"/>
    <w:basedOn w:val="Normal"/>
    <w:uiPriority w:val="11"/>
    <w:unhideWhenUsed/>
    <w:qFormat/>
    <w:pPr>
      <w:numPr>
        <w:numId w:val="2"/>
      </w:numPr>
      <w:contextualSpacing/>
    </w:pPr>
  </w:style>
  <w:style w:type="paragraph" w:styleId="MacroText">
    <w:name w:val="macro"/>
    <w:link w:val="MacroTextChar"/>
    <w:uiPriority w:val="99"/>
    <w:semiHidden/>
    <w:unhideWhenUsed/>
    <w:qFormat/>
    <w:pPr>
      <w:tabs>
        <w:tab w:val="left" w:pos="480"/>
        <w:tab w:val="left" w:pos="960"/>
        <w:tab w:val="left" w:pos="1440"/>
        <w:tab w:val="left" w:pos="1920"/>
        <w:tab w:val="left" w:pos="2400"/>
        <w:tab w:val="left" w:pos="2880"/>
        <w:tab w:val="left" w:pos="3360"/>
        <w:tab w:val="left" w:pos="3840"/>
        <w:tab w:val="left" w:pos="4320"/>
      </w:tabs>
      <w:spacing w:line="278" w:lineRule="auto"/>
    </w:pPr>
    <w:rPr>
      <w:rFonts w:ascii="Consolas" w:hAnsi="Consolas"/>
      <w:sz w:val="21"/>
      <w:lang w:val="en-US" w:eastAsia="en-US"/>
    </w:rPr>
  </w:style>
  <w:style w:type="paragraph" w:styleId="NormalWeb">
    <w:name w:val="Normal (Web)"/>
    <w:basedOn w:val="Normal"/>
    <w:uiPriority w:val="99"/>
    <w:unhideWhenUsed/>
    <w:pPr>
      <w:spacing w:before="100" w:beforeAutospacing="1" w:after="100" w:afterAutospacing="1"/>
    </w:pPr>
    <w:rPr>
      <w:sz w:val="24"/>
      <w:szCs w:val="24"/>
      <w:lang w:val="en-IN" w:eastAsia="en-IN"/>
    </w:rPr>
  </w:style>
  <w:style w:type="paragraph" w:styleId="PlainText">
    <w:name w:val="Plain Text"/>
    <w:basedOn w:val="Normal"/>
    <w:link w:val="PlainTextChar"/>
    <w:uiPriority w:val="99"/>
    <w:semiHidden/>
    <w:unhideWhenUsed/>
    <w:qFormat/>
    <w:rPr>
      <w:rFonts w:ascii="Consolas" w:hAnsi="Consolas"/>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pPr>
      <w:spacing w:after="240"/>
    </w:pPr>
    <w:rPr>
      <w:caps/>
      <w:color w:val="404040" w:themeColor="text1" w:themeTint="BF"/>
      <w:spacing w:val="20"/>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262626" w:themeColor="text1" w:themeTint="D9"/>
      <w:sz w:val="96"/>
      <w:szCs w:val="96"/>
    </w:rPr>
  </w:style>
  <w:style w:type="paragraph" w:styleId="TOC1">
    <w:name w:val="toc 1"/>
    <w:basedOn w:val="Normal"/>
    <w:next w:val="Normal"/>
    <w:autoRedefine/>
    <w:uiPriority w:val="39"/>
    <w:unhideWhenUsed/>
    <w:qFormat/>
    <w:pPr>
      <w:tabs>
        <w:tab w:val="right" w:leader="dot" w:pos="9016"/>
      </w:tabs>
      <w:spacing w:after="100" w:line="259" w:lineRule="auto"/>
    </w:pPr>
    <w:rPr>
      <w:rFonts w:ascii="Times New Roman" w:hAnsi="Times New Roman" w:cs="Times New Roman"/>
      <w:b/>
      <w:bCs/>
      <w:color w:val="000000" w:themeColor="text1"/>
      <w:sz w:val="24"/>
      <w:szCs w:val="22"/>
    </w:rPr>
  </w:style>
  <w:style w:type="paragraph" w:styleId="TOC2">
    <w:name w:val="toc 2"/>
    <w:basedOn w:val="Normal"/>
    <w:next w:val="Normal"/>
    <w:autoRedefine/>
    <w:uiPriority w:val="39"/>
    <w:unhideWhenUsed/>
    <w:qFormat/>
    <w:pPr>
      <w:spacing w:after="100" w:line="259" w:lineRule="auto"/>
      <w:ind w:left="220"/>
    </w:pPr>
    <w:rPr>
      <w:sz w:val="22"/>
      <w:szCs w:val="22"/>
    </w:rPr>
  </w:style>
  <w:style w:type="paragraph" w:styleId="TOC3">
    <w:name w:val="toc 3"/>
    <w:basedOn w:val="Normal"/>
    <w:next w:val="Normal"/>
    <w:autoRedefine/>
    <w:uiPriority w:val="39"/>
    <w:unhideWhenUsed/>
    <w:pPr>
      <w:spacing w:after="100" w:line="259" w:lineRule="auto"/>
      <w:ind w:left="440"/>
    </w:pPr>
    <w:rPr>
      <w:sz w:val="22"/>
      <w:szCs w:val="22"/>
    </w:rPr>
  </w:style>
  <w:style w:type="paragraph" w:styleId="TOC4">
    <w:name w:val="toc 4"/>
    <w:basedOn w:val="Normal"/>
    <w:next w:val="Normal"/>
    <w:autoRedefine/>
    <w:uiPriority w:val="39"/>
    <w:unhideWhenUsed/>
    <w:qFormat/>
    <w:pPr>
      <w:spacing w:after="100"/>
      <w:ind w:left="6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09DD9" w:themeColor="accent2"/>
      <w:sz w:val="36"/>
      <w:szCs w:val="36"/>
    </w:rPr>
  </w:style>
  <w:style w:type="paragraph" w:customStyle="1" w:styleId="ContactInfo">
    <w:name w:val="Contact Info"/>
    <w:basedOn w:val="Normal"/>
    <w:uiPriority w:val="4"/>
    <w:qFormat/>
    <w:pPr>
      <w:spacing w:after="0"/>
      <w:jc w:val="center"/>
    </w:pPr>
  </w:style>
  <w:style w:type="character" w:customStyle="1" w:styleId="TitleChar">
    <w:name w:val="Title Char"/>
    <w:basedOn w:val="DefaultParagraphFont"/>
    <w:link w:val="Title"/>
    <w:uiPriority w:val="10"/>
    <w:qFormat/>
    <w:rPr>
      <w:rFonts w:asciiTheme="majorHAnsi" w:eastAsiaTheme="majorEastAsia" w:hAnsiTheme="majorHAnsi" w:cstheme="majorBidi"/>
      <w:color w:val="262626" w:themeColor="text1" w:themeTint="D9"/>
      <w:sz w:val="96"/>
      <w:szCs w:val="96"/>
    </w:rPr>
  </w:style>
  <w:style w:type="character" w:customStyle="1" w:styleId="SubtitleChar">
    <w:name w:val="Subtitle Char"/>
    <w:basedOn w:val="DefaultParagraphFont"/>
    <w:link w:val="Subtitle"/>
    <w:uiPriority w:val="11"/>
    <w:qFormat/>
    <w:rPr>
      <w:caps/>
      <w:color w:val="404040" w:themeColor="text1" w:themeTint="BF"/>
      <w:spacing w:val="20"/>
      <w:sz w:val="28"/>
      <w:szCs w:val="28"/>
    </w:rPr>
  </w:style>
  <w:style w:type="character" w:customStyle="1" w:styleId="FooterChar">
    <w:name w:val="Footer Char"/>
    <w:basedOn w:val="DefaultParagraphFont"/>
    <w:link w:val="Footer"/>
    <w:uiPriority w:val="99"/>
    <w:qFormat/>
    <w:rPr>
      <w:caps/>
    </w:rPr>
  </w:style>
  <w:style w:type="paragraph" w:customStyle="1" w:styleId="Photo">
    <w:name w:val="Photo"/>
    <w:basedOn w:val="Normal"/>
    <w:uiPriority w:val="1"/>
    <w:qFormat/>
    <w:pPr>
      <w:spacing w:after="0" w:line="240" w:lineRule="auto"/>
      <w:jc w:val="center"/>
    </w:pPr>
  </w:style>
  <w:style w:type="character" w:customStyle="1" w:styleId="HeaderChar">
    <w:name w:val="Header Char"/>
    <w:basedOn w:val="DefaultParagraphFont"/>
    <w:link w:val="Header"/>
    <w:uiPriority w:val="99"/>
    <w:qFormat/>
    <w:rPr>
      <w:color w:val="595959" w:themeColor="text1" w:themeTint="A6"/>
      <w:sz w:val="20"/>
      <w:szCs w:val="20"/>
      <w:lang w:eastAsia="ja-JP"/>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0075A2" w:themeColor="accent2" w:themeShade="BF"/>
      <w:sz w:val="32"/>
      <w:szCs w:val="32"/>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004E6C" w:themeColor="accent2" w:themeShade="80"/>
      <w:sz w:val="22"/>
      <w:szCs w:val="22"/>
    </w:rPr>
  </w:style>
  <w:style w:type="character" w:customStyle="1" w:styleId="IntenseEmphasis1">
    <w:name w:val="Intense Emphasis1"/>
    <w:basedOn w:val="DefaultParagraphFont"/>
    <w:uiPriority w:val="21"/>
    <w:qFormat/>
    <w:rPr>
      <w:b/>
      <w:bCs/>
      <w:i/>
      <w:iCs/>
      <w:color w:val="009DD9" w:themeColor="accent2"/>
    </w:rPr>
  </w:style>
  <w:style w:type="paragraph" w:styleId="IntenseQuote">
    <w:name w:val="Intense Quote"/>
    <w:basedOn w:val="Normal"/>
    <w:next w:val="Normal"/>
    <w:link w:val="IntenseQuoteChar"/>
    <w:uiPriority w:val="30"/>
    <w:qFormat/>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qFormat/>
    <w:rPr>
      <w:rFonts w:asciiTheme="majorHAnsi" w:eastAsiaTheme="majorEastAsia" w:hAnsiTheme="majorHAnsi" w:cstheme="majorBidi"/>
      <w:sz w:val="24"/>
      <w:szCs w:val="24"/>
    </w:rPr>
  </w:style>
  <w:style w:type="character" w:customStyle="1" w:styleId="IntenseReference1">
    <w:name w:val="Intense Reference1"/>
    <w:basedOn w:val="DefaultParagraphFont"/>
    <w:uiPriority w:val="32"/>
    <w:qFormat/>
    <w:rPr>
      <w:b/>
      <w:bCs/>
      <w:smallCaps/>
      <w:color w:val="auto"/>
      <w:spacing w:val="0"/>
      <w:u w:val="single"/>
    </w:rPr>
  </w:style>
  <w:style w:type="character" w:customStyle="1" w:styleId="BalloonTextChar">
    <w:name w:val="Balloon Text Char"/>
    <w:basedOn w:val="DefaultParagraphFont"/>
    <w:link w:val="BalloonText"/>
    <w:uiPriority w:val="99"/>
    <w:semiHidden/>
    <w:rPr>
      <w:rFonts w:ascii="Segoe UI" w:hAnsi="Segoe UI" w:cs="Segoe UI"/>
      <w:szCs w:val="18"/>
    </w:rPr>
  </w:style>
  <w:style w:type="character" w:customStyle="1" w:styleId="BodyText3Char">
    <w:name w:val="Body Text 3 Char"/>
    <w:basedOn w:val="DefaultParagraphFont"/>
    <w:link w:val="BodyText3"/>
    <w:uiPriority w:val="99"/>
    <w:semiHidden/>
    <w:qFormat/>
    <w:rPr>
      <w:szCs w:val="16"/>
    </w:rPr>
  </w:style>
  <w:style w:type="character" w:customStyle="1" w:styleId="BodyTextIndent3Char">
    <w:name w:val="Body Text Indent 3 Char"/>
    <w:basedOn w:val="DefaultParagraphFont"/>
    <w:link w:val="BodyTextIndent3"/>
    <w:uiPriority w:val="99"/>
    <w:semiHidden/>
    <w:rPr>
      <w:szCs w:val="16"/>
    </w:rPr>
  </w:style>
  <w:style w:type="character" w:customStyle="1" w:styleId="CommentTextChar">
    <w:name w:val="Comment Text Char"/>
    <w:basedOn w:val="DefaultParagraphFont"/>
    <w:link w:val="CommentText"/>
    <w:uiPriority w:val="99"/>
    <w:semiHidden/>
    <w:qFormat/>
    <w:rPr>
      <w:szCs w:val="20"/>
    </w:rPr>
  </w:style>
  <w:style w:type="character" w:customStyle="1" w:styleId="CommentSubjectChar">
    <w:name w:val="Comment Subject Char"/>
    <w:basedOn w:val="CommentTextChar"/>
    <w:link w:val="CommentSubject"/>
    <w:uiPriority w:val="99"/>
    <w:semiHidden/>
    <w:rPr>
      <w:b/>
      <w:bCs/>
      <w:szCs w:val="20"/>
    </w:rPr>
  </w:style>
  <w:style w:type="character" w:customStyle="1" w:styleId="DocumentMapChar">
    <w:name w:val="Document Map Char"/>
    <w:basedOn w:val="DefaultParagraphFont"/>
    <w:link w:val="DocumentMap"/>
    <w:uiPriority w:val="99"/>
    <w:semiHidden/>
    <w:qFormat/>
    <w:rPr>
      <w:rFonts w:ascii="Segoe UI" w:hAnsi="Segoe UI" w:cs="Segoe UI"/>
      <w:szCs w:val="16"/>
    </w:rPr>
  </w:style>
  <w:style w:type="character" w:customStyle="1" w:styleId="EndnoteTextChar">
    <w:name w:val="Endnote Text Char"/>
    <w:basedOn w:val="DefaultParagraphFont"/>
    <w:link w:val="EndnoteText"/>
    <w:uiPriority w:val="99"/>
    <w:semiHidden/>
    <w:rPr>
      <w:szCs w:val="20"/>
    </w:rPr>
  </w:style>
  <w:style w:type="character" w:customStyle="1" w:styleId="FootnoteTextChar">
    <w:name w:val="Footnote Text Char"/>
    <w:basedOn w:val="DefaultParagraphFont"/>
    <w:link w:val="FootnoteText"/>
    <w:uiPriority w:val="99"/>
    <w:semiHidden/>
    <w:rPr>
      <w:szCs w:val="20"/>
    </w:rPr>
  </w:style>
  <w:style w:type="character" w:customStyle="1" w:styleId="HTMLPreformattedChar">
    <w:name w:val="HTML Preformatted Char"/>
    <w:basedOn w:val="DefaultParagraphFont"/>
    <w:link w:val="HTMLPreformatted"/>
    <w:uiPriority w:val="99"/>
    <w:semiHidden/>
    <w:rPr>
      <w:rFonts w:ascii="Consolas" w:hAnsi="Consolas"/>
      <w:szCs w:val="20"/>
    </w:rPr>
  </w:style>
  <w:style w:type="character" w:customStyle="1" w:styleId="MacroTextChar">
    <w:name w:val="Macro Text Char"/>
    <w:basedOn w:val="DefaultParagraphFont"/>
    <w:link w:val="MacroText"/>
    <w:uiPriority w:val="99"/>
    <w:semiHidden/>
    <w:rPr>
      <w:rFonts w:ascii="Consolas" w:hAnsi="Consolas"/>
      <w:szCs w:val="20"/>
    </w:rPr>
  </w:style>
  <w:style w:type="character" w:styleId="PlaceholderText">
    <w:name w:val="Placeholder Text"/>
    <w:basedOn w:val="DefaultParagraphFont"/>
    <w:uiPriority w:val="99"/>
    <w:semiHidden/>
    <w:rPr>
      <w:color w:val="595959" w:themeColor="text1" w:themeTint="A6"/>
    </w:rPr>
  </w:style>
  <w:style w:type="character" w:customStyle="1" w:styleId="PlainTextChar">
    <w:name w:val="Plain Text Char"/>
    <w:basedOn w:val="DefaultParagraphFont"/>
    <w:link w:val="PlainText"/>
    <w:uiPriority w:val="99"/>
    <w:semiHidden/>
    <w:rPr>
      <w:rFonts w:ascii="Consolas" w:hAnsi="Consolas"/>
      <w:szCs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color w:val="004E6C" w:themeColor="accent2" w:themeShade="80"/>
      <w:sz w:val="22"/>
      <w:szCs w:val="22"/>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E6C" w:themeColor="accent2" w:themeShade="80"/>
      <w:sz w:val="24"/>
      <w:szCs w:val="24"/>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004E6C" w:themeColor="accent2" w:themeShade="80"/>
      <w:sz w:val="28"/>
      <w:szCs w:val="28"/>
    </w:rPr>
  </w:style>
  <w:style w:type="paragraph" w:styleId="NoSpacing">
    <w:name w:val="No Spacing"/>
    <w:link w:val="NoSpacingChar"/>
    <w:uiPriority w:val="1"/>
    <w:qFormat/>
    <w:rPr>
      <w:sz w:val="21"/>
      <w:szCs w:val="21"/>
      <w:lang w:val="en-US" w:eastAsia="en-US"/>
    </w:rPr>
  </w:style>
  <w:style w:type="character" w:customStyle="1" w:styleId="NoSpacingChar">
    <w:name w:val="No Spacing Char"/>
    <w:basedOn w:val="DefaultParagraphFont"/>
    <w:link w:val="NoSpacing"/>
    <w:uiPriority w:val="1"/>
  </w:style>
  <w:style w:type="paragraph" w:customStyle="1" w:styleId="TOCHeading1">
    <w:name w:val="TOC Heading1"/>
    <w:basedOn w:val="Heading1"/>
    <w:next w:val="Normal"/>
    <w:uiPriority w:val="39"/>
    <w:unhideWhenUsed/>
    <w:qFormat/>
    <w:pPr>
      <w:outlineLvl w:val="9"/>
    </w:pPr>
  </w:style>
  <w:style w:type="paragraph" w:styleId="ListParagraph">
    <w:name w:val="List Paragraph"/>
    <w:basedOn w:val="Normal"/>
    <w:uiPriority w:val="34"/>
    <w:qFormat/>
    <w:pPr>
      <w:ind w:left="720"/>
      <w:contextualSpacing/>
    </w:pPr>
  </w:style>
  <w:style w:type="table" w:customStyle="1" w:styleId="TableGridLight1">
    <w:name w:val="Table Grid Light1"/>
    <w:basedOn w:val="TableNormal"/>
    <w:uiPriority w:val="4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s-1">
    <w:name w:val="ms-1"/>
    <w:basedOn w:val="DefaultParagraphFont"/>
  </w:style>
  <w:style w:type="character" w:customStyle="1" w:styleId="max-w-15ch">
    <w:name w:val="max-w-[15ch]"/>
    <w:basedOn w:val="DefaultParagraphFont"/>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75A2" w:themeColor="accent2" w:themeShade="BF"/>
      <w:sz w:val="24"/>
      <w:szCs w:val="24"/>
    </w:rPr>
  </w:style>
  <w:style w:type="paragraph" w:styleId="Quote">
    <w:name w:val="Quote"/>
    <w:basedOn w:val="Normal"/>
    <w:next w:val="Normal"/>
    <w:link w:val="QuoteChar"/>
    <w:uiPriority w:val="29"/>
    <w:qFormat/>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Pr>
      <w:rFonts w:asciiTheme="majorHAnsi" w:eastAsiaTheme="majorEastAsia" w:hAnsiTheme="majorHAnsi" w:cstheme="majorBidi"/>
      <w:color w:val="000000" w:themeColor="text1"/>
      <w:sz w:val="24"/>
      <w:szCs w:val="24"/>
    </w:rPr>
  </w:style>
  <w:style w:type="character" w:customStyle="1" w:styleId="SubtleEmphasis1">
    <w:name w:val="Subtle Emphasis1"/>
    <w:basedOn w:val="DefaultParagraphFont"/>
    <w:uiPriority w:val="19"/>
    <w:qFormat/>
    <w:rPr>
      <w:i/>
      <w:iCs/>
      <w:color w:val="595959" w:themeColor="text1" w:themeTint="A6"/>
    </w:rPr>
  </w:style>
  <w:style w:type="character" w:customStyle="1" w:styleId="SubtleReference1">
    <w:name w:val="Subtle Reference1"/>
    <w:basedOn w:val="DefaultParagraphFont"/>
    <w:uiPriority w:val="31"/>
    <w:qFormat/>
    <w:rPr>
      <w:smallCaps/>
      <w:color w:val="404040" w:themeColor="text1" w:themeTint="BF"/>
      <w:spacing w:val="0"/>
      <w:u w:val="single" w:color="7F7F7F" w:themeColor="text1" w:themeTint="80"/>
    </w:rPr>
  </w:style>
  <w:style w:type="character" w:customStyle="1" w:styleId="BookTitle1">
    <w:name w:val="Book Title1"/>
    <w:basedOn w:val="DefaultParagraphFont"/>
    <w:uiPriority w:val="33"/>
    <w:qFormat/>
    <w:rPr>
      <w:b/>
      <w:bCs/>
      <w:smallCaps/>
      <w:spacing w:val="0"/>
    </w:rPr>
  </w:style>
  <w:style w:type="character" w:styleId="IntenseReference">
    <w:name w:val="Intense Reference"/>
    <w:basedOn w:val="DefaultParagraphFont"/>
    <w:uiPriority w:val="32"/>
    <w:qFormat/>
    <w:rsid w:val="0065036D"/>
    <w:rPr>
      <w:b/>
      <w:bCs/>
      <w:smallCaps/>
      <w:color w:val="0F6FC6" w:themeColor="accent1"/>
      <w:spacing w:val="5"/>
    </w:rPr>
  </w:style>
  <w:style w:type="character" w:styleId="UnresolvedMention">
    <w:name w:val="Unresolved Mention"/>
    <w:basedOn w:val="DefaultParagraphFont"/>
    <w:uiPriority w:val="99"/>
    <w:semiHidden/>
    <w:unhideWhenUsed/>
    <w:rsid w:val="00397B56"/>
    <w:rPr>
      <w:color w:val="605E5C"/>
      <w:shd w:val="clear" w:color="auto" w:fill="E1DFDD"/>
    </w:rPr>
  </w:style>
  <w:style w:type="paragraph" w:styleId="TOCHeading">
    <w:name w:val="TOC Heading"/>
    <w:basedOn w:val="Heading1"/>
    <w:next w:val="Normal"/>
    <w:uiPriority w:val="39"/>
    <w:unhideWhenUsed/>
    <w:qFormat/>
    <w:rsid w:val="00EE2D28"/>
    <w:pPr>
      <w:pBdr>
        <w:bottom w:val="none" w:sz="0" w:space="0" w:color="auto"/>
      </w:pBdr>
      <w:spacing w:before="240" w:after="0" w:line="259" w:lineRule="auto"/>
      <w:outlineLvl w:val="9"/>
    </w:pPr>
    <w:rPr>
      <w:color w:val="0B5294" w:themeColor="accent1" w:themeShade="BF"/>
      <w:sz w:val="32"/>
      <w:szCs w:val="32"/>
    </w:rPr>
  </w:style>
  <w:style w:type="character" w:styleId="IntenseEmphasis">
    <w:name w:val="Intense Emphasis"/>
    <w:basedOn w:val="DefaultParagraphFont"/>
    <w:uiPriority w:val="21"/>
    <w:qFormat/>
    <w:rsid w:val="00EE2D28"/>
    <w:rPr>
      <w:i/>
      <w:iCs/>
      <w:color w:val="0F6FC6"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0149206306293668" TargetMode="External"/><Relationship Id="rId18" Type="http://schemas.openxmlformats.org/officeDocument/2006/relationships/hyperlink" Target="https://careers.unilever.com/en/human-resources?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80/09585192.2016.1244699" TargetMode="External"/><Relationship Id="rId7" Type="http://schemas.openxmlformats.org/officeDocument/2006/relationships/webSettings" Target="webSettings.xml"/><Relationship Id="rId12" Type="http://schemas.openxmlformats.org/officeDocument/2006/relationships/hyperlink" Target="https://doi.org/10.1177/014920639101700108" TargetMode="External"/><Relationship Id="rId17" Type="http://schemas.openxmlformats.org/officeDocument/2006/relationships/hyperlink" Target="https://www.greatplacetowork.co.uk/best-workplaces/2025?utm_source=chatgpt.co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turnover-retention-factsheet/?utm_source=chatgpt.com" TargetMode="External"/><Relationship Id="rId20" Type="http://schemas.openxmlformats.org/officeDocument/2006/relationships/hyperlink" Target="https://doi.org/10.1111/j.1748-8583.2011.0017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08/13620430410550754"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cipd.org/uk/knowledge/factsheets/succession-planning-factsheet/?utm_source=chatgpt.com" TargetMode="External"/><Relationship Id="rId23" Type="http://schemas.openxmlformats.org/officeDocument/2006/relationships/header" Target="header1.xml"/><Relationship Id="rId10" Type="http://schemas.openxmlformats.org/officeDocument/2006/relationships/hyperlink" Target="https://penedulearning.com/wp-content/uploads/2019/05/Onboarding-New-Employees_Maximizing-Success.pdf" TargetMode="External"/><Relationship Id="rId19" Type="http://schemas.openxmlformats.org/officeDocument/2006/relationships/hyperlink" Target="https://doi.org/10.1177/153448430201100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org/globalassets/media/knowledge/knowledge-hub/evidence-reviews/employee-engagement-discussion-report_tcm18-89598.pdf?utm_source=chatgpt.com" TargetMode="External"/><Relationship Id="rId22" Type="http://schemas.openxmlformats.org/officeDocument/2006/relationships/hyperlink" Target="https://doi.org/10.1111/1748-8583.12139"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mith\AppData\Local\Microsoft\Office\16.0\DTS\en-IN%7bD1F10799-B91D-4A69-84E1-6BA391CAE48E%7d\%7bF5E1DF9D-64DF-4E59-AE6E-AA3C4BD101F3%7dtf02835058_win32.dotx" TargetMode="External"/></Relationships>
</file>

<file path=word/theme/theme1.xml><?xml version="1.0" encoding="utf-8"?>
<a:theme xmlns:a="http://schemas.openxmlformats.org/drawingml/2006/main" name="Theme1">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D8DDC2-2359-44CA-9932-621E5D10CDE1}">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{F5E1DF9D-64DF-4E59-AE6E-AA3C4BD101F3}tf02835058_win32</Template>
  <TotalTime>2271</TotalTime>
  <Pages>20</Pages>
  <Words>4730</Words>
  <Characters>26967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RESOURCING AND FINANCIAL MANAGEMENT FOR PROJECT (ACHA7028)</vt:lpstr>
    </vt:vector>
  </TitlesOfParts>
  <Company/>
  <LinksUpToDate>false</LinksUpToDate>
  <CharactersWithSpaces>31634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 Management in Project Organisations:  A Critical Evaluation of Unilever HRM Practices</dc:title>
  <dc:subject>SUBJECT: Resourcing and Financial Management (ACHA 7028)                                                  NAME: Smeetkumar Prajapati (2505418)</dc:subject>
  <dc:creator>smit prajapati</dc:creator>
  <cp:lastModifiedBy>smeet prajapati</cp:lastModifiedBy>
  <cp:revision>223</cp:revision>
  <dcterms:created xsi:type="dcterms:W3CDTF">2026-01-29T20:29:00Z</dcterms:created>
  <dcterms:modified xsi:type="dcterms:W3CDTF">2026-05-24T13:13:00Z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3acc4e80-e362-4644-9993-57396c9bf3c4</vt:lpwstr>
  </property>
  <property fmtid="{D5CDD505-2E9C-101B-9397-08002B2CF9AE}" pid="3" name="KSOProductBuildVer">
    <vt:lpwstr>1033-12.2.0.23155</vt:lpwstr>
  </property>
  <property fmtid="{D5CDD505-2E9C-101B-9397-08002B2CF9AE}" pid="4" name="ICV">
    <vt:lpwstr>740236C6497645CAB868DC70041ADB25_12</vt:lpwstr>
  </property>
</Properties>
</file>