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tabs>
          <w:tab w:val="center" w:pos="3382" w:leader="none"/>
        </w:tabs>
        <w:spacing w:after="61" w:beforeAutospacing="0" w:afterAutospacing="0"/>
      </w:pPr>
      <w:r>
        <w:rPr>
          <w:noProof w:val="1"/>
        </w:rPr>
        <w:drawing>
          <wp:inline xmlns:wp="http://schemas.openxmlformats.org/drawingml/2006/wordprocessingDrawing" distT="0" distB="0" distL="0" distR="0">
            <wp:extent cx="1809750" cy="723900"/>
            <wp:effectExtent l="0" t="0" r="0" b="0"/>
            <wp:docPr id="1938" name="Picture 193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938" name="Picture 1938"/>
                    <pic:cNvPicPr/>
                  </pic:nvPicPr>
                  <pic:blipFill dpi="0">
                    <a:blip xmlns:r="http://schemas.openxmlformats.org/officeDocument/2006/relationships" r:embed="Relimage1"/>
                    <a:srcRect/>
                    <a:stretch>
                      <a:fillRect/>
                    </a:stretch>
                  </pic:blipFill>
                  <pic:spPr>
                    <a:xfrm>
                      <a:off x="0" y="0"/>
                      <a:ext cx="1809750" cy="723900"/>
                    </a:xfrm>
                    <a:prstGeom prst="rect"/>
                  </pic:spPr>
                </pic:pic>
              </a:graphicData>
            </a:graphic>
          </wp:inline>
        </w:drawing>
      </w:r>
      <w:r>
        <w:rPr>
          <w:rFonts w:ascii="Arial" w:hAnsi="Arial" w:cs="Arial" w:eastAsia="Arial"/>
          <w:sz w:val="20"/>
        </w:rPr>
        <w:tab/>
        <w:t xml:space="preserve">  </w:t>
      </w:r>
    </w:p>
    <w:p>
      <w:pPr>
        <w:spacing w:after="297" w:beforeAutospacing="0" w:afterAutospacing="0"/>
        <w:ind w:left="351"/>
      </w:pPr>
    </w:p>
    <w:p>
      <w:pPr>
        <w:spacing w:after="0" w:beforeAutospacing="0" w:afterAutospacing="0"/>
        <w:ind w:left="149"/>
        <w:jc w:val="center"/>
      </w:pPr>
    </w:p>
    <w:tbl>
      <w:tblPr>
        <w:tblStyle w:val="T2"/>
        <w:tblW w:w="8854" w:type="dxa"/>
        <w:tblInd w:w="-459" w:type="dxa"/>
        <w:tblCellMar>
          <w:top w:w="11" w:type="dxa"/>
          <w:left w:w="104" w:type="dxa"/>
          <w:right w:w="46" w:type="dxa"/>
        </w:tblCellMar>
        <w:tblLook w:val="04A0"/>
      </w:tblPr>
      <w:tblGrid>
        <w:gridCol w:w="2439"/>
        <w:gridCol w:w="6415"/>
      </w:tblGrid>
      <w:tr>
        <w:trPr>
          <w:trHeight w:hRule="atLeast" w:val="505"/>
        </w:trPr>
        <w:tc>
          <w:tcPr>
            <w:tcW w:w="2439"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rPr>
                <w:rFonts w:ascii="Arial" w:hAnsi="Arial" w:cs="Arial" w:eastAsia="Arial"/>
                <w:b w:val="1"/>
              </w:rPr>
            </w:pPr>
            <w:r>
              <w:rPr>
                <w:rFonts w:ascii="Arial" w:hAnsi="Arial" w:cs="Arial" w:eastAsia="Arial"/>
                <w:b w:val="1"/>
              </w:rPr>
              <w:t>Student Name:</w:t>
            </w:r>
          </w:p>
        </w:tc>
        <w:tc>
          <w:tcPr>
            <w:tcW w:w="6415"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rPr>
                <w:rFonts w:ascii="Arial" w:hAnsi="Arial" w:cs="Arial" w:eastAsia="Arial"/>
                <w:b w:val="1"/>
              </w:rPr>
            </w:pPr>
            <w:r>
              <w:rPr>
                <w:rFonts w:ascii="Arial" w:hAnsi="Arial" w:cs="Arial" w:eastAsia="Arial"/>
                <w:b w:val="1"/>
                <w:rtl w:val="0"/>
                <w:lang w:val="en-GB" w:bidi="en-GB" w:eastAsia="en-GB"/>
              </w:rPr>
              <w:t>James Oyibo</w:t>
            </w:r>
          </w:p>
        </w:tc>
      </w:tr>
      <w:tr>
        <w:trPr>
          <w:trHeight w:hRule="atLeast" w:val="505"/>
        </w:trPr>
        <w:tc>
          <w:tcPr>
            <w:tcW w:w="2439"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rPr>
                <w:rFonts w:ascii="Arial" w:hAnsi="Arial" w:cs="Arial" w:eastAsia="Arial"/>
                <w:b w:val="1"/>
              </w:rPr>
            </w:pPr>
            <w:r>
              <w:rPr>
                <w:rFonts w:ascii="Arial" w:hAnsi="Arial" w:cs="Arial" w:eastAsia="Arial"/>
                <w:b w:val="1"/>
              </w:rPr>
              <w:t>Student Number:</w:t>
            </w:r>
          </w:p>
        </w:tc>
        <w:tc>
          <w:tcPr>
            <w:tcW w:w="6415"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rPr>
                <w:rFonts w:ascii="Arial" w:hAnsi="Arial" w:cs="Arial" w:eastAsia="Arial"/>
                <w:b w:val="1"/>
              </w:rPr>
            </w:pPr>
            <w:r>
              <w:rPr>
                <w:rFonts w:ascii="Arial" w:hAnsi="Arial" w:cs="Arial" w:eastAsia="Arial"/>
                <w:b w:val="1"/>
                <w:rtl w:val="0"/>
                <w:lang w:val="en-GB" w:bidi="en-GB" w:eastAsia="en-GB"/>
              </w:rPr>
              <w:t>2438986</w:t>
            </w:r>
          </w:p>
        </w:tc>
      </w:tr>
      <w:tr>
        <w:trPr>
          <w:trHeight w:hRule="atLeast" w:val="505"/>
        </w:trPr>
        <w:tc>
          <w:tcPr>
            <w:tcW w:w="2439"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pPr>
            <w:r>
              <w:rPr>
                <w:rFonts w:ascii="Arial" w:hAnsi="Arial" w:cs="Arial" w:eastAsia="Arial"/>
                <w:b w:val="1"/>
              </w:rPr>
              <w:t xml:space="preserve">Programme: </w:t>
            </w:r>
          </w:p>
        </w:tc>
        <w:tc>
          <w:tcPr>
            <w:tcW w:w="6415"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pPr>
            <w:r>
              <w:rPr>
                <w:rFonts w:ascii="Arial" w:hAnsi="Arial" w:cs="Arial" w:eastAsia="Arial"/>
                <w:b w:val="1"/>
              </w:rPr>
              <w:t xml:space="preserve">BA (Hons) Leadership and Management Skills for the Workplace </w:t>
            </w:r>
            <w:r>
              <w:rPr>
                <w:rFonts w:ascii="Arial" w:hAnsi="Arial" w:cs="Arial" w:eastAsia="Arial"/>
              </w:rPr>
              <w:t xml:space="preserve">  </w:t>
            </w:r>
            <w:r>
              <w:rPr>
                <w:rFonts w:ascii="Arial" w:hAnsi="Arial" w:cs="Arial" w:eastAsia="Arial"/>
                <w:b w:val="1"/>
              </w:rPr>
              <w:t xml:space="preserve"> </w:t>
            </w:r>
          </w:p>
        </w:tc>
      </w:tr>
      <w:tr>
        <w:trPr>
          <w:trHeight w:hRule="atLeast" w:val="502"/>
        </w:trPr>
        <w:tc>
          <w:tcPr>
            <w:tcW w:w="2439"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pPr>
            <w:r>
              <w:rPr>
                <w:rFonts w:ascii="Arial" w:hAnsi="Arial" w:cs="Arial" w:eastAsia="Arial"/>
                <w:b w:val="1"/>
              </w:rPr>
              <w:t xml:space="preserve">Module: </w:t>
            </w:r>
          </w:p>
        </w:tc>
        <w:tc>
          <w:tcPr>
            <w:tcW w:w="6415"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ind w:left="6"/>
            </w:pPr>
            <w:r>
              <w:rPr>
                <w:rFonts w:ascii="Arial" w:hAnsi="Arial" w:cs="Arial" w:eastAsia="Arial"/>
                <w:b w:val="1"/>
              </w:rPr>
              <w:t>Understanding and Engaging Stakeholders  </w:t>
            </w:r>
            <w:r>
              <w:rPr>
                <w:rFonts w:ascii="Arial" w:hAnsi="Arial" w:cs="Arial" w:eastAsia="Arial"/>
              </w:rPr>
              <w:t xml:space="preserve"> </w:t>
            </w:r>
            <w:r>
              <w:rPr>
                <w:rFonts w:ascii="Arial" w:hAnsi="Arial" w:cs="Arial" w:eastAsia="Arial"/>
                <w:b w:val="1"/>
              </w:rPr>
              <w:t xml:space="preserve"> </w:t>
            </w:r>
          </w:p>
        </w:tc>
      </w:tr>
      <w:tr>
        <w:trPr>
          <w:trHeight w:hRule="atLeast" w:val="769"/>
        </w:trPr>
        <w:tc>
          <w:tcPr>
            <w:tcW w:w="243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ind w:left="6"/>
            </w:pPr>
            <w:r>
              <w:rPr>
                <w:rFonts w:ascii="Arial" w:hAnsi="Arial" w:cs="Arial" w:eastAsia="Arial"/>
                <w:b w:val="1"/>
              </w:rPr>
              <w:t xml:space="preserve">Module code: </w:t>
            </w:r>
          </w:p>
        </w:tc>
        <w:tc>
          <w:tcPr>
            <w:tcW w:w="6415"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ind w:left="6"/>
            </w:pPr>
            <w:r>
              <w:rPr>
                <w:rFonts w:ascii="Arial" w:hAnsi="Arial" w:cs="Arial" w:eastAsia="Arial"/>
                <w:b w:val="1"/>
              </w:rPr>
              <w:t xml:space="preserve">LCLM5001  </w:t>
            </w:r>
          </w:p>
        </w:tc>
      </w:tr>
      <w:tr>
        <w:trPr>
          <w:trHeight w:hRule="atLeast" w:val="874"/>
        </w:trPr>
        <w:tc>
          <w:tcPr>
            <w:tcW w:w="2439"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ind w:left="6"/>
            </w:pPr>
            <w:r>
              <w:rPr>
                <w:rFonts w:ascii="Arial" w:hAnsi="Arial" w:cs="Arial" w:eastAsia="Arial"/>
                <w:b w:val="1"/>
              </w:rPr>
              <w:t xml:space="preserve">Module Leader: </w:t>
            </w:r>
          </w:p>
        </w:tc>
        <w:tc>
          <w:tcPr>
            <w:tcW w:w="6415" w:type="dxa"/>
            <w:tcBorders>
              <w:top w:val="single" w:sz="4" w:space="0" w:shadow="0" w:frame="0" w:color="000000"/>
              <w:left w:val="single" w:sz="4" w:space="0" w:shadow="0" w:frame="0" w:color="000000"/>
              <w:bottom w:val="single" w:sz="4" w:space="0" w:shadow="0" w:frame="0" w:color="000000"/>
              <w:right w:val="single" w:sz="4" w:space="0" w:shadow="0" w:frame="0" w:color="000000"/>
            </w:tcBorders>
            <w:vAlign w:val="center"/>
          </w:tcPr>
          <w:p>
            <w:pPr>
              <w:spacing w:after="102" w:beforeAutospacing="0" w:afterAutospacing="0"/>
              <w:ind w:left="6"/>
            </w:pPr>
            <w:r>
              <w:rPr>
                <w:rFonts w:ascii="Arial" w:hAnsi="Arial" w:cs="Arial" w:eastAsia="Arial"/>
                <w:b w:val="1"/>
              </w:rPr>
              <w:t xml:space="preserve">Eric Osei </w:t>
            </w:r>
          </w:p>
          <w:p>
            <w:pPr>
              <w:ind w:left="6"/>
            </w:pPr>
            <w:r>
              <w:rPr>
                <w:rFonts w:ascii="Arial" w:hAnsi="Arial" w:cs="Arial" w:eastAsia="Arial"/>
                <w:b w:val="1"/>
              </w:rPr>
              <w:t xml:space="preserve">Nadeem Mirza </w:t>
            </w:r>
          </w:p>
        </w:tc>
      </w:tr>
    </w:tbl>
    <w:p/>
    <w:p/>
    <w:p/>
    <w:p/>
    <w:p/>
    <w:p/>
    <w:p/>
    <w:p/>
    <w:p/>
    <w:p/>
    <w:p/>
    <w:p/>
    <w:p/>
    <w:p/>
    <w:p/>
    <w:p/>
    <w:sdt>
      <w:sdtPr>
        <w:rPr>
          <w:rFonts w:asciiTheme="minorHAnsi" w:hAnsiTheme="minorHAnsi" w:cstheme="minorBidi" w:eastAsiaTheme="minorHAnsi"/>
          <w:b w:val="0"/>
          <w:bCs w:val="0"/>
          <w:color w:val="auto"/>
          <w:sz w:val="24"/>
          <w:szCs w:val="24"/>
          <w:kern w:val="2"/>
          <w:lang w:val="en-GB"/>
        </w:rPr>
        <w:id w:val="1407651557"/>
        <w:docPartObj>
          <w:docPartGallery w:val="Table of Contents"/>
          <w:docPartCategory w:val=""/>
          <w:docPartUnique/>
        </w:docPartObj>
      </w:sdtPr>
      <w:sdtEndPr>
        <w:rPr>
          <w:noProof w:val="1"/>
          <w:sz w:val="26"/>
          <w:szCs w:val="26"/>
        </w:rPr>
      </w:sdtEndPr>
      <w:sdtContent>
        <w:p>
          <w:pPr>
            <w:pStyle w:val="P15"/>
          </w:pPr>
          <w:r>
            <w:t>Table of Contents</w:t>
          </w:r>
        </w:p>
        <w:p>
          <w:pPr>
            <w:pStyle w:val="P16"/>
            <w:tabs>
              <w:tab w:val="right" w:pos="9016" w:leader="dot"/>
            </w:tabs>
            <w:rPr>
              <w:rFonts w:eastAsiaTheme="minorEastAsia"/>
              <w:b w:val="0"/>
              <w:i w:val="0"/>
              <w:bCs w:val="0"/>
              <w:iCs w:val="0"/>
              <w:noProof w:val="1"/>
              <w:sz w:val="22"/>
              <w:szCs w:val="22"/>
              <w:lang w:eastAsia="en-GB"/>
            </w:rPr>
          </w:pPr>
          <w:r>
            <w:rPr>
              <w:b w:val="0"/>
              <w:bCs w:val="0"/>
              <w:sz w:val="22"/>
              <w:szCs w:val="22"/>
            </w:rPr>
            <w:fldChar w:fldCharType="begin"/>
          </w:r>
          <w:r>
            <w:rPr>
              <w:sz w:val="22"/>
              <w:szCs w:val="22"/>
            </w:rPr>
            <w:instrText xml:space="preserve"> TOC \o "1-3" \h \z \u </w:instrText>
          </w:r>
          <w:r>
            <w:rPr>
              <w:b w:val="0"/>
              <w:bCs w:val="0"/>
              <w:sz w:val="22"/>
              <w:szCs w:val="22"/>
            </w:rPr>
            <w:fldChar w:fldCharType="separate"/>
          </w:r>
          <w:hyperlink w:anchor="_Toc235439861">
            <w:r>
              <w:rPr>
                <w:rStyle w:val="C2"/>
                <w:noProof w:val="1"/>
                <w:sz w:val="22"/>
                <w:szCs w:val="22"/>
              </w:rPr>
              <w:t>Executive Summary</w:t>
            </w:r>
            <w:r>
              <w:rPr>
                <w:noProof w:val="1"/>
                <w:sz w:val="22"/>
                <w:szCs w:val="22"/>
              </w:rPr>
              <w:tab/>
            </w:r>
            <w:r>
              <w:rPr>
                <w:noProof w:val="1"/>
                <w:sz w:val="22"/>
                <w:szCs w:val="22"/>
              </w:rPr>
              <w:fldChar w:fldCharType="begin"/>
            </w:r>
            <w:r>
              <w:rPr>
                <w:noProof w:val="1"/>
                <w:sz w:val="22"/>
                <w:szCs w:val="22"/>
              </w:rPr>
              <w:instrText xml:space="preserve"> PAGEREF _Toc235439861 \h </w:instrText>
            </w:r>
            <w:r>
              <w:rPr>
                <w:noProof w:val="1"/>
                <w:sz w:val="22"/>
                <w:szCs w:val="22"/>
              </w:rPr>
              <w:fldChar w:fldCharType="separate"/>
            </w:r>
            <w:r>
              <w:rPr>
                <w:noProof w:val="1"/>
                <w:sz w:val="22"/>
                <w:szCs w:val="22"/>
              </w:rPr>
              <w:t>3</w:t>
            </w:r>
            <w:r>
              <w:rPr>
                <w:noProof w:val="1"/>
                <w:sz w:val="22"/>
                <w:szCs w:val="22"/>
              </w:rPr>
              <w:fldChar w:fldCharType="end"/>
            </w:r>
          </w:hyperlink>
        </w:p>
        <w:p>
          <w:pPr>
            <w:pStyle w:val="P16"/>
            <w:tabs>
              <w:tab w:val="left" w:pos="480" w:leader="none"/>
              <w:tab w:val="right" w:pos="9016" w:leader="dot"/>
            </w:tabs>
            <w:rPr>
              <w:rFonts w:eastAsiaTheme="minorEastAsia"/>
              <w:b w:val="0"/>
              <w:i w:val="0"/>
              <w:bCs w:val="0"/>
              <w:iCs w:val="0"/>
              <w:noProof w:val="1"/>
              <w:sz w:val="22"/>
              <w:szCs w:val="22"/>
              <w:lang w:eastAsia="en-GB"/>
            </w:rPr>
          </w:pPr>
          <w:hyperlink w:anchor="_Toc235439862">
            <w:r>
              <w:rPr>
                <w:rStyle w:val="C2"/>
                <w:noProof w:val="1"/>
                <w:sz w:val="22"/>
                <w:szCs w:val="22"/>
              </w:rPr>
              <w:t>1.</w:t>
            </w:r>
            <w:r>
              <w:rPr>
                <w:rFonts w:eastAsiaTheme="minorEastAsia"/>
                <w:b w:val="0"/>
                <w:i w:val="0"/>
                <w:bCs w:val="0"/>
                <w:iCs w:val="0"/>
                <w:noProof w:val="1"/>
                <w:sz w:val="22"/>
                <w:szCs w:val="22"/>
                <w:lang w:eastAsia="en-GB"/>
              </w:rPr>
              <w:tab/>
            </w:r>
            <w:r>
              <w:rPr>
                <w:rStyle w:val="C2"/>
                <w:noProof w:val="1"/>
                <w:sz w:val="22"/>
                <w:szCs w:val="22"/>
              </w:rPr>
              <w:t>Introduction to Greggs and project context</w:t>
            </w:r>
            <w:r>
              <w:rPr>
                <w:noProof w:val="1"/>
                <w:sz w:val="22"/>
                <w:szCs w:val="22"/>
              </w:rPr>
              <w:tab/>
            </w:r>
            <w:r>
              <w:rPr>
                <w:noProof w:val="1"/>
                <w:sz w:val="22"/>
                <w:szCs w:val="22"/>
              </w:rPr>
              <w:fldChar w:fldCharType="begin"/>
            </w:r>
            <w:r>
              <w:rPr>
                <w:noProof w:val="1"/>
                <w:sz w:val="22"/>
                <w:szCs w:val="22"/>
              </w:rPr>
              <w:instrText xml:space="preserve"> PAGEREF _Toc235439862 \h </w:instrText>
            </w:r>
            <w:r>
              <w:rPr>
                <w:noProof w:val="1"/>
                <w:sz w:val="22"/>
                <w:szCs w:val="22"/>
              </w:rPr>
              <w:fldChar w:fldCharType="separate"/>
            </w:r>
            <w:r>
              <w:rPr>
                <w:noProof w:val="1"/>
                <w:sz w:val="22"/>
                <w:szCs w:val="22"/>
              </w:rPr>
              <w:t>3</w:t>
            </w:r>
            <w:r>
              <w:rPr>
                <w:noProof w:val="1"/>
                <w:sz w:val="22"/>
                <w:szCs w:val="22"/>
              </w:rPr>
              <w:fldChar w:fldCharType="end"/>
            </w:r>
          </w:hyperlink>
        </w:p>
        <w:p>
          <w:pPr>
            <w:pStyle w:val="P16"/>
            <w:tabs>
              <w:tab w:val="left" w:pos="480" w:leader="none"/>
              <w:tab w:val="right" w:pos="9016" w:leader="dot"/>
            </w:tabs>
            <w:rPr>
              <w:rFonts w:eastAsiaTheme="minorEastAsia"/>
              <w:b w:val="0"/>
              <w:i w:val="0"/>
              <w:bCs w:val="0"/>
              <w:iCs w:val="0"/>
              <w:noProof w:val="1"/>
              <w:sz w:val="22"/>
              <w:szCs w:val="22"/>
              <w:lang w:eastAsia="en-GB"/>
            </w:rPr>
          </w:pPr>
          <w:hyperlink w:anchor="_Toc235439863">
            <w:r>
              <w:rPr>
                <w:rStyle w:val="C2"/>
                <w:noProof w:val="1"/>
                <w:sz w:val="22"/>
                <w:szCs w:val="22"/>
              </w:rPr>
              <w:t>2.</w:t>
            </w:r>
            <w:r>
              <w:rPr>
                <w:rFonts w:eastAsiaTheme="minorEastAsia"/>
                <w:b w:val="0"/>
                <w:i w:val="0"/>
                <w:bCs w:val="0"/>
                <w:iCs w:val="0"/>
                <w:noProof w:val="1"/>
                <w:sz w:val="22"/>
                <w:szCs w:val="22"/>
                <w:lang w:eastAsia="en-GB"/>
              </w:rPr>
              <w:tab/>
            </w:r>
            <w:r>
              <w:rPr>
                <w:rStyle w:val="C2"/>
                <w:noProof w:val="1"/>
                <w:sz w:val="22"/>
                <w:szCs w:val="22"/>
              </w:rPr>
              <w:t>SWOT analysis of Greggs</w:t>
            </w:r>
            <w:r>
              <w:rPr>
                <w:noProof w:val="1"/>
                <w:sz w:val="22"/>
                <w:szCs w:val="22"/>
              </w:rPr>
              <w:tab/>
            </w:r>
            <w:r>
              <w:rPr>
                <w:noProof w:val="1"/>
                <w:sz w:val="22"/>
                <w:szCs w:val="22"/>
              </w:rPr>
              <w:fldChar w:fldCharType="begin"/>
            </w:r>
            <w:r>
              <w:rPr>
                <w:noProof w:val="1"/>
                <w:sz w:val="22"/>
                <w:szCs w:val="22"/>
              </w:rPr>
              <w:instrText xml:space="preserve"> PAGEREF _Toc235439863 \h </w:instrText>
            </w:r>
            <w:r>
              <w:rPr>
                <w:noProof w:val="1"/>
                <w:sz w:val="22"/>
                <w:szCs w:val="22"/>
              </w:rPr>
              <w:fldChar w:fldCharType="separate"/>
            </w:r>
            <w:r>
              <w:rPr>
                <w:noProof w:val="1"/>
                <w:sz w:val="22"/>
                <w:szCs w:val="22"/>
              </w:rPr>
              <w:t>4</w:t>
            </w:r>
            <w:r>
              <w:rPr>
                <w:noProof w:val="1"/>
                <w:sz w:val="22"/>
                <w:szCs w:val="22"/>
              </w:rPr>
              <w:fldChar w:fldCharType="end"/>
            </w:r>
          </w:hyperlink>
        </w:p>
        <w:p>
          <w:pPr>
            <w:pStyle w:val="P16"/>
            <w:tabs>
              <w:tab w:val="left" w:pos="480" w:leader="none"/>
              <w:tab w:val="right" w:pos="9016" w:leader="dot"/>
            </w:tabs>
            <w:rPr>
              <w:rFonts w:eastAsiaTheme="minorEastAsia"/>
              <w:b w:val="0"/>
              <w:i w:val="0"/>
              <w:bCs w:val="0"/>
              <w:iCs w:val="0"/>
              <w:noProof w:val="1"/>
              <w:sz w:val="22"/>
              <w:szCs w:val="22"/>
              <w:lang w:eastAsia="en-GB"/>
            </w:rPr>
          </w:pPr>
          <w:hyperlink w:anchor="_Toc235439864">
            <w:r>
              <w:rPr>
                <w:rStyle w:val="C2"/>
                <w:noProof w:val="1"/>
                <w:sz w:val="22"/>
                <w:szCs w:val="22"/>
              </w:rPr>
              <w:t>3.</w:t>
            </w:r>
            <w:r>
              <w:rPr>
                <w:rFonts w:eastAsiaTheme="minorEastAsia"/>
                <w:b w:val="0"/>
                <w:i w:val="0"/>
                <w:bCs w:val="0"/>
                <w:iCs w:val="0"/>
                <w:noProof w:val="1"/>
                <w:sz w:val="22"/>
                <w:szCs w:val="22"/>
                <w:lang w:eastAsia="en-GB"/>
              </w:rPr>
              <w:tab/>
            </w:r>
            <w:r>
              <w:rPr>
                <w:rStyle w:val="C2"/>
                <w:noProof w:val="1"/>
                <w:sz w:val="22"/>
                <w:szCs w:val="22"/>
              </w:rPr>
              <w:t>PESTEL analysis of Greggs</w:t>
            </w:r>
            <w:r>
              <w:rPr>
                <w:noProof w:val="1"/>
                <w:sz w:val="22"/>
                <w:szCs w:val="22"/>
              </w:rPr>
              <w:tab/>
            </w:r>
            <w:r>
              <w:rPr>
                <w:noProof w:val="1"/>
                <w:sz w:val="22"/>
                <w:szCs w:val="22"/>
              </w:rPr>
              <w:fldChar w:fldCharType="begin"/>
            </w:r>
            <w:r>
              <w:rPr>
                <w:noProof w:val="1"/>
                <w:sz w:val="22"/>
                <w:szCs w:val="22"/>
              </w:rPr>
              <w:instrText xml:space="preserve"> PAGEREF _Toc235439864 \h </w:instrText>
            </w:r>
            <w:r>
              <w:rPr>
                <w:noProof w:val="1"/>
                <w:sz w:val="22"/>
                <w:szCs w:val="22"/>
              </w:rPr>
              <w:fldChar w:fldCharType="separate"/>
            </w:r>
            <w:r>
              <w:rPr>
                <w:noProof w:val="1"/>
                <w:sz w:val="22"/>
                <w:szCs w:val="22"/>
              </w:rPr>
              <w:t>4</w:t>
            </w:r>
            <w:r>
              <w:rPr>
                <w:noProof w:val="1"/>
                <w:sz w:val="22"/>
                <w:szCs w:val="22"/>
              </w:rPr>
              <w:fldChar w:fldCharType="end"/>
            </w:r>
          </w:hyperlink>
        </w:p>
        <w:p>
          <w:pPr>
            <w:pStyle w:val="P16"/>
            <w:tabs>
              <w:tab w:val="left" w:pos="480" w:leader="none"/>
              <w:tab w:val="right" w:pos="9016" w:leader="dot"/>
            </w:tabs>
            <w:rPr>
              <w:rFonts w:eastAsiaTheme="minorEastAsia"/>
              <w:b w:val="0"/>
              <w:i w:val="0"/>
              <w:bCs w:val="0"/>
              <w:iCs w:val="0"/>
              <w:noProof w:val="1"/>
              <w:sz w:val="22"/>
              <w:szCs w:val="22"/>
              <w:lang w:eastAsia="en-GB"/>
            </w:rPr>
          </w:pPr>
          <w:hyperlink w:anchor="_Toc235439865">
            <w:r>
              <w:rPr>
                <w:rStyle w:val="C2"/>
                <w:noProof w:val="1"/>
                <w:sz w:val="22"/>
                <w:szCs w:val="22"/>
              </w:rPr>
              <w:t>4.</w:t>
            </w:r>
            <w:r>
              <w:rPr>
                <w:rFonts w:eastAsiaTheme="minorEastAsia"/>
                <w:b w:val="0"/>
                <w:i w:val="0"/>
                <w:bCs w:val="0"/>
                <w:iCs w:val="0"/>
                <w:noProof w:val="1"/>
                <w:sz w:val="22"/>
                <w:szCs w:val="22"/>
                <w:lang w:eastAsia="en-GB"/>
              </w:rPr>
              <w:tab/>
            </w:r>
            <w:r>
              <w:rPr>
                <w:rStyle w:val="C2"/>
                <w:noProof w:val="1"/>
                <w:sz w:val="22"/>
                <w:szCs w:val="22"/>
              </w:rPr>
              <w:t>SMART objectives for stakeholder engagement at Greggs</w:t>
            </w:r>
            <w:r>
              <w:rPr>
                <w:noProof w:val="1"/>
                <w:sz w:val="22"/>
                <w:szCs w:val="22"/>
              </w:rPr>
              <w:tab/>
            </w:r>
            <w:r>
              <w:rPr>
                <w:noProof w:val="1"/>
                <w:sz w:val="22"/>
                <w:szCs w:val="22"/>
              </w:rPr>
              <w:fldChar w:fldCharType="begin"/>
            </w:r>
            <w:r>
              <w:rPr>
                <w:noProof w:val="1"/>
                <w:sz w:val="22"/>
                <w:szCs w:val="22"/>
              </w:rPr>
              <w:instrText xml:space="preserve"> PAGEREF _Toc235439865 \h </w:instrText>
            </w:r>
            <w:r>
              <w:rPr>
                <w:noProof w:val="1"/>
                <w:sz w:val="22"/>
                <w:szCs w:val="22"/>
              </w:rPr>
              <w:fldChar w:fldCharType="separate"/>
            </w:r>
            <w:r>
              <w:rPr>
                <w:noProof w:val="1"/>
                <w:sz w:val="22"/>
                <w:szCs w:val="22"/>
              </w:rPr>
              <w:t>5</w:t>
            </w:r>
            <w:r>
              <w:rPr>
                <w:noProof w:val="1"/>
                <w:sz w:val="22"/>
                <w:szCs w:val="22"/>
              </w:rPr>
              <w:fldChar w:fldCharType="end"/>
            </w:r>
          </w:hyperlink>
        </w:p>
        <w:p>
          <w:pPr>
            <w:pStyle w:val="P17"/>
            <w:tabs>
              <w:tab w:val="right" w:pos="9016" w:leader="dot"/>
            </w:tabs>
            <w:rPr>
              <w:rFonts w:eastAsiaTheme="minorEastAsia"/>
              <w:b w:val="0"/>
              <w:bCs w:val="0"/>
              <w:noProof w:val="1"/>
              <w:lang w:eastAsia="en-GB"/>
            </w:rPr>
          </w:pPr>
          <w:hyperlink w:anchor="_Toc235439866">
            <w:r>
              <w:rPr>
                <w:rStyle w:val="C2"/>
                <w:noProof w:val="1"/>
              </w:rPr>
              <w:t>4.1 Customer and employee engagement objectives</w:t>
            </w:r>
            <w:r>
              <w:rPr>
                <w:noProof w:val="1"/>
              </w:rPr>
              <w:tab/>
            </w:r>
            <w:r>
              <w:rPr>
                <w:noProof w:val="1"/>
              </w:rPr>
              <w:fldChar w:fldCharType="begin"/>
            </w:r>
            <w:r>
              <w:rPr>
                <w:noProof w:val="1"/>
              </w:rPr>
              <w:instrText xml:space="preserve"> PAGEREF _Toc235439866 \h </w:instrText>
            </w:r>
            <w:r>
              <w:rPr>
                <w:noProof w:val="1"/>
              </w:rPr>
              <w:fldChar w:fldCharType="separate"/>
            </w:r>
            <w:r>
              <w:rPr>
                <w:noProof w:val="1"/>
              </w:rPr>
              <w:t>5</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67">
            <w:r>
              <w:rPr>
                <w:rStyle w:val="C2"/>
                <w:noProof w:val="1"/>
              </w:rPr>
              <w:t>4.2 Community and environmental objectives</w:t>
            </w:r>
            <w:r>
              <w:rPr>
                <w:noProof w:val="1"/>
              </w:rPr>
              <w:tab/>
            </w:r>
            <w:r>
              <w:rPr>
                <w:noProof w:val="1"/>
              </w:rPr>
              <w:fldChar w:fldCharType="begin"/>
            </w:r>
            <w:r>
              <w:rPr>
                <w:noProof w:val="1"/>
              </w:rPr>
              <w:instrText xml:space="preserve"> PAGEREF _Toc235439867 \h </w:instrText>
            </w:r>
            <w:r>
              <w:rPr>
                <w:noProof w:val="1"/>
              </w:rPr>
              <w:fldChar w:fldCharType="separate"/>
            </w:r>
            <w:r>
              <w:rPr>
                <w:noProof w:val="1"/>
              </w:rPr>
              <w:t>6</w:t>
            </w:r>
            <w:r>
              <w:rPr>
                <w:noProof w:val="1"/>
              </w:rPr>
              <w:fldChar w:fldCharType="end"/>
            </w:r>
          </w:hyperlink>
        </w:p>
        <w:p>
          <w:pPr>
            <w:pStyle w:val="P16"/>
            <w:tabs>
              <w:tab w:val="right" w:pos="9016" w:leader="dot"/>
            </w:tabs>
            <w:rPr>
              <w:rFonts w:eastAsiaTheme="minorEastAsia"/>
              <w:b w:val="0"/>
              <w:i w:val="0"/>
              <w:bCs w:val="0"/>
              <w:iCs w:val="0"/>
              <w:noProof w:val="1"/>
              <w:sz w:val="22"/>
              <w:szCs w:val="22"/>
              <w:lang w:eastAsia="en-GB"/>
            </w:rPr>
          </w:pPr>
          <w:hyperlink w:anchor="_Toc235439868">
            <w:r>
              <w:rPr>
                <w:rStyle w:val="C2"/>
                <w:noProof w:val="1"/>
                <w:sz w:val="22"/>
                <w:szCs w:val="22"/>
              </w:rPr>
              <w:t>5. Stakeholder identification and mapping</w:t>
            </w:r>
            <w:r>
              <w:rPr>
                <w:noProof w:val="1"/>
                <w:sz w:val="22"/>
                <w:szCs w:val="22"/>
              </w:rPr>
              <w:tab/>
            </w:r>
            <w:r>
              <w:rPr>
                <w:noProof w:val="1"/>
                <w:sz w:val="22"/>
                <w:szCs w:val="22"/>
              </w:rPr>
              <w:fldChar w:fldCharType="begin"/>
            </w:r>
            <w:r>
              <w:rPr>
                <w:noProof w:val="1"/>
                <w:sz w:val="22"/>
                <w:szCs w:val="22"/>
              </w:rPr>
              <w:instrText xml:space="preserve"> PAGEREF _Toc235439868 \h </w:instrText>
            </w:r>
            <w:r>
              <w:rPr>
                <w:noProof w:val="1"/>
                <w:sz w:val="22"/>
                <w:szCs w:val="22"/>
              </w:rPr>
              <w:fldChar w:fldCharType="separate"/>
            </w:r>
            <w:r>
              <w:rPr>
                <w:noProof w:val="1"/>
                <w:sz w:val="22"/>
                <w:szCs w:val="22"/>
              </w:rPr>
              <w:t>6</w:t>
            </w:r>
            <w:r>
              <w:rPr>
                <w:noProof w:val="1"/>
                <w:sz w:val="22"/>
                <w:szCs w:val="22"/>
              </w:rPr>
              <w:fldChar w:fldCharType="end"/>
            </w:r>
          </w:hyperlink>
        </w:p>
        <w:p>
          <w:pPr>
            <w:pStyle w:val="P17"/>
            <w:tabs>
              <w:tab w:val="right" w:pos="9016" w:leader="dot"/>
            </w:tabs>
            <w:rPr>
              <w:rFonts w:eastAsiaTheme="minorEastAsia"/>
              <w:b w:val="0"/>
              <w:bCs w:val="0"/>
              <w:noProof w:val="1"/>
              <w:lang w:eastAsia="en-GB"/>
            </w:rPr>
          </w:pPr>
          <w:hyperlink w:anchor="_Toc235439869">
            <w:r>
              <w:rPr>
                <w:rStyle w:val="C2"/>
                <w:noProof w:val="1"/>
              </w:rPr>
              <w:t>5.1 Definition and approach</w:t>
            </w:r>
            <w:r>
              <w:rPr>
                <w:noProof w:val="1"/>
              </w:rPr>
              <w:tab/>
            </w:r>
            <w:r>
              <w:rPr>
                <w:noProof w:val="1"/>
              </w:rPr>
              <w:fldChar w:fldCharType="begin"/>
            </w:r>
            <w:r>
              <w:rPr>
                <w:noProof w:val="1"/>
              </w:rPr>
              <w:instrText xml:space="preserve"> PAGEREF _Toc235439869 \h </w:instrText>
            </w:r>
            <w:r>
              <w:rPr>
                <w:noProof w:val="1"/>
              </w:rPr>
              <w:fldChar w:fldCharType="separate"/>
            </w:r>
            <w:r>
              <w:rPr>
                <w:noProof w:val="1"/>
              </w:rPr>
              <w:t>6</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0">
            <w:r>
              <w:rPr>
                <w:rStyle w:val="C2"/>
                <w:noProof w:val="1"/>
              </w:rPr>
              <w:t>5.2 Key internal stakeholders</w:t>
            </w:r>
            <w:r>
              <w:rPr>
                <w:noProof w:val="1"/>
              </w:rPr>
              <w:tab/>
            </w:r>
            <w:r>
              <w:rPr>
                <w:noProof w:val="1"/>
              </w:rPr>
              <w:fldChar w:fldCharType="begin"/>
            </w:r>
            <w:r>
              <w:rPr>
                <w:noProof w:val="1"/>
              </w:rPr>
              <w:instrText xml:space="preserve"> PAGEREF _Toc235439870 \h </w:instrText>
            </w:r>
            <w:r>
              <w:rPr>
                <w:noProof w:val="1"/>
              </w:rPr>
              <w:fldChar w:fldCharType="separate"/>
            </w:r>
            <w:r>
              <w:rPr>
                <w:noProof w:val="1"/>
              </w:rPr>
              <w:t>7</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1">
            <w:r>
              <w:rPr>
                <w:rStyle w:val="C2"/>
                <w:noProof w:val="1"/>
              </w:rPr>
              <w:t>5.3 Key external stakeholders</w:t>
            </w:r>
            <w:r>
              <w:rPr>
                <w:noProof w:val="1"/>
              </w:rPr>
              <w:tab/>
            </w:r>
            <w:r>
              <w:rPr>
                <w:noProof w:val="1"/>
              </w:rPr>
              <w:fldChar w:fldCharType="begin"/>
            </w:r>
            <w:r>
              <w:rPr>
                <w:noProof w:val="1"/>
              </w:rPr>
              <w:instrText xml:space="preserve"> PAGEREF _Toc235439871 \h </w:instrText>
            </w:r>
            <w:r>
              <w:rPr>
                <w:noProof w:val="1"/>
              </w:rPr>
              <w:fldChar w:fldCharType="separate"/>
            </w:r>
            <w:r>
              <w:rPr>
                <w:noProof w:val="1"/>
              </w:rPr>
              <w:t>7</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2">
            <w:r>
              <w:rPr>
                <w:rStyle w:val="C2"/>
                <w:noProof w:val="1"/>
              </w:rPr>
              <w:t>5.4 Power–interest mapping</w:t>
            </w:r>
            <w:r>
              <w:rPr>
                <w:noProof w:val="1"/>
              </w:rPr>
              <w:tab/>
            </w:r>
            <w:r>
              <w:rPr>
                <w:noProof w:val="1"/>
              </w:rPr>
              <w:fldChar w:fldCharType="begin"/>
            </w:r>
            <w:r>
              <w:rPr>
                <w:noProof w:val="1"/>
              </w:rPr>
              <w:instrText xml:space="preserve"> PAGEREF _Toc235439872 \h </w:instrText>
            </w:r>
            <w:r>
              <w:rPr>
                <w:noProof w:val="1"/>
              </w:rPr>
              <w:fldChar w:fldCharType="separate"/>
            </w:r>
            <w:r>
              <w:rPr>
                <w:noProof w:val="1"/>
              </w:rPr>
              <w:t>8</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3">
            <w:r>
              <w:rPr>
                <w:rStyle w:val="C2"/>
                <w:noProof w:val="1"/>
              </w:rPr>
              <w:t>5.5 Link to project objectives</w:t>
            </w:r>
            <w:r>
              <w:rPr>
                <w:noProof w:val="1"/>
              </w:rPr>
              <w:tab/>
            </w:r>
            <w:r>
              <w:rPr>
                <w:noProof w:val="1"/>
              </w:rPr>
              <w:fldChar w:fldCharType="begin"/>
            </w:r>
            <w:r>
              <w:rPr>
                <w:noProof w:val="1"/>
              </w:rPr>
              <w:instrText xml:space="preserve"> PAGEREF _Toc235439873 \h </w:instrText>
            </w:r>
            <w:r>
              <w:rPr>
                <w:noProof w:val="1"/>
              </w:rPr>
              <w:fldChar w:fldCharType="separate"/>
            </w:r>
            <w:r>
              <w:rPr>
                <w:noProof w:val="1"/>
              </w:rPr>
              <w:t>9</w:t>
            </w:r>
            <w:r>
              <w:rPr>
                <w:noProof w:val="1"/>
              </w:rPr>
              <w:fldChar w:fldCharType="end"/>
            </w:r>
          </w:hyperlink>
        </w:p>
        <w:p>
          <w:pPr>
            <w:pStyle w:val="P16"/>
            <w:tabs>
              <w:tab w:val="right" w:pos="9016" w:leader="dot"/>
            </w:tabs>
            <w:rPr>
              <w:rFonts w:eastAsiaTheme="minorEastAsia"/>
              <w:b w:val="0"/>
              <w:i w:val="0"/>
              <w:bCs w:val="0"/>
              <w:iCs w:val="0"/>
              <w:noProof w:val="1"/>
              <w:sz w:val="22"/>
              <w:szCs w:val="22"/>
              <w:lang w:eastAsia="en-GB"/>
            </w:rPr>
          </w:pPr>
          <w:hyperlink w:anchor="_Toc235439874">
            <w:r>
              <w:rPr>
                <w:rStyle w:val="C2"/>
                <w:noProof w:val="1"/>
                <w:sz w:val="22"/>
                <w:szCs w:val="22"/>
              </w:rPr>
              <w:t>6. Roles, responsibilities and value creation</w:t>
            </w:r>
            <w:r>
              <w:rPr>
                <w:noProof w:val="1"/>
                <w:sz w:val="22"/>
                <w:szCs w:val="22"/>
              </w:rPr>
              <w:tab/>
            </w:r>
            <w:r>
              <w:rPr>
                <w:noProof w:val="1"/>
                <w:sz w:val="22"/>
                <w:szCs w:val="22"/>
              </w:rPr>
              <w:fldChar w:fldCharType="begin"/>
            </w:r>
            <w:r>
              <w:rPr>
                <w:noProof w:val="1"/>
                <w:sz w:val="22"/>
                <w:szCs w:val="22"/>
              </w:rPr>
              <w:instrText xml:space="preserve"> PAGEREF _Toc235439874 \h </w:instrText>
            </w:r>
            <w:r>
              <w:rPr>
                <w:noProof w:val="1"/>
                <w:sz w:val="22"/>
                <w:szCs w:val="22"/>
              </w:rPr>
              <w:fldChar w:fldCharType="separate"/>
            </w:r>
            <w:r>
              <w:rPr>
                <w:noProof w:val="1"/>
                <w:sz w:val="22"/>
                <w:szCs w:val="22"/>
              </w:rPr>
              <w:t>9</w:t>
            </w:r>
            <w:r>
              <w:rPr>
                <w:noProof w:val="1"/>
                <w:sz w:val="22"/>
                <w:szCs w:val="22"/>
              </w:rPr>
              <w:fldChar w:fldCharType="end"/>
            </w:r>
          </w:hyperlink>
        </w:p>
        <w:p>
          <w:pPr>
            <w:pStyle w:val="P17"/>
            <w:tabs>
              <w:tab w:val="right" w:pos="9016" w:leader="dot"/>
            </w:tabs>
            <w:rPr>
              <w:rFonts w:eastAsiaTheme="minorEastAsia"/>
              <w:b w:val="0"/>
              <w:bCs w:val="0"/>
              <w:noProof w:val="1"/>
              <w:lang w:eastAsia="en-GB"/>
            </w:rPr>
          </w:pPr>
          <w:hyperlink w:anchor="_Toc235439875">
            <w:r>
              <w:rPr>
                <w:rStyle w:val="C2"/>
                <w:noProof w:val="1"/>
              </w:rPr>
              <w:t>6.1 Governance and strategic roles</w:t>
            </w:r>
            <w:r>
              <w:rPr>
                <w:noProof w:val="1"/>
              </w:rPr>
              <w:tab/>
            </w:r>
            <w:r>
              <w:rPr>
                <w:noProof w:val="1"/>
              </w:rPr>
              <w:fldChar w:fldCharType="begin"/>
            </w:r>
            <w:r>
              <w:rPr>
                <w:noProof w:val="1"/>
              </w:rPr>
              <w:instrText xml:space="preserve"> PAGEREF _Toc235439875 \h </w:instrText>
            </w:r>
            <w:r>
              <w:rPr>
                <w:noProof w:val="1"/>
              </w:rPr>
              <w:fldChar w:fldCharType="separate"/>
            </w:r>
            <w:r>
              <w:rPr>
                <w:noProof w:val="1"/>
              </w:rPr>
              <w:t>9</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6">
            <w:r>
              <w:rPr>
                <w:rStyle w:val="C2"/>
                <w:noProof w:val="1"/>
              </w:rPr>
              <w:t>6.2 Management, functional teams and project roles</w:t>
            </w:r>
            <w:r>
              <w:rPr>
                <w:noProof w:val="1"/>
              </w:rPr>
              <w:tab/>
            </w:r>
            <w:r>
              <w:rPr>
                <w:noProof w:val="1"/>
              </w:rPr>
              <w:fldChar w:fldCharType="begin"/>
            </w:r>
            <w:r>
              <w:rPr>
                <w:noProof w:val="1"/>
              </w:rPr>
              <w:instrText xml:space="preserve"> PAGEREF _Toc235439876 \h </w:instrText>
            </w:r>
            <w:r>
              <w:rPr>
                <w:noProof w:val="1"/>
              </w:rPr>
              <w:fldChar w:fldCharType="separate"/>
            </w:r>
            <w:r>
              <w:rPr>
                <w:noProof w:val="1"/>
              </w:rPr>
              <w:t>9</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7">
            <w:r>
              <w:rPr>
                <w:rStyle w:val="C2"/>
                <w:noProof w:val="1"/>
              </w:rPr>
              <w:t>6.3 Frontline staff and local managers</w:t>
            </w:r>
            <w:r>
              <w:rPr>
                <w:noProof w:val="1"/>
              </w:rPr>
              <w:tab/>
            </w:r>
            <w:r>
              <w:rPr>
                <w:noProof w:val="1"/>
              </w:rPr>
              <w:fldChar w:fldCharType="begin"/>
            </w:r>
            <w:r>
              <w:rPr>
                <w:noProof w:val="1"/>
              </w:rPr>
              <w:instrText xml:space="preserve"> PAGEREF _Toc235439877 \h </w:instrText>
            </w:r>
            <w:r>
              <w:rPr>
                <w:noProof w:val="1"/>
              </w:rPr>
              <w:fldChar w:fldCharType="separate"/>
            </w:r>
            <w:r>
              <w:rPr>
                <w:noProof w:val="1"/>
              </w:rPr>
              <w:t>10</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8">
            <w:r>
              <w:rPr>
                <w:rStyle w:val="C2"/>
                <w:noProof w:val="1"/>
              </w:rPr>
              <w:t>6.4 Greggs Foundation and community partners</w:t>
            </w:r>
            <w:r>
              <w:rPr>
                <w:noProof w:val="1"/>
              </w:rPr>
              <w:tab/>
            </w:r>
            <w:r>
              <w:rPr>
                <w:noProof w:val="1"/>
              </w:rPr>
              <w:fldChar w:fldCharType="begin"/>
            </w:r>
            <w:r>
              <w:rPr>
                <w:noProof w:val="1"/>
              </w:rPr>
              <w:instrText xml:space="preserve"> PAGEREF _Toc235439878 \h </w:instrText>
            </w:r>
            <w:r>
              <w:rPr>
                <w:noProof w:val="1"/>
              </w:rPr>
              <w:fldChar w:fldCharType="separate"/>
            </w:r>
            <w:r>
              <w:rPr>
                <w:noProof w:val="1"/>
              </w:rPr>
              <w:t>10</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79">
            <w:r>
              <w:rPr>
                <w:rStyle w:val="C2"/>
                <w:noProof w:val="1"/>
              </w:rPr>
              <w:t>6.5 Suppliers, partners and shared responsibilities</w:t>
            </w:r>
            <w:r>
              <w:rPr>
                <w:noProof w:val="1"/>
              </w:rPr>
              <w:tab/>
            </w:r>
            <w:r>
              <w:rPr>
                <w:noProof w:val="1"/>
              </w:rPr>
              <w:fldChar w:fldCharType="begin"/>
            </w:r>
            <w:r>
              <w:rPr>
                <w:noProof w:val="1"/>
              </w:rPr>
              <w:instrText xml:space="preserve"> PAGEREF _Toc235439879 \h </w:instrText>
            </w:r>
            <w:r>
              <w:rPr>
                <w:noProof w:val="1"/>
              </w:rPr>
              <w:fldChar w:fldCharType="separate"/>
            </w:r>
            <w:r>
              <w:rPr>
                <w:noProof w:val="1"/>
              </w:rPr>
              <w:t>10</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0">
            <w:r>
              <w:rPr>
                <w:rStyle w:val="C2"/>
                <w:noProof w:val="1"/>
              </w:rPr>
              <w:t>6.6 How these roles create stakeholder value</w:t>
            </w:r>
            <w:r>
              <w:rPr>
                <w:noProof w:val="1"/>
              </w:rPr>
              <w:tab/>
            </w:r>
            <w:r>
              <w:rPr>
                <w:noProof w:val="1"/>
              </w:rPr>
              <w:fldChar w:fldCharType="begin"/>
            </w:r>
            <w:r>
              <w:rPr>
                <w:noProof w:val="1"/>
              </w:rPr>
              <w:instrText xml:space="preserve"> PAGEREF _Toc235439880 \h </w:instrText>
            </w:r>
            <w:r>
              <w:rPr>
                <w:noProof w:val="1"/>
              </w:rPr>
              <w:fldChar w:fldCharType="separate"/>
            </w:r>
            <w:r>
              <w:rPr>
                <w:noProof w:val="1"/>
              </w:rPr>
              <w:t>11</w:t>
            </w:r>
            <w:r>
              <w:rPr>
                <w:noProof w:val="1"/>
              </w:rPr>
              <w:fldChar w:fldCharType="end"/>
            </w:r>
          </w:hyperlink>
        </w:p>
        <w:p>
          <w:pPr>
            <w:pStyle w:val="P16"/>
            <w:tabs>
              <w:tab w:val="right" w:pos="9016" w:leader="dot"/>
            </w:tabs>
            <w:rPr>
              <w:rFonts w:eastAsiaTheme="minorEastAsia"/>
              <w:b w:val="0"/>
              <w:i w:val="0"/>
              <w:bCs w:val="0"/>
              <w:iCs w:val="0"/>
              <w:noProof w:val="1"/>
              <w:sz w:val="22"/>
              <w:szCs w:val="22"/>
              <w:lang w:eastAsia="en-GB"/>
            </w:rPr>
          </w:pPr>
          <w:hyperlink w:anchor="_Toc235439881">
            <w:r>
              <w:rPr>
                <w:rStyle w:val="C2"/>
                <w:noProof w:val="1"/>
                <w:sz w:val="22"/>
                <w:szCs w:val="22"/>
              </w:rPr>
              <w:t>7. Engagement strategies, conflicts, ethics and challenges</w:t>
            </w:r>
            <w:r>
              <w:rPr>
                <w:noProof w:val="1"/>
                <w:sz w:val="22"/>
                <w:szCs w:val="22"/>
              </w:rPr>
              <w:tab/>
            </w:r>
            <w:r>
              <w:rPr>
                <w:noProof w:val="1"/>
                <w:sz w:val="22"/>
                <w:szCs w:val="22"/>
              </w:rPr>
              <w:fldChar w:fldCharType="begin"/>
            </w:r>
            <w:r>
              <w:rPr>
                <w:noProof w:val="1"/>
                <w:sz w:val="22"/>
                <w:szCs w:val="22"/>
              </w:rPr>
              <w:instrText xml:space="preserve"> PAGEREF _Toc235439881 \h </w:instrText>
            </w:r>
            <w:r>
              <w:rPr>
                <w:noProof w:val="1"/>
                <w:sz w:val="22"/>
                <w:szCs w:val="22"/>
              </w:rPr>
              <w:fldChar w:fldCharType="separate"/>
            </w:r>
            <w:r>
              <w:rPr>
                <w:noProof w:val="1"/>
                <w:sz w:val="22"/>
                <w:szCs w:val="22"/>
              </w:rPr>
              <w:t>11</w:t>
            </w:r>
            <w:r>
              <w:rPr>
                <w:noProof w:val="1"/>
                <w:sz w:val="22"/>
                <w:szCs w:val="22"/>
              </w:rPr>
              <w:fldChar w:fldCharType="end"/>
            </w:r>
          </w:hyperlink>
        </w:p>
        <w:p>
          <w:pPr>
            <w:pStyle w:val="P17"/>
            <w:tabs>
              <w:tab w:val="right" w:pos="9016" w:leader="dot"/>
            </w:tabs>
            <w:rPr>
              <w:rFonts w:eastAsiaTheme="minorEastAsia"/>
              <w:b w:val="0"/>
              <w:bCs w:val="0"/>
              <w:noProof w:val="1"/>
              <w:lang w:eastAsia="en-GB"/>
            </w:rPr>
          </w:pPr>
          <w:hyperlink w:anchor="_Toc235439882">
            <w:r>
              <w:rPr>
                <w:rStyle w:val="C2"/>
                <w:noProof w:val="1"/>
              </w:rPr>
              <w:t>7.1 Customer and digital engagement</w:t>
            </w:r>
            <w:r>
              <w:rPr>
                <w:noProof w:val="1"/>
              </w:rPr>
              <w:tab/>
            </w:r>
            <w:r>
              <w:rPr>
                <w:noProof w:val="1"/>
              </w:rPr>
              <w:fldChar w:fldCharType="begin"/>
            </w:r>
            <w:r>
              <w:rPr>
                <w:noProof w:val="1"/>
              </w:rPr>
              <w:instrText xml:space="preserve"> PAGEREF _Toc235439882 \h </w:instrText>
            </w:r>
            <w:r>
              <w:rPr>
                <w:noProof w:val="1"/>
              </w:rPr>
              <w:fldChar w:fldCharType="separate"/>
            </w:r>
            <w:r>
              <w:rPr>
                <w:noProof w:val="1"/>
              </w:rPr>
              <w:t>11</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3">
            <w:r>
              <w:rPr>
                <w:rStyle w:val="C2"/>
                <w:noProof w:val="1"/>
              </w:rPr>
              <w:t>7.2 Employee and community engagement</w:t>
            </w:r>
            <w:r>
              <w:rPr>
                <w:noProof w:val="1"/>
              </w:rPr>
              <w:tab/>
            </w:r>
            <w:r>
              <w:rPr>
                <w:noProof w:val="1"/>
              </w:rPr>
              <w:fldChar w:fldCharType="begin"/>
            </w:r>
            <w:r>
              <w:rPr>
                <w:noProof w:val="1"/>
              </w:rPr>
              <w:instrText xml:space="preserve"> PAGEREF _Toc235439883 \h </w:instrText>
            </w:r>
            <w:r>
              <w:rPr>
                <w:noProof w:val="1"/>
              </w:rPr>
              <w:fldChar w:fldCharType="separate"/>
            </w:r>
            <w:r>
              <w:rPr>
                <w:noProof w:val="1"/>
              </w:rPr>
              <w:t>12</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4">
            <w:r>
              <w:rPr>
                <w:rStyle w:val="C2"/>
                <w:noProof w:val="1"/>
              </w:rPr>
              <w:t>7.3 Environmental and ethical engagement</w:t>
            </w:r>
            <w:r>
              <w:rPr>
                <w:noProof w:val="1"/>
              </w:rPr>
              <w:tab/>
            </w:r>
            <w:r>
              <w:rPr>
                <w:noProof w:val="1"/>
              </w:rPr>
              <w:fldChar w:fldCharType="begin"/>
            </w:r>
            <w:r>
              <w:rPr>
                <w:noProof w:val="1"/>
              </w:rPr>
              <w:instrText xml:space="preserve"> PAGEREF _Toc235439884 \h </w:instrText>
            </w:r>
            <w:r>
              <w:rPr>
                <w:noProof w:val="1"/>
              </w:rPr>
              <w:fldChar w:fldCharType="separate"/>
            </w:r>
            <w:r>
              <w:rPr>
                <w:noProof w:val="1"/>
              </w:rPr>
              <w:t>12</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5">
            <w:r>
              <w:rPr>
                <w:rStyle w:val="C2"/>
                <w:noProof w:val="1"/>
              </w:rPr>
              <w:t>7.4 Environmental and ethical engagement</w:t>
            </w:r>
            <w:r>
              <w:rPr>
                <w:noProof w:val="1"/>
              </w:rPr>
              <w:tab/>
            </w:r>
            <w:r>
              <w:rPr>
                <w:noProof w:val="1"/>
              </w:rPr>
              <w:fldChar w:fldCharType="begin"/>
            </w:r>
            <w:r>
              <w:rPr>
                <w:noProof w:val="1"/>
              </w:rPr>
              <w:instrText xml:space="preserve"> PAGEREF _Toc235439885 \h </w:instrText>
            </w:r>
            <w:r>
              <w:rPr>
                <w:noProof w:val="1"/>
              </w:rPr>
              <w:fldChar w:fldCharType="separate"/>
            </w:r>
            <w:r>
              <w:rPr>
                <w:noProof w:val="1"/>
              </w:rPr>
              <w:t>12</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6">
            <w:r>
              <w:rPr>
                <w:rStyle w:val="C2"/>
                <w:noProof w:val="1"/>
              </w:rPr>
              <w:t>7.5 Managing stakeholder tensions and conflicts</w:t>
            </w:r>
            <w:r>
              <w:rPr>
                <w:noProof w:val="1"/>
              </w:rPr>
              <w:tab/>
            </w:r>
            <w:r>
              <w:rPr>
                <w:noProof w:val="1"/>
              </w:rPr>
              <w:fldChar w:fldCharType="begin"/>
            </w:r>
            <w:r>
              <w:rPr>
                <w:noProof w:val="1"/>
              </w:rPr>
              <w:instrText xml:space="preserve"> PAGEREF _Toc235439886 \h </w:instrText>
            </w:r>
            <w:r>
              <w:rPr>
                <w:noProof w:val="1"/>
              </w:rPr>
              <w:fldChar w:fldCharType="separate"/>
            </w:r>
            <w:r>
              <w:rPr>
                <w:noProof w:val="1"/>
              </w:rPr>
              <w:t>13</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7">
            <w:r>
              <w:rPr>
                <w:rStyle w:val="C2"/>
                <w:noProof w:val="1"/>
              </w:rPr>
              <w:t>7.6 Digital and ethical challenges</w:t>
            </w:r>
            <w:r>
              <w:rPr>
                <w:noProof w:val="1"/>
              </w:rPr>
              <w:tab/>
            </w:r>
            <w:r>
              <w:rPr>
                <w:noProof w:val="1"/>
              </w:rPr>
              <w:fldChar w:fldCharType="begin"/>
            </w:r>
            <w:r>
              <w:rPr>
                <w:noProof w:val="1"/>
              </w:rPr>
              <w:instrText xml:space="preserve"> PAGEREF _Toc235439887 \h </w:instrText>
            </w:r>
            <w:r>
              <w:rPr>
                <w:noProof w:val="1"/>
              </w:rPr>
              <w:fldChar w:fldCharType="separate"/>
            </w:r>
            <w:r>
              <w:rPr>
                <w:noProof w:val="1"/>
              </w:rPr>
              <w:t>13</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8">
            <w:r>
              <w:rPr>
                <w:rStyle w:val="C2"/>
                <w:noProof w:val="1"/>
              </w:rPr>
              <w:t>7.7 Ethical and digital challenges</w:t>
            </w:r>
            <w:r>
              <w:rPr>
                <w:noProof w:val="1"/>
              </w:rPr>
              <w:tab/>
            </w:r>
            <w:r>
              <w:rPr>
                <w:noProof w:val="1"/>
              </w:rPr>
              <w:fldChar w:fldCharType="begin"/>
            </w:r>
            <w:r>
              <w:rPr>
                <w:noProof w:val="1"/>
              </w:rPr>
              <w:instrText xml:space="preserve"> PAGEREF _Toc235439888 \h </w:instrText>
            </w:r>
            <w:r>
              <w:rPr>
                <w:noProof w:val="1"/>
              </w:rPr>
              <w:fldChar w:fldCharType="separate"/>
            </w:r>
            <w:r>
              <w:rPr>
                <w:noProof w:val="1"/>
              </w:rPr>
              <w:t>14</w:t>
            </w:r>
            <w:r>
              <w:rPr>
                <w:noProof w:val="1"/>
              </w:rPr>
              <w:fldChar w:fldCharType="end"/>
            </w:r>
          </w:hyperlink>
        </w:p>
        <w:p>
          <w:pPr>
            <w:pStyle w:val="P17"/>
            <w:tabs>
              <w:tab w:val="right" w:pos="9016" w:leader="dot"/>
            </w:tabs>
            <w:rPr>
              <w:rFonts w:eastAsiaTheme="minorEastAsia"/>
              <w:b w:val="0"/>
              <w:bCs w:val="0"/>
              <w:noProof w:val="1"/>
              <w:lang w:eastAsia="en-GB"/>
            </w:rPr>
          </w:pPr>
          <w:hyperlink w:anchor="_Toc235439889">
            <w:r>
              <w:rPr>
                <w:rStyle w:val="C2"/>
                <w:noProof w:val="1"/>
              </w:rPr>
              <w:t>7.8 Overall assessment of engagement effectiveness</w:t>
            </w:r>
            <w:r>
              <w:rPr>
                <w:noProof w:val="1"/>
              </w:rPr>
              <w:tab/>
            </w:r>
            <w:r>
              <w:rPr>
                <w:noProof w:val="1"/>
              </w:rPr>
              <w:fldChar w:fldCharType="begin"/>
            </w:r>
            <w:r>
              <w:rPr>
                <w:noProof w:val="1"/>
              </w:rPr>
              <w:instrText xml:space="preserve"> PAGEREF _Toc235439889 \h </w:instrText>
            </w:r>
            <w:r>
              <w:rPr>
                <w:noProof w:val="1"/>
              </w:rPr>
              <w:fldChar w:fldCharType="separate"/>
            </w:r>
            <w:r>
              <w:rPr>
                <w:noProof w:val="1"/>
              </w:rPr>
              <w:t>14</w:t>
            </w:r>
            <w:r>
              <w:rPr>
                <w:noProof w:val="1"/>
              </w:rPr>
              <w:fldChar w:fldCharType="end"/>
            </w:r>
          </w:hyperlink>
        </w:p>
        <w:p>
          <w:pPr>
            <w:pStyle w:val="P16"/>
            <w:tabs>
              <w:tab w:val="right" w:pos="9016" w:leader="dot"/>
            </w:tabs>
            <w:rPr>
              <w:rFonts w:eastAsiaTheme="minorEastAsia"/>
              <w:b w:val="0"/>
              <w:i w:val="0"/>
              <w:bCs w:val="0"/>
              <w:iCs w:val="0"/>
              <w:noProof w:val="1"/>
              <w:sz w:val="22"/>
              <w:szCs w:val="22"/>
              <w:lang w:eastAsia="en-GB"/>
            </w:rPr>
          </w:pPr>
          <w:hyperlink w:anchor="_Toc235439890">
            <w:r>
              <w:rPr>
                <w:rStyle w:val="C2"/>
                <w:noProof w:val="1"/>
                <w:sz w:val="22"/>
                <w:szCs w:val="22"/>
              </w:rPr>
              <w:t>8. Conclusion</w:t>
            </w:r>
            <w:r>
              <w:rPr>
                <w:noProof w:val="1"/>
                <w:sz w:val="22"/>
                <w:szCs w:val="22"/>
              </w:rPr>
              <w:tab/>
            </w:r>
            <w:r>
              <w:rPr>
                <w:noProof w:val="1"/>
                <w:sz w:val="22"/>
                <w:szCs w:val="22"/>
              </w:rPr>
              <w:fldChar w:fldCharType="begin"/>
            </w:r>
            <w:r>
              <w:rPr>
                <w:noProof w:val="1"/>
                <w:sz w:val="22"/>
                <w:szCs w:val="22"/>
              </w:rPr>
              <w:instrText xml:space="preserve"> PAGEREF _Toc235439890 \h </w:instrText>
            </w:r>
            <w:r>
              <w:rPr>
                <w:noProof w:val="1"/>
                <w:sz w:val="22"/>
                <w:szCs w:val="22"/>
              </w:rPr>
              <w:fldChar w:fldCharType="separate"/>
            </w:r>
            <w:r>
              <w:rPr>
                <w:noProof w:val="1"/>
                <w:sz w:val="22"/>
                <w:szCs w:val="22"/>
              </w:rPr>
              <w:t>15</w:t>
            </w:r>
            <w:r>
              <w:rPr>
                <w:noProof w:val="1"/>
                <w:sz w:val="22"/>
                <w:szCs w:val="22"/>
              </w:rPr>
              <w:fldChar w:fldCharType="end"/>
            </w:r>
          </w:hyperlink>
        </w:p>
        <w:p>
          <w:pPr>
            <w:pStyle w:val="P16"/>
            <w:tabs>
              <w:tab w:val="right" w:pos="9016" w:leader="dot"/>
            </w:tabs>
            <w:rPr>
              <w:rFonts w:eastAsiaTheme="minorEastAsia"/>
              <w:b w:val="0"/>
              <w:i w:val="0"/>
              <w:bCs w:val="0"/>
              <w:iCs w:val="0"/>
              <w:noProof w:val="1"/>
              <w:sz w:val="22"/>
              <w:szCs w:val="22"/>
              <w:lang w:eastAsia="en-GB"/>
            </w:rPr>
          </w:pPr>
          <w:hyperlink w:anchor="_Toc235439891">
            <w:r>
              <w:rPr>
                <w:rStyle w:val="C2"/>
                <w:noProof w:val="1"/>
                <w:sz w:val="22"/>
                <w:szCs w:val="22"/>
              </w:rPr>
              <w:t>Reference List</w:t>
            </w:r>
            <w:r>
              <w:rPr>
                <w:noProof w:val="1"/>
                <w:sz w:val="22"/>
                <w:szCs w:val="22"/>
              </w:rPr>
              <w:tab/>
            </w:r>
            <w:r>
              <w:rPr>
                <w:noProof w:val="1"/>
                <w:sz w:val="22"/>
                <w:szCs w:val="22"/>
              </w:rPr>
              <w:fldChar w:fldCharType="begin"/>
            </w:r>
            <w:r>
              <w:rPr>
                <w:noProof w:val="1"/>
                <w:sz w:val="22"/>
                <w:szCs w:val="22"/>
              </w:rPr>
              <w:instrText xml:space="preserve"> PAGEREF _Toc235439891 \h </w:instrText>
            </w:r>
            <w:r>
              <w:rPr>
                <w:noProof w:val="1"/>
                <w:sz w:val="22"/>
                <w:szCs w:val="22"/>
              </w:rPr>
              <w:fldChar w:fldCharType="separate"/>
            </w:r>
            <w:r>
              <w:rPr>
                <w:noProof w:val="1"/>
                <w:sz w:val="22"/>
                <w:szCs w:val="22"/>
              </w:rPr>
              <w:t>15</w:t>
            </w:r>
            <w:r>
              <w:rPr>
                <w:noProof w:val="1"/>
                <w:sz w:val="22"/>
                <w:szCs w:val="22"/>
              </w:rPr>
              <w:fldChar w:fldCharType="end"/>
            </w:r>
          </w:hyperlink>
        </w:p>
        <w:p>
          <w:pPr>
            <w:rPr>
              <w:sz w:val="26"/>
              <w:szCs w:val="26"/>
            </w:rPr>
          </w:pPr>
          <w:r>
            <w:rPr>
              <w:b w:val="1"/>
              <w:bCs w:val="1"/>
              <w:noProof w:val="1"/>
              <w:sz w:val="22"/>
              <w:szCs w:val="22"/>
            </w:rPr>
            <w:fldChar w:fldCharType="end"/>
          </w:r>
        </w:p>
      </w:sdtContent>
    </w:sdt>
    <w:p>
      <w:pPr>
        <w:pStyle w:val="P1"/>
      </w:pPr>
      <w:bookmarkStart w:id="0" w:name="_Toc235439861"/>
      <w:r>
        <w:t>Executive Summary</w:t>
      </w:r>
      <w:bookmarkEnd w:id="0"/>
    </w:p>
    <w:p>
      <w:r>
        <w:t>This paper investigates stakeholder involvement at Greggs, a major UK-based food-on-the-go business that has evolved from a traditional bakery to a nationally renowned fast-food chain. It focuses on how Greggs maintains connections with consumers, workers, suppliers, investors, regulators, communities, and charitable partners via its retail network and digital platform, the Greggs Rewards App. The study outlines four SMART targets for stakeholder involvement, including customer loyalty, staff communication and inclusion, community programs like Breakfast Clubs, and environmental performance and responsible sourcing (Greggs, 2024).</w:t>
      </w:r>
    </w:p>
    <w:p>
      <w:r>
        <w:t>A power-interest grid is used to map stakeholders, roles and duties are assessed from the Board level down to frontline personnel, and engagement techniques are reviewed with a focus on conflicts, ethical concerns, and digital obstacles. According to the report, Greggs has a wide and somewhat mature strategy, but it struggles to balance affordable costs, improved health outcomes, fair employment, and ambitious sustainability targets. The report concludes that future success will be dependent on increasing digital and community engagement, strengthening employee voice, communicating trade-offs more transparently, and ensuring that loyalty and engagement benefits are inclusive and accessible to all stakeholder groups (Freeman et al., 2010).</w:t>
      </w:r>
    </w:p>
    <w:p>
      <w:pPr>
        <w:pStyle w:val="P1"/>
        <w:numPr>
          <w:ilvl w:val="0"/>
          <w:numId w:val="1"/>
        </w:numPr>
      </w:pPr>
      <w:bookmarkStart w:id="1" w:name="_Toc235439862"/>
      <w:r>
        <w:t>Introduction to Greggs and project context</w:t>
      </w:r>
      <w:bookmarkEnd w:id="1"/>
    </w:p>
    <w:p>
      <w:r>
        <w:t>Greggs, a UK-based food-on-the-go store, has evolved from a traditional bakery to one of the country's most recognised fast-food brands. It has a wide network of stores around the UK and serves millions of people every week, concentrating on freshly cooked cuisine at reasonable costs (Greggs, 2023). The menu focuses on bakery-style items including sausage rolls, pasties, sandwiches, cakes and hot beverages, catering to clients seeking quick, simple meals and snacks.</w:t>
      </w:r>
    </w:p>
    <w:p>
      <w:r>
        <w:t>The company's market positioning revolves around convenience and value. Many Greggs locations are on main streets, in retail parks, at transportation hubs and in fuel stations, making it convenient for commuters, workers and shoppers to get meals on the go. Greggs stands apart from other fast-food restaurants and coffee shops by offering affordable prices, a British baking background, and simple, recognisable goods. It has also adapted to changing customer tastes by developing products like the vegan banger, which have helped extend its appeal and update its brand image.</w:t>
      </w:r>
    </w:p>
    <w:p>
      <w:r>
        <w:t>Greggs has prioritised digital involvement, particularly through the Greggs Rewards mobile app (Retail Technology, 2019). Customers may use this app to accumulate digital stamps in categories including hot drinks, breakfast items, and baked goods, receiving free products after a certain amount of transactions. Customers may order and pay using their phones, with options including click-and-collect and delivery partner links. Greggs is a good example of a stakeholder engagement project since it engages with a diverse variety of stakeholders and manages relationships using both physical stores and digital platforms. This backdrop enables the study to apply stakeholder connection and relationship marketing principles to a genuine fast-food company.</w:t>
      </w:r>
    </w:p>
    <w:p>
      <w:pPr>
        <w:pStyle w:val="P1"/>
        <w:numPr>
          <w:ilvl w:val="0"/>
          <w:numId w:val="1"/>
        </w:numPr>
      </w:pPr>
      <w:bookmarkStart w:id="2" w:name="_Toc235439863"/>
      <w:r>
        <w:t>SWOT analysis of Greggs</w:t>
      </w:r>
      <w:bookmarkEnd w:id="2"/>
    </w:p>
    <w:p>
      <w:r>
        <w:t>A SWOT analysis combines Greggs' internal strengths and weaknesses with external opportunities and threats in terms of stakeholder involvement. Key assets include a well-known brand, a wide network of shops spanning UK high streets and transit hubs, a solid reputation for value for money, and proven engagement mechanisms such as the Greggs Rewards app and community programs such as Breakfast Clubs and Outlet stores (Greggs, 2023). These qualities enable Greggs to establish consistent customer flows, retain visibility in everyday settings, and exhibit social responsibility, all of which promote connections with customers, workers, and communities.</w:t>
      </w:r>
    </w:p>
    <w:p>
      <w:r>
        <w:t>Weaknesses include ongoing concerns about the healthfulness of much of the product line, potential digital exclusion of customers who do not or cannot use the app, reliance on the UK market, and the challenge of balancing low prices with investments in fair employment and sustainable sourcing (Food Foundation, 2023). Opportunities exist from increased interest in digital loyalty, healthier and plant-based products, closer relationships with schools and charities, and the opportunity to build Greggs' reputation as an ethical business through the Greggs Pledge. Threats include rivalry from other fast-food and coffee companies, economic volatility, stricter regulations on health and the environment, and reputational damage if sustainability and community standards are not met. This SWOT analysis bridges the gap between Greggs' context and the SMART objectives, indicating where engagement goals should focus on strengths and opportunities while addressing weaknesses and threats.</w:t>
      </w:r>
    </w:p>
    <w:p>
      <w:pPr>
        <w:pStyle w:val="P1"/>
        <w:numPr>
          <w:ilvl w:val="0"/>
          <w:numId w:val="1"/>
        </w:numPr>
      </w:pPr>
      <w:bookmarkStart w:id="3" w:name="_Toc235439864"/>
      <w:r>
        <w:t>PESTEL analysis of Greggs</w:t>
      </w:r>
      <w:bookmarkEnd w:id="3"/>
    </w:p>
    <w:p>
      <w:r>
        <w:t>A PESTEL study helps to contextualise Greggs' stakeholder interaction by taking into account political, economic, social, technological, environmental, and legal concerns. Greggs is impacted politically by government policies on food safety, public health, minimum wages, and business rates, all of which have an impact on its duties to consumers and workers, expenses, and regulatory risk. Economically, the UK cost-of-living issue and inflation put further strain on families, making Greggs' value positioning critical but restricting how far it can boost prices while still meeting expectations for fair employment and sustainability.</w:t>
      </w:r>
    </w:p>
    <w:p>
      <w:r>
        <w:t>Social aspects include shifting attitudes about health, nutrition, and ethical consumption, as seen by increased demand for healthier alternatives and plant-based goods, as well as continued worries about obesity and food poverty. Technologically, the rise of smartphones, delivery platforms, and data analytics underlies the Greggs Rewards app and digital ordering, opening up new avenues for customer connection but also posing privacy and digital inclusion problems (Retail Technology, 2019). Climate change and demands for enterprises to decrease emissions, waste, and resource consumption create environmental challenges, which Greggs addresses through its sustainability pledges and the Greggs Pledge to 2025 (Greggs, 2024). Employment legislation, food hygiene laws, and data protection rules such as GDPR all influence how Greggs manages employees, operates its stores, and handles consumer data. These PESTEL elements define the expectations, risks, and opportunities that guide Greggs' stakeholder engagement decisions.</w:t>
      </w:r>
    </w:p>
    <w:p>
      <w:pPr>
        <w:pStyle w:val="P1"/>
        <w:numPr>
          <w:ilvl w:val="0"/>
          <w:numId w:val="1"/>
        </w:numPr>
      </w:pPr>
      <w:r>
        <w:t xml:space="preserve"> </w:t>
      </w:r>
      <w:bookmarkStart w:id="4" w:name="_Toc235439865"/>
      <w:r>
        <w:t>SMART objectives for stakeholder engagement at Greggs</w:t>
      </w:r>
      <w:bookmarkEnd w:id="4"/>
    </w:p>
    <w:p/>
    <w:p>
      <w:r>
        <w:t>Greggs' stakeholder involvement is guided by SMART goals, which stand for Specific, Measurable, Achievable, Relevant, and Time-bound. These objectives translate broad stakeholder expectations into tangible targets that can be tracked and altered. Four key objectives are established, addressing customers, workers, communities, and the environment, and they are consistent with Greggs' Doing Good commitments and the Greggs Pledge (Greggs, 2024).</w:t>
      </w:r>
    </w:p>
    <w:p>
      <w:pPr>
        <w:pStyle w:val="P2"/>
      </w:pPr>
      <w:bookmarkStart w:id="5" w:name="_Toc235439866"/>
      <w:r>
        <w:t>4.1 Customer and employee engagement objectives</w:t>
      </w:r>
      <w:bookmarkEnd w:id="5"/>
    </w:p>
    <w:p>
      <w:r>
        <w:t>The first goal focuses on consumers and the Greggs Rewards app. Greggs plans to grow active app users by 15% and app-linked sales by 10% in the next 12 months. This is particular and quantifiable since current digital systems can measure both the number of users and the proportion of transactions. It is feasible and relevant since the app currently integrates loyalty stamps, rewards, and payments, and digital engagement is an important component of Greggs' growth plan. Setting a one-year timeframe allows for regular progress reviews. From a relationship marketing standpoint, this goal is to strengthen client relationships by providing convenience and rewards, as well as creating data that allows for more targeted contact.</w:t>
      </w:r>
    </w:p>
    <w:p>
      <w:r>
        <w:t>The second aim focuses on employee and internal engagement. Greggs intends to enhance communication and inclusion ratings by 10% over the next 18 months, based on frequent employee surveys. Actions include improving two-way communication, training on stakeholder value, and encouraging frontline personnel to recommend improvements to customer service and Doing Good. This goal is explicit and quantifiable since it focuses on established survey indicators, and it is attainable because it builds on previous Better Business promises. It is relevant to stakeholder engagement since workers are crucial to providing the customer experience and applying the Greggs Pledge in stores, and greater engagement should create trust and inspire employees to act as ambassadors for Greggs' principles (Boxall and Purcell, 2016).</w:t>
      </w:r>
    </w:p>
    <w:p/>
    <w:p>
      <w:pPr>
        <w:pStyle w:val="P2"/>
      </w:pPr>
      <w:bookmarkStart w:id="6" w:name="_Toc235439867"/>
      <w:r>
        <w:t>4.2 Community and environmental objectives</w:t>
      </w:r>
      <w:bookmarkEnd w:id="6"/>
    </w:p>
    <w:p/>
    <w:p>
      <w:r>
        <w:t>The third and fourth objectives address communities and environmental performance together. For communities, Greggs seeks to grow the number of schools supported by Breakfast Clubs and related initiatives by 20% over two years and to increase awareness of these programmes through in</w:t>
      </w:r>
      <w:r>
        <w:rPr>
          <w:rFonts w:ascii="Cambria Math" w:hAnsi="Cambria Math" w:cs="Cambria Math"/>
        </w:rPr>
        <w:t>‑</w:t>
      </w:r>
      <w:r>
        <w:t>store and digital communication. This is specific and measurable, builds on existing Stronger, Healthier Communities activities, and aims to strengthen relationships with schools, charities and local stakeholders.</w:t>
      </w:r>
    </w:p>
    <w:p>
      <w:r>
        <w:t>For the environment, Greggs intends to ensure that 100% of selected priority ingredients meet agreed sustainability criteria by 2025, and to cut food waste through redistribution schemes and partnerships. These targets are specific, time</w:t>
      </w:r>
      <w:r>
        <w:rPr>
          <w:rFonts w:ascii="Cambria Math" w:hAnsi="Cambria Math" w:cs="Cambria Math"/>
        </w:rPr>
        <w:t>‑</w:t>
      </w:r>
      <w:r>
        <w:t>bound and measurable via supplier certification and internal waste data, and they align with the Making Our Planet Safer commitments. Together, the community and environmental objectives support long</w:t>
      </w:r>
      <w:r>
        <w:rPr>
          <w:rFonts w:ascii="Cambria Math" w:hAnsi="Cambria Math" w:cs="Cambria Math"/>
        </w:rPr>
        <w:t>‑</w:t>
      </w:r>
      <w:r>
        <w:t>term relationships with communities, suppliers, regulators and environmentally conscious customers, and they create a framework for assessing progress across social and environmental dimensions of stakeholder engagement.</w:t>
      </w:r>
    </w:p>
    <w:p>
      <w:pPr>
        <w:pStyle w:val="P1"/>
      </w:pPr>
      <w:bookmarkStart w:id="7" w:name="_Toc235439868"/>
      <w:r>
        <w:t>5. Stakeholder identification and mapping</w:t>
      </w:r>
      <w:bookmarkEnd w:id="7"/>
    </w:p>
    <w:p>
      <w:pPr>
        <w:pStyle w:val="P2"/>
      </w:pPr>
      <w:bookmarkStart w:id="8" w:name="_Toc235439869"/>
      <w:r>
        <w:t>5.1 Definition and approach</w:t>
      </w:r>
      <w:bookmarkEnd w:id="8"/>
    </w:p>
    <w:p>
      <w:r>
        <w:t>Stakeholders are persons or groups who can influence or be influenced by an organization's operations (Freeman et al., 2010). Greggs describes establishing positive relationships with stakeholders as fundamental to its business model and strategy. This section defines Greggs' key stakeholder groups and utilises a power-interest grid to estimate their relative relevance.</w:t>
      </w:r>
    </w:p>
    <w:p/>
    <w:p>
      <w:pPr>
        <w:pStyle w:val="P2"/>
      </w:pPr>
      <w:bookmarkStart w:id="9" w:name="_Toc235439870"/>
      <w:r>
        <w:t>5.2 Key internal stakeholders</w:t>
      </w:r>
      <w:bookmarkEnd w:id="9"/>
    </w:p>
    <w:p>
      <w:r>
        <w:rPr>
          <w:b w:val="1"/>
          <w:bCs w:val="1"/>
        </w:rPr>
        <w:t>Colleagues (employees):</w:t>
      </w:r>
      <w:r>
        <w:t xml:space="preserve"> Greggs employs tens of thousands of employees in stores, bakeries, and support departments who are responsible for providing efficient and cheerful service every day. They are very interested in the company since it affects their compensation, working conditions, and career growth, as well as their ability to influence service quality and customer experience (Boxall and Purcell, 2016).</w:t>
      </w:r>
    </w:p>
    <w:p>
      <w:r>
        <w:rPr>
          <w:b w:val="1"/>
          <w:bCs w:val="1"/>
        </w:rPr>
        <w:t xml:space="preserve">Management and Board of Directors: </w:t>
      </w:r>
      <w:r>
        <w:t>The Board and senior management develop strategy, monitor risk, and assure compliance with governance norms. They have significant authority and interest in making crucial decisions concerning investment, stakeholder objectives, and the Greggs Pledge's execution (Freeman et al., 2010).</w:t>
      </w:r>
    </w:p>
    <w:p/>
    <w:p>
      <w:pPr>
        <w:pStyle w:val="P2"/>
      </w:pPr>
      <w:bookmarkStart w:id="10" w:name="_Toc235439871"/>
      <w:r>
        <w:t>5.3 Key external stakeholders</w:t>
      </w:r>
      <w:bookmarkEnd w:id="10"/>
    </w:p>
    <w:p>
      <w:r>
        <w:rPr>
          <w:b w:val="1"/>
          <w:bCs w:val="1"/>
        </w:rPr>
        <w:t>Customers:</w:t>
      </w:r>
      <w:r>
        <w:t xml:space="preserve"> consumers are key stakeholders, including walk-in consumers, Greggs Rewards app users, and delivery customers. They are very interested in product quality, pricing, convenience, and digital services, and they wield significant indirect power since their purchase decisions, feedback, and loyalty affect income and reputation (Kumar and Reinartz, 2016).</w:t>
      </w:r>
    </w:p>
    <w:p>
      <w:r>
        <w:rPr>
          <w:b w:val="1"/>
          <w:bCs w:val="1"/>
        </w:rPr>
        <w:t>Suppliers and partners:</w:t>
      </w:r>
      <w:r>
        <w:t xml:space="preserve"> Greggs sources ingredients, packaging, and services through a network of vendors, as well as franchise partners and delivery systems like Just Eat. These stakeholders have medium to high power because they influence product availability, quality, and sustainability, and medium to high interest since they rely on Greggs contracts for revenue (Christopher, Payne, &amp; Ballantyne, 2013).</w:t>
      </w:r>
    </w:p>
    <w:p>
      <w:r>
        <w:rPr>
          <w:b w:val="1"/>
          <w:bCs w:val="1"/>
        </w:rPr>
        <w:t>Investors and shareholders:</w:t>
      </w:r>
      <w:r>
        <w:t xml:space="preserve"> As a publicly traded corporation, Greggs is answerable to shareholders who supply capital and demand financial returns. According to (Freeman et al., 2010), investors wield significant influence over strategic decisions and prioritise financial performance, risk management, and long-term value.</w:t>
      </w:r>
    </w:p>
    <w:p>
      <w:r>
        <w:rPr>
          <w:b w:val="1"/>
          <w:bCs w:val="1"/>
        </w:rPr>
        <w:t>Communities and charity partners:</w:t>
      </w:r>
      <w:r>
        <w:t xml:space="preserve"> Another major stakeholder group includes local communities, schools, and charities connected through the Greggs Foundation and programs such as Breakfast Clubs. They have a strong interest in topics such as food poverty, local employment, and community assistance, as well as medium power due to their capacity to impact Greggs' social reputation and local operating license (Ashcroft, 2017).</w:t>
      </w:r>
    </w:p>
    <w:p>
      <w:r>
        <w:rPr>
          <w:b w:val="1"/>
          <w:bCs w:val="1"/>
        </w:rPr>
        <w:t>Regulators and government bodies:</w:t>
      </w:r>
      <w:r>
        <w:t xml:space="preserve"> Regulators, local governments, and other public entities have an impact on Greggs through food safety requirements, employment legislation, planning approval, and environmental restrictions. They often have considerable power, as they may authorise or regulate activities, and a medium interest in compliance and larger public policy objectives.</w:t>
      </w:r>
    </w:p>
    <w:p/>
    <w:p>
      <w:pPr>
        <w:pStyle w:val="P2"/>
      </w:pPr>
      <w:bookmarkStart w:id="11" w:name="_Toc235439872"/>
      <w:r>
        <w:t>5.4 Power–interest mapping</w:t>
      </w:r>
      <w:bookmarkEnd w:id="11"/>
    </w:p>
    <w:p>
      <w:r>
        <w:t>Using a simple power–interest grid, stakeholders can be grouped to guide engagement priorities (Ashcroft, 2017):</w:t>
      </w:r>
    </w:p>
    <w:p>
      <w:pPr>
        <w:pStyle w:val="P13"/>
        <w:numPr>
          <w:ilvl w:val="0"/>
          <w:numId w:val="2"/>
        </w:numPr>
      </w:pPr>
      <w:r>
        <w:rPr>
          <w:b w:val="1"/>
          <w:bCs w:val="1"/>
        </w:rPr>
        <w:t>High power, high interest (Manage closely):</w:t>
      </w:r>
      <w:r>
        <w:t xml:space="preserve"> Board and executive management, investors, significant regulators, and major suppliers. These stakeholders have a substantial impact on Greggs' strategy and must be consulted in critical decisions about growth, digital investment, and the Greggs Pledge.</w:t>
      </w:r>
    </w:p>
    <w:p>
      <w:pPr>
        <w:pStyle w:val="P13"/>
        <w:numPr>
          <w:ilvl w:val="0"/>
          <w:numId w:val="2"/>
        </w:numPr>
      </w:pPr>
      <w:r>
        <w:rPr>
          <w:b w:val="1"/>
          <w:bCs w:val="1"/>
        </w:rPr>
        <w:t>High interest, medium power (Keep satisfied and engaged):</w:t>
      </w:r>
      <w:r>
        <w:t xml:space="preserve"> Employees, local communities, charitable partners, and select suppliers. They are deeply concerned about labour conditions, community impact, and sustainability, and their support is critical to fulfilling the company's Doing Good goals.</w:t>
      </w:r>
    </w:p>
    <w:p>
      <w:pPr>
        <w:pStyle w:val="P13"/>
        <w:numPr>
          <w:ilvl w:val="0"/>
          <w:numId w:val="2"/>
        </w:numPr>
      </w:pPr>
      <w:r>
        <w:rPr>
          <w:b w:val="1"/>
          <w:bCs w:val="1"/>
        </w:rPr>
        <w:t>High interest, lower formal power (Keep informed and involved):</w:t>
      </w:r>
      <w:r>
        <w:t xml:space="preserve"> Everyday consumers and Greggs Rewards members who prioritise value, quality, and digital services but have minimal formal influence. Nonetheless, their aggregate conduct and feedback can exert reputational pressure and impact strategic decisions </w:t>
      </w:r>
      <w:r>
        <w:rPr>
          <w:rStyle w:val="C20"/>
          <w:b w:val="0"/>
          <w:bCs w:val="0"/>
          <w:color w:val="000000"/>
        </w:rPr>
        <w:t>(Crane and Matten, 2016)</w:t>
      </w:r>
      <w:r>
        <w:rPr>
          <w:b w:val="1"/>
          <w:bCs w:val="1"/>
        </w:rPr>
        <w:t>.</w:t>
      </w:r>
    </w:p>
    <w:p>
      <w:pPr>
        <w:pStyle w:val="P13"/>
        <w:numPr>
          <w:ilvl w:val="0"/>
          <w:numId w:val="2"/>
        </w:numPr>
      </w:pPr>
      <w:r>
        <w:rPr>
          <w:b w:val="1"/>
          <w:bCs w:val="1"/>
        </w:rPr>
        <w:t>Medium power, lower interest (Monitor):</w:t>
      </w:r>
      <w:r>
        <w:t xml:space="preserve"> Some external stakeholders, such as specific industry groups or less key partners, may require monitoring rather than active involvement, unless their interest or impact grows over time (Ashcroft, 2017).</w:t>
      </w:r>
    </w:p>
    <w:tbl>
      <w:tblPr>
        <w:tblW w:w="11059" w:type="dxa"/>
        <w:tblInd w:w="-1025" w:type="dxa"/>
        <w:tblCellMar>
          <w:top w:w="15" w:type="dxa"/>
          <w:left w:w="15" w:type="dxa"/>
          <w:bottom w:w="15" w:type="dxa"/>
          <w:right w:w="15" w:type="dxa"/>
        </w:tblCellMar>
        <w:tblLook w:val="04A0"/>
      </w:tblPr>
      <w:tblGrid>
        <w:gridCol w:w="2515"/>
        <w:gridCol w:w="4582"/>
        <w:gridCol w:w="3962"/>
      </w:tblGrid>
      <w:tr>
        <w:trPr>
          <w:trHeight w:hRule="atLeast" w:val="500"/>
          <w:tblHeader/>
        </w:trPr>
        <w:tc>
          <w:tcPr>
            <w:tcW w:w="1608" w:type="dxa"/>
            <w:tcBorders>
              <w:top w:val="single" w:sz="6" w:space="0" w:shadow="0" w:frame="0" w:color="DDDDDD"/>
              <w:left w:val="single" w:sz="6" w:space="0" w:shadow="0" w:frame="0" w:color="DDDDDD"/>
              <w:bottom w:val="single" w:sz="6" w:space="0" w:shadow="0" w:frame="0" w:color="DDDDDD"/>
              <w:right w:val="single" w:sz="6" w:space="0" w:shadow="0" w:frame="0" w:color="DDDDDD"/>
            </w:tcBorders>
            <w:shd w:val="clear" w:color="auto" w:fill="F2F2F2"/>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b w:val="1"/>
                <w:bCs w:val="1"/>
                <w:color w:val="000000"/>
                <w:lang w:eastAsia="en-GB"/>
              </w:rPr>
            </w:pPr>
            <w:r>
              <w:rPr>
                <w:rFonts w:ascii="Arial" w:hAnsi="Arial" w:cs="Arial" w:eastAsia="Times New Roman"/>
                <w:b w:val="1"/>
                <w:bCs w:val="1"/>
                <w:color w:val="000000"/>
                <w:lang w:eastAsia="en-GB"/>
              </w:rPr>
              <w:t>Power / Interest</w:t>
            </w:r>
          </w:p>
        </w:tc>
        <w:tc>
          <w:tcPr>
            <w:tcW w:w="5079" w:type="dxa"/>
            <w:tcBorders>
              <w:top w:val="single" w:sz="6" w:space="0" w:shadow="0" w:frame="0" w:color="DDDDDD"/>
              <w:left w:val="single" w:sz="6" w:space="0" w:shadow="0" w:frame="0" w:color="DDDDDD"/>
              <w:bottom w:val="single" w:sz="6" w:space="0" w:shadow="0" w:frame="0" w:color="DDDDDD"/>
              <w:right w:val="single" w:sz="6" w:space="0" w:shadow="0" w:frame="0" w:color="DDDDDD"/>
            </w:tcBorders>
            <w:shd w:val="clear" w:color="auto" w:fill="F2F2F2"/>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b w:val="1"/>
                <w:bCs w:val="1"/>
                <w:color w:val="000000"/>
                <w:lang w:eastAsia="en-GB"/>
              </w:rPr>
            </w:pPr>
            <w:r>
              <w:rPr>
                <w:rFonts w:ascii="Arial" w:hAnsi="Arial" w:cs="Arial" w:eastAsia="Times New Roman"/>
                <w:b w:val="1"/>
                <w:bCs w:val="1"/>
                <w:color w:val="000000"/>
                <w:lang w:eastAsia="en-GB"/>
              </w:rPr>
              <w:t>High interest</w:t>
            </w:r>
          </w:p>
        </w:tc>
        <w:tc>
          <w:tcPr>
            <w:tcW w:w="4372" w:type="dxa"/>
            <w:tcBorders>
              <w:top w:val="single" w:sz="6" w:space="0" w:shadow="0" w:frame="0" w:color="DDDDDD"/>
              <w:left w:val="single" w:sz="6" w:space="0" w:shadow="0" w:frame="0" w:color="DDDDDD"/>
              <w:bottom w:val="single" w:sz="6" w:space="0" w:shadow="0" w:frame="0" w:color="DDDDDD"/>
              <w:right w:val="single" w:sz="6" w:space="0" w:shadow="0" w:frame="0" w:color="DDDDDD"/>
            </w:tcBorders>
            <w:shd w:val="clear" w:color="auto" w:fill="F2F2F2"/>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b w:val="1"/>
                <w:bCs w:val="1"/>
                <w:color w:val="000000"/>
                <w:lang w:eastAsia="en-GB"/>
              </w:rPr>
            </w:pPr>
            <w:r>
              <w:rPr>
                <w:rFonts w:ascii="Arial" w:hAnsi="Arial" w:cs="Arial" w:eastAsia="Times New Roman"/>
                <w:b w:val="1"/>
                <w:bCs w:val="1"/>
                <w:color w:val="000000"/>
                <w:lang w:eastAsia="en-GB"/>
              </w:rPr>
              <w:t>Lower interest</w:t>
            </w:r>
          </w:p>
        </w:tc>
      </w:tr>
      <w:tr>
        <w:trPr>
          <w:trHeight w:hRule="atLeast" w:val="1018"/>
        </w:trPr>
        <w:tc>
          <w:tcPr>
            <w:tcW w:w="0" w:type="auto"/>
            <w:tcBorders>
              <w:top w:val="single" w:sz="6" w:space="0" w:shadow="0" w:frame="0" w:color="DDDDDD"/>
              <w:left w:val="single" w:sz="6" w:space="0" w:shadow="0" w:frame="0" w:color="DDDDDD"/>
              <w:bottom w:val="single" w:sz="6" w:space="0" w:shadow="0" w:frame="0" w:color="DDDDDD"/>
              <w:right w:val="single" w:sz="6" w:space="0" w:shadow="0" w:frame="0" w:color="DDDDDD"/>
            </w:tcBorders>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color w:val="000000"/>
                <w:lang w:eastAsia="en-GB"/>
              </w:rPr>
            </w:pPr>
            <w:r>
              <w:rPr>
                <w:rFonts w:ascii="Arial" w:hAnsi="Arial" w:cs="Arial" w:eastAsia="Times New Roman"/>
                <w:b w:val="1"/>
                <w:bCs w:val="1"/>
                <w:color w:val="000000"/>
                <w:lang w:eastAsia="en-GB"/>
              </w:rPr>
              <w:t>High power</w:t>
            </w:r>
          </w:p>
        </w:tc>
        <w:tc>
          <w:tcPr>
            <w:tcW w:w="5079" w:type="dxa"/>
            <w:tcBorders>
              <w:top w:val="single" w:sz="6" w:space="0" w:shadow="0" w:frame="0" w:color="DDDDDD"/>
              <w:left w:val="single" w:sz="6" w:space="0" w:shadow="0" w:frame="0" w:color="DDDDDD"/>
              <w:bottom w:val="single" w:sz="6" w:space="0" w:shadow="0" w:frame="0" w:color="DDDDDD"/>
              <w:right w:val="single" w:sz="6" w:space="0" w:shadow="0" w:frame="0" w:color="DDDDDD"/>
            </w:tcBorders>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color w:val="000000"/>
                <w:lang w:eastAsia="en-GB"/>
              </w:rPr>
            </w:pPr>
            <w:r>
              <w:rPr>
                <w:rFonts w:ascii="Arial" w:hAnsi="Arial" w:cs="Arial" w:eastAsia="Times New Roman"/>
                <w:color w:val="000000"/>
                <w:lang w:eastAsia="en-GB"/>
              </w:rPr>
              <w:t>Board and senior management; significant investors; major regulators; crucial suppliers and partners, who may greatly impact Greggs’ strategy and license to operate (Freeman et al., 2010).</w:t>
            </w:r>
          </w:p>
        </w:tc>
        <w:tc>
          <w:tcPr>
            <w:tcW w:w="4372" w:type="dxa"/>
            <w:tcBorders>
              <w:top w:val="single" w:sz="6" w:space="0" w:shadow="0" w:frame="0" w:color="DDDDDD"/>
              <w:left w:val="single" w:sz="6" w:space="0" w:shadow="0" w:frame="0" w:color="DDDDDD"/>
              <w:bottom w:val="single" w:sz="6" w:space="0" w:shadow="0" w:frame="0" w:color="DDDDDD"/>
              <w:right w:val="single" w:sz="6" w:space="0" w:shadow="0" w:frame="0" w:color="DDDDDD"/>
            </w:tcBorders>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color w:val="000000"/>
                <w:lang w:eastAsia="en-GB"/>
              </w:rPr>
            </w:pPr>
            <w:r>
              <w:rPr>
                <w:rFonts w:ascii="Arial" w:hAnsi="Arial" w:cs="Arial" w:eastAsia="Times New Roman"/>
                <w:color w:val="000000"/>
                <w:lang w:eastAsia="en-GB"/>
              </w:rPr>
              <w:t>Some major industry groups and partners whose choices may have an impact on Greggs but are primarily concerned with the overall sector.</w:t>
            </w:r>
          </w:p>
        </w:tc>
      </w:tr>
      <w:tr>
        <w:trPr>
          <w:trHeight w:hRule="atLeast" w:val="1278"/>
        </w:trPr>
        <w:tc>
          <w:tcPr>
            <w:tcW w:w="0" w:type="auto"/>
            <w:tcBorders>
              <w:top w:val="single" w:sz="6" w:space="0" w:shadow="0" w:frame="0" w:color="DDDDDD"/>
              <w:left w:val="single" w:sz="6" w:space="0" w:shadow="0" w:frame="0" w:color="DDDDDD"/>
              <w:bottom w:val="single" w:sz="6" w:space="0" w:shadow="0" w:frame="0" w:color="DDDDDD"/>
              <w:right w:val="single" w:sz="6" w:space="0" w:shadow="0" w:frame="0" w:color="DDDDDD"/>
            </w:tcBorders>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color w:val="000000"/>
                <w:lang w:eastAsia="en-GB"/>
              </w:rPr>
            </w:pPr>
            <w:r>
              <w:rPr>
                <w:rFonts w:ascii="Arial" w:hAnsi="Arial" w:cs="Arial" w:eastAsia="Times New Roman"/>
                <w:b w:val="1"/>
                <w:bCs w:val="1"/>
                <w:color w:val="000000"/>
                <w:lang w:eastAsia="en-GB"/>
              </w:rPr>
              <w:t>Medium / lower power</w:t>
            </w:r>
          </w:p>
        </w:tc>
        <w:tc>
          <w:tcPr>
            <w:tcW w:w="5079" w:type="dxa"/>
            <w:tcBorders>
              <w:top w:val="single" w:sz="6" w:space="0" w:shadow="0" w:frame="0" w:color="DDDDDD"/>
              <w:left w:val="single" w:sz="6" w:space="0" w:shadow="0" w:frame="0" w:color="DDDDDD"/>
              <w:bottom w:val="single" w:sz="6" w:space="0" w:shadow="0" w:frame="0" w:color="DDDDDD"/>
              <w:right w:val="single" w:sz="6" w:space="0" w:shadow="0" w:frame="0" w:color="DDDDDD"/>
            </w:tcBorders>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color w:val="000000"/>
                <w:lang w:eastAsia="en-GB"/>
              </w:rPr>
            </w:pPr>
            <w:r>
              <w:rPr>
                <w:rFonts w:ascii="Arial" w:hAnsi="Arial" w:cs="Arial" w:eastAsia="Times New Roman"/>
                <w:color w:val="000000"/>
                <w:lang w:eastAsia="en-GB"/>
              </w:rPr>
              <w:t>Employees; local communities; charity partners; everyday customers and Greggs Rewards users, whose collective behaviour and feedback shape service quality, revenue and reputation (Kumar and Reinartz, 2016).</w:t>
            </w:r>
          </w:p>
        </w:tc>
        <w:tc>
          <w:tcPr>
            <w:tcW w:w="4372" w:type="dxa"/>
            <w:tcBorders>
              <w:top w:val="single" w:sz="6" w:space="0" w:shadow="0" w:frame="0" w:color="DDDDDD"/>
              <w:left w:val="single" w:sz="6" w:space="0" w:shadow="0" w:frame="0" w:color="DDDDDD"/>
              <w:bottom w:val="single" w:sz="6" w:space="0" w:shadow="0" w:frame="0" w:color="DDDDDD"/>
              <w:right w:val="single" w:sz="6" w:space="0" w:shadow="0" w:frame="0" w:color="DDDDDD"/>
            </w:tcBorders>
            <w:tcMar>
              <w:top w:w="120" w:type="dxa"/>
              <w:left w:w="120" w:type="dxa"/>
              <w:bottom w:w="120" w:type="dxa"/>
              <w:right w:w="120" w:type="dxa"/>
            </w:tcMar>
            <w:vAlign w:val="center"/>
            <w:hideMark/>
          </w:tcPr>
          <w:p>
            <w:pPr>
              <w:spacing w:lineRule="auto" w:line="240" w:after="0" w:beforeAutospacing="0" w:afterAutospacing="0"/>
              <w:rPr>
                <w:rFonts w:ascii="Arial" w:hAnsi="Arial" w:cs="Arial" w:eastAsia="Times New Roman"/>
                <w:color w:val="000000"/>
                <w:lang w:eastAsia="en-GB"/>
              </w:rPr>
            </w:pPr>
            <w:r>
              <w:rPr>
                <w:rFonts w:ascii="Arial" w:hAnsi="Arial" w:cs="Arial" w:eastAsia="Times New Roman"/>
                <w:color w:val="000000"/>
                <w:lang w:eastAsia="en-GB"/>
              </w:rPr>
              <w:t>Minor partners and more localised stakeholders who mostly need supervision, unless their influence or interest rises over time.</w:t>
            </w:r>
          </w:p>
        </w:tc>
      </w:tr>
    </w:tbl>
    <w:p>
      <w:pPr>
        <w:pStyle w:val="P13"/>
      </w:pPr>
    </w:p>
    <w:p/>
    <w:p>
      <w:pPr>
        <w:pStyle w:val="P2"/>
      </w:pPr>
      <w:bookmarkStart w:id="12" w:name="_Toc235439873"/>
      <w:r>
        <w:t>5.5 Link to project objectives</w:t>
      </w:r>
      <w:bookmarkEnd w:id="12"/>
    </w:p>
    <w:p>
      <w:r>
        <w:t>This stakeholder mapping serves as the foundation for the previously established SMART goals. Customers and app users are central to the customer engagement goal; employees and management are important for internal engagement; communities and charity partners have a direct impact on Breakfast Clubs and Foundation activities; and suppliers, regulators, and investors are critical for environmental and responsible sourcing goals. According to (Freeman et al., 2010), Greggs will emphasise communication, engagement, and relationship-building based on the power-interest positions of these stakeholders in future stages of the project.</w:t>
      </w:r>
    </w:p>
    <w:p/>
    <w:p>
      <w:pPr>
        <w:pStyle w:val="P1"/>
      </w:pPr>
      <w:bookmarkStart w:id="13" w:name="_Toc235439874"/>
      <w:r>
        <w:t>6. Roles, responsibilities and value creation</w:t>
      </w:r>
      <w:bookmarkEnd w:id="13"/>
    </w:p>
    <w:p>
      <w:pPr>
        <w:pStyle w:val="P2"/>
      </w:pPr>
      <w:bookmarkStart w:id="14" w:name="_Toc235439875"/>
      <w:r>
        <w:t>6.1 Governance and strategic roles</w:t>
      </w:r>
      <w:bookmarkEnd w:id="14"/>
    </w:p>
    <w:p>
      <w:r>
        <w:t>At the highest level, Greggs' Board of Directors and senior management team are responsible for creating strategy, managing risk, and ensuring that the company is operated in the best interests of its stakeholders. The Board follows the UK Corporate Governance Code and employs committees, such as the Audit, Remuneration, and Nominations Committees, to monitor performance and manage particular areas such as financial reporting, executive compensation, and board composition. These governance systems aim to guarantee that stakeholder issues, including as consumers, workers, investors, and communities, are included into significant decisions rather than being regarded as an afterthought (Ashcroft, 2017). The top-level position in stakeholder relationships involves providing direction, articulating expectations, and fostering long-term trust.</w:t>
      </w:r>
    </w:p>
    <w:p/>
    <w:p>
      <w:pPr>
        <w:pStyle w:val="P2"/>
      </w:pPr>
      <w:bookmarkStart w:id="15" w:name="_Toc235439876"/>
      <w:r>
        <w:t>6.2 Management, functional teams and project roles</w:t>
      </w:r>
      <w:bookmarkEnd w:id="15"/>
    </w:p>
    <w:p>
      <w:r>
        <w:t>The Board delegated responsibility for daily stakeholder interaction to many functional teams. The retail operations and shop management teams are in charge of providing consistent service, enforcing business standards, and fostering relationships with consumers and local communities. The marketing and digital teams engage customers through many platforms, including the Greggs Rewards app, in-store promotions, and social media. These efforts aim to increase app users and transactions. Human resources and "Better Business" teams prioritise internal stakeholders, including recruiting, training, inclusiveness, and communication, which is strongly related to the employee engagement goal. The Sustainability and "Doing Good" teams coordinate Greggs Pledge-related activities such as environmental initiatives, community programs, and progress reports. According to Christopher, Payne, and Ballantyne (2013), these teams collaborate to transform stakeholder goals into concrete projects and activities.</w:t>
      </w:r>
    </w:p>
    <w:p/>
    <w:p>
      <w:pPr>
        <w:pStyle w:val="P2"/>
      </w:pPr>
      <w:bookmarkStart w:id="16" w:name="_Toc235439877"/>
      <w:r>
        <w:t>6.3 Frontline staff and local managers</w:t>
      </w:r>
      <w:bookmarkEnd w:id="16"/>
    </w:p>
    <w:p>
      <w:r>
        <w:t>Front-line employees and store managers have an important role in defining everyday stakeholder experiences. They serve customers, handle complaints, manage loyalty programs, and frequently discuss Greggs' community or environmental projects at the store level. Local managers can also establish partnerships with area schools, charities, and community groups, such as by sponsoring Breakfast Clubs or local fundraisers. Their responsibilities are directly related to the SMART objectives for customer engagement, community partnerships, and internal engagement, because their actions influence whether customers download and use the app, communities see Greggs as a supportive neighbour, and employees feel informed and involved. In stakeholder relationships, these positions are about providing the "moment of truth" when the organization's promises are either affirmed or undercut (Ashcroft, 2017).</w:t>
      </w:r>
    </w:p>
    <w:p/>
    <w:p>
      <w:pPr>
        <w:pStyle w:val="P2"/>
      </w:pPr>
      <w:bookmarkStart w:id="17" w:name="_Toc235439878"/>
      <w:r>
        <w:t>6.4 Greggs Foundation and community partners</w:t>
      </w:r>
      <w:bookmarkEnd w:id="17"/>
    </w:p>
    <w:p>
      <w:r>
        <w:t>The Greggs Foundation and allied community teams are responsible for planning, sponsoring, and managing programs such as Breakfast Clubs, hardship grants, and environmental initiatives. They collaborate with schools, nonprofits, and local governments to identify needs, assign funding, and track effect, all with the goal of growing the number of Breakfast Clubs and community projects while also boosting awareness of these efforts. This adds value by tackling social concerns including food poverty and community well-being, while also building Greggs' relationships and reputation in the areas where it operates (Christopher, Payne, &amp; Ballantyne, 2013). The Foundation's governance and reporting procedures promote openness, which is critical for sustaining confidence with contributors, partners, and regulators.</w:t>
      </w:r>
    </w:p>
    <w:p/>
    <w:p>
      <w:pPr>
        <w:pStyle w:val="P2"/>
      </w:pPr>
      <w:bookmarkStart w:id="18" w:name="_Toc235439879"/>
      <w:r>
        <w:t>6.5 Suppliers, partners and shared responsibilities</w:t>
      </w:r>
      <w:bookmarkEnd w:id="18"/>
    </w:p>
    <w:p>
      <w:r>
        <w:t>Suppliers and external partners, including as ingredient suppliers, logistics providers, and delivery platforms, share responsibility for executing Greggs' stakeholder obligations. Suppliers, for example, must fulfil quality, safety, and sustainability criteria in order for Greggs to reach its environmental goals of responsible sourcing and lower emissions. Delivery partners assist Greggs in reaching customers via online channels and must maintain service standards that are consistent with Greggs' brand commitments. These stakeholders are not Greggs employees, but their activities are crucial for value creation since supply, quality, and delivery issues may harm relationships with consumers, communities, and regulators (Crane and Matten, 2016). Managing these partnerships requires explicit contracts, frequent communication, and collaborative problem-solving.</w:t>
      </w:r>
    </w:p>
    <w:p/>
    <w:p>
      <w:pPr>
        <w:pStyle w:val="P2"/>
      </w:pPr>
      <w:bookmarkStart w:id="19" w:name="_Toc235439880"/>
      <w:r>
        <w:t>6.6 How these roles create stakeholder value</w:t>
      </w:r>
      <w:bookmarkEnd w:id="19"/>
    </w:p>
    <w:p>
      <w:r>
        <w:t>Roles and duties match stakeholders' interests and foster long-term partnerships, adding value at all levels. The Board and senior management provide strategic direction and governance, while functional teams design and implement engagement programs. Frontline staff and managers provide day-to-day experiences, while the Greggs Foundation and community teams support social initiatives. Suppliers and partners contribute to responsible product and service delivery. When these responsibilities are successfully integrated, Greggs can meet its SMART objectives for customers, workers, communities, and the environment, which improves financial performance and reputation (Christopher, Payne, &amp; Ballantyne, 2013). According to stakeholder theory, such alignment may minimise friction, improve trust, and provide reciprocal benefits, transforming participation into a key component of Greggs' business model rather than a separate activity.</w:t>
      </w:r>
    </w:p>
    <w:p>
      <w:pPr>
        <w:pStyle w:val="P1"/>
      </w:pPr>
      <w:bookmarkStart w:id="20" w:name="_Toc235439881"/>
      <w:r>
        <w:t>7. Engagement strategies, conflicts, ethics and challenges</w:t>
      </w:r>
      <w:bookmarkEnd w:id="20"/>
    </w:p>
    <w:p>
      <w:pPr>
        <w:pStyle w:val="P2"/>
      </w:pPr>
      <w:bookmarkStart w:id="21" w:name="_Toc235439882"/>
      <w:r>
        <w:t>7.1 Customer and digital engagement</w:t>
      </w:r>
      <w:bookmarkEnd w:id="21"/>
    </w:p>
    <w:p>
      <w:r>
        <w:t>Greggs engages customers and builds loyalty through both in-store and internet channels. Shop engagement prioritises rapid, pleasant service, obvious value offerings like meal packages, and consistent product quality to become the customer's preferred food-on-the-go brand. The Greggs Rewards app serves as the focal point of digital interaction, allowing users to collect stamps, receive free goods, and access tailored offers based on their purchase habits (Kumar and Reinartz, 2016). The app's click-and-collect capability and integration with food waste and discount schemes make it a valuable tool for achieving the SMART goal of boosting app-linked transactions. Relationship marketing methods aim to convert one-time purchases into continuing partnerships through ease, incentives, and regular contact (Christopher, Payne, and Ballantyne, 2013).</w:t>
      </w:r>
    </w:p>
    <w:p/>
    <w:p>
      <w:pPr>
        <w:pStyle w:val="P2"/>
      </w:pPr>
      <w:bookmarkStart w:id="22" w:name="_Toc235439883"/>
      <w:r>
        <w:t>7.2 Employee and community engagement</w:t>
      </w:r>
      <w:bookmarkEnd w:id="22"/>
    </w:p>
    <w:p>
      <w:r>
        <w:t>Employee engagement is crucial since they provide a consistent customer experience and represent Greggs in local communities. The company's "Doing Good" and "Better Business" pledges emphasise inclusion, diversity, and responsible employment, including training, communication, and engagement efforts targeted at enhancing colleague experience. Employees are encouraged to participate in community activities such as volunteering and fundraising, which connects their responsibilities to the overall stakeholder agenda. The Greggs Foundation promotes community participation through programs such as Breakfast Clubs, Outlet stores in underserved regions, and contributions to local organisations, all with the goal of building better, healthier communities. These efforts promote the SMART goal of developing community programs and illustrate a relational strategy that seeks mutual benefits between Greggs and local stakeholders (Ashcroft, 2017).</w:t>
      </w:r>
    </w:p>
    <w:p/>
    <w:p>
      <w:pPr>
        <w:pStyle w:val="P2"/>
      </w:pPr>
      <w:bookmarkStart w:id="23" w:name="_Toc235439884"/>
      <w:r>
        <w:t>7.3 Environmental and ethical engagement</w:t>
      </w:r>
      <w:bookmarkEnd w:id="23"/>
      <w:r>
        <w:tab/>
      </w:r>
    </w:p>
    <w:p>
      <w:r>
        <w:t>The Greggs Pledge pillar of "Making Our Planet Safer" guides environmental participation, which includes pledges to reduce carbon emissions, eliminate food waste, and increase responsible sourcing. Greggs highlights efforts such as employing a high proportion of renewable power, striving for carbon neutrality, dispersing surplus food through partners such as Too Good To Go, and growing Outlet stores that offer reduced surplus items. It also strives to guarantee that important products like soy and wheat fulfil sustainability requirements and enhance animal welfare, demonstrating an ethical approach to supply chains. These efforts engage stakeholders like as regulators, non-governmental organisations (NGOs), suppliers, and environmentally concerned customers, and they promote the SMART goal of environmental performance and responsible sourcing (Crane and Matten, 2016).</w:t>
      </w:r>
    </w:p>
    <w:p/>
    <w:p>
      <w:pPr>
        <w:pStyle w:val="P2"/>
      </w:pPr>
      <w:bookmarkStart w:id="24" w:name="_Toc235439885"/>
      <w:r>
        <w:t>7.4 Environmental and ethical engagement</w:t>
      </w:r>
      <w:bookmarkEnd w:id="24"/>
    </w:p>
    <w:p>
      <w:r>
        <w:t>When seen via a SWORN-style lens, Greggs' stakeholder environment reveals numerous significant risks and requirements. Customers may become dissatisfied or lose faith if value, health, and sustainability signals are unclear or inconsistent, yet they want inexpensive, convenient food that increasingly meets evolving dietary demands and nutritional concerns (Food Foundation, 2023). Employees may become disengaged if salary, workload, or advancement chances are perceived as unfair; nonetheless, they require clear communication, respect, participation, and opportunity to participate to choices affecting their job and the implementation of the Greggs Pledge (Boxall and Purcell, 2016).</w:t>
      </w:r>
    </w:p>
    <w:p>
      <w:r>
        <w:t>Communities may feel overlooked if shop expansion contributes to issues such as litter, health concerns, or competition with local businesses without adequate support, whereas they require genuine investment through programs such as Breakfast Clubs, Outlet stores, and local projects that address food poverty and wellbeing (Greggs, 2025b). If objectives are missed, environmental and regulatory stakeholders may see Greggs' promises as insufficient or delayed; nonetheless, meaningful action on emissions, food waste, and responsible sourcing, supported by public reporting, is required. Recognising these stakeholder risks and needs helps to frame the conflicts and ethical issues discussed in the next subsections, and it emphasises the significance of proactive, honest interaction with all important stakeholder groups (Freeman et al., 2010).</w:t>
      </w:r>
    </w:p>
    <w:p>
      <w:pPr>
        <w:pStyle w:val="P2"/>
      </w:pPr>
      <w:bookmarkStart w:id="25" w:name="_Toc235439886"/>
      <w:r>
        <w:t>7.5 Managing stakeholder tensions and conflicts</w:t>
      </w:r>
      <w:bookmarkEnd w:id="25"/>
    </w:p>
    <w:p>
      <w:r>
        <w:t>Despite these efforts, Greggs is experiencing difficulties between various stakeholder interests. One major contradiction exists between delivering low pricing to customers and investing in greater pay, better working conditions, or more sustainable ingredients for employees and suppliers. Greggs has pledged to increase the amount of healthier options on its menu, but there is still a contradiction between selling decadent, high-calorie items and supporting public health goals. There may also be tensions between growth plans and local community concerns about litter, competition, or health effects. Stakeholder theory proposes that such disagreements should be resolved via communication, openness, and compromise rather than being disregarded (Crane and Matten, 2016). Relationship marketing focuses on reciprocal value and long-term trust, urging Greggs to disclose trade-offs, include stakeholders, and alter practices as needed (Christopher, Payne, &amp; Ballantyne, 2013).</w:t>
      </w:r>
    </w:p>
    <w:p/>
    <w:p/>
    <w:p>
      <w:pPr>
        <w:pStyle w:val="P2"/>
      </w:pPr>
      <w:bookmarkStart w:id="26" w:name="_Toc235439887"/>
      <w:r>
        <w:t>7.6 Digital and ethical challenges</w:t>
      </w:r>
      <w:bookmarkEnd w:id="26"/>
    </w:p>
    <w:p>
      <w:r>
        <w:t>Digital involvement presents unique ethical and inclusivity problems. As the Greggs Rewards app gains popularity, the firm must safeguard consumer data, adhere to privacy requirements, and guarantee that digital services are dependable and accessible. Customers without cellphones or frequent internet connection may be excluded from some loyalty incentives, thus Greggs should provide alternate means to acquire value and information. Managing social media criticism, internet complaints, and possible app concerns need clear rules and prompt replies in order to avoid harming relationships. Greggs' engagement techniques are comprehensive and integrated, but their efficacy relies on constant execution, open communication about trade-offs, and continual learning from stakeholder input (Ashcroft, 2017).</w:t>
      </w:r>
    </w:p>
    <w:p/>
    <w:p>
      <w:pPr>
        <w:pStyle w:val="P2"/>
      </w:pPr>
      <w:bookmarkStart w:id="27" w:name="_Toc235439888"/>
      <w:r>
        <w:t>7.7 Ethical and digital challenges</w:t>
      </w:r>
      <w:bookmarkEnd w:id="27"/>
    </w:p>
    <w:p>
      <w:r>
        <w:t>Greggs has various ethical and digital problems related to stakeholder participation. On the ethical side, challenges include the health effect of its products, marketing to vulnerable populations, treatment of employees and suppliers, and the fairness of its community investment decisions. Despite introducing healthier alternatives and plant-based items, Greggs continues to compete in a market for rich, convenience meals, raising concerns about its impact on public health. Clear information, responsible marketing, and collaboration with health stakeholders, where necessary, are all required for ethical involvement.</w:t>
      </w:r>
    </w:p>
    <w:p>
      <w:r>
        <w:t>The usage of data, the dependability of digital services, and inclusion are the three main digital issues. As the Greggs incentives app grows more important for engagement, the firm must preserve customer data, follow privacy standards, and ensure that digital incentives do not unjustly penalise consumers who cannot or do not want to use smartphones. Accessibility concerns may develop for elderly consumers or those without regular internet access. Greggs must thus offer different methods to join in loyalty systems or deliver value, so that participation is not confined to digitally connected stakeholders. To avoid hurting relationships, rigorous systems and honest communication are required when dealing with online complaints, social media criticism, and potential app disruptions.</w:t>
      </w:r>
    </w:p>
    <w:p/>
    <w:p>
      <w:pPr>
        <w:pStyle w:val="P2"/>
      </w:pPr>
      <w:bookmarkStart w:id="28" w:name="_Toc235439889"/>
      <w:r>
        <w:t>7.8 Overall assessment of engagement effectiveness</w:t>
      </w:r>
      <w:bookmarkEnd w:id="28"/>
    </w:p>
    <w:p>
      <w:r>
        <w:t>Overall, Greggs has created a diverse set of engagement methods that target consumers, workers, communities, and environmental stakeholders in a somewhat integrated manner. The Greggs Pledge establishes defined goals and timetables for various operations, and digital tools like the app enable tailored involvement and data-driven decision-making. However, the efficacy of these methods is dependent on consistent execution across thousands of stores, constant interaction with stakeholders, and the capacity to respond to new difficulties such as economic constraints, regulatory changes, or adjustments in public expectations.</w:t>
      </w:r>
    </w:p>
    <w:p>
      <w:r>
        <w:t>From a stakeholder interaction and relationship marketing standpoint, Greggs looks to be going in the direction of integrating engagement into its business model rather than treating it as a distinct corporate social responsibility effort. The SMART targets mentioned previously give a method for measuring and improving this involvement over time. Future enhancements might include stakeholders in decision-making, increase transparency on trade-offs, and prioritise co-creation of solutions with communities, employees, and suppliers.</w:t>
      </w:r>
    </w:p>
    <w:p>
      <w:pPr>
        <w:pStyle w:val="P1"/>
      </w:pPr>
      <w:bookmarkStart w:id="29" w:name="_Toc235439890"/>
      <w:r>
        <w:t>8. Conclusion</w:t>
      </w:r>
      <w:bookmarkEnd w:id="29"/>
    </w:p>
    <w:p>
      <w:r>
        <w:t>This research looked into how Greggs interacts with key stakeholders through its stores, the Greggs Rewards app, and programs like Breakfast Clubs and environmental efforts. The SMART targets for customers, workers, communities, and the environment establish a clear, quantifiable framework for developing these connections and connecting them with the Greggs Pledge and Doing Good commitments (Greggs, 2024). Using stakeholder theory and relationship marketing principles, the research demonstrates that Greggs is integrating engagement into its core business model rather than considering it as a distinct CSR activity (Freeman et al., 2010).</w:t>
      </w:r>
    </w:p>
    <w:p>
      <w:r>
        <w:t>However, significant conflicts still exist between cheap costs, healthier goods, decent working conditions, and ambitious environmental standards. Greggs' success is on clearly managing trade-offs, increasing digital and community participation, and providing inclusive benefits for all stakeholders, including staff, app and non-app consumers, and local communities.</w:t>
      </w:r>
    </w:p>
    <w:p>
      <w:pPr>
        <w:pStyle w:val="P1"/>
      </w:pPr>
      <w:bookmarkStart w:id="30" w:name="_Toc235439891"/>
      <w:r>
        <w:t>Reference List</w:t>
      </w:r>
      <w:bookmarkEnd w:id="30"/>
    </w:p>
    <w:p>
      <w:pPr>
        <w:pStyle w:val="P25"/>
        <w:numPr>
          <w:ilvl w:val="0"/>
          <w:numId w:val="7"/>
        </w:numPr>
        <w:rPr>
          <w:rFonts w:ascii="Aptos" w:hAnsi="Aptos"/>
          <w:color w:val="000000"/>
        </w:rPr>
      </w:pPr>
      <w:r>
        <w:rPr>
          <w:rFonts w:ascii="Aptos" w:hAnsi="Aptos"/>
          <w:color w:val="000000"/>
        </w:rPr>
        <w:t>Ashcroft, J. (2017)</w:t>
      </w:r>
      <w:r>
        <w:rPr>
          <w:rStyle w:val="C21"/>
          <w:rFonts w:ascii="Aptos" w:hAnsi="Aptos"/>
          <w:color w:val="000000"/>
        </w:rPr>
        <w:t> </w:t>
      </w:r>
      <w:r>
        <w:rPr>
          <w:rStyle w:val="C22"/>
          <w:rFonts w:ascii="Aptos" w:hAnsi="Aptos"/>
          <w:color w:val="000000"/>
        </w:rPr>
        <w:t>The relational lens: understanding, managing and measuring stakeholder relationships</w:t>
      </w:r>
      <w:r>
        <w:rPr>
          <w:rFonts w:ascii="Aptos" w:hAnsi="Aptos"/>
          <w:color w:val="000000"/>
        </w:rPr>
        <w:t>. Cambridge: Cambridge University Press.</w:t>
      </w:r>
    </w:p>
    <w:p>
      <w:pPr>
        <w:pStyle w:val="P25"/>
        <w:numPr>
          <w:ilvl w:val="0"/>
          <w:numId w:val="7"/>
        </w:numPr>
        <w:rPr>
          <w:rFonts w:ascii="Aptos" w:hAnsi="Aptos"/>
          <w:color w:val="000000"/>
        </w:rPr>
      </w:pPr>
      <w:r>
        <w:rPr>
          <w:rFonts w:ascii="Aptos" w:hAnsi="Aptos"/>
          <w:color w:val="000000"/>
        </w:rPr>
        <w:t>Boxall, P. and Purcell, J. (2016)</w:t>
      </w:r>
      <w:r>
        <w:rPr>
          <w:rStyle w:val="C21"/>
          <w:rFonts w:ascii="Aptos" w:hAnsi="Aptos"/>
          <w:color w:val="000000"/>
        </w:rPr>
        <w:t> </w:t>
      </w:r>
      <w:r>
        <w:rPr>
          <w:rStyle w:val="C22"/>
          <w:rFonts w:ascii="Aptos" w:hAnsi="Aptos"/>
          <w:color w:val="000000"/>
        </w:rPr>
        <w:t>Strategy and human resource management</w:t>
      </w:r>
      <w:r>
        <w:rPr>
          <w:rFonts w:ascii="Aptos" w:hAnsi="Aptos"/>
          <w:color w:val="000000"/>
        </w:rPr>
        <w:t>. 4th edn. London: Palgrave Macmillan.</w:t>
      </w:r>
    </w:p>
    <w:p>
      <w:pPr>
        <w:pStyle w:val="P25"/>
        <w:numPr>
          <w:ilvl w:val="0"/>
          <w:numId w:val="7"/>
        </w:numPr>
        <w:rPr>
          <w:rFonts w:ascii="Aptos" w:hAnsi="Aptos"/>
          <w:color w:val="000000"/>
        </w:rPr>
      </w:pPr>
      <w:r>
        <w:rPr>
          <w:rFonts w:ascii="Aptos" w:hAnsi="Aptos"/>
          <w:color w:val="000000"/>
        </w:rPr>
        <w:t>Christopher, M., Payne, A. and Ballantyne, D. (2013)</w:t>
      </w:r>
      <w:r>
        <w:rPr>
          <w:rStyle w:val="C21"/>
          <w:rFonts w:ascii="Aptos" w:hAnsi="Aptos"/>
          <w:color w:val="000000"/>
        </w:rPr>
        <w:t> </w:t>
      </w:r>
      <w:r>
        <w:rPr>
          <w:rStyle w:val="C22"/>
          <w:rFonts w:ascii="Aptos" w:hAnsi="Aptos"/>
          <w:color w:val="000000"/>
        </w:rPr>
        <w:t>Relationship marketing: creating stakeholder value</w:t>
      </w:r>
      <w:r>
        <w:rPr>
          <w:rFonts w:ascii="Aptos" w:hAnsi="Aptos"/>
          <w:color w:val="000000"/>
        </w:rPr>
        <w:t>. 2nd edn. London: Butterworth-Heinemann.</w:t>
      </w:r>
    </w:p>
    <w:p>
      <w:pPr>
        <w:pStyle w:val="P25"/>
        <w:numPr>
          <w:ilvl w:val="0"/>
          <w:numId w:val="7"/>
        </w:numPr>
        <w:rPr>
          <w:rFonts w:ascii="Aptos" w:hAnsi="Aptos"/>
          <w:color w:val="000000"/>
        </w:rPr>
      </w:pPr>
      <w:r>
        <w:rPr>
          <w:rFonts w:ascii="Aptos" w:hAnsi="Aptos"/>
          <w:color w:val="000000"/>
        </w:rPr>
        <w:t>Crane, A. and Matten, D. (2016)</w:t>
      </w:r>
      <w:r>
        <w:rPr>
          <w:rStyle w:val="C21"/>
          <w:rFonts w:ascii="Aptos" w:hAnsi="Aptos"/>
          <w:color w:val="000000"/>
        </w:rPr>
        <w:t> </w:t>
      </w:r>
      <w:r>
        <w:rPr>
          <w:rStyle w:val="C22"/>
          <w:rFonts w:ascii="Aptos" w:hAnsi="Aptos"/>
          <w:color w:val="000000"/>
        </w:rPr>
        <w:t>Business ethics: managing corporate citizenship and sustainability in the age of globalisation</w:t>
      </w:r>
      <w:r>
        <w:rPr>
          <w:rFonts w:ascii="Aptos" w:hAnsi="Aptos"/>
          <w:color w:val="000000"/>
        </w:rPr>
        <w:t>. 4th edn. Oxford: Oxford University Press.</w:t>
      </w:r>
    </w:p>
    <w:p>
      <w:pPr>
        <w:pStyle w:val="P25"/>
        <w:numPr>
          <w:ilvl w:val="0"/>
          <w:numId w:val="7"/>
        </w:numPr>
        <w:rPr>
          <w:rFonts w:ascii="Aptos" w:hAnsi="Aptos"/>
          <w:color w:val="000000"/>
        </w:rPr>
      </w:pPr>
      <w:r>
        <w:rPr>
          <w:rFonts w:ascii="Aptos" w:hAnsi="Aptos"/>
          <w:color w:val="000000"/>
        </w:rPr>
        <w:t>Food Foundation (2023)</w:t>
      </w:r>
      <w:r>
        <w:rPr>
          <w:rStyle w:val="C21"/>
          <w:rFonts w:ascii="Aptos" w:hAnsi="Aptos"/>
          <w:color w:val="000000"/>
        </w:rPr>
        <w:t> </w:t>
      </w:r>
      <w:r>
        <w:rPr>
          <w:rStyle w:val="C22"/>
          <w:rFonts w:ascii="Aptos" w:hAnsi="Aptos"/>
          <w:color w:val="000000"/>
        </w:rPr>
        <w:t>Greggs company scorecard 2023</w:t>
      </w:r>
      <w:r>
        <w:rPr>
          <w:rFonts w:ascii="Aptos" w:hAnsi="Aptos"/>
          <w:color w:val="000000"/>
        </w:rPr>
        <w:t xml:space="preserve">. Available at: </w:t>
      </w:r>
      <w:hyperlink r:id="R2">
        <w:r>
          <w:rPr>
            <w:rStyle w:val="C2"/>
            <w:rFonts w:ascii="Aptos" w:hAnsi="Aptos"/>
          </w:rPr>
          <w:t>https://foodfoundation.org.uk/sites/default/files/2023-07/Greggs%20scorecard%202023.pdf</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Freeman, R.E., Harrison, J.S., Wicks, A.C., Parmar, B.L. and De Colle, S. (2010)</w:t>
      </w:r>
      <w:r>
        <w:rPr>
          <w:rStyle w:val="C21"/>
          <w:rFonts w:ascii="Aptos" w:hAnsi="Aptos"/>
          <w:color w:val="000000"/>
        </w:rPr>
        <w:t> </w:t>
      </w:r>
      <w:r>
        <w:rPr>
          <w:rStyle w:val="C22"/>
          <w:rFonts w:ascii="Aptos" w:hAnsi="Aptos"/>
          <w:color w:val="000000"/>
        </w:rPr>
        <w:t>Stakeholder theory: the state of the art</w:t>
      </w:r>
      <w:r>
        <w:rPr>
          <w:rFonts w:ascii="Aptos" w:hAnsi="Aptos"/>
          <w:color w:val="000000"/>
        </w:rPr>
        <w:t xml:space="preserve">. Cambridge: Cambridge University Press. </w:t>
      </w:r>
    </w:p>
    <w:p>
      <w:pPr>
        <w:pStyle w:val="P25"/>
        <w:numPr>
          <w:ilvl w:val="0"/>
          <w:numId w:val="7"/>
        </w:numPr>
        <w:rPr>
          <w:rFonts w:ascii="Aptos" w:hAnsi="Aptos"/>
          <w:color w:val="000000"/>
        </w:rPr>
      </w:pPr>
      <w:r>
        <w:rPr>
          <w:rFonts w:ascii="Aptos" w:hAnsi="Aptos"/>
          <w:color w:val="000000"/>
        </w:rPr>
        <w:t>Greggs (2023)</w:t>
      </w:r>
      <w:r>
        <w:rPr>
          <w:rStyle w:val="C21"/>
          <w:rFonts w:ascii="Aptos" w:hAnsi="Aptos"/>
          <w:color w:val="000000"/>
        </w:rPr>
        <w:t> </w:t>
      </w:r>
      <w:r>
        <w:rPr>
          <w:rStyle w:val="C22"/>
          <w:rFonts w:ascii="Aptos" w:hAnsi="Aptos"/>
          <w:color w:val="000000"/>
        </w:rPr>
        <w:t>Annual report and accounts 2023</w:t>
      </w:r>
      <w:r>
        <w:rPr>
          <w:rFonts w:ascii="Aptos" w:hAnsi="Aptos"/>
          <w:color w:val="000000"/>
        </w:rPr>
        <w:t xml:space="preserve">. Greggs plc. Available at: </w:t>
      </w:r>
      <w:hyperlink r:id="R3">
        <w:r>
          <w:rPr>
            <w:rStyle w:val="C2"/>
            <w:rFonts w:ascii="Aptos" w:hAnsi="Aptos"/>
          </w:rPr>
          <w:t>https://data.fca.org.uk/artefacts/NSM/Portal/NI-000094131/NI-000094131.pdf</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Greggs (2024)</w:t>
      </w:r>
      <w:r>
        <w:rPr>
          <w:rStyle w:val="C21"/>
          <w:rFonts w:ascii="Aptos" w:hAnsi="Aptos"/>
          <w:color w:val="000000"/>
        </w:rPr>
        <w:t> </w:t>
      </w:r>
      <w:r>
        <w:rPr>
          <w:rStyle w:val="C22"/>
          <w:rFonts w:ascii="Aptos" w:hAnsi="Aptos"/>
          <w:color w:val="000000"/>
        </w:rPr>
        <w:t>The Greggs Pledge 2024 sustainability report</w:t>
      </w:r>
      <w:r>
        <w:rPr>
          <w:rFonts w:ascii="Aptos" w:hAnsi="Aptos"/>
          <w:color w:val="000000"/>
        </w:rPr>
        <w:t xml:space="preserve">. Greggs plc. Available at: </w:t>
      </w:r>
      <w:hyperlink r:id="R4">
        <w:r>
          <w:rPr>
            <w:rStyle w:val="C2"/>
            <w:rFonts w:ascii="Aptos" w:hAnsi="Aptos"/>
          </w:rPr>
          <w:t>https://www.scribd.com/document/862078149/Greggs-Pledge-2024</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(2025a) ‘Doing Good’, Greggs Corporate. Available at: </w:t>
      </w:r>
      <w:hyperlink r:id="R5">
        <w:r>
          <w:rPr>
            <w:rStyle w:val="C2"/>
            <w:rFonts w:ascii="Aptos" w:hAnsi="Aptos"/>
          </w:rPr>
          <w:t>https://corporate.greggs.co.uk/doing-good</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(2025b) ‘Stronger, healthier communities’, Greggs Corporate. Available at: </w:t>
      </w:r>
      <w:hyperlink r:id="R6">
        <w:r>
          <w:rPr>
            <w:rStyle w:val="C2"/>
            <w:rFonts w:ascii="Aptos" w:hAnsi="Aptos"/>
          </w:rPr>
          <w:t>https://corporate.greggs.co.uk/doing-good/stronger-healthier-communities</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(2025c) ‘Making our planet safer’, Greggs Corporate. Available at: </w:t>
      </w:r>
      <w:hyperlink r:id="R7">
        <w:r>
          <w:rPr>
            <w:rStyle w:val="C2"/>
            <w:rFonts w:ascii="Aptos" w:hAnsi="Aptos"/>
          </w:rPr>
          <w:t>https://corporate.greggs.co.uk/doing-good/making-our-planet-safer</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(2025d) ‘Better business’, Greggs Corporate. Available at: </w:t>
      </w:r>
      <w:hyperlink r:id="R8">
        <w:r>
          <w:rPr>
            <w:rStyle w:val="C2"/>
            <w:rFonts w:ascii="Aptos" w:hAnsi="Aptos"/>
          </w:rPr>
          <w:t>https://corporate.greggs.co.uk/doing-good/better-business</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(2025e) ‘The Greggs Pledge: doing good and tasting great’, Greggs News. Available at: </w:t>
      </w:r>
      <w:hyperlink r:id="R9">
        <w:r>
          <w:rPr>
            <w:rStyle w:val="C2"/>
            <w:rFonts w:ascii="Aptos" w:hAnsi="Aptos"/>
          </w:rPr>
          <w:t>https://www.greggs.com/news/the-greggs-pledge-doing-good-and-tasting-great</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(2025f) ‘The Greggs Pledge – on a roll to 2025’, Greggs News. Available at: </w:t>
      </w:r>
      <w:hyperlink r:id="RA">
        <w:r>
          <w:rPr>
            <w:rStyle w:val="C2"/>
            <w:rFonts w:ascii="Aptos" w:hAnsi="Aptos"/>
          </w:rPr>
          <w:t>https://www.greggs.com/news/the-greggs-pledge-on-a-roll-to-2025</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(n.d.) ‘Doing Good’, Greggs. Available at: </w:t>
      </w:r>
      <w:hyperlink r:id="RB">
        <w:r>
          <w:rPr>
            <w:rStyle w:val="C2"/>
            <w:rFonts w:ascii="Aptos" w:hAnsi="Aptos"/>
          </w:rPr>
          <w:t>https://www.greggs.com/doing-good</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 xml:space="preserve">Greggs Foundation (n.d.) ‘Impact report’, Greggs Foundation. Available at: </w:t>
      </w:r>
      <w:hyperlink r:id="RC">
        <w:r>
          <w:rPr>
            <w:rStyle w:val="C2"/>
            <w:rFonts w:ascii="Aptos" w:hAnsi="Aptos"/>
          </w:rPr>
          <w:t>https://www.greggsfoundation.org.uk/about/impact-report</w:t>
        </w:r>
      </w:hyperlink>
      <w:r>
        <w:rPr>
          <w:rFonts w:ascii="Aptos" w:hAnsi="Aptos"/>
          <w:color w:val="000000"/>
        </w:rPr>
        <w:t xml:space="preserve">  </w:t>
      </w:r>
    </w:p>
    <w:p>
      <w:pPr>
        <w:pStyle w:val="P25"/>
        <w:numPr>
          <w:ilvl w:val="0"/>
          <w:numId w:val="7"/>
        </w:numPr>
        <w:rPr>
          <w:rFonts w:ascii="Aptos" w:hAnsi="Aptos"/>
          <w:color w:val="000000"/>
        </w:rPr>
      </w:pPr>
      <w:r>
        <w:rPr>
          <w:rFonts w:ascii="Aptos" w:hAnsi="Aptos"/>
          <w:color w:val="000000"/>
        </w:rPr>
        <w:t>Kumar, V. and Reinartz, W. (2016)</w:t>
      </w:r>
      <w:r>
        <w:rPr>
          <w:rStyle w:val="C21"/>
          <w:rFonts w:ascii="Aptos" w:hAnsi="Aptos"/>
          <w:color w:val="000000"/>
        </w:rPr>
        <w:t> </w:t>
      </w:r>
      <w:r>
        <w:rPr>
          <w:rStyle w:val="C22"/>
          <w:rFonts w:ascii="Aptos" w:hAnsi="Aptos"/>
          <w:color w:val="000000"/>
        </w:rPr>
        <w:t>Customer relationship management: concept, strategy, and tools</w:t>
      </w:r>
      <w:r>
        <w:rPr>
          <w:rFonts w:ascii="Aptos" w:hAnsi="Aptos"/>
          <w:color w:val="000000"/>
        </w:rPr>
        <w:t xml:space="preserve">. 3rd edn. Berlin: Springer  </w:t>
      </w:r>
    </w:p>
    <w:p>
      <w:pPr>
        <w:pStyle w:val="P25"/>
        <w:numPr>
          <w:ilvl w:val="0"/>
          <w:numId w:val="7"/>
        </w:numPr>
        <w:rPr>
          <w:rFonts w:ascii="Aptos" w:hAnsi="Aptos"/>
          <w:color w:val="000000"/>
        </w:rPr>
      </w:pPr>
      <w:r>
        <w:rPr>
          <w:rFonts w:ascii="Aptos" w:hAnsi="Aptos"/>
          <w:color w:val="000000"/>
        </w:rPr>
        <w:t>Retail Technology (2019) ‘Greggs launches mobile loyalty &amp; payment app’,</w:t>
      </w:r>
      <w:r>
        <w:rPr>
          <w:rStyle w:val="C21"/>
          <w:rFonts w:ascii="Aptos" w:hAnsi="Aptos"/>
          <w:color w:val="000000"/>
        </w:rPr>
        <w:t> </w:t>
      </w:r>
      <w:r>
        <w:rPr>
          <w:rStyle w:val="C22"/>
          <w:rFonts w:ascii="Aptos" w:hAnsi="Aptos"/>
          <w:color w:val="000000"/>
        </w:rPr>
        <w:t>Retail Technology</w:t>
      </w:r>
      <w:r>
        <w:rPr>
          <w:rFonts w:ascii="Aptos" w:hAnsi="Aptos"/>
          <w:color w:val="000000"/>
        </w:rPr>
        <w:t xml:space="preserve">. Available at: </w:t>
      </w:r>
      <w:hyperlink r:id="RD">
        <w:r>
          <w:rPr>
            <w:rStyle w:val="C2"/>
            <w:rFonts w:ascii="Aptos" w:hAnsi="Aptos"/>
          </w:rPr>
          <w:t>https://www.retailtechnology.co.uk/5154/greggs-launches-mobile-loyalty-payment-app/</w:t>
        </w:r>
      </w:hyperlink>
      <w:r>
        <w:rPr>
          <w:rFonts w:ascii="Aptos" w:hAnsi="Aptos"/>
          <w:color w:val="000000"/>
        </w:rPr>
        <w:t xml:space="preserve">  </w:t>
      </w:r>
    </w:p>
    <w:p>
      <w:pPr>
        <w:ind w:left="360"/>
      </w:pPr>
    </w:p>
    <w:sectPr>
      <w:type w:val="nextPage"/>
      <w:pgSz w:w="11906" w:h="16838" w:code="0"/>
      <w:pgMar w:left="1440" w:right="1440" w:top="1440" w:bottom="1440" w:header="708" w:footer="708" w:gutter="0"/>
    </w:sectPr>
  </w:body>
</w:document>
</file>

<file path=word/numbering.xml><?xml version="1.0" encoding="utf-8"?>
<w:numbering xmlns:w="http://schemas.openxmlformats.org/wordprocessingml/2006/main">
  <w:abstractNum w:abstractNumId="0">
    <w:nsid w:val="08303D1C"/>
    <w:multiLevelType w:val="hybridMultilevel"/>
    <w:lvl w:ilvl="0" w:tplc="08090001">
      <w:start w:val="1"/>
      <w:numFmt w:val="bullet"/>
      <w:suff w:val="tab"/>
      <w:lvlText w:val=""/>
      <w:lvlJc w:val="left"/>
      <w:pPr>
        <w:ind w:hanging="360" w:left="720"/>
      </w:pPr>
      <w:rPr>
        <w:rFonts w:ascii="Symbol" w:hAnsi="Symbol" w:hint="default"/>
      </w:rPr>
    </w:lvl>
    <w:lvl w:ilvl="1" w:tplc="08090003">
      <w:start w:val="1"/>
      <w:numFmt w:val="bullet"/>
      <w:suff w:val="tab"/>
      <w:lvlText w:val="o"/>
      <w:lvlJc w:val="left"/>
      <w:pPr>
        <w:ind w:hanging="360" w:left="1440"/>
      </w:pPr>
      <w:rPr>
        <w:rFonts w:ascii="Courier New" w:hAnsi="Courier New" w:cs="Courier New" w:hint="default"/>
      </w:rPr>
    </w:lvl>
    <w:lvl w:ilvl="2" w:tplc="08090005">
      <w:start w:val="1"/>
      <w:numFmt w:val="bullet"/>
      <w:suff w:val="tab"/>
      <w:lvlText w:val=""/>
      <w:lvlJc w:val="left"/>
      <w:pPr>
        <w:ind w:hanging="360" w:left="2160"/>
      </w:pPr>
      <w:rPr>
        <w:rFonts w:ascii="Wingdings" w:hAnsi="Wingdings" w:hint="default"/>
      </w:rPr>
    </w:lvl>
    <w:lvl w:ilvl="3" w:tplc="08090001">
      <w:start w:val="1"/>
      <w:numFmt w:val="bullet"/>
      <w:suff w:val="tab"/>
      <w:lvlText w:val=""/>
      <w:lvlJc w:val="left"/>
      <w:pPr>
        <w:ind w:hanging="360" w:left="2880"/>
      </w:pPr>
      <w:rPr>
        <w:rFonts w:ascii="Symbol" w:hAnsi="Symbol" w:hint="default"/>
      </w:rPr>
    </w:lvl>
    <w:lvl w:ilvl="4" w:tplc="08090003">
      <w:start w:val="1"/>
      <w:numFmt w:val="bullet"/>
      <w:suff w:val="tab"/>
      <w:lvlText w:val="o"/>
      <w:lvlJc w:val="left"/>
      <w:pPr>
        <w:ind w:hanging="360" w:left="3600"/>
      </w:pPr>
      <w:rPr>
        <w:rFonts w:ascii="Courier New" w:hAnsi="Courier New" w:cs="Courier New" w:hint="default"/>
      </w:rPr>
    </w:lvl>
    <w:lvl w:ilvl="5" w:tplc="08090005">
      <w:start w:val="1"/>
      <w:numFmt w:val="bullet"/>
      <w:suff w:val="tab"/>
      <w:lvlText w:val=""/>
      <w:lvlJc w:val="left"/>
      <w:pPr>
        <w:ind w:hanging="360" w:left="4320"/>
      </w:pPr>
      <w:rPr>
        <w:rFonts w:ascii="Wingdings" w:hAnsi="Wingdings" w:hint="default"/>
      </w:rPr>
    </w:lvl>
    <w:lvl w:ilvl="6" w:tplc="08090001">
      <w:start w:val="1"/>
      <w:numFmt w:val="bullet"/>
      <w:suff w:val="tab"/>
      <w:lvlText w:val=""/>
      <w:lvlJc w:val="left"/>
      <w:pPr>
        <w:ind w:hanging="360" w:left="5040"/>
      </w:pPr>
      <w:rPr>
        <w:rFonts w:ascii="Symbol" w:hAnsi="Symbol" w:hint="default"/>
      </w:rPr>
    </w:lvl>
    <w:lvl w:ilvl="7" w:tplc="08090003">
      <w:start w:val="1"/>
      <w:numFmt w:val="bullet"/>
      <w:suff w:val="tab"/>
      <w:lvlText w:val="o"/>
      <w:lvlJc w:val="left"/>
      <w:pPr>
        <w:ind w:hanging="360" w:left="5760"/>
      </w:pPr>
      <w:rPr>
        <w:rFonts w:ascii="Courier New" w:hAnsi="Courier New" w:cs="Courier New" w:hint="default"/>
      </w:rPr>
    </w:lvl>
    <w:lvl w:ilvl="8" w:tplc="08090005">
      <w:start w:val="1"/>
      <w:numFmt w:val="bullet"/>
      <w:suff w:val="tab"/>
      <w:lvlText w:val=""/>
      <w:lvlJc w:val="left"/>
      <w:pPr>
        <w:ind w:hanging="360" w:left="6480"/>
      </w:pPr>
      <w:rPr>
        <w:rFonts w:ascii="Wingdings" w:hAnsi="Wingdings" w:hint="default"/>
      </w:rPr>
    </w:lvl>
  </w:abstractNum>
  <w:abstractNum w:abstractNumId="1">
    <w:nsid w:val="20701228"/>
    <w:multiLevelType w:val="multilevel"/>
    <w:lvl w:ilvl="0">
      <w:start w:val="5"/>
      <w:numFmt w:val="decimal"/>
      <w:suff w:val="tab"/>
      <w:lvlText w:val="%1"/>
      <w:lvlJc w:val="left"/>
      <w:pPr>
        <w:ind w:hanging="520" w:left="520"/>
      </w:pPr>
      <w:rPr>
        <w:rFonts w:hint="default"/>
      </w:rPr>
    </w:lvl>
    <w:lvl w:ilvl="1">
      <w:start w:val="4"/>
      <w:numFmt w:val="decimal"/>
      <w:suff w:val="tab"/>
      <w:lvlText w:val="%1.%2"/>
      <w:lvlJc w:val="left"/>
      <w:pPr>
        <w:ind w:hanging="720" w:left="1080"/>
      </w:pPr>
      <w:rPr>
        <w:rFonts w:hint="default"/>
      </w:rPr>
    </w:lvl>
    <w:lvl w:ilvl="2">
      <w:start w:val="1"/>
      <w:numFmt w:val="decimal"/>
      <w:suff w:val="tab"/>
      <w:lvlText w:val="%1.%2.%3"/>
      <w:lvlJc w:val="left"/>
      <w:pPr>
        <w:ind w:hanging="1080" w:left="1800"/>
      </w:pPr>
      <w:rPr>
        <w:rFonts w:hint="default"/>
      </w:rPr>
    </w:lvl>
    <w:lvl w:ilvl="3">
      <w:start w:val="1"/>
      <w:numFmt w:val="decimal"/>
      <w:suff w:val="tab"/>
      <w:lvlText w:val="%1.%2.%3.%4"/>
      <w:lvlJc w:val="left"/>
      <w:pPr>
        <w:ind w:hanging="1440" w:left="2520"/>
      </w:pPr>
      <w:rPr>
        <w:rFonts w:hint="default"/>
      </w:rPr>
    </w:lvl>
    <w:lvl w:ilvl="4">
      <w:start w:val="1"/>
      <w:numFmt w:val="decimal"/>
      <w:suff w:val="tab"/>
      <w:lvlText w:val="%1.%2.%3.%4.%5"/>
      <w:lvlJc w:val="left"/>
      <w:pPr>
        <w:ind w:hanging="1800" w:left="3240"/>
      </w:pPr>
      <w:rPr>
        <w:rFonts w:hint="default"/>
      </w:rPr>
    </w:lvl>
    <w:lvl w:ilvl="5">
      <w:start w:val="1"/>
      <w:numFmt w:val="decimal"/>
      <w:suff w:val="tab"/>
      <w:lvlText w:val="%1.%2.%3.%4.%5.%6"/>
      <w:lvlJc w:val="left"/>
      <w:pPr>
        <w:ind w:hanging="1800" w:left="3600"/>
      </w:pPr>
      <w:rPr>
        <w:rFonts w:hint="default"/>
      </w:rPr>
    </w:lvl>
    <w:lvl w:ilvl="6">
      <w:start w:val="1"/>
      <w:numFmt w:val="decimal"/>
      <w:suff w:val="tab"/>
      <w:lvlText w:val="%1.%2.%3.%4.%5.%6.%7"/>
      <w:lvlJc w:val="left"/>
      <w:pPr>
        <w:ind w:hanging="2160" w:left="4320"/>
      </w:pPr>
      <w:rPr>
        <w:rFonts w:hint="default"/>
      </w:rPr>
    </w:lvl>
    <w:lvl w:ilvl="7">
      <w:start w:val="1"/>
      <w:numFmt w:val="decimal"/>
      <w:suff w:val="tab"/>
      <w:lvlText w:val="%1.%2.%3.%4.%5.%6.%7.%8"/>
      <w:lvlJc w:val="left"/>
      <w:pPr>
        <w:ind w:hanging="2520" w:left="5040"/>
      </w:pPr>
      <w:rPr>
        <w:rFonts w:hint="default"/>
      </w:rPr>
    </w:lvl>
    <w:lvl w:ilvl="8">
      <w:start w:val="1"/>
      <w:numFmt w:val="decimal"/>
      <w:suff w:val="tab"/>
      <w:lvlText w:val="%1.%2.%3.%4.%5.%6.%7.%8.%9"/>
      <w:lvlJc w:val="left"/>
      <w:pPr>
        <w:ind w:hanging="2880" w:left="5760"/>
      </w:pPr>
      <w:rPr>
        <w:rFonts w:hint="default"/>
      </w:rPr>
    </w:lvl>
  </w:abstractNum>
  <w:abstractNum w:abstractNumId="2">
    <w:nsid w:val="286F59ED"/>
    <w:multiLevelType w:val="hybridMultilevel"/>
    <w:lvl w:ilvl="0" w:tplc="0809000F">
      <w:start w:val="1"/>
      <w:numFmt w:val="decimal"/>
      <w:suff w:val="tab"/>
      <w:lvlText w:val="%1."/>
      <w:lvlJc w:val="left"/>
      <w:pPr>
        <w:ind w:hanging="360" w:left="720"/>
      </w:pPr>
      <w:rPr>
        <w:rFonts w:hint="default"/>
      </w:rPr>
    </w:lvl>
    <w:lvl w:ilvl="1" w:tplc="08090019">
      <w:start w:val="1"/>
      <w:numFmt w:val="lowerLetter"/>
      <w:suff w:val="tab"/>
      <w:lvlText w:val="%2."/>
      <w:lvlJc w:val="left"/>
      <w:pPr>
        <w:ind w:hanging="360" w:left="1440"/>
      </w:pPr>
      <w:rPr/>
    </w:lvl>
    <w:lvl w:ilvl="2" w:tplc="0809001B">
      <w:start w:val="1"/>
      <w:numFmt w:val="lowerRoman"/>
      <w:suff w:val="tab"/>
      <w:lvlText w:val="%3."/>
      <w:lvlJc w:val="right"/>
      <w:pPr>
        <w:ind w:hanging="180" w:left="2160"/>
      </w:pPr>
      <w:rPr/>
    </w:lvl>
    <w:lvl w:ilvl="3" w:tplc="0809000F">
      <w:start w:val="1"/>
      <w:numFmt w:val="decimal"/>
      <w:suff w:val="tab"/>
      <w:lvlText w:val="%4."/>
      <w:lvlJc w:val="left"/>
      <w:pPr>
        <w:ind w:hanging="360" w:left="2880"/>
      </w:pPr>
      <w:rPr/>
    </w:lvl>
    <w:lvl w:ilvl="4" w:tplc="08090019">
      <w:start w:val="1"/>
      <w:numFmt w:val="lowerLetter"/>
      <w:suff w:val="tab"/>
      <w:lvlText w:val="%5."/>
      <w:lvlJc w:val="left"/>
      <w:pPr>
        <w:ind w:hanging="360" w:left="3600"/>
      </w:pPr>
      <w:rPr/>
    </w:lvl>
    <w:lvl w:ilvl="5" w:tplc="0809001B">
      <w:start w:val="1"/>
      <w:numFmt w:val="lowerRoman"/>
      <w:suff w:val="tab"/>
      <w:lvlText w:val="%6."/>
      <w:lvlJc w:val="right"/>
      <w:pPr>
        <w:ind w:hanging="180" w:left="4320"/>
      </w:pPr>
      <w:rPr/>
    </w:lvl>
    <w:lvl w:ilvl="6" w:tplc="0809000F">
      <w:start w:val="1"/>
      <w:numFmt w:val="decimal"/>
      <w:suff w:val="tab"/>
      <w:lvlText w:val="%7."/>
      <w:lvlJc w:val="left"/>
      <w:pPr>
        <w:ind w:hanging="360" w:left="5040"/>
      </w:pPr>
      <w:rPr/>
    </w:lvl>
    <w:lvl w:ilvl="7" w:tplc="08090019">
      <w:start w:val="1"/>
      <w:numFmt w:val="lowerLetter"/>
      <w:suff w:val="tab"/>
      <w:lvlText w:val="%8."/>
      <w:lvlJc w:val="left"/>
      <w:pPr>
        <w:ind w:hanging="360" w:left="5760"/>
      </w:pPr>
      <w:rPr/>
    </w:lvl>
    <w:lvl w:ilvl="8" w:tplc="0809001B">
      <w:start w:val="1"/>
      <w:numFmt w:val="lowerRoman"/>
      <w:suff w:val="tab"/>
      <w:lvlText w:val="%9."/>
      <w:lvlJc w:val="right"/>
      <w:pPr>
        <w:ind w:hanging="180" w:left="6480"/>
      </w:pPr>
      <w:rPr/>
    </w:lvl>
  </w:abstractNum>
  <w:abstractNum w:abstractNumId="3">
    <w:nsid w:val="36BF7097"/>
    <w:multiLevelType w:val="multilevel"/>
    <w:lvl w:ilvl="0">
      <w:start w:val="1"/>
      <w:numFmt w:val="decimal"/>
      <w:suff w:val="tab"/>
      <w:lvlText w:val="%1."/>
      <w:lvlJc w:val="left"/>
      <w:pPr>
        <w:ind w:hanging="360" w:left="360"/>
      </w:pPr>
      <w:rPr/>
    </w:lvl>
    <w:lvl w:ilvl="1">
      <w:start w:val="1"/>
      <w:numFmt w:val="decimal"/>
      <w:suff w:val="tab"/>
      <w:lvlText w:val="%1.%2."/>
      <w:lvlJc w:val="left"/>
      <w:pPr>
        <w:ind w:hanging="432" w:left="792"/>
      </w:pPr>
      <w:rPr/>
    </w:lvl>
    <w:lvl w:ilvl="2">
      <w:start w:val="1"/>
      <w:numFmt w:val="decimal"/>
      <w:suff w:val="tab"/>
      <w:lvlText w:val="%1.%2.%3."/>
      <w:lvlJc w:val="left"/>
      <w:pPr>
        <w:ind w:hanging="504" w:left="1224"/>
      </w:pPr>
      <w:rPr/>
    </w:lvl>
    <w:lvl w:ilvl="3">
      <w:start w:val="1"/>
      <w:numFmt w:val="decimal"/>
      <w:suff w:val="tab"/>
      <w:lvlText w:val="%1.%2.%3.%4."/>
      <w:lvlJc w:val="left"/>
      <w:pPr>
        <w:ind w:hanging="648" w:left="1728"/>
      </w:pPr>
      <w:rPr/>
    </w:lvl>
    <w:lvl w:ilvl="4">
      <w:start w:val="1"/>
      <w:numFmt w:val="decimal"/>
      <w:suff w:val="tab"/>
      <w:lvlText w:val="%1.%2.%3.%4.%5."/>
      <w:lvlJc w:val="left"/>
      <w:pPr>
        <w:ind w:hanging="792" w:left="2232"/>
      </w:pPr>
      <w:rPr/>
    </w:lvl>
    <w:lvl w:ilvl="5">
      <w:start w:val="1"/>
      <w:numFmt w:val="decimal"/>
      <w:suff w:val="tab"/>
      <w:lvlText w:val="%1.%2.%3.%4.%5.%6."/>
      <w:lvlJc w:val="left"/>
      <w:pPr>
        <w:ind w:hanging="936" w:left="2736"/>
      </w:pPr>
      <w:rPr/>
    </w:lvl>
    <w:lvl w:ilvl="6">
      <w:start w:val="1"/>
      <w:numFmt w:val="decimal"/>
      <w:suff w:val="tab"/>
      <w:lvlText w:val="%1.%2.%3.%4.%5.%6.%7."/>
      <w:lvlJc w:val="left"/>
      <w:pPr>
        <w:ind w:hanging="1080" w:left="3240"/>
      </w:pPr>
      <w:rPr/>
    </w:lvl>
    <w:lvl w:ilvl="7">
      <w:start w:val="1"/>
      <w:numFmt w:val="decimal"/>
      <w:suff w:val="tab"/>
      <w:lvlText w:val="%1.%2.%3.%4.%5.%6.%7.%8."/>
      <w:lvlJc w:val="left"/>
      <w:pPr>
        <w:ind w:hanging="1224" w:left="3744"/>
      </w:pPr>
      <w:rPr/>
    </w:lvl>
    <w:lvl w:ilvl="8">
      <w:start w:val="1"/>
      <w:numFmt w:val="decimal"/>
      <w:suff w:val="tab"/>
      <w:lvlText w:val="%1.%2.%3.%4.%5.%6.%7.%8.%9."/>
      <w:lvlJc w:val="left"/>
      <w:pPr>
        <w:ind w:hanging="1440" w:left="4320"/>
      </w:pPr>
      <w:rPr/>
    </w:lvl>
  </w:abstractNum>
  <w:abstractNum w:abstractNumId="4">
    <w:nsid w:val="4DD82E8B"/>
    <w:multiLevelType w:val="hybridMultilevel"/>
    <w:lvl w:ilvl="0" w:tplc="E89C53B4">
      <w:start w:val="1"/>
      <w:numFmt w:val="decimal"/>
      <w:suff w:val="tab"/>
      <w:lvlText w:val="%1."/>
      <w:lvlJc w:val="left"/>
      <w:pPr>
        <w:ind w:hanging="360" w:left="1100"/>
      </w:pPr>
      <w:rPr>
        <w:rFonts w:hint="default"/>
      </w:rPr>
    </w:lvl>
    <w:lvl w:ilvl="1" w:tplc="08090019">
      <w:start w:val="1"/>
      <w:numFmt w:val="lowerLetter"/>
      <w:suff w:val="tab"/>
      <w:lvlText w:val="%2."/>
      <w:lvlJc w:val="left"/>
      <w:pPr>
        <w:ind w:hanging="360" w:left="1820"/>
      </w:pPr>
      <w:rPr/>
    </w:lvl>
    <w:lvl w:ilvl="2" w:tplc="0809001B">
      <w:start w:val="1"/>
      <w:numFmt w:val="lowerRoman"/>
      <w:suff w:val="tab"/>
      <w:lvlText w:val="%3."/>
      <w:lvlJc w:val="right"/>
      <w:pPr>
        <w:ind w:hanging="180" w:left="2540"/>
      </w:pPr>
      <w:rPr/>
    </w:lvl>
    <w:lvl w:ilvl="3" w:tplc="0809000F">
      <w:start w:val="1"/>
      <w:numFmt w:val="decimal"/>
      <w:suff w:val="tab"/>
      <w:lvlText w:val="%4."/>
      <w:lvlJc w:val="left"/>
      <w:pPr>
        <w:ind w:hanging="360" w:left="3260"/>
      </w:pPr>
      <w:rPr/>
    </w:lvl>
    <w:lvl w:ilvl="4" w:tplc="08090019">
      <w:start w:val="1"/>
      <w:numFmt w:val="lowerLetter"/>
      <w:suff w:val="tab"/>
      <w:lvlText w:val="%5."/>
      <w:lvlJc w:val="left"/>
      <w:pPr>
        <w:ind w:hanging="360" w:left="3980"/>
      </w:pPr>
      <w:rPr/>
    </w:lvl>
    <w:lvl w:ilvl="5" w:tplc="0809001B">
      <w:start w:val="1"/>
      <w:numFmt w:val="lowerRoman"/>
      <w:suff w:val="tab"/>
      <w:lvlText w:val="%6."/>
      <w:lvlJc w:val="right"/>
      <w:pPr>
        <w:ind w:hanging="180" w:left="4700"/>
      </w:pPr>
      <w:rPr/>
    </w:lvl>
    <w:lvl w:ilvl="6" w:tplc="0809000F">
      <w:start w:val="1"/>
      <w:numFmt w:val="decimal"/>
      <w:suff w:val="tab"/>
      <w:lvlText w:val="%7."/>
      <w:lvlJc w:val="left"/>
      <w:pPr>
        <w:ind w:hanging="360" w:left="5420"/>
      </w:pPr>
      <w:rPr/>
    </w:lvl>
    <w:lvl w:ilvl="7" w:tplc="08090019">
      <w:start w:val="1"/>
      <w:numFmt w:val="lowerLetter"/>
      <w:suff w:val="tab"/>
      <w:lvlText w:val="%8."/>
      <w:lvlJc w:val="left"/>
      <w:pPr>
        <w:ind w:hanging="360" w:left="6140"/>
      </w:pPr>
      <w:rPr/>
    </w:lvl>
    <w:lvl w:ilvl="8" w:tplc="0809001B">
      <w:start w:val="1"/>
      <w:numFmt w:val="lowerRoman"/>
      <w:suff w:val="tab"/>
      <w:lvlText w:val="%9."/>
      <w:lvlJc w:val="right"/>
      <w:pPr>
        <w:ind w:hanging="180" w:left="6860"/>
      </w:pPr>
      <w:rPr/>
    </w:lvl>
  </w:abstractNum>
  <w:abstractNum w:abstractNumId="5">
    <w:nsid w:val="591A799B"/>
    <w:multiLevelType w:val="hybridMultilevel"/>
    <w:lvl w:ilvl="0" w:tplc="0809000F">
      <w:start w:val="0"/>
      <w:numFmt w:val="decimal"/>
      <w:suff w:val="tab"/>
      <w:lvlText w:val="%1."/>
      <w:lvlJc w:val="left"/>
      <w:pPr>
        <w:ind w:hanging="360" w:left="720"/>
      </w:pPr>
      <w:rPr>
        <w:rFonts w:hint="default"/>
      </w:rPr>
    </w:lvl>
    <w:lvl w:ilvl="1" w:tplc="08090019">
      <w:start w:val="1"/>
      <w:numFmt w:val="lowerLetter"/>
      <w:suff w:val="tab"/>
      <w:lvlText w:val="%2."/>
      <w:lvlJc w:val="left"/>
      <w:pPr>
        <w:ind w:hanging="360" w:left="1440"/>
      </w:pPr>
      <w:rPr/>
    </w:lvl>
    <w:lvl w:ilvl="2" w:tplc="0809001B">
      <w:start w:val="1"/>
      <w:numFmt w:val="lowerRoman"/>
      <w:suff w:val="tab"/>
      <w:lvlText w:val="%3."/>
      <w:lvlJc w:val="right"/>
      <w:pPr>
        <w:ind w:hanging="180" w:left="2160"/>
      </w:pPr>
      <w:rPr/>
    </w:lvl>
    <w:lvl w:ilvl="3" w:tplc="0809000F">
      <w:start w:val="1"/>
      <w:numFmt w:val="decimal"/>
      <w:suff w:val="tab"/>
      <w:lvlText w:val="%4."/>
      <w:lvlJc w:val="left"/>
      <w:pPr>
        <w:ind w:hanging="360" w:left="2880"/>
      </w:pPr>
      <w:rPr/>
    </w:lvl>
    <w:lvl w:ilvl="4" w:tplc="08090019">
      <w:start w:val="1"/>
      <w:numFmt w:val="lowerLetter"/>
      <w:suff w:val="tab"/>
      <w:lvlText w:val="%5."/>
      <w:lvlJc w:val="left"/>
      <w:pPr>
        <w:ind w:hanging="360" w:left="3600"/>
      </w:pPr>
      <w:rPr/>
    </w:lvl>
    <w:lvl w:ilvl="5" w:tplc="0809001B">
      <w:start w:val="1"/>
      <w:numFmt w:val="lowerRoman"/>
      <w:suff w:val="tab"/>
      <w:lvlText w:val="%6."/>
      <w:lvlJc w:val="right"/>
      <w:pPr>
        <w:ind w:hanging="180" w:left="4320"/>
      </w:pPr>
      <w:rPr/>
    </w:lvl>
    <w:lvl w:ilvl="6" w:tplc="0809000F">
      <w:start w:val="1"/>
      <w:numFmt w:val="decimal"/>
      <w:suff w:val="tab"/>
      <w:lvlText w:val="%7."/>
      <w:lvlJc w:val="left"/>
      <w:pPr>
        <w:ind w:hanging="360" w:left="5040"/>
      </w:pPr>
      <w:rPr/>
    </w:lvl>
    <w:lvl w:ilvl="7" w:tplc="08090019">
      <w:start w:val="1"/>
      <w:numFmt w:val="lowerLetter"/>
      <w:suff w:val="tab"/>
      <w:lvlText w:val="%8."/>
      <w:lvlJc w:val="left"/>
      <w:pPr>
        <w:ind w:hanging="360" w:left="5760"/>
      </w:pPr>
      <w:rPr/>
    </w:lvl>
    <w:lvl w:ilvl="8" w:tplc="0809001B">
      <w:start w:val="1"/>
      <w:numFmt w:val="lowerRoman"/>
      <w:suff w:val="tab"/>
      <w:lvlText w:val="%9."/>
      <w:lvlJc w:val="right"/>
      <w:pPr>
        <w:ind w:hanging="180" w:left="6480"/>
      </w:pPr>
      <w:rPr/>
    </w:lvl>
  </w:abstractNum>
  <w:abstractNum w:abstractNumId="6">
    <w:nsid w:val="749C5075"/>
    <w:multiLevelType w:val="hybridMultilevel"/>
    <w:lvl w:ilvl="0" w:tplc="629EAE4A">
      <w:start w:val="1"/>
      <w:numFmt w:val="decimal"/>
      <w:suff w:val="tab"/>
      <w:lvlText w:val="%1."/>
      <w:lvlJc w:val="left"/>
      <w:pPr>
        <w:ind w:hanging="380" w:left="740"/>
      </w:pPr>
      <w:rPr>
        <w:rFonts w:hint="default"/>
      </w:rPr>
    </w:lvl>
    <w:lvl w:ilvl="1" w:tplc="08090019">
      <w:start w:val="1"/>
      <w:numFmt w:val="lowerLetter"/>
      <w:suff w:val="tab"/>
      <w:lvlText w:val="%2."/>
      <w:lvlJc w:val="left"/>
      <w:pPr>
        <w:ind w:hanging="360" w:left="1440"/>
      </w:pPr>
      <w:rPr/>
    </w:lvl>
    <w:lvl w:ilvl="2" w:tplc="0809001B">
      <w:start w:val="1"/>
      <w:numFmt w:val="lowerRoman"/>
      <w:suff w:val="tab"/>
      <w:lvlText w:val="%3."/>
      <w:lvlJc w:val="right"/>
      <w:pPr>
        <w:ind w:hanging="180" w:left="2160"/>
      </w:pPr>
      <w:rPr/>
    </w:lvl>
    <w:lvl w:ilvl="3" w:tplc="0809000F">
      <w:start w:val="1"/>
      <w:numFmt w:val="decimal"/>
      <w:suff w:val="tab"/>
      <w:lvlText w:val="%4."/>
      <w:lvlJc w:val="left"/>
      <w:pPr>
        <w:ind w:hanging="360" w:left="2880"/>
      </w:pPr>
      <w:rPr/>
    </w:lvl>
    <w:lvl w:ilvl="4" w:tplc="08090019">
      <w:start w:val="1"/>
      <w:numFmt w:val="lowerLetter"/>
      <w:suff w:val="tab"/>
      <w:lvlText w:val="%5."/>
      <w:lvlJc w:val="left"/>
      <w:pPr>
        <w:ind w:hanging="360" w:left="3600"/>
      </w:pPr>
      <w:rPr/>
    </w:lvl>
    <w:lvl w:ilvl="5" w:tplc="0809001B">
      <w:start w:val="1"/>
      <w:numFmt w:val="lowerRoman"/>
      <w:suff w:val="tab"/>
      <w:lvlText w:val="%6."/>
      <w:lvlJc w:val="right"/>
      <w:pPr>
        <w:ind w:hanging="180" w:left="4320"/>
      </w:pPr>
      <w:rPr/>
    </w:lvl>
    <w:lvl w:ilvl="6" w:tplc="0809000F">
      <w:start w:val="1"/>
      <w:numFmt w:val="decimal"/>
      <w:suff w:val="tab"/>
      <w:lvlText w:val="%7."/>
      <w:lvlJc w:val="left"/>
      <w:pPr>
        <w:ind w:hanging="360" w:left="5040"/>
      </w:pPr>
      <w:rPr/>
    </w:lvl>
    <w:lvl w:ilvl="7" w:tplc="08090019">
      <w:start w:val="1"/>
      <w:numFmt w:val="lowerLetter"/>
      <w:suff w:val="tab"/>
      <w:lvlText w:val="%8."/>
      <w:lvlJc w:val="left"/>
      <w:pPr>
        <w:ind w:hanging="360" w:left="5760"/>
      </w:pPr>
      <w:rPr/>
    </w:lvl>
    <w:lvl w:ilvl="8" w:tplc="0809001B">
      <w:start w:val="1"/>
      <w:numFmt w:val="lowerRoman"/>
      <w:suff w:val="tab"/>
      <w:lvlText w:val="%9."/>
      <w:lvlJc w:val="right"/>
      <w:pPr>
        <w:ind w:hanging="180" w:left="6480"/>
      </w:pPr>
      <w:rPr/>
    </w:lvl>
  </w:abstractNum>
  <w:num w:numId="1">
    <w:abstractNumId w:val="6"/>
  </w:num>
  <w:num w:numId="2">
    <w:abstractNumId w:val="0"/>
  </w:num>
  <w:num w:numId="3">
    <w:abstractNumId w:val="4"/>
  </w:num>
  <w:num w:numId="4">
    <w:abstractNumId w:val="3"/>
  </w:num>
  <w:num w:numId="5">
    <w:abstractNumId w:val="5"/>
  </w:num>
  <w:num w:numId="6">
    <w:abstractNumId w:val="1"/>
  </w:num>
  <w:num w:numId="7">
    <w:abstractNumId w:val="2"/>
  </w:num>
</w:numbering>
</file>

<file path=word/settings.xml><?xml version="1.0" encoding="utf-8"?>
<w:settings xmlns:r="http://schemas.openxmlformats.org/officeDocument/2006/relationships" xmlns:w="http://schemas.openxmlformats.org/wordprocessingml/2006/main">
  <w:displayBackgroundShape w:val="0"/>
  <w:defaultTabStop w:val="720"/>
  <w:autoHyphenation w:val="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brkBin m:val="before"/>
    <m:brkBinSub m:val="--"/>
    <m:defJc m:val="centerGroup"/>
    <m:dispDef/>
    <m:interSp m:val="0"/>
    <m:intLim m:val="subSup"/>
    <m:intraSp m:val="0"/>
    <m:lMargin m:val="0"/>
    <m:mathFont m:val="Cambria Math"/>
    <m:naryLim m:val="undOvr"/>
    <m:postSp m:val="0"/>
    <m:preSp m:val="0"/>
    <m:rMargin m:val="0"/>
    <m:smallFrac/>
    <m:wrapIndent m:val="1440"/>
    <m:wrapRight m:val="0"/>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heme="minorHAnsi" w:hAnsiTheme="minorHAnsi" w:cstheme="minorBidi" w:eastAsiaTheme="minorHAnsi"/>
        <w:sz w:val="24"/>
        <w:szCs w:val="24"/>
        <w:kern w:val="2"/>
        <w:lang w:val="en-GB" w:bidi="ar-SA" w:eastAsia="en-US"/>
      </w:rPr>
    </w:rPrDefault>
    <w:pPrDefault>
      <w:pPr>
        <w:keepNext w:val="0"/>
        <w:keepLines w:val="0"/>
        <w:pageBreakBefore w:val="0"/>
        <w:widowControl w:val="1"/>
        <w:suppressLineNumbers w:val="0"/>
        <w:shd w:val="clear" w:fill="auto"/>
        <w:suppressAutoHyphens w:val="0"/>
        <w:spacing w:lineRule="auto" w:line="278" w:before="0" w:after="160" w:beforeAutospacing="0" w:afterAutospacing="0"/>
        <w:ind w:firstLine="0" w:left="0" w:right="0"/>
        <w:contextualSpacing w:val="0"/>
        <w:bidi w:val="0"/>
        <w:jc w:val="left"/>
        <w:outlineLvl w:val="9"/>
      </w:pPr>
    </w:pPrDefault>
  </w:docDefaults>
  <w:style w:type="paragraph" w:styleId="P0" w:default="1">
    <w:name w:val="Normal"/>
    <w:qFormat/>
    <w:pPr/>
    <w:rPr/>
  </w:style>
  <w:style w:type="paragraph" w:styleId="P1">
    <w:name w:val="Heading 1"/>
    <w:basedOn w:val="P0"/>
    <w:next w:val="P0"/>
    <w:link w:val="C3"/>
    <w:qFormat/>
    <w:pPr>
      <w:keepNext w:val="1"/>
      <w:keepLines w:val="1"/>
      <w:spacing w:before="360" w:after="80" w:beforeAutospacing="0" w:afterAutospacing="0"/>
      <w:outlineLvl w:val="0"/>
    </w:pPr>
    <w:rPr>
      <w:rFonts w:asciiTheme="majorHAnsi" w:hAnsiTheme="majorHAnsi" w:cstheme="majorBidi" w:eastAsiaTheme="majorEastAsia"/>
      <w:color w:val="104861" w:themeColor="accent1" w:themeShade="BF"/>
      <w:sz w:val="40"/>
      <w:szCs w:val="40"/>
    </w:rPr>
  </w:style>
  <w:style w:type="paragraph" w:styleId="P2">
    <w:name w:val="Heading 2"/>
    <w:basedOn w:val="P0"/>
    <w:next w:val="P0"/>
    <w:link w:val="C4"/>
    <w:qFormat/>
    <w:pPr>
      <w:keepNext w:val="1"/>
      <w:keepLines w:val="1"/>
      <w:spacing w:before="160" w:after="80" w:beforeAutospacing="0" w:afterAutospacing="0"/>
      <w:outlineLvl w:val="1"/>
    </w:pPr>
    <w:rPr>
      <w:rFonts w:asciiTheme="majorHAnsi" w:hAnsiTheme="majorHAnsi" w:cstheme="majorBidi" w:eastAsiaTheme="majorEastAsia"/>
      <w:color w:val="104861" w:themeColor="accent1" w:themeShade="BF"/>
      <w:sz w:val="32"/>
      <w:szCs w:val="32"/>
    </w:rPr>
  </w:style>
  <w:style w:type="paragraph" w:styleId="P3">
    <w:name w:val="Heading 3"/>
    <w:basedOn w:val="P0"/>
    <w:next w:val="P0"/>
    <w:link w:val="C5"/>
    <w:semiHidden/>
    <w:qFormat/>
    <w:pPr>
      <w:keepNext w:val="1"/>
      <w:keepLines w:val="1"/>
      <w:spacing w:before="160" w:after="80" w:beforeAutospacing="0" w:afterAutospacing="0"/>
      <w:outlineLvl w:val="2"/>
    </w:pPr>
    <w:rPr>
      <w:rFonts w:cstheme="majorBidi" w:eastAsiaTheme="majorEastAsia"/>
      <w:color w:val="104861" w:themeColor="accent1" w:themeShade="BF"/>
      <w:sz w:val="28"/>
      <w:szCs w:val="28"/>
    </w:rPr>
  </w:style>
  <w:style w:type="paragraph" w:styleId="P4">
    <w:name w:val="Heading 4"/>
    <w:basedOn w:val="P0"/>
    <w:next w:val="P0"/>
    <w:link w:val="C6"/>
    <w:semiHidden/>
    <w:qFormat/>
    <w:pPr>
      <w:keepNext w:val="1"/>
      <w:keepLines w:val="1"/>
      <w:spacing w:before="80" w:after="40" w:beforeAutospacing="0" w:afterAutospacing="0"/>
      <w:outlineLvl w:val="3"/>
    </w:pPr>
    <w:rPr>
      <w:rFonts w:cstheme="majorBidi" w:eastAsiaTheme="majorEastAsia"/>
      <w:i w:val="1"/>
      <w:iCs w:val="1"/>
      <w:color w:val="104861" w:themeColor="accent1" w:themeShade="BF"/>
    </w:rPr>
  </w:style>
  <w:style w:type="paragraph" w:styleId="P5">
    <w:name w:val="Heading 5"/>
    <w:basedOn w:val="P0"/>
    <w:next w:val="P0"/>
    <w:link w:val="C7"/>
    <w:semiHidden/>
    <w:qFormat/>
    <w:pPr>
      <w:keepNext w:val="1"/>
      <w:keepLines w:val="1"/>
      <w:spacing w:before="80" w:after="40" w:beforeAutospacing="0" w:afterAutospacing="0"/>
      <w:outlineLvl w:val="4"/>
    </w:pPr>
    <w:rPr>
      <w:rFonts w:cstheme="majorBidi" w:eastAsiaTheme="majorEastAsia"/>
      <w:color w:val="104861" w:themeColor="accent1" w:themeShade="BF"/>
    </w:rPr>
  </w:style>
  <w:style w:type="paragraph" w:styleId="P6">
    <w:name w:val="Heading 6"/>
    <w:basedOn w:val="P0"/>
    <w:next w:val="P0"/>
    <w:link w:val="C8"/>
    <w:semiHidden/>
    <w:qFormat/>
    <w:pPr>
      <w:keepNext w:val="1"/>
      <w:keepLines w:val="1"/>
      <w:spacing w:before="40" w:after="0" w:beforeAutospacing="0" w:afterAutospacing="0"/>
      <w:outlineLvl w:val="5"/>
    </w:pPr>
    <w:rPr>
      <w:rFonts w:cstheme="majorBidi" w:eastAsiaTheme="majorEastAsia"/>
      <w:i w:val="1"/>
      <w:iCs w:val="1"/>
      <w:color w:val="595959" w:themeColor="text1" w:themeTint="A6"/>
    </w:rPr>
  </w:style>
  <w:style w:type="paragraph" w:styleId="P7">
    <w:name w:val="Heading 7"/>
    <w:basedOn w:val="P0"/>
    <w:next w:val="P0"/>
    <w:link w:val="C9"/>
    <w:semiHidden/>
    <w:qFormat/>
    <w:pPr>
      <w:keepNext w:val="1"/>
      <w:keepLines w:val="1"/>
      <w:spacing w:before="40" w:after="0" w:beforeAutospacing="0" w:afterAutospacing="0"/>
      <w:outlineLvl w:val="6"/>
    </w:pPr>
    <w:rPr>
      <w:rFonts w:cstheme="majorBidi" w:eastAsiaTheme="majorEastAsia"/>
      <w:color w:val="595959" w:themeColor="text1" w:themeTint="A6"/>
    </w:rPr>
  </w:style>
  <w:style w:type="paragraph" w:styleId="P8">
    <w:name w:val="Heading 8"/>
    <w:basedOn w:val="P0"/>
    <w:next w:val="P0"/>
    <w:link w:val="C10"/>
    <w:semiHidden/>
    <w:qFormat/>
    <w:pPr>
      <w:keepNext w:val="1"/>
      <w:keepLines w:val="1"/>
      <w:spacing w:after="0" w:beforeAutospacing="0" w:afterAutospacing="0"/>
      <w:outlineLvl w:val="7"/>
    </w:pPr>
    <w:rPr>
      <w:rFonts w:cstheme="majorBidi" w:eastAsiaTheme="majorEastAsia"/>
      <w:i w:val="1"/>
      <w:iCs w:val="1"/>
      <w:color w:val="272727" w:themeColor="text1" w:themeTint="D8"/>
    </w:rPr>
  </w:style>
  <w:style w:type="paragraph" w:styleId="P9">
    <w:name w:val="Heading 9"/>
    <w:basedOn w:val="P0"/>
    <w:next w:val="P0"/>
    <w:link w:val="C11"/>
    <w:semiHidden/>
    <w:qFormat/>
    <w:pPr>
      <w:keepNext w:val="1"/>
      <w:keepLines w:val="1"/>
      <w:spacing w:after="0" w:beforeAutospacing="0" w:afterAutospacing="0"/>
      <w:outlineLvl w:val="8"/>
    </w:pPr>
    <w:rPr>
      <w:rFonts w:cstheme="majorBidi" w:eastAsiaTheme="majorEastAsia"/>
      <w:color w:val="272727" w:themeColor="text1" w:themeTint="D8"/>
    </w:rPr>
  </w:style>
  <w:style w:type="paragraph" w:styleId="P10">
    <w:name w:val="Title"/>
    <w:basedOn w:val="P0"/>
    <w:next w:val="P0"/>
    <w:link w:val="C12"/>
    <w:qFormat/>
    <w:pPr>
      <w:spacing w:lineRule="auto" w:line="240" w:after="80" w:beforeAutospacing="0" w:afterAutospacing="0"/>
      <w:contextualSpacing w:val="1"/>
    </w:pPr>
    <w:rPr>
      <w:rFonts w:asciiTheme="majorHAnsi" w:hAnsiTheme="majorHAnsi" w:cstheme="majorBidi" w:eastAsiaTheme="majorEastAsia"/>
      <w:sz w:val="56"/>
      <w:szCs w:val="56"/>
      <w:spacing w:val="-10"/>
      <w:kern w:val="28"/>
    </w:rPr>
  </w:style>
  <w:style w:type="paragraph" w:styleId="P11">
    <w:name w:val="Subtitle"/>
    <w:basedOn w:val="P0"/>
    <w:next w:val="P0"/>
    <w:link w:val="C13"/>
    <w:qFormat/>
    <w:pPr/>
    <w:rPr>
      <w:rFonts w:cstheme="majorBidi" w:eastAsiaTheme="majorEastAsia"/>
      <w:color w:val="595959" w:themeColor="text1" w:themeTint="A6"/>
      <w:sz w:val="28"/>
      <w:szCs w:val="28"/>
      <w:spacing w:val="15"/>
    </w:rPr>
  </w:style>
  <w:style w:type="paragraph" w:styleId="P12">
    <w:name w:val="Quote"/>
    <w:basedOn w:val="P0"/>
    <w:next w:val="P0"/>
    <w:link w:val="C14"/>
    <w:qFormat/>
    <w:pPr>
      <w:spacing w:before="160" w:beforeAutospacing="0" w:afterAutospacing="0"/>
      <w:jc w:val="center"/>
    </w:pPr>
    <w:rPr>
      <w:i w:val="1"/>
      <w:iCs w:val="1"/>
      <w:color w:val="404040" w:themeColor="text1" w:themeTint="BF"/>
    </w:rPr>
  </w:style>
  <w:style w:type="paragraph" w:styleId="P13">
    <w:name w:val="List Paragraph"/>
    <w:basedOn w:val="P0"/>
    <w:qFormat/>
    <w:pPr>
      <w:ind w:left="720"/>
      <w:contextualSpacing w:val="1"/>
    </w:pPr>
    <w:rPr/>
  </w:style>
  <w:style w:type="paragraph" w:styleId="P14">
    <w:name w:val="Intense Quote"/>
    <w:basedOn w:val="P0"/>
    <w:next w:val="P0"/>
    <w:link w:val="C16"/>
    <w:qFormat/>
    <w:pPr>
      <w:pBdr>
        <w:top w:val="single" w:sz="4" w:space="10" w:shadow="0" w:frame="0" w:color="104861" w:themeColor="accent1" w:themeShade="BF"/>
        <w:left w:val="none" w:sz="0" w:space="0" w:shadow="0" w:frame="0" w:color="auto"/>
        <w:bottom w:val="single" w:sz="4" w:space="10" w:shadow="0" w:frame="0" w:color="104861" w:themeColor="accent1" w:themeShade="BF"/>
        <w:right w:val="none" w:sz="0" w:space="0" w:shadow="0" w:frame="0" w:color="auto"/>
        <w:between w:val="none" w:sz="0" w:space="0" w:shadow="0" w:frame="0" w:color="auto"/>
      </w:pBdr>
      <w:spacing w:before="360" w:after="360" w:beforeAutospacing="0" w:afterAutospacing="0"/>
      <w:ind w:left="864" w:right="864"/>
      <w:jc w:val="center"/>
    </w:pPr>
    <w:rPr>
      <w:i w:val="1"/>
      <w:iCs w:val="1"/>
      <w:color w:val="104861" w:themeColor="accent1" w:themeShade="BF"/>
    </w:rPr>
  </w:style>
  <w:style w:type="paragraph" w:styleId="P15">
    <w:name w:val="TOC Heading"/>
    <w:basedOn w:val="P1"/>
    <w:next w:val="P0"/>
    <w:qFormat/>
    <w:pPr>
      <w:spacing w:lineRule="auto" w:line="276" w:before="480" w:after="0" w:beforeAutospacing="0" w:afterAutospacing="0"/>
      <w:outlineLvl w:val="9"/>
    </w:pPr>
    <w:rPr>
      <w:b w:val="1"/>
      <w:bCs w:val="1"/>
      <w:sz w:val="28"/>
      <w:szCs w:val="28"/>
      <w:lang w:val="en-US"/>
    </w:rPr>
  </w:style>
  <w:style w:type="paragraph" w:styleId="P16">
    <w:name w:val="TOC 1"/>
    <w:basedOn w:val="P0"/>
    <w:next w:val="P0"/>
    <w:autoRedefine w:val="1"/>
    <w:pPr>
      <w:spacing w:before="120" w:after="0" w:beforeAutospacing="0" w:afterAutospacing="0"/>
    </w:pPr>
    <w:rPr>
      <w:b w:val="1"/>
      <w:i w:val="1"/>
      <w:bCs w:val="1"/>
      <w:iCs w:val="1"/>
    </w:rPr>
  </w:style>
  <w:style w:type="paragraph" w:styleId="P17">
    <w:name w:val="TOC 2"/>
    <w:basedOn w:val="P0"/>
    <w:next w:val="P0"/>
    <w:autoRedefine w:val="1"/>
    <w:pPr>
      <w:spacing w:before="120" w:after="0" w:beforeAutospacing="0" w:afterAutospacing="0"/>
      <w:ind w:left="240"/>
    </w:pPr>
    <w:rPr>
      <w:b w:val="1"/>
      <w:bCs w:val="1"/>
      <w:sz w:val="22"/>
      <w:szCs w:val="22"/>
    </w:rPr>
  </w:style>
  <w:style w:type="paragraph" w:styleId="P18">
    <w:name w:val="TOC 3"/>
    <w:basedOn w:val="P0"/>
    <w:next w:val="P0"/>
    <w:autoRedefine w:val="1"/>
    <w:semiHidden/>
    <w:pPr>
      <w:spacing w:after="0" w:beforeAutospacing="0" w:afterAutospacing="0"/>
      <w:ind w:left="480"/>
    </w:pPr>
    <w:rPr>
      <w:sz w:val="20"/>
      <w:szCs w:val="20"/>
    </w:rPr>
  </w:style>
  <w:style w:type="paragraph" w:styleId="P19">
    <w:name w:val="TOC 4"/>
    <w:basedOn w:val="P0"/>
    <w:next w:val="P0"/>
    <w:autoRedefine w:val="1"/>
    <w:semiHidden/>
    <w:pPr>
      <w:spacing w:after="0" w:beforeAutospacing="0" w:afterAutospacing="0"/>
      <w:ind w:left="720"/>
    </w:pPr>
    <w:rPr>
      <w:sz w:val="20"/>
      <w:szCs w:val="20"/>
    </w:rPr>
  </w:style>
  <w:style w:type="paragraph" w:styleId="P20">
    <w:name w:val="TOC 5"/>
    <w:basedOn w:val="P0"/>
    <w:next w:val="P0"/>
    <w:autoRedefine w:val="1"/>
    <w:semiHidden/>
    <w:pPr>
      <w:spacing w:after="0" w:beforeAutospacing="0" w:afterAutospacing="0"/>
      <w:ind w:left="960"/>
    </w:pPr>
    <w:rPr>
      <w:sz w:val="20"/>
      <w:szCs w:val="20"/>
    </w:rPr>
  </w:style>
  <w:style w:type="paragraph" w:styleId="P21">
    <w:name w:val="TOC 6"/>
    <w:basedOn w:val="P0"/>
    <w:next w:val="P0"/>
    <w:autoRedefine w:val="1"/>
    <w:semiHidden/>
    <w:pPr>
      <w:spacing w:after="0" w:beforeAutospacing="0" w:afterAutospacing="0"/>
      <w:ind w:left="1200"/>
    </w:pPr>
    <w:rPr>
      <w:sz w:val="20"/>
      <w:szCs w:val="20"/>
    </w:rPr>
  </w:style>
  <w:style w:type="paragraph" w:styleId="P22">
    <w:name w:val="TOC 7"/>
    <w:basedOn w:val="P0"/>
    <w:next w:val="P0"/>
    <w:autoRedefine w:val="1"/>
    <w:semiHidden/>
    <w:pPr>
      <w:spacing w:after="0" w:beforeAutospacing="0" w:afterAutospacing="0"/>
      <w:ind w:left="1440"/>
    </w:pPr>
    <w:rPr>
      <w:sz w:val="20"/>
      <w:szCs w:val="20"/>
    </w:rPr>
  </w:style>
  <w:style w:type="paragraph" w:styleId="P23">
    <w:name w:val="TOC 8"/>
    <w:basedOn w:val="P0"/>
    <w:next w:val="P0"/>
    <w:autoRedefine w:val="1"/>
    <w:semiHidden/>
    <w:pPr>
      <w:spacing w:after="0" w:beforeAutospacing="0" w:afterAutospacing="0"/>
      <w:ind w:left="1680"/>
    </w:pPr>
    <w:rPr>
      <w:sz w:val="20"/>
      <w:szCs w:val="20"/>
    </w:rPr>
  </w:style>
  <w:style w:type="paragraph" w:styleId="P24">
    <w:name w:val="TOC 9"/>
    <w:basedOn w:val="P0"/>
    <w:next w:val="P0"/>
    <w:autoRedefine w:val="1"/>
    <w:semiHidden/>
    <w:pPr>
      <w:spacing w:after="0" w:beforeAutospacing="0" w:afterAutospacing="0"/>
      <w:ind w:left="1920"/>
    </w:pPr>
    <w:rPr>
      <w:sz w:val="20"/>
      <w:szCs w:val="20"/>
    </w:rPr>
  </w:style>
  <w:style w:type="paragraph" w:styleId="P25">
    <w:name w:val="my-2"/>
    <w:basedOn w:val="P0"/>
    <w:pPr>
      <w:spacing w:lineRule="auto" w:line="240" w:before="100" w:after="100" w:beforeAutospacing="1" w:afterAutospacing="1"/>
    </w:pPr>
    <w:rPr>
      <w:rFonts w:ascii="Times New Roman" w:hAnsi="Times New Roman" w:cs="Times New Roman" w:eastAsia="Times New Roman"/>
      <w:lang w:eastAsia="en-GB"/>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467886" w:themeColor="hyperlink"/>
      <w:u w:val="single"/>
    </w:rPr>
  </w:style>
  <w:style w:type="character" w:styleId="C3">
    <w:name w:val="Heading 1 Char"/>
    <w:basedOn w:val="C0"/>
    <w:link w:val="P1"/>
    <w:rPr>
      <w:rFonts w:asciiTheme="majorHAnsi" w:hAnsiTheme="majorHAnsi" w:cstheme="majorBidi" w:eastAsiaTheme="majorEastAsia"/>
      <w:color w:val="104861" w:themeColor="accent1" w:themeShade="BF"/>
      <w:sz w:val="40"/>
      <w:szCs w:val="40"/>
    </w:rPr>
  </w:style>
  <w:style w:type="character" w:styleId="C4">
    <w:name w:val="Heading 2 Char"/>
    <w:basedOn w:val="C0"/>
    <w:link w:val="P2"/>
    <w:rPr>
      <w:rFonts w:asciiTheme="majorHAnsi" w:hAnsiTheme="majorHAnsi" w:cstheme="majorBidi" w:eastAsiaTheme="majorEastAsia"/>
      <w:color w:val="104861" w:themeColor="accent1" w:themeShade="BF"/>
      <w:sz w:val="32"/>
      <w:szCs w:val="32"/>
    </w:rPr>
  </w:style>
  <w:style w:type="character" w:styleId="C5">
    <w:name w:val="Heading 3 Char"/>
    <w:basedOn w:val="C0"/>
    <w:link w:val="P3"/>
    <w:semiHidden/>
    <w:rPr>
      <w:rFonts w:cstheme="majorBidi" w:eastAsiaTheme="majorEastAsia"/>
      <w:color w:val="104861" w:themeColor="accent1" w:themeShade="BF"/>
      <w:sz w:val="28"/>
      <w:szCs w:val="28"/>
    </w:rPr>
  </w:style>
  <w:style w:type="character" w:styleId="C6">
    <w:name w:val="Heading 4 Char"/>
    <w:basedOn w:val="C0"/>
    <w:link w:val="P4"/>
    <w:semiHidden/>
    <w:rPr>
      <w:rFonts w:cstheme="majorBidi" w:eastAsiaTheme="majorEastAsia"/>
      <w:i w:val="1"/>
      <w:iCs w:val="1"/>
      <w:color w:val="104861" w:themeColor="accent1" w:themeShade="BF"/>
    </w:rPr>
  </w:style>
  <w:style w:type="character" w:styleId="C7">
    <w:name w:val="Heading 5 Char"/>
    <w:basedOn w:val="C0"/>
    <w:link w:val="P5"/>
    <w:semiHidden/>
    <w:rPr>
      <w:rFonts w:cstheme="majorBidi" w:eastAsiaTheme="majorEastAsia"/>
      <w:color w:val="104861" w:themeColor="accent1" w:themeShade="BF"/>
    </w:rPr>
  </w:style>
  <w:style w:type="character" w:styleId="C8">
    <w:name w:val="Heading 6 Char"/>
    <w:basedOn w:val="C0"/>
    <w:link w:val="P6"/>
    <w:semiHidden/>
    <w:rPr>
      <w:rFonts w:cstheme="majorBidi" w:eastAsiaTheme="majorEastAsia"/>
      <w:i w:val="1"/>
      <w:iCs w:val="1"/>
      <w:color w:val="595959" w:themeColor="text1" w:themeTint="A6"/>
    </w:rPr>
  </w:style>
  <w:style w:type="character" w:styleId="C9">
    <w:name w:val="Heading 7 Char"/>
    <w:basedOn w:val="C0"/>
    <w:link w:val="P7"/>
    <w:semiHidden/>
    <w:rPr>
      <w:rFonts w:cstheme="majorBidi" w:eastAsiaTheme="majorEastAsia"/>
      <w:color w:val="595959" w:themeColor="text1" w:themeTint="A6"/>
    </w:rPr>
  </w:style>
  <w:style w:type="character" w:styleId="C10">
    <w:name w:val="Heading 8 Char"/>
    <w:basedOn w:val="C0"/>
    <w:link w:val="P8"/>
    <w:semiHidden/>
    <w:rPr>
      <w:rFonts w:cstheme="majorBidi" w:eastAsiaTheme="majorEastAsia"/>
      <w:i w:val="1"/>
      <w:iCs w:val="1"/>
      <w:color w:val="272727" w:themeColor="text1" w:themeTint="D8"/>
    </w:rPr>
  </w:style>
  <w:style w:type="character" w:styleId="C11">
    <w:name w:val="Heading 9 Char"/>
    <w:basedOn w:val="C0"/>
    <w:link w:val="P9"/>
    <w:semiHidden/>
    <w:rPr>
      <w:rFonts w:cstheme="majorBidi" w:eastAsiaTheme="majorEastAsia"/>
      <w:color w:val="272727" w:themeColor="text1" w:themeTint="D8"/>
    </w:rPr>
  </w:style>
  <w:style w:type="character" w:styleId="C12">
    <w:name w:val="Title Char"/>
    <w:basedOn w:val="C0"/>
    <w:link w:val="P10"/>
    <w:rPr>
      <w:rFonts w:asciiTheme="majorHAnsi" w:hAnsiTheme="majorHAnsi" w:cstheme="majorBidi" w:eastAsiaTheme="majorEastAsia"/>
      <w:sz w:val="56"/>
      <w:szCs w:val="56"/>
      <w:spacing w:val="-10"/>
      <w:kern w:val="28"/>
    </w:rPr>
  </w:style>
  <w:style w:type="character" w:styleId="C13">
    <w:name w:val="Subtitle Char"/>
    <w:basedOn w:val="C0"/>
    <w:link w:val="P11"/>
    <w:rPr>
      <w:rFonts w:cstheme="majorBidi" w:eastAsiaTheme="majorEastAsia"/>
      <w:color w:val="595959" w:themeColor="text1" w:themeTint="A6"/>
      <w:sz w:val="28"/>
      <w:szCs w:val="28"/>
      <w:spacing w:val="15"/>
    </w:rPr>
  </w:style>
  <w:style w:type="character" w:styleId="C14">
    <w:name w:val="Quote Char"/>
    <w:basedOn w:val="C0"/>
    <w:link w:val="P12"/>
    <w:rPr>
      <w:i w:val="1"/>
      <w:iCs w:val="1"/>
      <w:color w:val="404040" w:themeColor="text1" w:themeTint="BF"/>
    </w:rPr>
  </w:style>
  <w:style w:type="character" w:styleId="C15">
    <w:name w:val="Intense Emphasis"/>
    <w:basedOn w:val="C0"/>
    <w:qFormat/>
    <w:rPr>
      <w:i w:val="1"/>
      <w:iCs w:val="1"/>
      <w:color w:val="104861" w:themeColor="accent1" w:themeShade="BF"/>
    </w:rPr>
  </w:style>
  <w:style w:type="character" w:styleId="C16">
    <w:name w:val="Intense Quote Char"/>
    <w:basedOn w:val="C0"/>
    <w:link w:val="P14"/>
    <w:rPr>
      <w:i w:val="1"/>
      <w:iCs w:val="1"/>
      <w:color w:val="104861" w:themeColor="accent1" w:themeShade="BF"/>
    </w:rPr>
  </w:style>
  <w:style w:type="character" w:styleId="C17">
    <w:name w:val="Intense Reference1"/>
    <w:basedOn w:val="C0"/>
    <w:qFormat/>
    <w:rPr>
      <w:b w:val="1"/>
      <w:bCs w:val="1"/>
      <w:smallCaps w:val="1"/>
      <w:color w:val="104861" w:themeColor="accent1" w:themeShade="BF"/>
      <w:spacing w:val="5"/>
    </w:rPr>
  </w:style>
  <w:style w:type="character" w:styleId="C18">
    <w:name w:val="Unresolved Mention1"/>
    <w:basedOn w:val="C0"/>
    <w:semiHidden/>
    <w:rPr>
      <w:color w:val="605E5C"/>
      <w:shd w:val="clear" w:color="auto" w:fill="E1DFDD"/>
    </w:rPr>
  </w:style>
  <w:style w:type="character" w:styleId="C19">
    <w:name w:val="FollowedHyperlink"/>
    <w:basedOn w:val="C0"/>
    <w:semiHidden/>
    <w:rPr>
      <w:color w:val="96607D" w:themeColor="followedHyperlink"/>
      <w:u w:val="single"/>
    </w:rPr>
  </w:style>
  <w:style w:type="character" w:styleId="C20">
    <w:name w:val="Strong"/>
    <w:basedOn w:val="C0"/>
    <w:qFormat/>
    <w:rPr>
      <w:b w:val="1"/>
      <w:bCs w:val="1"/>
    </w:rPr>
  </w:style>
  <w:style w:type="character" w:styleId="C21">
    <w:name w:val="apple-converted-space"/>
    <w:basedOn w:val="C0"/>
    <w:rPr/>
  </w:style>
  <w:style w:type="character" w:styleId="C22">
    <w:name w:val="Emphasis"/>
    <w:basedOn w:val="C0"/>
    <w:qFormat/>
    <w:rPr>
      <w:i w:val="1"/>
      <w:iCs w:val="1"/>
    </w:rPr>
  </w:style>
  <w:style w:type="character" w:styleId="C23">
    <w:name w:val="citation"/>
    <w:basedOn w:val="C0"/>
    <w:rPr/>
  </w:style>
  <w:style w:type="character" w:styleId="C24">
    <w:name w:val="inline-block"/>
    <w:basedOn w:val="C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Grid"/>
    <w:pPr>
      <w:spacing w:lineRule="auto" w:line="240" w:after="0" w:beforeAutospacing="0" w:afterAutospacing="0"/>
    </w:pPr>
    <w:rPr>
      <w:rFonts w:eastAsiaTheme="minorEastAsia"/>
      <w:lang w:eastAsia="en-GB"/>
    </w:rPr>
    <w:tblPr>
      <w:tblCellMar>
        <w:top w:w="0" w:type="dxa"/>
        <w:left w:w="0" w:type="dxa"/>
        <w:bottom w:w="0" w:type="dxa"/>
        <w:right w:w="0" w:type="dxa"/>
      </w:tblCellMar>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png" /><Relationship Id="R2" Type="http://schemas.openxmlformats.org/officeDocument/2006/relationships/hyperlink" Target="https://foodfoundation.org.uk/sites/default/files/2023-07/Greggs%20scorecard%202023.pdf" TargetMode="External" /><Relationship Id="R3" Type="http://schemas.openxmlformats.org/officeDocument/2006/relationships/hyperlink" Target="https://data.fca.org.uk/artefacts/NSM/Portal/NI-000094131/NI-000094131.pdf" TargetMode="External" /><Relationship Id="R4" Type="http://schemas.openxmlformats.org/officeDocument/2006/relationships/hyperlink" Target="https://www.scribd.com/document/862078149/Greggs-Pledge-2024" TargetMode="External" /><Relationship Id="R5" Type="http://schemas.openxmlformats.org/officeDocument/2006/relationships/hyperlink" Target="https://corporate.greggs.co.uk/doing-good" TargetMode="External" /><Relationship Id="R6" Type="http://schemas.openxmlformats.org/officeDocument/2006/relationships/hyperlink" Target="https://corporate.greggs.co.uk/doing-good/stronger-healthier-communities" TargetMode="External" /><Relationship Id="R7" Type="http://schemas.openxmlformats.org/officeDocument/2006/relationships/hyperlink" Target="https://corporate.greggs.co.uk/doing-good/making-our-planet-safer" TargetMode="External" /><Relationship Id="R8" Type="http://schemas.openxmlformats.org/officeDocument/2006/relationships/hyperlink" Target="https://corporate.greggs.co.uk/doing-good/better-business" TargetMode="External" /><Relationship Id="R9" Type="http://schemas.openxmlformats.org/officeDocument/2006/relationships/hyperlink" Target="https://www.greggs.com/news/the-greggs-pledge-doing-good-and-tasting-great" TargetMode="External" /><Relationship Id="RA" Type="http://schemas.openxmlformats.org/officeDocument/2006/relationships/hyperlink" Target="https://www.greggs.com/news/the-greggs-pledge-on-a-roll-to-2025" TargetMode="External" /><Relationship Id="RB" Type="http://schemas.openxmlformats.org/officeDocument/2006/relationships/hyperlink" Target="https://www.greggs.com/doing-good" TargetMode="External" /><Relationship Id="RC" Type="http://schemas.openxmlformats.org/officeDocument/2006/relationships/hyperlink" Target="https://www.greggsfoundation.org.uk/about/impact-report" TargetMode="External" /><Relationship Id="RD" Type="http://schemas.openxmlformats.org/officeDocument/2006/relationships/hyperlink" Target="https://www.retailtechnology.co.uk/5154/greggs-launches-mobile-loyalty-payment-app/" TargetMode="Externa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app.xml><?xml version="1.0" encoding="utf-8"?>
<Properties xmlns="http://schemas.openxmlformats.org/officeDocument/2006/extended-properties">
  <Application>DevExpress Office File API/25.1.3.0</Application>
  <AppVersion>25.1</AppVersion>
  <Template>Normal.dotm</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Giuliano Catania (2242264)</dc:creator>
  <dcterms:created xsi:type="dcterms:W3CDTF">2026-07-01T15:09:00Z</dcterms:created>
  <dcterms:modified xsi:type="dcterms:W3CDTF">2026-07-20T11:10:01Z</dcterms:modified>
  <cp:revision>5</cp:revision>
</cp:coreProperties>
</file>