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1226078"/>
        <w:docPartObj>
          <w:docPartGallery w:val="Cover Pages"/>
          <w:docPartUnique/>
        </w:docPartObj>
      </w:sdtPr>
      <w:sdtContent>
        <w:p w14:paraId="22CC818E" w14:textId="5987DE4C" w:rsidR="00597CDA" w:rsidRDefault="00597CDA">
          <w:r>
            <w:rPr>
              <w:noProof/>
            </w:rPr>
            <mc:AlternateContent>
              <mc:Choice Requires="wpg">
                <w:drawing>
                  <wp:anchor distT="0" distB="0" distL="114300" distR="114300" simplePos="0" relativeHeight="251659264" behindDoc="1" locked="0" layoutInCell="1" allowOverlap="1" wp14:anchorId="1A92E63A" wp14:editId="1096F70C">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77A7CFF" w14:textId="145083C3" w:rsidR="00597CDA" w:rsidRDefault="003A7254">
                                      <w:pPr>
                                        <w:pStyle w:val="NoSpacing"/>
                                        <w:spacing w:before="120"/>
                                        <w:jc w:val="center"/>
                                        <w:rPr>
                                          <w:color w:val="FFFFFF" w:themeColor="background1"/>
                                        </w:rPr>
                                      </w:pPr>
                                      <w:r>
                                        <w:rPr>
                                          <w:color w:val="FFFFFF" w:themeColor="background1"/>
                                        </w:rPr>
                                        <w:t xml:space="preserve">Ilie Tundrea- </w:t>
                                      </w:r>
                                      <w:r w:rsidR="00FC7162">
                                        <w:rPr>
                                          <w:color w:val="FFFFFF" w:themeColor="background1"/>
                                        </w:rPr>
                                        <w:t>2</w:t>
                                      </w:r>
                                      <w:r w:rsidR="00E62AC4">
                                        <w:rPr>
                                          <w:color w:val="FFFFFF" w:themeColor="background1"/>
                                        </w:rPr>
                                        <w:t>321473</w:t>
                                      </w:r>
                                    </w:p>
                                  </w:sdtContent>
                                </w:sdt>
                                <w:p w14:paraId="111A38A7" w14:textId="7E3A049A" w:rsidR="00597CDA"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97CDA" w:rsidRPr="00597CDA">
                                        <w:rPr>
                                          <w:caps/>
                                          <w:color w:val="FFFFFF" w:themeColor="background1"/>
                                        </w:rPr>
                                        <w:t>Stakeholder Management Analysis</w:t>
                                      </w:r>
                                      <w:r w:rsidR="00597CDA">
                                        <w:rPr>
                                          <w:caps/>
                                          <w:color w:val="FFFFFF" w:themeColor="background1"/>
                                        </w:rPr>
                                        <w:t>-PoRTfolio</w:t>
                                      </w:r>
                                    </w:sdtContent>
                                  </w:sdt>
                                  <w:r w:rsidR="00597CD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97CD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5FC155E" w14:textId="06417B16" w:rsidR="00597CDA" w:rsidRDefault="00597CDA">
                                      <w:pPr>
                                        <w:pStyle w:val="NoSpacing"/>
                                        <w:jc w:val="center"/>
                                        <w:rPr>
                                          <w:rFonts w:asciiTheme="majorHAnsi" w:eastAsiaTheme="majorEastAsia" w:hAnsiTheme="majorHAnsi" w:cstheme="majorBidi"/>
                                          <w:caps/>
                                          <w:color w:val="156082" w:themeColor="accent1"/>
                                          <w:sz w:val="72"/>
                                          <w:szCs w:val="72"/>
                                        </w:rPr>
                                      </w:pPr>
                                      <w:r w:rsidRPr="00597CDA">
                                        <w:rPr>
                                          <w:rFonts w:asciiTheme="majorHAnsi" w:eastAsiaTheme="majorEastAsia" w:hAnsiTheme="majorHAnsi" w:cstheme="majorBidi"/>
                                          <w:caps/>
                                          <w:color w:val="156082" w:themeColor="accent1"/>
                                          <w:sz w:val="72"/>
                                          <w:szCs w:val="72"/>
                                        </w:rPr>
                                        <w:t>Project: Community Litter Reduction Initiative – Tamworth, UK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92E63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77A7CFF" w14:textId="145083C3" w:rsidR="00597CDA" w:rsidRDefault="003A7254">
                                <w:pPr>
                                  <w:pStyle w:val="NoSpacing"/>
                                  <w:spacing w:before="120"/>
                                  <w:jc w:val="center"/>
                                  <w:rPr>
                                    <w:color w:val="FFFFFF" w:themeColor="background1"/>
                                  </w:rPr>
                                </w:pPr>
                                <w:r>
                                  <w:rPr>
                                    <w:color w:val="FFFFFF" w:themeColor="background1"/>
                                  </w:rPr>
                                  <w:t xml:space="preserve">Ilie Tundrea- </w:t>
                                </w:r>
                                <w:r w:rsidR="00FC7162">
                                  <w:rPr>
                                    <w:color w:val="FFFFFF" w:themeColor="background1"/>
                                  </w:rPr>
                                  <w:t>2</w:t>
                                </w:r>
                                <w:r w:rsidR="00E62AC4">
                                  <w:rPr>
                                    <w:color w:val="FFFFFF" w:themeColor="background1"/>
                                  </w:rPr>
                                  <w:t>321473</w:t>
                                </w:r>
                              </w:p>
                            </w:sdtContent>
                          </w:sdt>
                          <w:p w14:paraId="111A38A7" w14:textId="7E3A049A" w:rsidR="00597CDA"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97CDA" w:rsidRPr="00597CDA">
                                  <w:rPr>
                                    <w:caps/>
                                    <w:color w:val="FFFFFF" w:themeColor="background1"/>
                                  </w:rPr>
                                  <w:t>Stakeholder Management Analysis</w:t>
                                </w:r>
                                <w:r w:rsidR="00597CDA">
                                  <w:rPr>
                                    <w:caps/>
                                    <w:color w:val="FFFFFF" w:themeColor="background1"/>
                                  </w:rPr>
                                  <w:t>-PoRTfolio</w:t>
                                </w:r>
                              </w:sdtContent>
                            </w:sdt>
                            <w:r w:rsidR="00597CD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97CD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5FC155E" w14:textId="06417B16" w:rsidR="00597CDA" w:rsidRDefault="00597CDA">
                                <w:pPr>
                                  <w:pStyle w:val="NoSpacing"/>
                                  <w:jc w:val="center"/>
                                  <w:rPr>
                                    <w:rFonts w:asciiTheme="majorHAnsi" w:eastAsiaTheme="majorEastAsia" w:hAnsiTheme="majorHAnsi" w:cstheme="majorBidi"/>
                                    <w:caps/>
                                    <w:color w:val="156082" w:themeColor="accent1"/>
                                    <w:sz w:val="72"/>
                                    <w:szCs w:val="72"/>
                                  </w:rPr>
                                </w:pPr>
                                <w:r w:rsidRPr="00597CDA">
                                  <w:rPr>
                                    <w:rFonts w:asciiTheme="majorHAnsi" w:eastAsiaTheme="majorEastAsia" w:hAnsiTheme="majorHAnsi" w:cstheme="majorBidi"/>
                                    <w:caps/>
                                    <w:color w:val="156082" w:themeColor="accent1"/>
                                    <w:sz w:val="72"/>
                                    <w:szCs w:val="72"/>
                                  </w:rPr>
                                  <w:t>Project: Community Litter Reduction Initiative – Tamworth, UK</w:t>
                                </w:r>
                              </w:p>
                            </w:sdtContent>
                          </w:sdt>
                        </w:txbxContent>
                      </v:textbox>
                    </v:shape>
                    <w10:wrap anchorx="page" anchory="page"/>
                  </v:group>
                </w:pict>
              </mc:Fallback>
            </mc:AlternateContent>
          </w:r>
        </w:p>
        <w:p w14:paraId="4926B4D2" w14:textId="77777777" w:rsidR="00597CDA" w:rsidRDefault="00597CDA" w:rsidP="00597CDA"/>
        <w:p w14:paraId="5BB8EC01" w14:textId="77777777" w:rsidR="00597CDA" w:rsidRDefault="00597CDA" w:rsidP="00597CDA"/>
        <w:p w14:paraId="7E9941C3" w14:textId="77777777" w:rsidR="00597CDA" w:rsidRDefault="00597CDA" w:rsidP="00597CDA"/>
        <w:p w14:paraId="46CD8585" w14:textId="77777777" w:rsidR="00597CDA" w:rsidRDefault="00597CDA" w:rsidP="00597CDA"/>
        <w:p w14:paraId="62CF32F7" w14:textId="77777777" w:rsidR="00597CDA" w:rsidRDefault="00597CDA" w:rsidP="00597CDA"/>
        <w:p w14:paraId="427D25F9" w14:textId="77777777" w:rsidR="00597CDA" w:rsidRDefault="00597CDA" w:rsidP="00597CDA"/>
        <w:p w14:paraId="205778D9" w14:textId="77777777" w:rsidR="00597CDA" w:rsidRDefault="00597CDA" w:rsidP="00597CDA"/>
        <w:p w14:paraId="317FD3D9" w14:textId="77777777" w:rsidR="00597CDA" w:rsidRDefault="00597CDA" w:rsidP="00597CDA"/>
        <w:p w14:paraId="5B49FC3D" w14:textId="77777777" w:rsidR="00597CDA" w:rsidRDefault="00597CDA" w:rsidP="00597CDA"/>
        <w:p w14:paraId="084AF7DF" w14:textId="77777777" w:rsidR="00597CDA" w:rsidRDefault="00597CDA" w:rsidP="00597CDA"/>
        <w:p w14:paraId="76ED4931" w14:textId="77777777" w:rsidR="00597CDA" w:rsidRDefault="00597CDA" w:rsidP="00597CDA"/>
        <w:p w14:paraId="7C1BE809" w14:textId="77777777" w:rsidR="00597CDA" w:rsidRDefault="00597CDA" w:rsidP="00597CDA"/>
        <w:p w14:paraId="34FE8DCE" w14:textId="77777777" w:rsidR="00597CDA" w:rsidRDefault="00597CDA" w:rsidP="00597CDA"/>
        <w:p w14:paraId="339EF369" w14:textId="77777777" w:rsidR="00597CDA" w:rsidRDefault="00597CDA" w:rsidP="00597CDA"/>
        <w:p w14:paraId="5E42FF9C" w14:textId="77777777" w:rsidR="00597CDA" w:rsidRDefault="00597CDA" w:rsidP="00597CDA"/>
        <w:p w14:paraId="131BACBF" w14:textId="77777777" w:rsidR="00597CDA" w:rsidRDefault="00597CDA" w:rsidP="00597CDA"/>
        <w:p w14:paraId="5EA27F7D" w14:textId="77777777" w:rsidR="00597CDA" w:rsidRDefault="00597CDA" w:rsidP="00597CDA"/>
        <w:p w14:paraId="2F92980E" w14:textId="77777777" w:rsidR="00597CDA" w:rsidRDefault="00597CDA" w:rsidP="00597CDA"/>
        <w:p w14:paraId="241AD4ED" w14:textId="77777777" w:rsidR="00597CDA" w:rsidRDefault="00597CDA" w:rsidP="00597CDA"/>
        <w:p w14:paraId="7AFD1EB0" w14:textId="77777777" w:rsidR="00597CDA" w:rsidRDefault="00597CDA" w:rsidP="00597CDA"/>
        <w:p w14:paraId="20497E6F" w14:textId="77777777" w:rsidR="00597CDA" w:rsidRDefault="00597CDA" w:rsidP="00597CDA"/>
        <w:p w14:paraId="6FB21C0B" w14:textId="77777777" w:rsidR="00597CDA" w:rsidRDefault="00597CDA" w:rsidP="00597CDA"/>
        <w:p w14:paraId="30836C61" w14:textId="77777777" w:rsidR="00597CDA" w:rsidRDefault="00597CDA" w:rsidP="00597CDA"/>
        <w:p w14:paraId="32D7DF85" w14:textId="77777777" w:rsidR="00597CDA" w:rsidRDefault="00597CDA" w:rsidP="00597CDA"/>
        <w:p w14:paraId="00E362AA" w14:textId="77777777" w:rsidR="00597CDA" w:rsidRDefault="00597CDA" w:rsidP="00597CDA"/>
        <w:p w14:paraId="5008D70D" w14:textId="77777777" w:rsidR="00597CDA" w:rsidRDefault="00597CDA" w:rsidP="00597CDA"/>
        <w:p w14:paraId="22DE708B" w14:textId="7E2EE8A5" w:rsidR="00BE69E1" w:rsidRPr="00BE69E1" w:rsidRDefault="00000000" w:rsidP="00597CDA"/>
      </w:sdtContent>
    </w:sdt>
    <w:sdt>
      <w:sdtPr>
        <w:rPr>
          <w:rFonts w:asciiTheme="minorHAnsi" w:eastAsiaTheme="minorHAnsi" w:hAnsiTheme="minorHAnsi" w:cstheme="minorBidi"/>
          <w:color w:val="auto"/>
          <w:kern w:val="2"/>
          <w:sz w:val="24"/>
          <w:szCs w:val="24"/>
          <w:lang w:val="en-GB"/>
          <w14:ligatures w14:val="standardContextual"/>
        </w:rPr>
        <w:id w:val="-379406793"/>
        <w:docPartObj>
          <w:docPartGallery w:val="Table of Contents"/>
          <w:docPartUnique/>
        </w:docPartObj>
      </w:sdtPr>
      <w:sdtEndPr>
        <w:rPr>
          <w:b/>
          <w:bCs/>
          <w:noProof/>
        </w:rPr>
      </w:sdtEndPr>
      <w:sdtContent>
        <w:p w14:paraId="2CC8873C" w14:textId="13F3507B" w:rsidR="0077518C" w:rsidRDefault="00C92BD5">
          <w:pPr>
            <w:pStyle w:val="TOCHeading"/>
          </w:pPr>
          <w:r>
            <w:t xml:space="preserve">Table of </w:t>
          </w:r>
          <w:r w:rsidR="0077518C">
            <w:t>Contents</w:t>
          </w:r>
        </w:p>
        <w:p w14:paraId="27664786" w14:textId="3BD435AC" w:rsidR="005F2C43" w:rsidRDefault="007751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232722" w:history="1">
            <w:r w:rsidR="005F2C43" w:rsidRPr="004171B9">
              <w:rPr>
                <w:rStyle w:val="Hyperlink"/>
                <w:b/>
                <w:bCs/>
                <w:noProof/>
              </w:rPr>
              <w:t>1: Introduction</w:t>
            </w:r>
            <w:r w:rsidR="005F2C43">
              <w:rPr>
                <w:noProof/>
                <w:webHidden/>
              </w:rPr>
              <w:tab/>
            </w:r>
            <w:r w:rsidR="005F2C43">
              <w:rPr>
                <w:noProof/>
                <w:webHidden/>
              </w:rPr>
              <w:fldChar w:fldCharType="begin"/>
            </w:r>
            <w:r w:rsidR="005F2C43">
              <w:rPr>
                <w:noProof/>
                <w:webHidden/>
              </w:rPr>
              <w:instrText xml:space="preserve"> PAGEREF _Toc224232722 \h </w:instrText>
            </w:r>
            <w:r w:rsidR="005F2C43">
              <w:rPr>
                <w:noProof/>
                <w:webHidden/>
              </w:rPr>
            </w:r>
            <w:r w:rsidR="005F2C43">
              <w:rPr>
                <w:noProof/>
                <w:webHidden/>
              </w:rPr>
              <w:fldChar w:fldCharType="separate"/>
            </w:r>
            <w:r w:rsidR="005F2C43">
              <w:rPr>
                <w:noProof/>
                <w:webHidden/>
              </w:rPr>
              <w:t>2</w:t>
            </w:r>
            <w:r w:rsidR="005F2C43">
              <w:rPr>
                <w:noProof/>
                <w:webHidden/>
              </w:rPr>
              <w:fldChar w:fldCharType="end"/>
            </w:r>
          </w:hyperlink>
        </w:p>
        <w:p w14:paraId="19D2AEE2" w14:textId="60D9FEC4" w:rsidR="005F2C43" w:rsidRDefault="005F2C43">
          <w:pPr>
            <w:pStyle w:val="TOC1"/>
            <w:tabs>
              <w:tab w:val="right" w:leader="dot" w:pos="9016"/>
            </w:tabs>
            <w:rPr>
              <w:rFonts w:eastAsiaTheme="minorEastAsia"/>
              <w:noProof/>
              <w:lang w:eastAsia="en-GB"/>
            </w:rPr>
          </w:pPr>
          <w:hyperlink w:anchor="_Toc224232723" w:history="1">
            <w:r w:rsidRPr="004171B9">
              <w:rPr>
                <w:rStyle w:val="Hyperlink"/>
                <w:b/>
                <w:bCs/>
                <w:noProof/>
              </w:rPr>
              <w:t>2. Depth of Analysis and Application</w:t>
            </w:r>
            <w:r>
              <w:rPr>
                <w:noProof/>
                <w:webHidden/>
              </w:rPr>
              <w:tab/>
            </w:r>
            <w:r>
              <w:rPr>
                <w:noProof/>
                <w:webHidden/>
              </w:rPr>
              <w:fldChar w:fldCharType="begin"/>
            </w:r>
            <w:r>
              <w:rPr>
                <w:noProof/>
                <w:webHidden/>
              </w:rPr>
              <w:instrText xml:space="preserve"> PAGEREF _Toc224232723 \h </w:instrText>
            </w:r>
            <w:r>
              <w:rPr>
                <w:noProof/>
                <w:webHidden/>
              </w:rPr>
            </w:r>
            <w:r>
              <w:rPr>
                <w:noProof/>
                <w:webHidden/>
              </w:rPr>
              <w:fldChar w:fldCharType="separate"/>
            </w:r>
            <w:r>
              <w:rPr>
                <w:noProof/>
                <w:webHidden/>
              </w:rPr>
              <w:t>3</w:t>
            </w:r>
            <w:r>
              <w:rPr>
                <w:noProof/>
                <w:webHidden/>
              </w:rPr>
              <w:fldChar w:fldCharType="end"/>
            </w:r>
          </w:hyperlink>
        </w:p>
        <w:p w14:paraId="428BC75A" w14:textId="3E891823" w:rsidR="005F2C43" w:rsidRDefault="005F2C43">
          <w:pPr>
            <w:pStyle w:val="TOC2"/>
            <w:tabs>
              <w:tab w:val="right" w:leader="dot" w:pos="9016"/>
            </w:tabs>
            <w:rPr>
              <w:rFonts w:eastAsiaTheme="minorEastAsia"/>
              <w:noProof/>
              <w:lang w:eastAsia="en-GB"/>
            </w:rPr>
          </w:pPr>
          <w:hyperlink w:anchor="_Toc224232724" w:history="1">
            <w:r w:rsidRPr="004171B9">
              <w:rPr>
                <w:rStyle w:val="Hyperlink"/>
                <w:b/>
                <w:bCs/>
                <w:noProof/>
              </w:rPr>
              <w:t>2.1 Stakeholder Identification</w:t>
            </w:r>
            <w:r>
              <w:rPr>
                <w:noProof/>
                <w:webHidden/>
              </w:rPr>
              <w:tab/>
            </w:r>
            <w:r>
              <w:rPr>
                <w:noProof/>
                <w:webHidden/>
              </w:rPr>
              <w:fldChar w:fldCharType="begin"/>
            </w:r>
            <w:r>
              <w:rPr>
                <w:noProof/>
                <w:webHidden/>
              </w:rPr>
              <w:instrText xml:space="preserve"> PAGEREF _Toc224232724 \h </w:instrText>
            </w:r>
            <w:r>
              <w:rPr>
                <w:noProof/>
                <w:webHidden/>
              </w:rPr>
            </w:r>
            <w:r>
              <w:rPr>
                <w:noProof/>
                <w:webHidden/>
              </w:rPr>
              <w:fldChar w:fldCharType="separate"/>
            </w:r>
            <w:r>
              <w:rPr>
                <w:noProof/>
                <w:webHidden/>
              </w:rPr>
              <w:t>3</w:t>
            </w:r>
            <w:r>
              <w:rPr>
                <w:noProof/>
                <w:webHidden/>
              </w:rPr>
              <w:fldChar w:fldCharType="end"/>
            </w:r>
          </w:hyperlink>
        </w:p>
        <w:p w14:paraId="076BAAD4" w14:textId="5A63F4F4" w:rsidR="005F2C43" w:rsidRDefault="005F2C43">
          <w:pPr>
            <w:pStyle w:val="TOC2"/>
            <w:tabs>
              <w:tab w:val="right" w:leader="dot" w:pos="9016"/>
            </w:tabs>
            <w:rPr>
              <w:rFonts w:eastAsiaTheme="minorEastAsia"/>
              <w:noProof/>
              <w:lang w:eastAsia="en-GB"/>
            </w:rPr>
          </w:pPr>
          <w:hyperlink w:anchor="_Toc224232725" w:history="1">
            <w:r w:rsidRPr="004171B9">
              <w:rPr>
                <w:rStyle w:val="Hyperlink"/>
                <w:b/>
                <w:bCs/>
                <w:noProof/>
              </w:rPr>
              <w:t>2.2 Stakeholder Analysis: Power–Interest Matrix</w:t>
            </w:r>
            <w:r>
              <w:rPr>
                <w:noProof/>
                <w:webHidden/>
              </w:rPr>
              <w:tab/>
            </w:r>
            <w:r>
              <w:rPr>
                <w:noProof/>
                <w:webHidden/>
              </w:rPr>
              <w:fldChar w:fldCharType="begin"/>
            </w:r>
            <w:r>
              <w:rPr>
                <w:noProof/>
                <w:webHidden/>
              </w:rPr>
              <w:instrText xml:space="preserve"> PAGEREF _Toc224232725 \h </w:instrText>
            </w:r>
            <w:r>
              <w:rPr>
                <w:noProof/>
                <w:webHidden/>
              </w:rPr>
            </w:r>
            <w:r>
              <w:rPr>
                <w:noProof/>
                <w:webHidden/>
              </w:rPr>
              <w:fldChar w:fldCharType="separate"/>
            </w:r>
            <w:r>
              <w:rPr>
                <w:noProof/>
                <w:webHidden/>
              </w:rPr>
              <w:t>4</w:t>
            </w:r>
            <w:r>
              <w:rPr>
                <w:noProof/>
                <w:webHidden/>
              </w:rPr>
              <w:fldChar w:fldCharType="end"/>
            </w:r>
          </w:hyperlink>
        </w:p>
        <w:p w14:paraId="48854668" w14:textId="22226E36" w:rsidR="005F2C43" w:rsidRDefault="005F2C43">
          <w:pPr>
            <w:pStyle w:val="TOC2"/>
            <w:tabs>
              <w:tab w:val="right" w:leader="dot" w:pos="9016"/>
            </w:tabs>
            <w:rPr>
              <w:rFonts w:eastAsiaTheme="minorEastAsia"/>
              <w:noProof/>
              <w:lang w:eastAsia="en-GB"/>
            </w:rPr>
          </w:pPr>
          <w:hyperlink w:anchor="_Toc224232726" w:history="1">
            <w:r w:rsidRPr="004171B9">
              <w:rPr>
                <w:rStyle w:val="Hyperlink"/>
                <w:b/>
                <w:bCs/>
                <w:noProof/>
              </w:rPr>
              <w:t>2.3 Stakeholder Engagement Strategies</w:t>
            </w:r>
            <w:r>
              <w:rPr>
                <w:noProof/>
                <w:webHidden/>
              </w:rPr>
              <w:tab/>
            </w:r>
            <w:r>
              <w:rPr>
                <w:noProof/>
                <w:webHidden/>
              </w:rPr>
              <w:fldChar w:fldCharType="begin"/>
            </w:r>
            <w:r>
              <w:rPr>
                <w:noProof/>
                <w:webHidden/>
              </w:rPr>
              <w:instrText xml:space="preserve"> PAGEREF _Toc224232726 \h </w:instrText>
            </w:r>
            <w:r>
              <w:rPr>
                <w:noProof/>
                <w:webHidden/>
              </w:rPr>
            </w:r>
            <w:r>
              <w:rPr>
                <w:noProof/>
                <w:webHidden/>
              </w:rPr>
              <w:fldChar w:fldCharType="separate"/>
            </w:r>
            <w:r>
              <w:rPr>
                <w:noProof/>
                <w:webHidden/>
              </w:rPr>
              <w:t>6</w:t>
            </w:r>
            <w:r>
              <w:rPr>
                <w:noProof/>
                <w:webHidden/>
              </w:rPr>
              <w:fldChar w:fldCharType="end"/>
            </w:r>
          </w:hyperlink>
        </w:p>
        <w:p w14:paraId="3BEAD0E2" w14:textId="534358C7" w:rsidR="005F2C43" w:rsidRDefault="005F2C43">
          <w:pPr>
            <w:pStyle w:val="TOC2"/>
            <w:tabs>
              <w:tab w:val="right" w:leader="dot" w:pos="9016"/>
            </w:tabs>
            <w:rPr>
              <w:rFonts w:eastAsiaTheme="minorEastAsia"/>
              <w:noProof/>
              <w:lang w:eastAsia="en-GB"/>
            </w:rPr>
          </w:pPr>
          <w:hyperlink w:anchor="_Toc224232727" w:history="1">
            <w:r w:rsidRPr="004171B9">
              <w:rPr>
                <w:rStyle w:val="Hyperlink"/>
                <w:b/>
                <w:bCs/>
                <w:noProof/>
              </w:rPr>
              <w:t>2.4 UK Policy Context</w:t>
            </w:r>
            <w:r>
              <w:rPr>
                <w:noProof/>
                <w:webHidden/>
              </w:rPr>
              <w:tab/>
            </w:r>
            <w:r>
              <w:rPr>
                <w:noProof/>
                <w:webHidden/>
              </w:rPr>
              <w:fldChar w:fldCharType="begin"/>
            </w:r>
            <w:r>
              <w:rPr>
                <w:noProof/>
                <w:webHidden/>
              </w:rPr>
              <w:instrText xml:space="preserve"> PAGEREF _Toc224232727 \h </w:instrText>
            </w:r>
            <w:r>
              <w:rPr>
                <w:noProof/>
                <w:webHidden/>
              </w:rPr>
            </w:r>
            <w:r>
              <w:rPr>
                <w:noProof/>
                <w:webHidden/>
              </w:rPr>
              <w:fldChar w:fldCharType="separate"/>
            </w:r>
            <w:r>
              <w:rPr>
                <w:noProof/>
                <w:webHidden/>
              </w:rPr>
              <w:t>7</w:t>
            </w:r>
            <w:r>
              <w:rPr>
                <w:noProof/>
                <w:webHidden/>
              </w:rPr>
              <w:fldChar w:fldCharType="end"/>
            </w:r>
          </w:hyperlink>
        </w:p>
        <w:p w14:paraId="3A5C446B" w14:textId="0E1527FC" w:rsidR="005F2C43" w:rsidRDefault="005F2C43">
          <w:pPr>
            <w:pStyle w:val="TOC2"/>
            <w:tabs>
              <w:tab w:val="right" w:leader="dot" w:pos="9016"/>
            </w:tabs>
            <w:rPr>
              <w:rFonts w:eastAsiaTheme="minorEastAsia"/>
              <w:noProof/>
              <w:lang w:eastAsia="en-GB"/>
            </w:rPr>
          </w:pPr>
          <w:hyperlink w:anchor="_Toc224232728" w:history="1">
            <w:r w:rsidRPr="004171B9">
              <w:rPr>
                <w:rStyle w:val="Hyperlink"/>
                <w:b/>
                <w:bCs/>
                <w:noProof/>
              </w:rPr>
              <w:t>2.5 Challenges in Stakeholder Engagement</w:t>
            </w:r>
            <w:r>
              <w:rPr>
                <w:noProof/>
                <w:webHidden/>
              </w:rPr>
              <w:tab/>
            </w:r>
            <w:r>
              <w:rPr>
                <w:noProof/>
                <w:webHidden/>
              </w:rPr>
              <w:fldChar w:fldCharType="begin"/>
            </w:r>
            <w:r>
              <w:rPr>
                <w:noProof/>
                <w:webHidden/>
              </w:rPr>
              <w:instrText xml:space="preserve"> PAGEREF _Toc224232728 \h </w:instrText>
            </w:r>
            <w:r>
              <w:rPr>
                <w:noProof/>
                <w:webHidden/>
              </w:rPr>
            </w:r>
            <w:r>
              <w:rPr>
                <w:noProof/>
                <w:webHidden/>
              </w:rPr>
              <w:fldChar w:fldCharType="separate"/>
            </w:r>
            <w:r>
              <w:rPr>
                <w:noProof/>
                <w:webHidden/>
              </w:rPr>
              <w:t>8</w:t>
            </w:r>
            <w:r>
              <w:rPr>
                <w:noProof/>
                <w:webHidden/>
              </w:rPr>
              <w:fldChar w:fldCharType="end"/>
            </w:r>
          </w:hyperlink>
        </w:p>
        <w:p w14:paraId="00B9A04E" w14:textId="40F1E0A7" w:rsidR="005F2C43" w:rsidRDefault="005F2C43">
          <w:pPr>
            <w:pStyle w:val="TOC1"/>
            <w:tabs>
              <w:tab w:val="right" w:leader="dot" w:pos="9016"/>
            </w:tabs>
            <w:rPr>
              <w:rFonts w:eastAsiaTheme="minorEastAsia"/>
              <w:noProof/>
              <w:lang w:eastAsia="en-GB"/>
            </w:rPr>
          </w:pPr>
          <w:hyperlink w:anchor="_Toc224232729" w:history="1">
            <w:r w:rsidRPr="004171B9">
              <w:rPr>
                <w:rStyle w:val="Hyperlink"/>
                <w:b/>
                <w:bCs/>
                <w:noProof/>
              </w:rPr>
              <w:t>3. Ethical Considerations and Reflective Insight</w:t>
            </w:r>
            <w:r>
              <w:rPr>
                <w:noProof/>
                <w:webHidden/>
              </w:rPr>
              <w:tab/>
            </w:r>
            <w:r>
              <w:rPr>
                <w:noProof/>
                <w:webHidden/>
              </w:rPr>
              <w:fldChar w:fldCharType="begin"/>
            </w:r>
            <w:r>
              <w:rPr>
                <w:noProof/>
                <w:webHidden/>
              </w:rPr>
              <w:instrText xml:space="preserve"> PAGEREF _Toc224232729 \h </w:instrText>
            </w:r>
            <w:r>
              <w:rPr>
                <w:noProof/>
                <w:webHidden/>
              </w:rPr>
            </w:r>
            <w:r>
              <w:rPr>
                <w:noProof/>
                <w:webHidden/>
              </w:rPr>
              <w:fldChar w:fldCharType="separate"/>
            </w:r>
            <w:r>
              <w:rPr>
                <w:noProof/>
                <w:webHidden/>
              </w:rPr>
              <w:t>8</w:t>
            </w:r>
            <w:r>
              <w:rPr>
                <w:noProof/>
                <w:webHidden/>
              </w:rPr>
              <w:fldChar w:fldCharType="end"/>
            </w:r>
          </w:hyperlink>
        </w:p>
        <w:p w14:paraId="6C47853C" w14:textId="45B3C0AF" w:rsidR="005F2C43" w:rsidRDefault="005F2C43">
          <w:pPr>
            <w:pStyle w:val="TOC2"/>
            <w:tabs>
              <w:tab w:val="right" w:leader="dot" w:pos="9016"/>
            </w:tabs>
            <w:rPr>
              <w:rFonts w:eastAsiaTheme="minorEastAsia"/>
              <w:noProof/>
              <w:lang w:eastAsia="en-GB"/>
            </w:rPr>
          </w:pPr>
          <w:hyperlink w:anchor="_Toc224232730" w:history="1">
            <w:r w:rsidRPr="004171B9">
              <w:rPr>
                <w:rStyle w:val="Hyperlink"/>
                <w:b/>
                <w:bCs/>
                <w:noProof/>
              </w:rPr>
              <w:t>3.1 Ethical Considerations in Stakeholder Engagement</w:t>
            </w:r>
            <w:r>
              <w:rPr>
                <w:noProof/>
                <w:webHidden/>
              </w:rPr>
              <w:tab/>
            </w:r>
            <w:r>
              <w:rPr>
                <w:noProof/>
                <w:webHidden/>
              </w:rPr>
              <w:fldChar w:fldCharType="begin"/>
            </w:r>
            <w:r>
              <w:rPr>
                <w:noProof/>
                <w:webHidden/>
              </w:rPr>
              <w:instrText xml:space="preserve"> PAGEREF _Toc224232730 \h </w:instrText>
            </w:r>
            <w:r>
              <w:rPr>
                <w:noProof/>
                <w:webHidden/>
              </w:rPr>
            </w:r>
            <w:r>
              <w:rPr>
                <w:noProof/>
                <w:webHidden/>
              </w:rPr>
              <w:fldChar w:fldCharType="separate"/>
            </w:r>
            <w:r>
              <w:rPr>
                <w:noProof/>
                <w:webHidden/>
              </w:rPr>
              <w:t>8</w:t>
            </w:r>
            <w:r>
              <w:rPr>
                <w:noProof/>
                <w:webHidden/>
              </w:rPr>
              <w:fldChar w:fldCharType="end"/>
            </w:r>
          </w:hyperlink>
        </w:p>
        <w:p w14:paraId="0ECF31C8" w14:textId="76721F1D" w:rsidR="005F2C43" w:rsidRDefault="005F2C43">
          <w:pPr>
            <w:pStyle w:val="TOC2"/>
            <w:tabs>
              <w:tab w:val="right" w:leader="dot" w:pos="9016"/>
            </w:tabs>
            <w:rPr>
              <w:rFonts w:eastAsiaTheme="minorEastAsia"/>
              <w:noProof/>
              <w:lang w:eastAsia="en-GB"/>
            </w:rPr>
          </w:pPr>
          <w:hyperlink w:anchor="_Toc224232731" w:history="1">
            <w:r w:rsidRPr="004171B9">
              <w:rPr>
                <w:rStyle w:val="Hyperlink"/>
                <w:b/>
                <w:bCs/>
                <w:noProof/>
              </w:rPr>
              <w:t>3.2 Corporate Social Responsibility and Sustainability</w:t>
            </w:r>
            <w:r>
              <w:rPr>
                <w:noProof/>
                <w:webHidden/>
              </w:rPr>
              <w:tab/>
            </w:r>
            <w:r>
              <w:rPr>
                <w:noProof/>
                <w:webHidden/>
              </w:rPr>
              <w:fldChar w:fldCharType="begin"/>
            </w:r>
            <w:r>
              <w:rPr>
                <w:noProof/>
                <w:webHidden/>
              </w:rPr>
              <w:instrText xml:space="preserve"> PAGEREF _Toc224232731 \h </w:instrText>
            </w:r>
            <w:r>
              <w:rPr>
                <w:noProof/>
                <w:webHidden/>
              </w:rPr>
            </w:r>
            <w:r>
              <w:rPr>
                <w:noProof/>
                <w:webHidden/>
              </w:rPr>
              <w:fldChar w:fldCharType="separate"/>
            </w:r>
            <w:r>
              <w:rPr>
                <w:noProof/>
                <w:webHidden/>
              </w:rPr>
              <w:t>9</w:t>
            </w:r>
            <w:r>
              <w:rPr>
                <w:noProof/>
                <w:webHidden/>
              </w:rPr>
              <w:fldChar w:fldCharType="end"/>
            </w:r>
          </w:hyperlink>
        </w:p>
        <w:p w14:paraId="3DB582B9" w14:textId="632928D2" w:rsidR="005F2C43" w:rsidRDefault="005F2C43">
          <w:pPr>
            <w:pStyle w:val="TOC2"/>
            <w:tabs>
              <w:tab w:val="right" w:leader="dot" w:pos="9016"/>
            </w:tabs>
            <w:rPr>
              <w:rFonts w:eastAsiaTheme="minorEastAsia"/>
              <w:noProof/>
              <w:lang w:eastAsia="en-GB"/>
            </w:rPr>
          </w:pPr>
          <w:hyperlink w:anchor="_Toc224232732" w:history="1">
            <w:r w:rsidRPr="004171B9">
              <w:rPr>
                <w:rStyle w:val="Hyperlink"/>
                <w:b/>
                <w:bCs/>
                <w:noProof/>
              </w:rPr>
              <w:t>3.3 Reflective Insight</w:t>
            </w:r>
            <w:r>
              <w:rPr>
                <w:noProof/>
                <w:webHidden/>
              </w:rPr>
              <w:tab/>
            </w:r>
            <w:r>
              <w:rPr>
                <w:noProof/>
                <w:webHidden/>
              </w:rPr>
              <w:fldChar w:fldCharType="begin"/>
            </w:r>
            <w:r>
              <w:rPr>
                <w:noProof/>
                <w:webHidden/>
              </w:rPr>
              <w:instrText xml:space="preserve"> PAGEREF _Toc224232732 \h </w:instrText>
            </w:r>
            <w:r>
              <w:rPr>
                <w:noProof/>
                <w:webHidden/>
              </w:rPr>
            </w:r>
            <w:r>
              <w:rPr>
                <w:noProof/>
                <w:webHidden/>
              </w:rPr>
              <w:fldChar w:fldCharType="separate"/>
            </w:r>
            <w:r>
              <w:rPr>
                <w:noProof/>
                <w:webHidden/>
              </w:rPr>
              <w:t>9</w:t>
            </w:r>
            <w:r>
              <w:rPr>
                <w:noProof/>
                <w:webHidden/>
              </w:rPr>
              <w:fldChar w:fldCharType="end"/>
            </w:r>
          </w:hyperlink>
        </w:p>
        <w:p w14:paraId="7764CE77" w14:textId="24A0109E" w:rsidR="005F2C43" w:rsidRDefault="005F2C43">
          <w:pPr>
            <w:pStyle w:val="TOC1"/>
            <w:tabs>
              <w:tab w:val="right" w:leader="dot" w:pos="9016"/>
            </w:tabs>
            <w:rPr>
              <w:rFonts w:eastAsiaTheme="minorEastAsia"/>
              <w:noProof/>
              <w:lang w:eastAsia="en-GB"/>
            </w:rPr>
          </w:pPr>
          <w:hyperlink w:anchor="_Toc224232733" w:history="1">
            <w:r w:rsidRPr="004171B9">
              <w:rPr>
                <w:rStyle w:val="Hyperlink"/>
                <w:b/>
                <w:bCs/>
                <w:noProof/>
              </w:rPr>
              <w:t>4. Conclusion and Recommendations</w:t>
            </w:r>
            <w:r>
              <w:rPr>
                <w:noProof/>
                <w:webHidden/>
              </w:rPr>
              <w:tab/>
            </w:r>
            <w:r>
              <w:rPr>
                <w:noProof/>
                <w:webHidden/>
              </w:rPr>
              <w:fldChar w:fldCharType="begin"/>
            </w:r>
            <w:r>
              <w:rPr>
                <w:noProof/>
                <w:webHidden/>
              </w:rPr>
              <w:instrText xml:space="preserve"> PAGEREF _Toc224232733 \h </w:instrText>
            </w:r>
            <w:r>
              <w:rPr>
                <w:noProof/>
                <w:webHidden/>
              </w:rPr>
            </w:r>
            <w:r>
              <w:rPr>
                <w:noProof/>
                <w:webHidden/>
              </w:rPr>
              <w:fldChar w:fldCharType="separate"/>
            </w:r>
            <w:r>
              <w:rPr>
                <w:noProof/>
                <w:webHidden/>
              </w:rPr>
              <w:t>10</w:t>
            </w:r>
            <w:r>
              <w:rPr>
                <w:noProof/>
                <w:webHidden/>
              </w:rPr>
              <w:fldChar w:fldCharType="end"/>
            </w:r>
          </w:hyperlink>
        </w:p>
        <w:p w14:paraId="7151B492" w14:textId="3FB97E27" w:rsidR="005F2C43" w:rsidRDefault="005F2C43">
          <w:pPr>
            <w:pStyle w:val="TOC1"/>
            <w:tabs>
              <w:tab w:val="right" w:leader="dot" w:pos="9016"/>
            </w:tabs>
            <w:rPr>
              <w:rFonts w:eastAsiaTheme="minorEastAsia"/>
              <w:noProof/>
              <w:lang w:eastAsia="en-GB"/>
            </w:rPr>
          </w:pPr>
          <w:hyperlink w:anchor="_Toc224232734" w:history="1">
            <w:r w:rsidRPr="004171B9">
              <w:rPr>
                <w:rStyle w:val="Hyperlink"/>
                <w:b/>
                <w:bCs/>
                <w:noProof/>
              </w:rPr>
              <w:t>References</w:t>
            </w:r>
            <w:r>
              <w:rPr>
                <w:noProof/>
                <w:webHidden/>
              </w:rPr>
              <w:tab/>
            </w:r>
            <w:r>
              <w:rPr>
                <w:noProof/>
                <w:webHidden/>
              </w:rPr>
              <w:fldChar w:fldCharType="begin"/>
            </w:r>
            <w:r>
              <w:rPr>
                <w:noProof/>
                <w:webHidden/>
              </w:rPr>
              <w:instrText xml:space="preserve"> PAGEREF _Toc224232734 \h </w:instrText>
            </w:r>
            <w:r>
              <w:rPr>
                <w:noProof/>
                <w:webHidden/>
              </w:rPr>
            </w:r>
            <w:r>
              <w:rPr>
                <w:noProof/>
                <w:webHidden/>
              </w:rPr>
              <w:fldChar w:fldCharType="separate"/>
            </w:r>
            <w:r>
              <w:rPr>
                <w:noProof/>
                <w:webHidden/>
              </w:rPr>
              <w:t>12</w:t>
            </w:r>
            <w:r>
              <w:rPr>
                <w:noProof/>
                <w:webHidden/>
              </w:rPr>
              <w:fldChar w:fldCharType="end"/>
            </w:r>
          </w:hyperlink>
        </w:p>
        <w:p w14:paraId="23F8E230" w14:textId="6689434B" w:rsidR="0077518C" w:rsidRDefault="0077518C">
          <w:r>
            <w:rPr>
              <w:b/>
              <w:bCs/>
              <w:noProof/>
            </w:rPr>
            <w:fldChar w:fldCharType="end"/>
          </w:r>
        </w:p>
      </w:sdtContent>
    </w:sdt>
    <w:p w14:paraId="072DECE5" w14:textId="77777777" w:rsidR="004919FC" w:rsidRDefault="004919FC" w:rsidP="00BE69E1">
      <w:pPr>
        <w:pStyle w:val="Heading1"/>
        <w:rPr>
          <w:b/>
          <w:bCs/>
        </w:rPr>
      </w:pPr>
    </w:p>
    <w:p w14:paraId="1254265C" w14:textId="77777777" w:rsidR="004919FC" w:rsidRDefault="004919FC">
      <w:pPr>
        <w:rPr>
          <w:rFonts w:asciiTheme="majorHAnsi" w:eastAsiaTheme="majorEastAsia" w:hAnsiTheme="majorHAnsi" w:cstheme="majorBidi"/>
          <w:b/>
          <w:bCs/>
          <w:color w:val="0F4761" w:themeColor="accent1" w:themeShade="BF"/>
          <w:sz w:val="40"/>
          <w:szCs w:val="40"/>
        </w:rPr>
      </w:pPr>
      <w:r>
        <w:rPr>
          <w:b/>
          <w:bCs/>
        </w:rPr>
        <w:br w:type="page"/>
      </w:r>
    </w:p>
    <w:p w14:paraId="0010ABE8" w14:textId="63F42BF8" w:rsidR="00D233AD" w:rsidRPr="00D233AD" w:rsidRDefault="00BE69E1" w:rsidP="00ED62D7">
      <w:pPr>
        <w:pStyle w:val="Heading1"/>
        <w:rPr>
          <w:b/>
          <w:bCs/>
        </w:rPr>
      </w:pPr>
      <w:bookmarkStart w:id="0" w:name="_Toc224232722"/>
      <w:r w:rsidRPr="00BE69E1">
        <w:rPr>
          <w:b/>
          <w:bCs/>
        </w:rPr>
        <w:lastRenderedPageBreak/>
        <w:t>1: Introduction</w:t>
      </w:r>
      <w:bookmarkEnd w:id="0"/>
    </w:p>
    <w:p w14:paraId="1A9F8A65" w14:textId="77777777" w:rsidR="00D233AD" w:rsidRPr="00D233AD" w:rsidRDefault="00D233AD" w:rsidP="00D233AD">
      <w:pPr>
        <w:jc w:val="both"/>
        <w:rPr>
          <w:rFonts w:ascii="Arial" w:hAnsi="Arial" w:cs="Arial"/>
        </w:rPr>
      </w:pPr>
      <w:r w:rsidRPr="00D233AD">
        <w:rPr>
          <w:rFonts w:ascii="Arial" w:hAnsi="Arial" w:cs="Arial"/>
        </w:rPr>
        <w:t>Stakeholder management is a fundamental concept within contemporary project governance and strategic management. Organisations rarely operate in isolation; instead, they exist within complex networks of actors who influence and are influenced by organisational activities. Freeman (1984) defined stakeholders as individuals or groups that can affect or are affected by the achievement of an organisation’s objectives. This definition broadened the traditional shareholder-focused model of management and emphasised the importance of recognising diverse interests within organisational decision-making processes.</w:t>
      </w:r>
    </w:p>
    <w:p w14:paraId="758D177C" w14:textId="77777777" w:rsidR="00D233AD" w:rsidRPr="00D233AD" w:rsidRDefault="00D233AD" w:rsidP="00D233AD">
      <w:pPr>
        <w:jc w:val="both"/>
        <w:rPr>
          <w:rFonts w:ascii="Arial" w:hAnsi="Arial" w:cs="Arial"/>
        </w:rPr>
      </w:pPr>
      <w:r w:rsidRPr="00D233AD">
        <w:rPr>
          <w:rFonts w:ascii="Arial" w:hAnsi="Arial" w:cs="Arial"/>
        </w:rPr>
        <w:t xml:space="preserve">Over time, stakeholder theory has evolved to incorporate analytical tools that help managers prioritise and engage different stakeholder groups. Mitchell, Agle and Wood (1997) expanded stakeholder theory by introducing the concept of stakeholder salience, arguing that stakeholders should be prioritised according to their </w:t>
      </w:r>
      <w:r w:rsidRPr="00D233AD">
        <w:rPr>
          <w:rFonts w:ascii="Arial" w:hAnsi="Arial" w:cs="Arial"/>
          <w:b/>
          <w:bCs/>
        </w:rPr>
        <w:t>power, legitimacy and urgency</w:t>
      </w:r>
      <w:r w:rsidRPr="00D233AD">
        <w:rPr>
          <w:rFonts w:ascii="Arial" w:hAnsi="Arial" w:cs="Arial"/>
        </w:rPr>
        <w:t>. These attributes help organisations determine which stakeholders require the most attention and resources.</w:t>
      </w:r>
    </w:p>
    <w:p w14:paraId="40CAF2E4" w14:textId="77777777" w:rsidR="00D233AD" w:rsidRPr="00D233AD" w:rsidRDefault="00D233AD" w:rsidP="00D233AD">
      <w:pPr>
        <w:jc w:val="both"/>
        <w:rPr>
          <w:rFonts w:ascii="Arial" w:hAnsi="Arial" w:cs="Arial"/>
        </w:rPr>
      </w:pPr>
      <w:r w:rsidRPr="00D233AD">
        <w:rPr>
          <w:rFonts w:ascii="Arial" w:hAnsi="Arial" w:cs="Arial"/>
        </w:rPr>
        <w:t>In project management contexts, particularly within public sector or community initiatives, stakeholder management becomes even more critical. Projects in these environments often depend on collaboration across institutions, community groups, businesses and citizens. Bryson et al. (2017) highlight that public projects require inclusive participation because legitimacy, trust and behavioural change are essential for long-term success. Without effective stakeholder engagement, projects may encounter resistance, lack of participation, or implementation challenges.</w:t>
      </w:r>
    </w:p>
    <w:p w14:paraId="44D4EC6B" w14:textId="77777777" w:rsidR="00D233AD" w:rsidRPr="00D233AD" w:rsidRDefault="00D233AD" w:rsidP="00D233AD">
      <w:pPr>
        <w:jc w:val="both"/>
        <w:rPr>
          <w:rFonts w:ascii="Arial" w:hAnsi="Arial" w:cs="Arial"/>
        </w:rPr>
      </w:pPr>
      <w:r w:rsidRPr="00D233AD">
        <w:rPr>
          <w:rFonts w:ascii="Arial" w:hAnsi="Arial" w:cs="Arial"/>
        </w:rPr>
        <w:t xml:space="preserve">This portfolio analyses a </w:t>
      </w:r>
      <w:r w:rsidRPr="00D233AD">
        <w:rPr>
          <w:rFonts w:ascii="Arial" w:hAnsi="Arial" w:cs="Arial"/>
          <w:b/>
          <w:bCs/>
        </w:rPr>
        <w:t>community-based environmental initiative in Tamworth, Staffordshire</w:t>
      </w:r>
      <w:r w:rsidRPr="00D233AD">
        <w:rPr>
          <w:rFonts w:ascii="Arial" w:hAnsi="Arial" w:cs="Arial"/>
        </w:rPr>
        <w:t>, which aims to reduce litter across public spaces including parks, canal pathways, residential areas and the town centre. The initiative is supported by Tamworth Borough Council and relies on collaboration between local authorities, residents, businesses, schools and environmental organisations. The project seeks to achieve several objectives, including improving environmental quality, protecting wildlife habitats, strengthening civic pride and encouraging responsible waste behaviour within the community .</w:t>
      </w:r>
    </w:p>
    <w:p w14:paraId="377EABAC" w14:textId="77777777" w:rsidR="00D233AD" w:rsidRPr="00D233AD" w:rsidRDefault="00D233AD" w:rsidP="00D233AD">
      <w:pPr>
        <w:jc w:val="both"/>
        <w:rPr>
          <w:rFonts w:ascii="Arial" w:hAnsi="Arial" w:cs="Arial"/>
        </w:rPr>
      </w:pPr>
      <w:r w:rsidRPr="00D233AD">
        <w:rPr>
          <w:rFonts w:ascii="Arial" w:hAnsi="Arial" w:cs="Arial"/>
        </w:rPr>
        <w:t>Although the project is relatively modest in financial terms, its success depends heavily on the cooperation of multiple stakeholders with differing interests and levels of influence. Managing these relationships effectively is therefore crucial. Stakeholder engagement strategies must balance institutional authority with community participation while addressing practical challenges such as resource limitations, behavioural resistance and coordination complexity.</w:t>
      </w:r>
    </w:p>
    <w:p w14:paraId="60CB16DB" w14:textId="4F7ADDA0" w:rsidR="00D233AD" w:rsidRPr="00D233AD" w:rsidRDefault="00D233AD" w:rsidP="00D233AD">
      <w:pPr>
        <w:jc w:val="both"/>
        <w:rPr>
          <w:rFonts w:ascii="Arial" w:hAnsi="Arial" w:cs="Arial"/>
        </w:rPr>
      </w:pPr>
      <w:r w:rsidRPr="00D233AD">
        <w:rPr>
          <w:rFonts w:ascii="Arial" w:hAnsi="Arial" w:cs="Arial"/>
        </w:rPr>
        <w:t xml:space="preserve">This portfolio critically evaluates stakeholder management within the Tamworth litter reduction initiative. It applies key theoretical frameworks including stakeholder theory, Mendelow’s Power–Interest Matrix, Corporate Social Responsibility (CSR), and sustainability frameworks. The analysis explores stakeholder identification, </w:t>
      </w:r>
      <w:r w:rsidRPr="00D233AD">
        <w:rPr>
          <w:rFonts w:ascii="Arial" w:hAnsi="Arial" w:cs="Arial"/>
        </w:rPr>
        <w:lastRenderedPageBreak/>
        <w:t>engagement strategies, ethical considerations and governance challenges. It also reflects on how theoretical models can be applied to real-world community projects and identifies recommendations for improving stakeholder coordination and long-term sustainability.</w:t>
      </w:r>
    </w:p>
    <w:p w14:paraId="6A38B83B" w14:textId="77777777" w:rsidR="00D233AD" w:rsidRPr="00907740" w:rsidRDefault="00D233AD" w:rsidP="00E13D27">
      <w:pPr>
        <w:pStyle w:val="Heading1"/>
        <w:rPr>
          <w:b/>
          <w:bCs/>
        </w:rPr>
      </w:pPr>
      <w:bookmarkStart w:id="1" w:name="_Toc224232723"/>
      <w:r w:rsidRPr="00907740">
        <w:rPr>
          <w:b/>
          <w:bCs/>
        </w:rPr>
        <w:t>2. Depth of Analysis and Application</w:t>
      </w:r>
      <w:bookmarkEnd w:id="1"/>
    </w:p>
    <w:p w14:paraId="1D00A61F" w14:textId="77777777" w:rsidR="00D233AD" w:rsidRPr="00907740" w:rsidRDefault="00D233AD" w:rsidP="00907740">
      <w:pPr>
        <w:pStyle w:val="Heading2"/>
        <w:rPr>
          <w:b/>
          <w:bCs/>
        </w:rPr>
      </w:pPr>
      <w:bookmarkStart w:id="2" w:name="_Toc224232724"/>
      <w:r w:rsidRPr="00907740">
        <w:rPr>
          <w:b/>
          <w:bCs/>
        </w:rPr>
        <w:t>2.1 Stakeholder Identification</w:t>
      </w:r>
      <w:bookmarkEnd w:id="2"/>
    </w:p>
    <w:p w14:paraId="3CF1C250" w14:textId="77777777" w:rsidR="00D233AD" w:rsidRPr="00D233AD" w:rsidRDefault="00D233AD" w:rsidP="00D233AD">
      <w:pPr>
        <w:jc w:val="both"/>
        <w:rPr>
          <w:rFonts w:ascii="Arial" w:hAnsi="Arial" w:cs="Arial"/>
        </w:rPr>
      </w:pPr>
      <w:r w:rsidRPr="00D233AD">
        <w:rPr>
          <w:rFonts w:ascii="Arial" w:hAnsi="Arial" w:cs="Arial"/>
        </w:rPr>
        <w:t>The first stage of stakeholder management involves systematically identifying individuals and organisations that may influence or be influenced by a project. According to the Project Management Institute (PMI, 2021), stakeholder identification enables project managers to understand expectations, potential risks and opportunities for collaboration. Failure to recognise key stakeholders early in the project lifecycle can lead to conflict, miscommunication and reduced project effectiveness.</w:t>
      </w:r>
    </w:p>
    <w:p w14:paraId="21B842BE" w14:textId="77777777" w:rsidR="00D233AD" w:rsidRPr="00D233AD" w:rsidRDefault="00D233AD" w:rsidP="00D233AD">
      <w:pPr>
        <w:jc w:val="both"/>
        <w:rPr>
          <w:rFonts w:ascii="Arial" w:hAnsi="Arial" w:cs="Arial"/>
        </w:rPr>
      </w:pPr>
      <w:r w:rsidRPr="00D233AD">
        <w:rPr>
          <w:rFonts w:ascii="Arial" w:hAnsi="Arial" w:cs="Arial"/>
        </w:rPr>
        <w:t>In the case of the Tamworth Community Litter Reduction Initiative, several stakeholder groups can be identified:</w:t>
      </w:r>
    </w:p>
    <w:p w14:paraId="34E53809" w14:textId="77777777" w:rsidR="00D233AD" w:rsidRPr="00D233AD" w:rsidRDefault="00D233AD" w:rsidP="00D233AD">
      <w:pPr>
        <w:numPr>
          <w:ilvl w:val="0"/>
          <w:numId w:val="10"/>
        </w:numPr>
        <w:jc w:val="both"/>
        <w:rPr>
          <w:rFonts w:ascii="Arial" w:hAnsi="Arial" w:cs="Arial"/>
        </w:rPr>
      </w:pPr>
      <w:r w:rsidRPr="00D233AD">
        <w:rPr>
          <w:rFonts w:ascii="Arial" w:hAnsi="Arial" w:cs="Arial"/>
        </w:rPr>
        <w:t>Tamworth Borough Council</w:t>
      </w:r>
    </w:p>
    <w:p w14:paraId="58A36FE9" w14:textId="77777777" w:rsidR="00D233AD" w:rsidRPr="00D233AD" w:rsidRDefault="00D233AD" w:rsidP="00D233AD">
      <w:pPr>
        <w:numPr>
          <w:ilvl w:val="0"/>
          <w:numId w:val="10"/>
        </w:numPr>
        <w:jc w:val="both"/>
        <w:rPr>
          <w:rFonts w:ascii="Arial" w:hAnsi="Arial" w:cs="Arial"/>
        </w:rPr>
      </w:pPr>
      <w:r w:rsidRPr="00D233AD">
        <w:rPr>
          <w:rFonts w:ascii="Arial" w:hAnsi="Arial" w:cs="Arial"/>
        </w:rPr>
        <w:t>Staffordshire County Council</w:t>
      </w:r>
    </w:p>
    <w:p w14:paraId="110911CB" w14:textId="77777777" w:rsidR="00D233AD" w:rsidRPr="00D233AD" w:rsidRDefault="00D233AD" w:rsidP="00D233AD">
      <w:pPr>
        <w:numPr>
          <w:ilvl w:val="0"/>
          <w:numId w:val="10"/>
        </w:numPr>
        <w:jc w:val="both"/>
        <w:rPr>
          <w:rFonts w:ascii="Arial" w:hAnsi="Arial" w:cs="Arial"/>
        </w:rPr>
      </w:pPr>
      <w:r w:rsidRPr="00D233AD">
        <w:rPr>
          <w:rFonts w:ascii="Arial" w:hAnsi="Arial" w:cs="Arial"/>
        </w:rPr>
        <w:t>Waste management contractors</w:t>
      </w:r>
    </w:p>
    <w:p w14:paraId="23FC4B8D" w14:textId="77777777" w:rsidR="00D233AD" w:rsidRPr="00D233AD" w:rsidRDefault="00D233AD" w:rsidP="00D233AD">
      <w:pPr>
        <w:numPr>
          <w:ilvl w:val="0"/>
          <w:numId w:val="10"/>
        </w:numPr>
        <w:jc w:val="both"/>
        <w:rPr>
          <w:rFonts w:ascii="Arial" w:hAnsi="Arial" w:cs="Arial"/>
        </w:rPr>
      </w:pPr>
      <w:r w:rsidRPr="00D233AD">
        <w:rPr>
          <w:rFonts w:ascii="Arial" w:hAnsi="Arial" w:cs="Arial"/>
        </w:rPr>
        <w:t>Local residents</w:t>
      </w:r>
    </w:p>
    <w:p w14:paraId="20EB198C" w14:textId="77777777" w:rsidR="00D233AD" w:rsidRPr="00D233AD" w:rsidRDefault="00D233AD" w:rsidP="00D233AD">
      <w:pPr>
        <w:numPr>
          <w:ilvl w:val="0"/>
          <w:numId w:val="10"/>
        </w:numPr>
        <w:jc w:val="both"/>
        <w:rPr>
          <w:rFonts w:ascii="Arial" w:hAnsi="Arial" w:cs="Arial"/>
        </w:rPr>
      </w:pPr>
      <w:r w:rsidRPr="00D233AD">
        <w:rPr>
          <w:rFonts w:ascii="Arial" w:hAnsi="Arial" w:cs="Arial"/>
        </w:rPr>
        <w:t>Volunteer community groups</w:t>
      </w:r>
    </w:p>
    <w:p w14:paraId="763FC19C" w14:textId="77777777" w:rsidR="00D233AD" w:rsidRPr="00D233AD" w:rsidRDefault="00D233AD" w:rsidP="00D233AD">
      <w:pPr>
        <w:numPr>
          <w:ilvl w:val="0"/>
          <w:numId w:val="10"/>
        </w:numPr>
        <w:jc w:val="both"/>
        <w:rPr>
          <w:rFonts w:ascii="Arial" w:hAnsi="Arial" w:cs="Arial"/>
        </w:rPr>
      </w:pPr>
      <w:r w:rsidRPr="00D233AD">
        <w:rPr>
          <w:rFonts w:ascii="Arial" w:hAnsi="Arial" w:cs="Arial"/>
        </w:rPr>
        <w:t>Local businesses (retail and hospitality sectors)</w:t>
      </w:r>
    </w:p>
    <w:p w14:paraId="06F36EE4" w14:textId="77777777" w:rsidR="00D233AD" w:rsidRPr="00D233AD" w:rsidRDefault="00D233AD" w:rsidP="00D233AD">
      <w:pPr>
        <w:numPr>
          <w:ilvl w:val="0"/>
          <w:numId w:val="10"/>
        </w:numPr>
        <w:jc w:val="both"/>
        <w:rPr>
          <w:rFonts w:ascii="Arial" w:hAnsi="Arial" w:cs="Arial"/>
        </w:rPr>
      </w:pPr>
      <w:r w:rsidRPr="00D233AD">
        <w:rPr>
          <w:rFonts w:ascii="Arial" w:hAnsi="Arial" w:cs="Arial"/>
        </w:rPr>
        <w:t>Schools and educational institutions</w:t>
      </w:r>
    </w:p>
    <w:p w14:paraId="43F1E5FD" w14:textId="77777777" w:rsidR="00D233AD" w:rsidRPr="00D233AD" w:rsidRDefault="00D233AD" w:rsidP="00D233AD">
      <w:pPr>
        <w:numPr>
          <w:ilvl w:val="0"/>
          <w:numId w:val="10"/>
        </w:numPr>
        <w:jc w:val="both"/>
        <w:rPr>
          <w:rFonts w:ascii="Arial" w:hAnsi="Arial" w:cs="Arial"/>
        </w:rPr>
      </w:pPr>
      <w:r w:rsidRPr="00D233AD">
        <w:rPr>
          <w:rFonts w:ascii="Arial" w:hAnsi="Arial" w:cs="Arial"/>
        </w:rPr>
        <w:t>Environmental charities (e.g., Keep Britain Tidy)</w:t>
      </w:r>
    </w:p>
    <w:p w14:paraId="3210E77D" w14:textId="77777777" w:rsidR="00D233AD" w:rsidRPr="00D233AD" w:rsidRDefault="00D233AD" w:rsidP="00D233AD">
      <w:pPr>
        <w:numPr>
          <w:ilvl w:val="0"/>
          <w:numId w:val="10"/>
        </w:numPr>
        <w:jc w:val="both"/>
        <w:rPr>
          <w:rFonts w:ascii="Arial" w:hAnsi="Arial" w:cs="Arial"/>
        </w:rPr>
      </w:pPr>
      <w:r w:rsidRPr="00D233AD">
        <w:rPr>
          <w:rFonts w:ascii="Arial" w:hAnsi="Arial" w:cs="Arial"/>
        </w:rPr>
        <w:t>Local media organisations</w:t>
      </w:r>
    </w:p>
    <w:p w14:paraId="4D8D7250" w14:textId="77777777" w:rsidR="00D233AD" w:rsidRPr="00D233AD" w:rsidRDefault="00D233AD" w:rsidP="00D233AD">
      <w:pPr>
        <w:numPr>
          <w:ilvl w:val="0"/>
          <w:numId w:val="10"/>
        </w:numPr>
        <w:jc w:val="both"/>
        <w:rPr>
          <w:rFonts w:ascii="Arial" w:hAnsi="Arial" w:cs="Arial"/>
        </w:rPr>
      </w:pPr>
      <w:r w:rsidRPr="00D233AD">
        <w:rPr>
          <w:rFonts w:ascii="Arial" w:hAnsi="Arial" w:cs="Arial"/>
        </w:rPr>
        <w:t>Visitors and tourists</w:t>
      </w:r>
    </w:p>
    <w:p w14:paraId="466740FA" w14:textId="77777777" w:rsidR="00D233AD" w:rsidRPr="00D233AD" w:rsidRDefault="00D233AD" w:rsidP="00D233AD">
      <w:pPr>
        <w:jc w:val="both"/>
        <w:rPr>
          <w:rFonts w:ascii="Arial" w:hAnsi="Arial" w:cs="Arial"/>
        </w:rPr>
      </w:pPr>
      <w:r w:rsidRPr="00D233AD">
        <w:rPr>
          <w:rFonts w:ascii="Arial" w:hAnsi="Arial" w:cs="Arial"/>
        </w:rPr>
        <w:t>Each of these stakeholders plays a different role in the initiative. Tamworth Borough Council acts as the primary coordinating authority, responsible for policy implementation, budget allocation and infrastructure management. Waste management contractors provide operational services such as waste collection and disposal. Meanwhile, residents, volunteer groups and schools contribute through community participation, behavioural change and educational initiatives.</w:t>
      </w:r>
    </w:p>
    <w:p w14:paraId="02348F77" w14:textId="77777777" w:rsidR="00D233AD" w:rsidRPr="00D233AD" w:rsidRDefault="00D233AD" w:rsidP="00D233AD">
      <w:pPr>
        <w:jc w:val="both"/>
        <w:rPr>
          <w:rFonts w:ascii="Arial" w:hAnsi="Arial" w:cs="Arial"/>
        </w:rPr>
      </w:pPr>
      <w:r w:rsidRPr="00D233AD">
        <w:rPr>
          <w:rFonts w:ascii="Arial" w:hAnsi="Arial" w:cs="Arial"/>
        </w:rPr>
        <w:t xml:space="preserve">Pedrini and Ferri (2019) emphasise that stakeholder identification should be viewed as a </w:t>
      </w:r>
      <w:r w:rsidRPr="00D233AD">
        <w:rPr>
          <w:rFonts w:ascii="Arial" w:hAnsi="Arial" w:cs="Arial"/>
          <w:b/>
          <w:bCs/>
        </w:rPr>
        <w:t>dynamic and ongoing process</w:t>
      </w:r>
      <w:r w:rsidRPr="00D233AD">
        <w:rPr>
          <w:rFonts w:ascii="Arial" w:hAnsi="Arial" w:cs="Arial"/>
        </w:rPr>
        <w:t xml:space="preserve"> rather than a one-time exercise. Stakeholder influence may evolve over time as project priorities shift or as new actors become </w:t>
      </w:r>
      <w:r w:rsidRPr="00D233AD">
        <w:rPr>
          <w:rFonts w:ascii="Arial" w:hAnsi="Arial" w:cs="Arial"/>
        </w:rPr>
        <w:lastRenderedPageBreak/>
        <w:t>involved. For example, media coverage may increase public awareness of litter issues, thereby raising the influence of community groups. Similarly, businesses may become more involved if corporate social responsibility initiatives align with environmental objectives.</w:t>
      </w:r>
    </w:p>
    <w:p w14:paraId="36974851" w14:textId="78486BDC" w:rsidR="00D233AD" w:rsidRPr="00D233AD" w:rsidRDefault="00D233AD" w:rsidP="00D233AD">
      <w:pPr>
        <w:jc w:val="both"/>
        <w:rPr>
          <w:rFonts w:ascii="Arial" w:hAnsi="Arial" w:cs="Arial"/>
        </w:rPr>
      </w:pPr>
      <w:r w:rsidRPr="00D233AD">
        <w:rPr>
          <w:rFonts w:ascii="Arial" w:hAnsi="Arial" w:cs="Arial"/>
        </w:rPr>
        <w:t>Therefore, effective stakeholder identification requires continuous monitoring and reassessment throughout the project lifecycle.</w:t>
      </w:r>
    </w:p>
    <w:p w14:paraId="64BE2AA8" w14:textId="77777777" w:rsidR="00D233AD" w:rsidRPr="00907740" w:rsidRDefault="00D233AD" w:rsidP="00907740">
      <w:pPr>
        <w:pStyle w:val="Heading2"/>
        <w:rPr>
          <w:b/>
          <w:bCs/>
        </w:rPr>
      </w:pPr>
      <w:bookmarkStart w:id="3" w:name="_Toc224232725"/>
      <w:r w:rsidRPr="00907740">
        <w:rPr>
          <w:b/>
          <w:bCs/>
        </w:rPr>
        <w:t>2.2 Stakeholder Analysis: Power–Interest Matrix</w:t>
      </w:r>
      <w:bookmarkEnd w:id="3"/>
    </w:p>
    <w:p w14:paraId="6E776A10" w14:textId="77777777" w:rsidR="00D233AD" w:rsidRPr="00D233AD" w:rsidRDefault="00D233AD" w:rsidP="00D233AD">
      <w:pPr>
        <w:jc w:val="both"/>
        <w:rPr>
          <w:rFonts w:ascii="Arial" w:hAnsi="Arial" w:cs="Arial"/>
        </w:rPr>
      </w:pPr>
      <w:r w:rsidRPr="00D233AD">
        <w:rPr>
          <w:rFonts w:ascii="Arial" w:hAnsi="Arial" w:cs="Arial"/>
        </w:rPr>
        <w:t xml:space="preserve">Once stakeholders have been identified, the next step is to analyse their relative influence and priorities. One of the most widely used tools for this purpose is </w:t>
      </w:r>
      <w:r w:rsidRPr="00D233AD">
        <w:rPr>
          <w:rFonts w:ascii="Arial" w:hAnsi="Arial" w:cs="Arial"/>
          <w:b/>
          <w:bCs/>
        </w:rPr>
        <w:t>Mendelow’s Power–Interest Matrix</w:t>
      </w:r>
      <w:r w:rsidRPr="00D233AD">
        <w:rPr>
          <w:rFonts w:ascii="Arial" w:hAnsi="Arial" w:cs="Arial"/>
        </w:rPr>
        <w:t xml:space="preserve"> (Mendelow, 1991). This framework categorises stakeholders according to their level of power (their ability to influence project outcomes) and their level of interest in the project.</w:t>
      </w:r>
    </w:p>
    <w:p w14:paraId="762CCB64" w14:textId="77777777" w:rsidR="00D233AD" w:rsidRPr="00D233AD" w:rsidRDefault="00D233AD" w:rsidP="00D233AD">
      <w:pPr>
        <w:jc w:val="both"/>
        <w:rPr>
          <w:rFonts w:ascii="Arial" w:hAnsi="Arial" w:cs="Arial"/>
        </w:rPr>
      </w:pPr>
      <w:r w:rsidRPr="00D233AD">
        <w:rPr>
          <w:rFonts w:ascii="Arial" w:hAnsi="Arial" w:cs="Arial"/>
        </w:rPr>
        <w:t>The matrix typically divides stakeholders into four categories:</w:t>
      </w:r>
    </w:p>
    <w:p w14:paraId="2F83A49B" w14:textId="77777777" w:rsidR="00D233AD" w:rsidRPr="00D233AD" w:rsidRDefault="00D233AD" w:rsidP="00D233AD">
      <w:pPr>
        <w:numPr>
          <w:ilvl w:val="0"/>
          <w:numId w:val="11"/>
        </w:numPr>
        <w:jc w:val="both"/>
        <w:rPr>
          <w:rFonts w:ascii="Arial" w:hAnsi="Arial" w:cs="Arial"/>
        </w:rPr>
      </w:pPr>
      <w:r w:rsidRPr="00D233AD">
        <w:rPr>
          <w:rFonts w:ascii="Arial" w:hAnsi="Arial" w:cs="Arial"/>
        </w:rPr>
        <w:t>High power – high interest</w:t>
      </w:r>
    </w:p>
    <w:p w14:paraId="684E89B9" w14:textId="77777777" w:rsidR="00D233AD" w:rsidRPr="00D233AD" w:rsidRDefault="00D233AD" w:rsidP="00D233AD">
      <w:pPr>
        <w:numPr>
          <w:ilvl w:val="0"/>
          <w:numId w:val="11"/>
        </w:numPr>
        <w:jc w:val="both"/>
        <w:rPr>
          <w:rFonts w:ascii="Arial" w:hAnsi="Arial" w:cs="Arial"/>
        </w:rPr>
      </w:pPr>
      <w:r w:rsidRPr="00D233AD">
        <w:rPr>
          <w:rFonts w:ascii="Arial" w:hAnsi="Arial" w:cs="Arial"/>
        </w:rPr>
        <w:t>High power – low interest</w:t>
      </w:r>
    </w:p>
    <w:p w14:paraId="28067FFC" w14:textId="77777777" w:rsidR="00D233AD" w:rsidRPr="00D233AD" w:rsidRDefault="00D233AD" w:rsidP="00D233AD">
      <w:pPr>
        <w:numPr>
          <w:ilvl w:val="0"/>
          <w:numId w:val="11"/>
        </w:numPr>
        <w:jc w:val="both"/>
        <w:rPr>
          <w:rFonts w:ascii="Arial" w:hAnsi="Arial" w:cs="Arial"/>
        </w:rPr>
      </w:pPr>
      <w:r w:rsidRPr="00D233AD">
        <w:rPr>
          <w:rFonts w:ascii="Arial" w:hAnsi="Arial" w:cs="Arial"/>
        </w:rPr>
        <w:t>Low power – high interest</w:t>
      </w:r>
    </w:p>
    <w:p w14:paraId="1C68B11A" w14:textId="77777777" w:rsidR="00D233AD" w:rsidRPr="00D233AD" w:rsidRDefault="00D233AD" w:rsidP="00D233AD">
      <w:pPr>
        <w:numPr>
          <w:ilvl w:val="0"/>
          <w:numId w:val="11"/>
        </w:numPr>
        <w:jc w:val="both"/>
        <w:rPr>
          <w:rFonts w:ascii="Arial" w:hAnsi="Arial" w:cs="Arial"/>
        </w:rPr>
      </w:pPr>
      <w:r w:rsidRPr="00D233AD">
        <w:rPr>
          <w:rFonts w:ascii="Arial" w:hAnsi="Arial" w:cs="Arial"/>
        </w:rPr>
        <w:t>Low power – low interest</w:t>
      </w:r>
    </w:p>
    <w:p w14:paraId="775F0204" w14:textId="77777777" w:rsidR="00D233AD" w:rsidRPr="00D233AD" w:rsidRDefault="00D233AD" w:rsidP="00D233AD">
      <w:pPr>
        <w:jc w:val="both"/>
        <w:rPr>
          <w:rFonts w:ascii="Arial" w:hAnsi="Arial" w:cs="Arial"/>
        </w:rPr>
      </w:pPr>
      <w:r w:rsidRPr="00D233AD">
        <w:rPr>
          <w:rFonts w:ascii="Arial" w:hAnsi="Arial" w:cs="Arial"/>
        </w:rPr>
        <w:t>Understanding these categories helps organisations allocate resources effectively and develop tailored engagement strategies.</w:t>
      </w:r>
    </w:p>
    <w:p w14:paraId="12DD4FE9" w14:textId="77777777" w:rsidR="00D233AD" w:rsidRPr="00D233AD" w:rsidRDefault="00D233AD" w:rsidP="00D233AD">
      <w:pPr>
        <w:jc w:val="both"/>
        <w:rPr>
          <w:rFonts w:ascii="Arial" w:hAnsi="Arial" w:cs="Arial"/>
          <w:b/>
          <w:bCs/>
        </w:rPr>
      </w:pPr>
      <w:r w:rsidRPr="00D233AD">
        <w:rPr>
          <w:rFonts w:ascii="Arial" w:hAnsi="Arial" w:cs="Arial"/>
          <w:b/>
          <w:bCs/>
        </w:rPr>
        <w:t>High Power – High Interest (Manage Closely)</w:t>
      </w:r>
    </w:p>
    <w:p w14:paraId="4F4F6C3E" w14:textId="77777777" w:rsidR="00D233AD" w:rsidRPr="00D233AD" w:rsidRDefault="00D233AD" w:rsidP="00D233AD">
      <w:pPr>
        <w:jc w:val="both"/>
        <w:rPr>
          <w:rFonts w:ascii="Arial" w:hAnsi="Arial" w:cs="Arial"/>
        </w:rPr>
      </w:pPr>
      <w:r w:rsidRPr="00D233AD">
        <w:rPr>
          <w:rFonts w:ascii="Arial" w:hAnsi="Arial" w:cs="Arial"/>
        </w:rPr>
        <w:t>Stakeholders in this category require the highest level of engagement because they possess both significant authority and strong interest in the project.</w:t>
      </w:r>
    </w:p>
    <w:p w14:paraId="34F8751E" w14:textId="77777777" w:rsidR="00D233AD" w:rsidRPr="00D233AD" w:rsidRDefault="00D233AD" w:rsidP="00D233AD">
      <w:pPr>
        <w:jc w:val="both"/>
        <w:rPr>
          <w:rFonts w:ascii="Arial" w:hAnsi="Arial" w:cs="Arial"/>
        </w:rPr>
      </w:pPr>
      <w:r w:rsidRPr="00D233AD">
        <w:rPr>
          <w:rFonts w:ascii="Arial" w:hAnsi="Arial" w:cs="Arial"/>
          <w:b/>
          <w:bCs/>
        </w:rPr>
        <w:t>Tamworth Borough Council</w:t>
      </w:r>
    </w:p>
    <w:p w14:paraId="3AB1DDA2" w14:textId="77777777" w:rsidR="00D233AD" w:rsidRPr="00D233AD" w:rsidRDefault="00D233AD" w:rsidP="00D233AD">
      <w:pPr>
        <w:jc w:val="both"/>
        <w:rPr>
          <w:rFonts w:ascii="Arial" w:hAnsi="Arial" w:cs="Arial"/>
        </w:rPr>
      </w:pPr>
      <w:r w:rsidRPr="00D233AD">
        <w:rPr>
          <w:rFonts w:ascii="Arial" w:hAnsi="Arial" w:cs="Arial"/>
        </w:rPr>
        <w:t>The Council is the most influential stakeholder because it controls environmental policy decisions, enforcement mechanisms and funding allocation. Johnson, Scholes and Whittington (2017) argue that stakeholders with high institutional authority must be closely managed through regular communication and strategic alignment. If the Council withdraws support or changes policy priorities, the initiative could struggle to continue.</w:t>
      </w:r>
    </w:p>
    <w:p w14:paraId="5490729B" w14:textId="77777777" w:rsidR="00D233AD" w:rsidRPr="00D233AD" w:rsidRDefault="00D233AD" w:rsidP="00D233AD">
      <w:pPr>
        <w:jc w:val="both"/>
        <w:rPr>
          <w:rFonts w:ascii="Arial" w:hAnsi="Arial" w:cs="Arial"/>
        </w:rPr>
      </w:pPr>
      <w:r w:rsidRPr="00D233AD">
        <w:rPr>
          <w:rFonts w:ascii="Arial" w:hAnsi="Arial" w:cs="Arial"/>
          <w:b/>
          <w:bCs/>
        </w:rPr>
        <w:t>Waste Management Contractors</w:t>
      </w:r>
    </w:p>
    <w:p w14:paraId="44898D95" w14:textId="77777777" w:rsidR="00D233AD" w:rsidRPr="00D233AD" w:rsidRDefault="00D233AD" w:rsidP="00D233AD">
      <w:pPr>
        <w:jc w:val="both"/>
        <w:rPr>
          <w:rFonts w:ascii="Arial" w:hAnsi="Arial" w:cs="Arial"/>
        </w:rPr>
      </w:pPr>
      <w:r w:rsidRPr="00D233AD">
        <w:rPr>
          <w:rFonts w:ascii="Arial" w:hAnsi="Arial" w:cs="Arial"/>
        </w:rPr>
        <w:t>Operational partners responsible for waste collection also fall into this category. Their performance directly affects the efficiency of litter management. Poor contractor performance may undermine public confidence and reduce project credibility.</w:t>
      </w:r>
    </w:p>
    <w:p w14:paraId="6C096ED5" w14:textId="77777777" w:rsidR="00D233AD" w:rsidRPr="00D233AD" w:rsidRDefault="00D233AD" w:rsidP="00D233AD">
      <w:pPr>
        <w:jc w:val="both"/>
        <w:rPr>
          <w:rFonts w:ascii="Arial" w:hAnsi="Arial" w:cs="Arial"/>
        </w:rPr>
      </w:pPr>
      <w:r w:rsidRPr="00D233AD">
        <w:rPr>
          <w:rFonts w:ascii="Arial" w:hAnsi="Arial" w:cs="Arial"/>
        </w:rPr>
        <w:t>Therefore, maintaining strong partnerships with these actors is essential.</w:t>
      </w:r>
    </w:p>
    <w:p w14:paraId="40EDDC30" w14:textId="77777777" w:rsidR="00D233AD" w:rsidRPr="00D233AD" w:rsidRDefault="00000000" w:rsidP="00D233AD">
      <w:pPr>
        <w:jc w:val="both"/>
        <w:rPr>
          <w:rFonts w:ascii="Arial" w:hAnsi="Arial" w:cs="Arial"/>
        </w:rPr>
      </w:pPr>
      <w:r>
        <w:rPr>
          <w:rFonts w:ascii="Arial" w:hAnsi="Arial" w:cs="Arial"/>
        </w:rPr>
        <w:pict w14:anchorId="2F7D63AD">
          <v:rect id="_x0000_i1025" style="width:0;height:1.5pt" o:hralign="center" o:hrstd="t" o:hr="t" fillcolor="#a0a0a0" stroked="f"/>
        </w:pict>
      </w:r>
    </w:p>
    <w:p w14:paraId="0024EC31" w14:textId="77777777" w:rsidR="00D233AD" w:rsidRPr="00D233AD" w:rsidRDefault="00D233AD" w:rsidP="00D233AD">
      <w:pPr>
        <w:jc w:val="both"/>
        <w:rPr>
          <w:rFonts w:ascii="Arial" w:hAnsi="Arial" w:cs="Arial"/>
          <w:b/>
          <w:bCs/>
        </w:rPr>
      </w:pPr>
      <w:r w:rsidRPr="00D233AD">
        <w:rPr>
          <w:rFonts w:ascii="Arial" w:hAnsi="Arial" w:cs="Arial"/>
          <w:b/>
          <w:bCs/>
        </w:rPr>
        <w:lastRenderedPageBreak/>
        <w:t>High Power – Low Interest (Keep Satisfied)</w:t>
      </w:r>
    </w:p>
    <w:p w14:paraId="2385C39B" w14:textId="77777777" w:rsidR="00D233AD" w:rsidRPr="00D233AD" w:rsidRDefault="00D233AD" w:rsidP="00D233AD">
      <w:pPr>
        <w:jc w:val="both"/>
        <w:rPr>
          <w:rFonts w:ascii="Arial" w:hAnsi="Arial" w:cs="Arial"/>
        </w:rPr>
      </w:pPr>
      <w:r w:rsidRPr="00D233AD">
        <w:rPr>
          <w:rFonts w:ascii="Arial" w:hAnsi="Arial" w:cs="Arial"/>
        </w:rPr>
        <w:t>Stakeholders in this category possess significant authority but may not be directly concerned with the specific project.</w:t>
      </w:r>
    </w:p>
    <w:p w14:paraId="5DADE6CD" w14:textId="77777777" w:rsidR="00D233AD" w:rsidRPr="00D233AD" w:rsidRDefault="00D233AD" w:rsidP="00D233AD">
      <w:pPr>
        <w:jc w:val="both"/>
        <w:rPr>
          <w:rFonts w:ascii="Arial" w:hAnsi="Arial" w:cs="Arial"/>
        </w:rPr>
      </w:pPr>
      <w:r w:rsidRPr="00D233AD">
        <w:rPr>
          <w:rFonts w:ascii="Arial" w:hAnsi="Arial" w:cs="Arial"/>
          <w:b/>
          <w:bCs/>
        </w:rPr>
        <w:t>Staffordshire County Council and Regulatory Bodies</w:t>
      </w:r>
    </w:p>
    <w:p w14:paraId="737C385C" w14:textId="77777777" w:rsidR="00D233AD" w:rsidRPr="00D233AD" w:rsidRDefault="00D233AD" w:rsidP="00D233AD">
      <w:pPr>
        <w:jc w:val="both"/>
        <w:rPr>
          <w:rFonts w:ascii="Arial" w:hAnsi="Arial" w:cs="Arial"/>
        </w:rPr>
      </w:pPr>
      <w:r w:rsidRPr="00D233AD">
        <w:rPr>
          <w:rFonts w:ascii="Arial" w:hAnsi="Arial" w:cs="Arial"/>
        </w:rPr>
        <w:t>These organisations influence funding frameworks, environmental regulations and broader waste management policies. However, their focus typically extends beyond a single local initiative. If the project operates effectively, these stakeholders may remain relatively disengaged. Nevertheless, they must be kept satisfied through compliance reporting and policy alignment to avoid regulatory complications.</w:t>
      </w:r>
    </w:p>
    <w:p w14:paraId="7F8B2538" w14:textId="5541B58D" w:rsidR="00D233AD" w:rsidRPr="00D233AD" w:rsidRDefault="00D233AD" w:rsidP="00D233AD">
      <w:pPr>
        <w:jc w:val="both"/>
        <w:rPr>
          <w:rFonts w:ascii="Arial" w:hAnsi="Arial" w:cs="Arial"/>
        </w:rPr>
      </w:pPr>
    </w:p>
    <w:p w14:paraId="181FC2AB" w14:textId="77777777" w:rsidR="00D233AD" w:rsidRPr="00D233AD" w:rsidRDefault="00D233AD" w:rsidP="00D233AD">
      <w:pPr>
        <w:jc w:val="both"/>
        <w:rPr>
          <w:rFonts w:ascii="Arial" w:hAnsi="Arial" w:cs="Arial"/>
          <w:b/>
          <w:bCs/>
        </w:rPr>
      </w:pPr>
      <w:r w:rsidRPr="00D233AD">
        <w:rPr>
          <w:rFonts w:ascii="Arial" w:hAnsi="Arial" w:cs="Arial"/>
          <w:b/>
          <w:bCs/>
        </w:rPr>
        <w:t>Low Power – High Interest (Keep Informed)</w:t>
      </w:r>
    </w:p>
    <w:p w14:paraId="157BCE33" w14:textId="77777777" w:rsidR="00D233AD" w:rsidRPr="00D233AD" w:rsidRDefault="00D233AD" w:rsidP="00D233AD">
      <w:pPr>
        <w:jc w:val="both"/>
        <w:rPr>
          <w:rFonts w:ascii="Arial" w:hAnsi="Arial" w:cs="Arial"/>
        </w:rPr>
      </w:pPr>
      <w:r w:rsidRPr="00D233AD">
        <w:rPr>
          <w:rFonts w:ascii="Arial" w:hAnsi="Arial" w:cs="Arial"/>
        </w:rPr>
        <w:t>Stakeholders with high interest but limited power should be actively informed and engaged to maintain support and participation.</w:t>
      </w:r>
    </w:p>
    <w:p w14:paraId="49A23738" w14:textId="77777777" w:rsidR="00D233AD" w:rsidRPr="00D233AD" w:rsidRDefault="00D233AD" w:rsidP="00D233AD">
      <w:pPr>
        <w:jc w:val="both"/>
        <w:rPr>
          <w:rFonts w:ascii="Arial" w:hAnsi="Arial" w:cs="Arial"/>
        </w:rPr>
      </w:pPr>
      <w:r w:rsidRPr="00D233AD">
        <w:rPr>
          <w:rFonts w:ascii="Arial" w:hAnsi="Arial" w:cs="Arial"/>
          <w:b/>
          <w:bCs/>
        </w:rPr>
        <w:t>Local Residents and Volunteer Groups</w:t>
      </w:r>
    </w:p>
    <w:p w14:paraId="6F2D3E20" w14:textId="77777777" w:rsidR="00D233AD" w:rsidRPr="00D233AD" w:rsidRDefault="00D233AD" w:rsidP="00D233AD">
      <w:pPr>
        <w:jc w:val="both"/>
        <w:rPr>
          <w:rFonts w:ascii="Arial" w:hAnsi="Arial" w:cs="Arial"/>
        </w:rPr>
      </w:pPr>
      <w:r w:rsidRPr="00D233AD">
        <w:rPr>
          <w:rFonts w:ascii="Arial" w:hAnsi="Arial" w:cs="Arial"/>
        </w:rPr>
        <w:t>Residents are directly affected by environmental conditions and therefore have strong interest in reducing litter. Community participation is crucial for maintaining clean public spaces and organising volunteer clean-up events. Ansell and Gash (2008) highlight the importance of collaborative governance in public sector initiatives, where citizens become active partners in service delivery rather than passive recipients.</w:t>
      </w:r>
    </w:p>
    <w:p w14:paraId="35B54936" w14:textId="77777777" w:rsidR="00D233AD" w:rsidRPr="00D233AD" w:rsidRDefault="00D233AD" w:rsidP="00D233AD">
      <w:pPr>
        <w:jc w:val="both"/>
        <w:rPr>
          <w:rFonts w:ascii="Arial" w:hAnsi="Arial" w:cs="Arial"/>
        </w:rPr>
      </w:pPr>
      <w:r w:rsidRPr="00D233AD">
        <w:rPr>
          <w:rFonts w:ascii="Arial" w:hAnsi="Arial" w:cs="Arial"/>
          <w:b/>
          <w:bCs/>
        </w:rPr>
        <w:t>Schools and Environmental Charities</w:t>
      </w:r>
    </w:p>
    <w:p w14:paraId="06C67290" w14:textId="77777777" w:rsidR="00D233AD" w:rsidRPr="00D233AD" w:rsidRDefault="00D233AD" w:rsidP="00D233AD">
      <w:pPr>
        <w:jc w:val="both"/>
        <w:rPr>
          <w:rFonts w:ascii="Arial" w:hAnsi="Arial" w:cs="Arial"/>
        </w:rPr>
      </w:pPr>
      <w:r w:rsidRPr="00D233AD">
        <w:rPr>
          <w:rFonts w:ascii="Arial" w:hAnsi="Arial" w:cs="Arial"/>
        </w:rPr>
        <w:t>Schools play an important role in shaping environmental awareness among younger generations. Educational programmes and awareness campaigns can encourage responsible waste behaviour and promote long-term behavioural change.</w:t>
      </w:r>
    </w:p>
    <w:p w14:paraId="0625BEE8" w14:textId="77777777" w:rsidR="00D233AD" w:rsidRPr="00D233AD" w:rsidRDefault="00D233AD" w:rsidP="00D233AD">
      <w:pPr>
        <w:jc w:val="both"/>
        <w:rPr>
          <w:rFonts w:ascii="Arial" w:hAnsi="Arial" w:cs="Arial"/>
        </w:rPr>
      </w:pPr>
      <w:r w:rsidRPr="00D233AD">
        <w:rPr>
          <w:rFonts w:ascii="Arial" w:hAnsi="Arial" w:cs="Arial"/>
        </w:rPr>
        <w:t xml:space="preserve">Environmental organisations such as </w:t>
      </w:r>
      <w:r w:rsidRPr="00D233AD">
        <w:rPr>
          <w:rFonts w:ascii="Arial" w:hAnsi="Arial" w:cs="Arial"/>
          <w:b/>
          <w:bCs/>
        </w:rPr>
        <w:t>Keep Britain Tidy</w:t>
      </w:r>
      <w:r w:rsidRPr="00D233AD">
        <w:rPr>
          <w:rFonts w:ascii="Arial" w:hAnsi="Arial" w:cs="Arial"/>
        </w:rPr>
        <w:t xml:space="preserve"> contribute expertise, advocacy and volunteer mobilisation.</w:t>
      </w:r>
    </w:p>
    <w:p w14:paraId="71196D6C" w14:textId="54DEC667" w:rsidR="00D233AD" w:rsidRPr="00D233AD" w:rsidRDefault="00D233AD" w:rsidP="00D233AD">
      <w:pPr>
        <w:jc w:val="both"/>
        <w:rPr>
          <w:rFonts w:ascii="Arial" w:hAnsi="Arial" w:cs="Arial"/>
        </w:rPr>
      </w:pPr>
    </w:p>
    <w:p w14:paraId="7787A957" w14:textId="77777777" w:rsidR="00D233AD" w:rsidRPr="00D233AD" w:rsidRDefault="00D233AD" w:rsidP="00D233AD">
      <w:pPr>
        <w:jc w:val="both"/>
        <w:rPr>
          <w:rFonts w:ascii="Arial" w:hAnsi="Arial" w:cs="Arial"/>
          <w:b/>
          <w:bCs/>
        </w:rPr>
      </w:pPr>
      <w:r w:rsidRPr="00D233AD">
        <w:rPr>
          <w:rFonts w:ascii="Arial" w:hAnsi="Arial" w:cs="Arial"/>
          <w:b/>
          <w:bCs/>
        </w:rPr>
        <w:t>Low Power – Low Interest (Monitor)</w:t>
      </w:r>
    </w:p>
    <w:p w14:paraId="2A785808" w14:textId="77777777" w:rsidR="00D233AD" w:rsidRPr="00D233AD" w:rsidRDefault="00D233AD" w:rsidP="00D233AD">
      <w:pPr>
        <w:jc w:val="both"/>
        <w:rPr>
          <w:rFonts w:ascii="Arial" w:hAnsi="Arial" w:cs="Arial"/>
        </w:rPr>
      </w:pPr>
      <w:r w:rsidRPr="00D233AD">
        <w:rPr>
          <w:rFonts w:ascii="Arial" w:hAnsi="Arial" w:cs="Arial"/>
        </w:rPr>
        <w:t>This category includes stakeholders with limited direct involvement in the project.</w:t>
      </w:r>
    </w:p>
    <w:p w14:paraId="65D5F442" w14:textId="77777777" w:rsidR="00D233AD" w:rsidRPr="00D233AD" w:rsidRDefault="00D233AD" w:rsidP="00D233AD">
      <w:pPr>
        <w:jc w:val="both"/>
        <w:rPr>
          <w:rFonts w:ascii="Arial" w:hAnsi="Arial" w:cs="Arial"/>
        </w:rPr>
      </w:pPr>
      <w:r w:rsidRPr="00D233AD">
        <w:rPr>
          <w:rFonts w:ascii="Arial" w:hAnsi="Arial" w:cs="Arial"/>
          <w:b/>
          <w:bCs/>
        </w:rPr>
        <w:t>Visitors and Some Local Businesses</w:t>
      </w:r>
    </w:p>
    <w:p w14:paraId="5C088182" w14:textId="77777777" w:rsidR="00D233AD" w:rsidRPr="00D233AD" w:rsidRDefault="00D233AD" w:rsidP="00D233AD">
      <w:pPr>
        <w:jc w:val="both"/>
        <w:rPr>
          <w:rFonts w:ascii="Arial" w:hAnsi="Arial" w:cs="Arial"/>
        </w:rPr>
      </w:pPr>
      <w:r w:rsidRPr="00D233AD">
        <w:rPr>
          <w:rFonts w:ascii="Arial" w:hAnsi="Arial" w:cs="Arial"/>
        </w:rPr>
        <w:t>Although these groups may not actively participate in litter reduction initiatives, they still influence public perceptions of the town. Clean public spaces improve the attractiveness of the area for tourism and commerce.</w:t>
      </w:r>
    </w:p>
    <w:p w14:paraId="4D5D49E4" w14:textId="77777777" w:rsidR="00D233AD" w:rsidRPr="00D233AD" w:rsidRDefault="00D233AD" w:rsidP="00D233AD">
      <w:pPr>
        <w:jc w:val="both"/>
        <w:rPr>
          <w:rFonts w:ascii="Arial" w:hAnsi="Arial" w:cs="Arial"/>
        </w:rPr>
      </w:pPr>
      <w:r w:rsidRPr="00D233AD">
        <w:rPr>
          <w:rFonts w:ascii="Arial" w:hAnsi="Arial" w:cs="Arial"/>
        </w:rPr>
        <w:t>Therefore, these stakeholders should be monitored rather than actively managed.</w:t>
      </w:r>
    </w:p>
    <w:p w14:paraId="0EE89EBA" w14:textId="77777777" w:rsidR="00D233AD" w:rsidRPr="00D233AD" w:rsidRDefault="00000000" w:rsidP="00D233AD">
      <w:pPr>
        <w:jc w:val="both"/>
        <w:rPr>
          <w:rFonts w:ascii="Arial" w:hAnsi="Arial" w:cs="Arial"/>
        </w:rPr>
      </w:pPr>
      <w:r>
        <w:rPr>
          <w:rFonts w:ascii="Arial" w:hAnsi="Arial" w:cs="Arial"/>
        </w:rPr>
        <w:pict w14:anchorId="091B3FE7">
          <v:rect id="_x0000_i1026" style="width:0;height:1.5pt" o:hralign="center" o:hrstd="t" o:hr="t" fillcolor="#a0a0a0" stroked="f"/>
        </w:pict>
      </w:r>
    </w:p>
    <w:p w14:paraId="0D1DF275" w14:textId="77777777" w:rsidR="00D233AD" w:rsidRPr="009960AF" w:rsidRDefault="00D233AD" w:rsidP="009960AF">
      <w:pPr>
        <w:pStyle w:val="Heading2"/>
        <w:rPr>
          <w:b/>
          <w:bCs/>
        </w:rPr>
      </w:pPr>
      <w:bookmarkStart w:id="4" w:name="_Toc224232726"/>
      <w:r w:rsidRPr="009960AF">
        <w:rPr>
          <w:b/>
          <w:bCs/>
        </w:rPr>
        <w:lastRenderedPageBreak/>
        <w:t>2.3 Stakeholder Engagement Strategies</w:t>
      </w:r>
      <w:bookmarkEnd w:id="4"/>
    </w:p>
    <w:p w14:paraId="50EB1E69" w14:textId="77777777" w:rsidR="00D233AD" w:rsidRPr="00D233AD" w:rsidRDefault="00D233AD" w:rsidP="00D233AD">
      <w:pPr>
        <w:jc w:val="both"/>
        <w:rPr>
          <w:rFonts w:ascii="Arial" w:hAnsi="Arial" w:cs="Arial"/>
        </w:rPr>
      </w:pPr>
      <w:r w:rsidRPr="00D233AD">
        <w:rPr>
          <w:rFonts w:ascii="Arial" w:hAnsi="Arial" w:cs="Arial"/>
        </w:rPr>
        <w:t>Effective stakeholder engagement requires tailored strategies that reflect different levels of influence and interest. Bourne (2015) argues that stakeholder relationships should be managed strategically through structured communication, collaboration and trust-building mechanisms.</w:t>
      </w:r>
    </w:p>
    <w:p w14:paraId="66FA8CEA" w14:textId="77777777" w:rsidR="00D233AD" w:rsidRPr="00D233AD" w:rsidRDefault="00D233AD" w:rsidP="00D233AD">
      <w:pPr>
        <w:jc w:val="both"/>
        <w:rPr>
          <w:rFonts w:ascii="Arial" w:hAnsi="Arial" w:cs="Arial"/>
          <w:b/>
          <w:bCs/>
        </w:rPr>
      </w:pPr>
      <w:r w:rsidRPr="00D233AD">
        <w:rPr>
          <w:rFonts w:ascii="Arial" w:hAnsi="Arial" w:cs="Arial"/>
          <w:b/>
          <w:bCs/>
        </w:rPr>
        <w:t>Formal Governance Engagement</w:t>
      </w:r>
    </w:p>
    <w:p w14:paraId="34FCE6FE" w14:textId="77777777" w:rsidR="00D233AD" w:rsidRPr="00D233AD" w:rsidRDefault="00D233AD" w:rsidP="00D233AD">
      <w:pPr>
        <w:jc w:val="both"/>
        <w:rPr>
          <w:rFonts w:ascii="Arial" w:hAnsi="Arial" w:cs="Arial"/>
        </w:rPr>
      </w:pPr>
      <w:r w:rsidRPr="00D233AD">
        <w:rPr>
          <w:rFonts w:ascii="Arial" w:hAnsi="Arial" w:cs="Arial"/>
        </w:rPr>
        <w:t>High-power stakeholders such as local authorities and contractors require structured engagement mechanisms. These may include formal meetings, performance reports, contractual agreements and regulatory compliance monitoring.</w:t>
      </w:r>
    </w:p>
    <w:p w14:paraId="74015558" w14:textId="5608EFA6" w:rsidR="00D233AD" w:rsidRPr="00D233AD" w:rsidRDefault="00D233AD" w:rsidP="00D233AD">
      <w:pPr>
        <w:jc w:val="both"/>
        <w:rPr>
          <w:rFonts w:ascii="Arial" w:hAnsi="Arial" w:cs="Arial"/>
        </w:rPr>
      </w:pPr>
      <w:r w:rsidRPr="00D233AD">
        <w:rPr>
          <w:rFonts w:ascii="Arial" w:hAnsi="Arial" w:cs="Arial"/>
        </w:rPr>
        <w:t>The Project Management Institute (PMI, 2021) emphasises that structured stakeholder planning improves project success by ensuring accountability and clarity of roles. However, bureaucratic procedures within public sector organisations can sometimes reduce responsiveness and flexibility.</w:t>
      </w:r>
    </w:p>
    <w:p w14:paraId="72340CD3" w14:textId="77777777" w:rsidR="00D233AD" w:rsidRPr="00D233AD" w:rsidRDefault="00D233AD" w:rsidP="00D233AD">
      <w:pPr>
        <w:jc w:val="both"/>
        <w:rPr>
          <w:rFonts w:ascii="Arial" w:hAnsi="Arial" w:cs="Arial"/>
          <w:b/>
          <w:bCs/>
        </w:rPr>
      </w:pPr>
      <w:r w:rsidRPr="00D233AD">
        <w:rPr>
          <w:rFonts w:ascii="Arial" w:hAnsi="Arial" w:cs="Arial"/>
          <w:b/>
          <w:bCs/>
        </w:rPr>
        <w:t>Community-Based Engagement</w:t>
      </w:r>
    </w:p>
    <w:p w14:paraId="51DCDE3B" w14:textId="77777777" w:rsidR="00D233AD" w:rsidRPr="00D233AD" w:rsidRDefault="00D233AD" w:rsidP="00D233AD">
      <w:pPr>
        <w:jc w:val="both"/>
        <w:rPr>
          <w:rFonts w:ascii="Arial" w:hAnsi="Arial" w:cs="Arial"/>
        </w:rPr>
      </w:pPr>
      <w:r w:rsidRPr="00D233AD">
        <w:rPr>
          <w:rFonts w:ascii="Arial" w:hAnsi="Arial" w:cs="Arial"/>
        </w:rPr>
        <w:t>Community engagement is essential for initiatives that depend on public participation. Volunteer clean-up events, neighbourhood campaigns and local environmental projects can strengthen community ownership of public spaces.</w:t>
      </w:r>
    </w:p>
    <w:p w14:paraId="214666B6" w14:textId="77777777" w:rsidR="00D233AD" w:rsidRPr="00D233AD" w:rsidRDefault="00D233AD" w:rsidP="00D233AD">
      <w:pPr>
        <w:jc w:val="both"/>
        <w:rPr>
          <w:rFonts w:ascii="Arial" w:hAnsi="Arial" w:cs="Arial"/>
        </w:rPr>
      </w:pPr>
      <w:r w:rsidRPr="00D233AD">
        <w:rPr>
          <w:rFonts w:ascii="Arial" w:hAnsi="Arial" w:cs="Arial"/>
        </w:rPr>
        <w:t>Bryson et al. (2017) argue that participatory engagement enhances legitimacy and encourages citizens to support public initiatives. When individuals feel included in decision-making processes, they are more likely to contribute to collective goals.</w:t>
      </w:r>
    </w:p>
    <w:p w14:paraId="1C60F650" w14:textId="4B696D82" w:rsidR="00D233AD" w:rsidRPr="00D233AD" w:rsidRDefault="00D233AD" w:rsidP="00D233AD">
      <w:pPr>
        <w:jc w:val="both"/>
        <w:rPr>
          <w:rFonts w:ascii="Arial" w:hAnsi="Arial" w:cs="Arial"/>
        </w:rPr>
      </w:pPr>
      <w:r w:rsidRPr="00D233AD">
        <w:rPr>
          <w:rFonts w:ascii="Arial" w:hAnsi="Arial" w:cs="Arial"/>
        </w:rPr>
        <w:t>However, sustaining volunteer engagement over time can be challenging. Volunteer fatigue may occur if participants perceive that their efforts are not supported by broader systemic improvements such as better waste infrastructure.</w:t>
      </w:r>
    </w:p>
    <w:p w14:paraId="4ED629BD" w14:textId="77777777" w:rsidR="00D233AD" w:rsidRPr="00D233AD" w:rsidRDefault="00D233AD" w:rsidP="00D233AD">
      <w:pPr>
        <w:jc w:val="both"/>
        <w:rPr>
          <w:rFonts w:ascii="Arial" w:hAnsi="Arial" w:cs="Arial"/>
          <w:b/>
          <w:bCs/>
        </w:rPr>
      </w:pPr>
      <w:r w:rsidRPr="00D233AD">
        <w:rPr>
          <w:rFonts w:ascii="Arial" w:hAnsi="Arial" w:cs="Arial"/>
          <w:b/>
          <w:bCs/>
        </w:rPr>
        <w:t>Educational Engagement</w:t>
      </w:r>
    </w:p>
    <w:p w14:paraId="090C06DD" w14:textId="77777777" w:rsidR="00D233AD" w:rsidRPr="00D233AD" w:rsidRDefault="00D233AD" w:rsidP="00D233AD">
      <w:pPr>
        <w:jc w:val="both"/>
        <w:rPr>
          <w:rFonts w:ascii="Arial" w:hAnsi="Arial" w:cs="Arial"/>
        </w:rPr>
      </w:pPr>
      <w:r w:rsidRPr="00D233AD">
        <w:rPr>
          <w:rFonts w:ascii="Arial" w:hAnsi="Arial" w:cs="Arial"/>
        </w:rPr>
        <w:t>Educational institutions can play a significant role in shaping environmental attitudes. Schools often incorporate environmental topics into their curriculum through sustainability projects, recycling campaigns and environmental clubs.</w:t>
      </w:r>
    </w:p>
    <w:p w14:paraId="2D6FFF8A" w14:textId="77777777" w:rsidR="00D233AD" w:rsidRPr="00D233AD" w:rsidRDefault="00D233AD" w:rsidP="00D233AD">
      <w:pPr>
        <w:jc w:val="both"/>
        <w:rPr>
          <w:rFonts w:ascii="Arial" w:hAnsi="Arial" w:cs="Arial"/>
        </w:rPr>
      </w:pPr>
      <w:r w:rsidRPr="00D233AD">
        <w:rPr>
          <w:rFonts w:ascii="Arial" w:hAnsi="Arial" w:cs="Arial"/>
        </w:rPr>
        <w:t xml:space="preserve">Ajzen’s (1991) </w:t>
      </w:r>
      <w:r w:rsidRPr="00D233AD">
        <w:rPr>
          <w:rFonts w:ascii="Arial" w:hAnsi="Arial" w:cs="Arial"/>
          <w:b/>
          <w:bCs/>
        </w:rPr>
        <w:t>Theory of Planned Behaviour</w:t>
      </w:r>
      <w:r w:rsidRPr="00D233AD">
        <w:rPr>
          <w:rFonts w:ascii="Arial" w:hAnsi="Arial" w:cs="Arial"/>
        </w:rPr>
        <w:t xml:space="preserve"> suggests that individual behaviour is influenced by three factors:</w:t>
      </w:r>
    </w:p>
    <w:p w14:paraId="3CAB0DE6" w14:textId="77777777" w:rsidR="00D233AD" w:rsidRPr="00D233AD" w:rsidRDefault="00D233AD" w:rsidP="00D233AD">
      <w:pPr>
        <w:numPr>
          <w:ilvl w:val="0"/>
          <w:numId w:val="12"/>
        </w:numPr>
        <w:jc w:val="both"/>
        <w:rPr>
          <w:rFonts w:ascii="Arial" w:hAnsi="Arial" w:cs="Arial"/>
        </w:rPr>
      </w:pPr>
      <w:r w:rsidRPr="00D233AD">
        <w:rPr>
          <w:rFonts w:ascii="Arial" w:hAnsi="Arial" w:cs="Arial"/>
        </w:rPr>
        <w:t>attitudes towards the behaviour</w:t>
      </w:r>
    </w:p>
    <w:p w14:paraId="09411650" w14:textId="77777777" w:rsidR="00D233AD" w:rsidRPr="00D233AD" w:rsidRDefault="00D233AD" w:rsidP="00D233AD">
      <w:pPr>
        <w:numPr>
          <w:ilvl w:val="0"/>
          <w:numId w:val="12"/>
        </w:numPr>
        <w:jc w:val="both"/>
        <w:rPr>
          <w:rFonts w:ascii="Arial" w:hAnsi="Arial" w:cs="Arial"/>
        </w:rPr>
      </w:pPr>
      <w:r w:rsidRPr="00D233AD">
        <w:rPr>
          <w:rFonts w:ascii="Arial" w:hAnsi="Arial" w:cs="Arial"/>
        </w:rPr>
        <w:t>subjective social norms</w:t>
      </w:r>
    </w:p>
    <w:p w14:paraId="2101A1CD" w14:textId="77777777" w:rsidR="00D233AD" w:rsidRPr="00D233AD" w:rsidRDefault="00D233AD" w:rsidP="00D233AD">
      <w:pPr>
        <w:numPr>
          <w:ilvl w:val="0"/>
          <w:numId w:val="12"/>
        </w:numPr>
        <w:jc w:val="both"/>
        <w:rPr>
          <w:rFonts w:ascii="Arial" w:hAnsi="Arial" w:cs="Arial"/>
        </w:rPr>
      </w:pPr>
      <w:r w:rsidRPr="00D233AD">
        <w:rPr>
          <w:rFonts w:ascii="Arial" w:hAnsi="Arial" w:cs="Arial"/>
        </w:rPr>
        <w:t>perceived behavioural control</w:t>
      </w:r>
    </w:p>
    <w:p w14:paraId="56A90BCA" w14:textId="77777777" w:rsidR="00D233AD" w:rsidRPr="00D233AD" w:rsidRDefault="00D233AD" w:rsidP="00D233AD">
      <w:pPr>
        <w:jc w:val="both"/>
        <w:rPr>
          <w:rFonts w:ascii="Arial" w:hAnsi="Arial" w:cs="Arial"/>
        </w:rPr>
      </w:pPr>
      <w:r w:rsidRPr="00D233AD">
        <w:rPr>
          <w:rFonts w:ascii="Arial" w:hAnsi="Arial" w:cs="Arial"/>
        </w:rPr>
        <w:t>Education alone may not change behaviour unless it is supported by social reinforcement and practical infrastructure such as accessible recycling facilities.</w:t>
      </w:r>
    </w:p>
    <w:p w14:paraId="2E3627D0" w14:textId="269AEC45" w:rsidR="00D233AD" w:rsidRPr="00D233AD" w:rsidRDefault="00D233AD" w:rsidP="00D233AD">
      <w:pPr>
        <w:jc w:val="both"/>
        <w:rPr>
          <w:rFonts w:ascii="Arial" w:hAnsi="Arial" w:cs="Arial"/>
        </w:rPr>
      </w:pPr>
    </w:p>
    <w:p w14:paraId="6EA231D3" w14:textId="77777777" w:rsidR="00D233AD" w:rsidRPr="00D233AD" w:rsidRDefault="00D233AD" w:rsidP="00D233AD">
      <w:pPr>
        <w:jc w:val="both"/>
        <w:rPr>
          <w:rFonts w:ascii="Arial" w:hAnsi="Arial" w:cs="Arial"/>
          <w:b/>
          <w:bCs/>
        </w:rPr>
      </w:pPr>
      <w:r w:rsidRPr="00D233AD">
        <w:rPr>
          <w:rFonts w:ascii="Arial" w:hAnsi="Arial" w:cs="Arial"/>
          <w:b/>
          <w:bCs/>
        </w:rPr>
        <w:lastRenderedPageBreak/>
        <w:t>Business Engagement and Corporate Social Responsibility</w:t>
      </w:r>
    </w:p>
    <w:p w14:paraId="5F5E4EA2" w14:textId="77777777" w:rsidR="00D233AD" w:rsidRPr="00D233AD" w:rsidRDefault="00D233AD" w:rsidP="00D233AD">
      <w:pPr>
        <w:jc w:val="both"/>
        <w:rPr>
          <w:rFonts w:ascii="Arial" w:hAnsi="Arial" w:cs="Arial"/>
        </w:rPr>
      </w:pPr>
      <w:r w:rsidRPr="00D233AD">
        <w:rPr>
          <w:rFonts w:ascii="Arial" w:hAnsi="Arial" w:cs="Arial"/>
        </w:rPr>
        <w:t xml:space="preserve">Businesses can contribute to environmental initiatives through </w:t>
      </w:r>
      <w:r w:rsidRPr="00D233AD">
        <w:rPr>
          <w:rFonts w:ascii="Arial" w:hAnsi="Arial" w:cs="Arial"/>
          <w:b/>
          <w:bCs/>
        </w:rPr>
        <w:t>Corporate Social Responsibility (CSR)</w:t>
      </w:r>
      <w:r w:rsidRPr="00D233AD">
        <w:rPr>
          <w:rFonts w:ascii="Arial" w:hAnsi="Arial" w:cs="Arial"/>
        </w:rPr>
        <w:t xml:space="preserve"> programmes. Carroll’s (1991) CSR pyramid identifies four layers of responsibility:</w:t>
      </w:r>
    </w:p>
    <w:p w14:paraId="3FFB74BE" w14:textId="77777777" w:rsidR="00D233AD" w:rsidRPr="00D233AD" w:rsidRDefault="00D233AD" w:rsidP="00D233AD">
      <w:pPr>
        <w:numPr>
          <w:ilvl w:val="0"/>
          <w:numId w:val="13"/>
        </w:numPr>
        <w:jc w:val="both"/>
        <w:rPr>
          <w:rFonts w:ascii="Arial" w:hAnsi="Arial" w:cs="Arial"/>
        </w:rPr>
      </w:pPr>
      <w:r w:rsidRPr="00D233AD">
        <w:rPr>
          <w:rFonts w:ascii="Arial" w:hAnsi="Arial" w:cs="Arial"/>
        </w:rPr>
        <w:t>Economic responsibility</w:t>
      </w:r>
    </w:p>
    <w:p w14:paraId="2CBA7956" w14:textId="77777777" w:rsidR="00D233AD" w:rsidRPr="00D233AD" w:rsidRDefault="00D233AD" w:rsidP="00D233AD">
      <w:pPr>
        <w:numPr>
          <w:ilvl w:val="0"/>
          <w:numId w:val="13"/>
        </w:numPr>
        <w:jc w:val="both"/>
        <w:rPr>
          <w:rFonts w:ascii="Arial" w:hAnsi="Arial" w:cs="Arial"/>
        </w:rPr>
      </w:pPr>
      <w:r w:rsidRPr="00D233AD">
        <w:rPr>
          <w:rFonts w:ascii="Arial" w:hAnsi="Arial" w:cs="Arial"/>
        </w:rPr>
        <w:t>Legal responsibility</w:t>
      </w:r>
    </w:p>
    <w:p w14:paraId="08CDA9B1" w14:textId="77777777" w:rsidR="00D233AD" w:rsidRPr="00D233AD" w:rsidRDefault="00D233AD" w:rsidP="00D233AD">
      <w:pPr>
        <w:numPr>
          <w:ilvl w:val="0"/>
          <w:numId w:val="13"/>
        </w:numPr>
        <w:jc w:val="both"/>
        <w:rPr>
          <w:rFonts w:ascii="Arial" w:hAnsi="Arial" w:cs="Arial"/>
        </w:rPr>
      </w:pPr>
      <w:r w:rsidRPr="00D233AD">
        <w:rPr>
          <w:rFonts w:ascii="Arial" w:hAnsi="Arial" w:cs="Arial"/>
        </w:rPr>
        <w:t>Ethical responsibility</w:t>
      </w:r>
    </w:p>
    <w:p w14:paraId="54F3AFC9" w14:textId="77777777" w:rsidR="00D233AD" w:rsidRPr="00D233AD" w:rsidRDefault="00D233AD" w:rsidP="00D233AD">
      <w:pPr>
        <w:numPr>
          <w:ilvl w:val="0"/>
          <w:numId w:val="13"/>
        </w:numPr>
        <w:jc w:val="both"/>
        <w:rPr>
          <w:rFonts w:ascii="Arial" w:hAnsi="Arial" w:cs="Arial"/>
        </w:rPr>
      </w:pPr>
      <w:r w:rsidRPr="00D233AD">
        <w:rPr>
          <w:rFonts w:ascii="Arial" w:hAnsi="Arial" w:cs="Arial"/>
        </w:rPr>
        <w:t>Philanthropic responsibility</w:t>
      </w:r>
    </w:p>
    <w:p w14:paraId="23AB8C9C" w14:textId="77777777" w:rsidR="00D233AD" w:rsidRPr="00D233AD" w:rsidRDefault="00D233AD" w:rsidP="00D233AD">
      <w:pPr>
        <w:jc w:val="both"/>
        <w:rPr>
          <w:rFonts w:ascii="Arial" w:hAnsi="Arial" w:cs="Arial"/>
        </w:rPr>
      </w:pPr>
      <w:r w:rsidRPr="00D233AD">
        <w:rPr>
          <w:rFonts w:ascii="Arial" w:hAnsi="Arial" w:cs="Arial"/>
        </w:rPr>
        <w:t>Local businesses that participate in litter reduction initiatives demonstrate ethical commitment to community wellbeing while enhancing their reputation.</w:t>
      </w:r>
    </w:p>
    <w:p w14:paraId="71AAEB83" w14:textId="3E2550B9" w:rsidR="00D233AD" w:rsidRPr="00D233AD" w:rsidRDefault="00D233AD" w:rsidP="00D233AD">
      <w:pPr>
        <w:jc w:val="both"/>
        <w:rPr>
          <w:rFonts w:ascii="Arial" w:hAnsi="Arial" w:cs="Arial"/>
        </w:rPr>
      </w:pPr>
      <w:r w:rsidRPr="00D233AD">
        <w:rPr>
          <w:rFonts w:ascii="Arial" w:hAnsi="Arial" w:cs="Arial"/>
        </w:rPr>
        <w:t>Recent research suggests that CSR initiatives strengthen stakeholder trust and organisational legitimacy (Crane et al., 2019). However, economic pressures may limit voluntary participation, particularly for small businesses.</w:t>
      </w:r>
    </w:p>
    <w:p w14:paraId="4519F8ED" w14:textId="77777777" w:rsidR="00D233AD" w:rsidRPr="009960AF" w:rsidRDefault="00D233AD" w:rsidP="009960AF">
      <w:pPr>
        <w:pStyle w:val="Heading2"/>
        <w:rPr>
          <w:b/>
          <w:bCs/>
        </w:rPr>
      </w:pPr>
      <w:bookmarkStart w:id="5" w:name="_Toc224232727"/>
      <w:r w:rsidRPr="009960AF">
        <w:rPr>
          <w:b/>
          <w:bCs/>
        </w:rPr>
        <w:t>2.4 UK Policy Context</w:t>
      </w:r>
      <w:bookmarkEnd w:id="5"/>
    </w:p>
    <w:p w14:paraId="106F6B26" w14:textId="77777777" w:rsidR="00D233AD" w:rsidRPr="00D233AD" w:rsidRDefault="00D233AD" w:rsidP="00D233AD">
      <w:pPr>
        <w:jc w:val="both"/>
        <w:rPr>
          <w:rFonts w:ascii="Arial" w:hAnsi="Arial" w:cs="Arial"/>
        </w:rPr>
      </w:pPr>
      <w:r w:rsidRPr="00D233AD">
        <w:rPr>
          <w:rFonts w:ascii="Arial" w:hAnsi="Arial" w:cs="Arial"/>
        </w:rPr>
        <w:t>Environmental initiatives at the local level are often influenced by national policy frameworks. In the United Kingdom, the Department for Environment, Food and Rural Affairs (DEFRA) has identified litter as both a behavioural and systemic problem requiring collaborative action across multiple sectors.</w:t>
      </w:r>
    </w:p>
    <w:p w14:paraId="1D6E5C7C" w14:textId="77777777" w:rsidR="00D233AD" w:rsidRPr="00D233AD" w:rsidRDefault="00D233AD" w:rsidP="00D233AD">
      <w:pPr>
        <w:jc w:val="both"/>
        <w:rPr>
          <w:rFonts w:ascii="Arial" w:hAnsi="Arial" w:cs="Arial"/>
        </w:rPr>
      </w:pPr>
      <w:r w:rsidRPr="00D233AD">
        <w:rPr>
          <w:rFonts w:ascii="Arial" w:hAnsi="Arial" w:cs="Arial"/>
        </w:rPr>
        <w:t xml:space="preserve">The </w:t>
      </w:r>
      <w:r w:rsidRPr="00D233AD">
        <w:rPr>
          <w:rFonts w:ascii="Arial" w:hAnsi="Arial" w:cs="Arial"/>
          <w:b/>
          <w:bCs/>
        </w:rPr>
        <w:t>Litter Strategy for England</w:t>
      </w:r>
      <w:r w:rsidRPr="00D233AD">
        <w:rPr>
          <w:rFonts w:ascii="Arial" w:hAnsi="Arial" w:cs="Arial"/>
        </w:rPr>
        <w:t xml:space="preserve"> emphasises three main priorities:</w:t>
      </w:r>
    </w:p>
    <w:p w14:paraId="2DDEC60F" w14:textId="77777777" w:rsidR="00D233AD" w:rsidRPr="00D233AD" w:rsidRDefault="00D233AD" w:rsidP="00D233AD">
      <w:pPr>
        <w:numPr>
          <w:ilvl w:val="0"/>
          <w:numId w:val="14"/>
        </w:numPr>
        <w:jc w:val="both"/>
        <w:rPr>
          <w:rFonts w:ascii="Arial" w:hAnsi="Arial" w:cs="Arial"/>
        </w:rPr>
      </w:pPr>
      <w:r w:rsidRPr="00D233AD">
        <w:rPr>
          <w:rFonts w:ascii="Arial" w:hAnsi="Arial" w:cs="Arial"/>
        </w:rPr>
        <w:t>prevention</w:t>
      </w:r>
    </w:p>
    <w:p w14:paraId="5660EC17" w14:textId="77777777" w:rsidR="00D233AD" w:rsidRPr="00D233AD" w:rsidRDefault="00D233AD" w:rsidP="00D233AD">
      <w:pPr>
        <w:numPr>
          <w:ilvl w:val="0"/>
          <w:numId w:val="14"/>
        </w:numPr>
        <w:jc w:val="both"/>
        <w:rPr>
          <w:rFonts w:ascii="Arial" w:hAnsi="Arial" w:cs="Arial"/>
        </w:rPr>
      </w:pPr>
      <w:r w:rsidRPr="00D233AD">
        <w:rPr>
          <w:rFonts w:ascii="Arial" w:hAnsi="Arial" w:cs="Arial"/>
        </w:rPr>
        <w:t>education</w:t>
      </w:r>
    </w:p>
    <w:p w14:paraId="5F4E0280" w14:textId="77777777" w:rsidR="00D233AD" w:rsidRPr="00D233AD" w:rsidRDefault="00D233AD" w:rsidP="00D233AD">
      <w:pPr>
        <w:numPr>
          <w:ilvl w:val="0"/>
          <w:numId w:val="14"/>
        </w:numPr>
        <w:jc w:val="both"/>
        <w:rPr>
          <w:rFonts w:ascii="Arial" w:hAnsi="Arial" w:cs="Arial"/>
        </w:rPr>
      </w:pPr>
      <w:r w:rsidRPr="00D233AD">
        <w:rPr>
          <w:rFonts w:ascii="Arial" w:hAnsi="Arial" w:cs="Arial"/>
        </w:rPr>
        <w:t>enforcement</w:t>
      </w:r>
    </w:p>
    <w:p w14:paraId="4EC2C1AA" w14:textId="77777777" w:rsidR="00D233AD" w:rsidRPr="00D233AD" w:rsidRDefault="00D233AD" w:rsidP="00D233AD">
      <w:pPr>
        <w:jc w:val="both"/>
        <w:rPr>
          <w:rFonts w:ascii="Arial" w:hAnsi="Arial" w:cs="Arial"/>
        </w:rPr>
      </w:pPr>
      <w:r w:rsidRPr="00D233AD">
        <w:rPr>
          <w:rFonts w:ascii="Arial" w:hAnsi="Arial" w:cs="Arial"/>
        </w:rPr>
        <w:t>These priorities align closely with stakeholder management principles because effective solutions require cooperation between government bodies, communities and businesses (DEFRA, 2021).</w:t>
      </w:r>
    </w:p>
    <w:p w14:paraId="208C7672" w14:textId="77777777" w:rsidR="00D233AD" w:rsidRPr="00D233AD" w:rsidRDefault="00D233AD" w:rsidP="00D233AD">
      <w:pPr>
        <w:jc w:val="both"/>
        <w:rPr>
          <w:rFonts w:ascii="Arial" w:hAnsi="Arial" w:cs="Arial"/>
        </w:rPr>
      </w:pPr>
      <w:r w:rsidRPr="00D233AD">
        <w:rPr>
          <w:rFonts w:ascii="Arial" w:hAnsi="Arial" w:cs="Arial"/>
        </w:rPr>
        <w:t xml:space="preserve">The Tamworth initiative also contributes to the </w:t>
      </w:r>
      <w:r w:rsidRPr="00D233AD">
        <w:rPr>
          <w:rFonts w:ascii="Arial" w:hAnsi="Arial" w:cs="Arial"/>
          <w:b/>
          <w:bCs/>
        </w:rPr>
        <w:t>United Nations Sustainable Development Goals (SDGs)</w:t>
      </w:r>
      <w:r w:rsidRPr="00D233AD">
        <w:rPr>
          <w:rFonts w:ascii="Arial" w:hAnsi="Arial" w:cs="Arial"/>
        </w:rPr>
        <w:t>, particularly:</w:t>
      </w:r>
    </w:p>
    <w:p w14:paraId="47A8A52B" w14:textId="77777777" w:rsidR="00D233AD" w:rsidRPr="00D233AD" w:rsidRDefault="00D233AD" w:rsidP="00D233AD">
      <w:pPr>
        <w:numPr>
          <w:ilvl w:val="0"/>
          <w:numId w:val="15"/>
        </w:numPr>
        <w:jc w:val="both"/>
        <w:rPr>
          <w:rFonts w:ascii="Arial" w:hAnsi="Arial" w:cs="Arial"/>
        </w:rPr>
      </w:pPr>
      <w:r w:rsidRPr="00D233AD">
        <w:rPr>
          <w:rFonts w:ascii="Arial" w:hAnsi="Arial" w:cs="Arial"/>
        </w:rPr>
        <w:t>SDG 11: Sustainable Cities and Communities</w:t>
      </w:r>
    </w:p>
    <w:p w14:paraId="2BD52D7A" w14:textId="77777777" w:rsidR="00D233AD" w:rsidRPr="00D233AD" w:rsidRDefault="00D233AD" w:rsidP="00D233AD">
      <w:pPr>
        <w:numPr>
          <w:ilvl w:val="0"/>
          <w:numId w:val="15"/>
        </w:numPr>
        <w:jc w:val="both"/>
        <w:rPr>
          <w:rFonts w:ascii="Arial" w:hAnsi="Arial" w:cs="Arial"/>
        </w:rPr>
      </w:pPr>
      <w:r w:rsidRPr="00D233AD">
        <w:rPr>
          <w:rFonts w:ascii="Arial" w:hAnsi="Arial" w:cs="Arial"/>
        </w:rPr>
        <w:t>SDG 12: Responsible Consumption and Production</w:t>
      </w:r>
    </w:p>
    <w:p w14:paraId="2C3E6668" w14:textId="77777777" w:rsidR="00D233AD" w:rsidRPr="00D233AD" w:rsidRDefault="00D233AD" w:rsidP="00D233AD">
      <w:pPr>
        <w:jc w:val="both"/>
        <w:rPr>
          <w:rFonts w:ascii="Arial" w:hAnsi="Arial" w:cs="Arial"/>
        </w:rPr>
      </w:pPr>
      <w:r w:rsidRPr="00D233AD">
        <w:rPr>
          <w:rFonts w:ascii="Arial" w:hAnsi="Arial" w:cs="Arial"/>
        </w:rPr>
        <w:t>These goals emphasise the importance of improving environmental quality in urban areas while encouraging responsible waste behaviour (United Nations, 2023).</w:t>
      </w:r>
    </w:p>
    <w:p w14:paraId="70EB6963" w14:textId="40A65CD5" w:rsidR="00D233AD" w:rsidRDefault="00D233AD" w:rsidP="00D233AD">
      <w:pPr>
        <w:jc w:val="both"/>
        <w:rPr>
          <w:rFonts w:ascii="Arial" w:hAnsi="Arial" w:cs="Arial"/>
        </w:rPr>
      </w:pPr>
    </w:p>
    <w:p w14:paraId="0253BF84" w14:textId="77777777" w:rsidR="00DF372F" w:rsidRPr="00D233AD" w:rsidRDefault="00DF372F" w:rsidP="00D233AD">
      <w:pPr>
        <w:jc w:val="both"/>
        <w:rPr>
          <w:rFonts w:ascii="Arial" w:hAnsi="Arial" w:cs="Arial"/>
        </w:rPr>
      </w:pPr>
    </w:p>
    <w:p w14:paraId="1236F15B" w14:textId="77777777" w:rsidR="00D233AD" w:rsidRPr="00DF372F" w:rsidRDefault="00D233AD" w:rsidP="00DF372F">
      <w:pPr>
        <w:pStyle w:val="Heading2"/>
        <w:rPr>
          <w:b/>
          <w:bCs/>
        </w:rPr>
      </w:pPr>
      <w:bookmarkStart w:id="6" w:name="_Toc224232728"/>
      <w:r w:rsidRPr="00DF372F">
        <w:rPr>
          <w:b/>
          <w:bCs/>
        </w:rPr>
        <w:lastRenderedPageBreak/>
        <w:t>2.5 Challenges in Stakeholder Engagement</w:t>
      </w:r>
      <w:bookmarkEnd w:id="6"/>
    </w:p>
    <w:p w14:paraId="60D5E33C" w14:textId="77777777" w:rsidR="00D233AD" w:rsidRPr="00D233AD" w:rsidRDefault="00D233AD" w:rsidP="00D233AD">
      <w:pPr>
        <w:jc w:val="both"/>
        <w:rPr>
          <w:rFonts w:ascii="Arial" w:hAnsi="Arial" w:cs="Arial"/>
        </w:rPr>
      </w:pPr>
      <w:r w:rsidRPr="00D233AD">
        <w:rPr>
          <w:rFonts w:ascii="Arial" w:hAnsi="Arial" w:cs="Arial"/>
        </w:rPr>
        <w:t>Despite the benefits of collaborative governance, stakeholder engagement processes often face several practical challenges.</w:t>
      </w:r>
    </w:p>
    <w:p w14:paraId="087B50F6" w14:textId="77777777" w:rsidR="00D233AD" w:rsidRPr="00D233AD" w:rsidRDefault="00D233AD" w:rsidP="00D233AD">
      <w:pPr>
        <w:jc w:val="both"/>
        <w:rPr>
          <w:rFonts w:ascii="Arial" w:hAnsi="Arial" w:cs="Arial"/>
          <w:b/>
          <w:bCs/>
        </w:rPr>
      </w:pPr>
      <w:r w:rsidRPr="00D233AD">
        <w:rPr>
          <w:rFonts w:ascii="Arial" w:hAnsi="Arial" w:cs="Arial"/>
          <w:b/>
          <w:bCs/>
        </w:rPr>
        <w:t>Collective Action Problem</w:t>
      </w:r>
    </w:p>
    <w:p w14:paraId="3CD77477" w14:textId="5C2DB2B2" w:rsidR="00D233AD" w:rsidRPr="00D233AD" w:rsidRDefault="00D233AD" w:rsidP="00D233AD">
      <w:pPr>
        <w:jc w:val="both"/>
        <w:rPr>
          <w:rFonts w:ascii="Arial" w:hAnsi="Arial" w:cs="Arial"/>
        </w:rPr>
      </w:pPr>
      <w:r w:rsidRPr="00D233AD">
        <w:rPr>
          <w:rFonts w:ascii="Arial" w:hAnsi="Arial" w:cs="Arial"/>
        </w:rPr>
        <w:t>Olson (1965) explains that individuals may avoid contributing to collective goods when benefits are shared regardless of participation. In litter reduction initiatives, some individuals may rely on others to maintain clean public spaces without actively participating themselves.</w:t>
      </w:r>
    </w:p>
    <w:p w14:paraId="309BD312" w14:textId="77777777" w:rsidR="00D233AD" w:rsidRPr="00D233AD" w:rsidRDefault="00D233AD" w:rsidP="00D233AD">
      <w:pPr>
        <w:jc w:val="both"/>
        <w:rPr>
          <w:rFonts w:ascii="Arial" w:hAnsi="Arial" w:cs="Arial"/>
          <w:b/>
          <w:bCs/>
        </w:rPr>
      </w:pPr>
      <w:r w:rsidRPr="00D233AD">
        <w:rPr>
          <w:rFonts w:ascii="Arial" w:hAnsi="Arial" w:cs="Arial"/>
          <w:b/>
          <w:bCs/>
        </w:rPr>
        <w:t>Conflicting Stakeholder Interests</w:t>
      </w:r>
    </w:p>
    <w:p w14:paraId="5F6F9001" w14:textId="05EEC589" w:rsidR="00D233AD" w:rsidRPr="00D233AD" w:rsidRDefault="00D233AD" w:rsidP="00D233AD">
      <w:pPr>
        <w:jc w:val="both"/>
        <w:rPr>
          <w:rFonts w:ascii="Arial" w:hAnsi="Arial" w:cs="Arial"/>
        </w:rPr>
      </w:pPr>
      <w:r w:rsidRPr="00D233AD">
        <w:rPr>
          <w:rFonts w:ascii="Arial" w:hAnsi="Arial" w:cs="Arial"/>
        </w:rPr>
        <w:t>Different stakeholders may prioritise different objectives. Businesses may prioritise profitability, while environmental groups emphasise sustainability. These conflicting priorities can complicate decision-making processes.</w:t>
      </w:r>
    </w:p>
    <w:p w14:paraId="55F46AF3" w14:textId="77777777" w:rsidR="00D233AD" w:rsidRPr="00D233AD" w:rsidRDefault="00D233AD" w:rsidP="00D233AD">
      <w:pPr>
        <w:jc w:val="both"/>
        <w:rPr>
          <w:rFonts w:ascii="Arial" w:hAnsi="Arial" w:cs="Arial"/>
          <w:b/>
          <w:bCs/>
        </w:rPr>
      </w:pPr>
      <w:r w:rsidRPr="00D233AD">
        <w:rPr>
          <w:rFonts w:ascii="Arial" w:hAnsi="Arial" w:cs="Arial"/>
          <w:b/>
          <w:bCs/>
        </w:rPr>
        <w:t>Resource Constraints</w:t>
      </w:r>
    </w:p>
    <w:p w14:paraId="54DB94AB" w14:textId="61C44D24" w:rsidR="00D233AD" w:rsidRPr="00D233AD" w:rsidRDefault="00D233AD" w:rsidP="00D233AD">
      <w:pPr>
        <w:jc w:val="both"/>
        <w:rPr>
          <w:rFonts w:ascii="Arial" w:hAnsi="Arial" w:cs="Arial"/>
        </w:rPr>
      </w:pPr>
      <w:r w:rsidRPr="00D233AD">
        <w:rPr>
          <w:rFonts w:ascii="Arial" w:hAnsi="Arial" w:cs="Arial"/>
        </w:rPr>
        <w:t>Local government budgets are often limited. Funding shortages may restrict the expansion of waste infrastructure, public education campaigns or enforcement mechanisms.</w:t>
      </w:r>
    </w:p>
    <w:p w14:paraId="06E34502" w14:textId="77777777" w:rsidR="00D233AD" w:rsidRPr="00D233AD" w:rsidRDefault="00D233AD" w:rsidP="00D233AD">
      <w:pPr>
        <w:jc w:val="both"/>
        <w:rPr>
          <w:rFonts w:ascii="Arial" w:hAnsi="Arial" w:cs="Arial"/>
          <w:b/>
          <w:bCs/>
        </w:rPr>
      </w:pPr>
      <w:r w:rsidRPr="00D233AD">
        <w:rPr>
          <w:rFonts w:ascii="Arial" w:hAnsi="Arial" w:cs="Arial"/>
          <w:b/>
          <w:bCs/>
        </w:rPr>
        <w:t>Coordination Complexity</w:t>
      </w:r>
    </w:p>
    <w:p w14:paraId="57DB0BE2" w14:textId="77777777" w:rsidR="00D233AD" w:rsidRPr="00D233AD" w:rsidRDefault="00D233AD" w:rsidP="00D233AD">
      <w:pPr>
        <w:jc w:val="both"/>
        <w:rPr>
          <w:rFonts w:ascii="Arial" w:hAnsi="Arial" w:cs="Arial"/>
        </w:rPr>
      </w:pPr>
      <w:r w:rsidRPr="00D233AD">
        <w:rPr>
          <w:rFonts w:ascii="Arial" w:hAnsi="Arial" w:cs="Arial"/>
        </w:rPr>
        <w:t>Collaborative projects involving multiple organisations require effective communication and coordination. Bryson et al. (2017) highlight that poor coordination can lead to duplication of efforts, confusion about responsibilities and reduced effectiveness.</w:t>
      </w:r>
    </w:p>
    <w:p w14:paraId="0963B2C0" w14:textId="42D05630" w:rsidR="00D233AD" w:rsidRPr="00D233AD" w:rsidRDefault="00D233AD" w:rsidP="00D233AD">
      <w:pPr>
        <w:jc w:val="both"/>
        <w:rPr>
          <w:rFonts w:ascii="Arial" w:hAnsi="Arial" w:cs="Arial"/>
        </w:rPr>
      </w:pPr>
    </w:p>
    <w:p w14:paraId="50CD1477" w14:textId="77777777" w:rsidR="00D233AD" w:rsidRPr="00DF372F" w:rsidRDefault="00D233AD" w:rsidP="00DF372F">
      <w:pPr>
        <w:pStyle w:val="Heading1"/>
        <w:rPr>
          <w:b/>
          <w:bCs/>
        </w:rPr>
      </w:pPr>
      <w:bookmarkStart w:id="7" w:name="_Toc224232729"/>
      <w:r w:rsidRPr="00DF372F">
        <w:rPr>
          <w:b/>
          <w:bCs/>
        </w:rPr>
        <w:t>3. Ethical Considerations and Reflective Insight</w:t>
      </w:r>
      <w:bookmarkEnd w:id="7"/>
    </w:p>
    <w:p w14:paraId="6696F338" w14:textId="77777777" w:rsidR="00D233AD" w:rsidRPr="00DF372F" w:rsidRDefault="00D233AD" w:rsidP="00DF372F">
      <w:pPr>
        <w:pStyle w:val="Heading2"/>
        <w:rPr>
          <w:b/>
          <w:bCs/>
        </w:rPr>
      </w:pPr>
      <w:bookmarkStart w:id="8" w:name="_Toc224232730"/>
      <w:r w:rsidRPr="00DF372F">
        <w:rPr>
          <w:b/>
          <w:bCs/>
        </w:rPr>
        <w:t>3.1 Ethical Considerations in Stakeholder Engagement</w:t>
      </w:r>
      <w:bookmarkEnd w:id="8"/>
    </w:p>
    <w:p w14:paraId="47FD8AF4" w14:textId="77777777" w:rsidR="00D233AD" w:rsidRPr="00D233AD" w:rsidRDefault="00D233AD" w:rsidP="00D233AD">
      <w:pPr>
        <w:jc w:val="both"/>
        <w:rPr>
          <w:rFonts w:ascii="Arial" w:hAnsi="Arial" w:cs="Arial"/>
        </w:rPr>
      </w:pPr>
      <w:r w:rsidRPr="00D233AD">
        <w:rPr>
          <w:rFonts w:ascii="Arial" w:hAnsi="Arial" w:cs="Arial"/>
        </w:rPr>
        <w:t>Stakeholder theory has strong ethical foundations. Phillips (2003) argues that organisations have moral obligations toward stakeholders because their actions affect the wellbeing of individuals and communities.</w:t>
      </w:r>
    </w:p>
    <w:p w14:paraId="64C883C9" w14:textId="77777777" w:rsidR="00D233AD" w:rsidRPr="00D233AD" w:rsidRDefault="00D233AD" w:rsidP="00D233AD">
      <w:pPr>
        <w:jc w:val="both"/>
        <w:rPr>
          <w:rFonts w:ascii="Arial" w:hAnsi="Arial" w:cs="Arial"/>
          <w:b/>
          <w:bCs/>
        </w:rPr>
      </w:pPr>
      <w:r w:rsidRPr="00D233AD">
        <w:rPr>
          <w:rFonts w:ascii="Arial" w:hAnsi="Arial" w:cs="Arial"/>
          <w:b/>
          <w:bCs/>
        </w:rPr>
        <w:t>Transparency</w:t>
      </w:r>
    </w:p>
    <w:p w14:paraId="7B74AB5B" w14:textId="77777777" w:rsidR="00D233AD" w:rsidRPr="00D233AD" w:rsidRDefault="00D233AD" w:rsidP="00D233AD">
      <w:pPr>
        <w:jc w:val="both"/>
        <w:rPr>
          <w:rFonts w:ascii="Arial" w:hAnsi="Arial" w:cs="Arial"/>
        </w:rPr>
      </w:pPr>
      <w:r w:rsidRPr="00D233AD">
        <w:rPr>
          <w:rFonts w:ascii="Arial" w:hAnsi="Arial" w:cs="Arial"/>
        </w:rPr>
        <w:t>Transparency in decision-making processes is essential for maintaining stakeholder trust. Cornelissen (2020) notes that open communication regarding policies, funding allocation and enforcement strategies helps prevent misunderstandings and promotes accountability.</w:t>
      </w:r>
    </w:p>
    <w:p w14:paraId="45DEAD22" w14:textId="54473A9A" w:rsidR="00D233AD" w:rsidRPr="00D233AD" w:rsidRDefault="00D233AD" w:rsidP="00D233AD">
      <w:pPr>
        <w:jc w:val="both"/>
        <w:rPr>
          <w:rFonts w:ascii="Arial" w:hAnsi="Arial" w:cs="Arial"/>
        </w:rPr>
      </w:pPr>
    </w:p>
    <w:p w14:paraId="0AA4BA8F" w14:textId="77777777" w:rsidR="00D233AD" w:rsidRPr="00D233AD" w:rsidRDefault="00D233AD" w:rsidP="00D233AD">
      <w:pPr>
        <w:jc w:val="both"/>
        <w:rPr>
          <w:rFonts w:ascii="Arial" w:hAnsi="Arial" w:cs="Arial"/>
          <w:b/>
          <w:bCs/>
        </w:rPr>
      </w:pPr>
      <w:r w:rsidRPr="00D233AD">
        <w:rPr>
          <w:rFonts w:ascii="Arial" w:hAnsi="Arial" w:cs="Arial"/>
          <w:b/>
          <w:bCs/>
        </w:rPr>
        <w:lastRenderedPageBreak/>
        <w:t>Fairness and Inclusion</w:t>
      </w:r>
    </w:p>
    <w:p w14:paraId="48BA6F9E" w14:textId="5B1D766F" w:rsidR="00D233AD" w:rsidRPr="00D233AD" w:rsidRDefault="00D233AD" w:rsidP="00D233AD">
      <w:pPr>
        <w:jc w:val="both"/>
        <w:rPr>
          <w:rFonts w:ascii="Arial" w:hAnsi="Arial" w:cs="Arial"/>
        </w:rPr>
      </w:pPr>
      <w:r w:rsidRPr="00D233AD">
        <w:rPr>
          <w:rFonts w:ascii="Arial" w:hAnsi="Arial" w:cs="Arial"/>
        </w:rPr>
        <w:t>Ethical stakeholder management requires ensuring that benefits and resources are distributed fairly across communities. If certain neighbourhoods receive less attention in litter reduction efforts, perceptions of inequality may emerge.</w:t>
      </w:r>
    </w:p>
    <w:p w14:paraId="3358EE9E" w14:textId="77777777" w:rsidR="00D233AD" w:rsidRPr="00D233AD" w:rsidRDefault="00D233AD" w:rsidP="00D233AD">
      <w:pPr>
        <w:jc w:val="both"/>
        <w:rPr>
          <w:rFonts w:ascii="Arial" w:hAnsi="Arial" w:cs="Arial"/>
          <w:b/>
          <w:bCs/>
        </w:rPr>
      </w:pPr>
      <w:r w:rsidRPr="00D233AD">
        <w:rPr>
          <w:rFonts w:ascii="Arial" w:hAnsi="Arial" w:cs="Arial"/>
          <w:b/>
          <w:bCs/>
        </w:rPr>
        <w:t>Shared Responsibility</w:t>
      </w:r>
    </w:p>
    <w:p w14:paraId="6F0A7207" w14:textId="132C1C36" w:rsidR="00D233AD" w:rsidRPr="00D233AD" w:rsidRDefault="00D233AD" w:rsidP="00D233AD">
      <w:pPr>
        <w:jc w:val="both"/>
        <w:rPr>
          <w:rFonts w:ascii="Arial" w:hAnsi="Arial" w:cs="Arial"/>
        </w:rPr>
      </w:pPr>
      <w:r w:rsidRPr="00D233AD">
        <w:rPr>
          <w:rFonts w:ascii="Arial" w:hAnsi="Arial" w:cs="Arial"/>
        </w:rPr>
        <w:t>Environmental issues require shared responsibility between governments, businesses and citizens. Bamberg, Rees and Seebauer (2018) found that individuals are more likely to participate in environmental initiatives when they perceive that responsibility is distributed fairly.</w:t>
      </w:r>
    </w:p>
    <w:p w14:paraId="7EC55E04" w14:textId="77777777" w:rsidR="00D233AD" w:rsidRPr="00DF372F" w:rsidRDefault="00D233AD" w:rsidP="00DF372F">
      <w:pPr>
        <w:pStyle w:val="Heading2"/>
        <w:rPr>
          <w:b/>
          <w:bCs/>
        </w:rPr>
      </w:pPr>
      <w:bookmarkStart w:id="9" w:name="_Toc224232731"/>
      <w:r w:rsidRPr="00DF372F">
        <w:rPr>
          <w:b/>
          <w:bCs/>
        </w:rPr>
        <w:t>3.2 Corporate Social Responsibility and Sustainability</w:t>
      </w:r>
      <w:bookmarkEnd w:id="9"/>
    </w:p>
    <w:p w14:paraId="74B4B9CF" w14:textId="77777777" w:rsidR="00D233AD" w:rsidRPr="00D233AD" w:rsidRDefault="00D233AD" w:rsidP="00D233AD">
      <w:pPr>
        <w:jc w:val="both"/>
        <w:rPr>
          <w:rFonts w:ascii="Arial" w:hAnsi="Arial" w:cs="Arial"/>
        </w:rPr>
      </w:pPr>
      <w:r w:rsidRPr="00D233AD">
        <w:rPr>
          <w:rFonts w:ascii="Arial" w:hAnsi="Arial" w:cs="Arial"/>
        </w:rPr>
        <w:t xml:space="preserve">Environmental initiatives can also be analysed through sustainability frameworks. Elkington’s (1997) </w:t>
      </w:r>
      <w:r w:rsidRPr="00D233AD">
        <w:rPr>
          <w:rFonts w:ascii="Arial" w:hAnsi="Arial" w:cs="Arial"/>
          <w:b/>
          <w:bCs/>
        </w:rPr>
        <w:t>Triple Bottom Line</w:t>
      </w:r>
      <w:r w:rsidRPr="00D233AD">
        <w:rPr>
          <w:rFonts w:ascii="Arial" w:hAnsi="Arial" w:cs="Arial"/>
        </w:rPr>
        <w:t xml:space="preserve"> model suggests that organisations should balance three dimensions of performance:</w:t>
      </w:r>
    </w:p>
    <w:p w14:paraId="54492BDD" w14:textId="77777777" w:rsidR="00D233AD" w:rsidRPr="00D233AD" w:rsidRDefault="00D233AD" w:rsidP="00D233AD">
      <w:pPr>
        <w:numPr>
          <w:ilvl w:val="0"/>
          <w:numId w:val="16"/>
        </w:numPr>
        <w:jc w:val="both"/>
        <w:rPr>
          <w:rFonts w:ascii="Arial" w:hAnsi="Arial" w:cs="Arial"/>
        </w:rPr>
      </w:pPr>
      <w:r w:rsidRPr="00D233AD">
        <w:rPr>
          <w:rFonts w:ascii="Arial" w:hAnsi="Arial" w:cs="Arial"/>
        </w:rPr>
        <w:t>economic value</w:t>
      </w:r>
    </w:p>
    <w:p w14:paraId="1624AC42" w14:textId="77777777" w:rsidR="00D233AD" w:rsidRPr="00D233AD" w:rsidRDefault="00D233AD" w:rsidP="00D233AD">
      <w:pPr>
        <w:numPr>
          <w:ilvl w:val="0"/>
          <w:numId w:val="16"/>
        </w:numPr>
        <w:jc w:val="both"/>
        <w:rPr>
          <w:rFonts w:ascii="Arial" w:hAnsi="Arial" w:cs="Arial"/>
        </w:rPr>
      </w:pPr>
      <w:r w:rsidRPr="00D233AD">
        <w:rPr>
          <w:rFonts w:ascii="Arial" w:hAnsi="Arial" w:cs="Arial"/>
        </w:rPr>
        <w:t>social value</w:t>
      </w:r>
    </w:p>
    <w:p w14:paraId="17F113D4" w14:textId="77777777" w:rsidR="00D233AD" w:rsidRPr="00D233AD" w:rsidRDefault="00D233AD" w:rsidP="00D233AD">
      <w:pPr>
        <w:numPr>
          <w:ilvl w:val="0"/>
          <w:numId w:val="16"/>
        </w:numPr>
        <w:jc w:val="both"/>
        <w:rPr>
          <w:rFonts w:ascii="Arial" w:hAnsi="Arial" w:cs="Arial"/>
        </w:rPr>
      </w:pPr>
      <w:r w:rsidRPr="00D233AD">
        <w:rPr>
          <w:rFonts w:ascii="Arial" w:hAnsi="Arial" w:cs="Arial"/>
        </w:rPr>
        <w:t>environmental value</w:t>
      </w:r>
    </w:p>
    <w:p w14:paraId="16927A2B" w14:textId="77777777" w:rsidR="00D233AD" w:rsidRPr="00D233AD" w:rsidRDefault="00D233AD" w:rsidP="00D233AD">
      <w:pPr>
        <w:jc w:val="both"/>
        <w:rPr>
          <w:rFonts w:ascii="Arial" w:hAnsi="Arial" w:cs="Arial"/>
        </w:rPr>
      </w:pPr>
      <w:r w:rsidRPr="00D233AD">
        <w:rPr>
          <w:rFonts w:ascii="Arial" w:hAnsi="Arial" w:cs="Arial"/>
        </w:rPr>
        <w:t>The Tamworth initiative contributes to all three dimensions.</w:t>
      </w:r>
    </w:p>
    <w:p w14:paraId="0C658869" w14:textId="77777777" w:rsidR="00D233AD" w:rsidRPr="00D233AD" w:rsidRDefault="00D233AD" w:rsidP="00D233AD">
      <w:pPr>
        <w:jc w:val="both"/>
        <w:rPr>
          <w:rFonts w:ascii="Arial" w:hAnsi="Arial" w:cs="Arial"/>
        </w:rPr>
      </w:pPr>
      <w:r w:rsidRPr="00D233AD">
        <w:rPr>
          <w:rFonts w:ascii="Arial" w:hAnsi="Arial" w:cs="Arial"/>
        </w:rPr>
        <w:t>Environmental benefits include reduced pollution and protection of wildlife habitats. Social benefits include improved community wellbeing and civic pride. Economic benefits may arise through enhanced town attractiveness and tourism potential.</w:t>
      </w:r>
    </w:p>
    <w:p w14:paraId="549D113F" w14:textId="6AA0D214" w:rsidR="00D233AD" w:rsidRPr="00D233AD" w:rsidRDefault="00D233AD" w:rsidP="00D233AD">
      <w:pPr>
        <w:jc w:val="both"/>
        <w:rPr>
          <w:rFonts w:ascii="Arial" w:hAnsi="Arial" w:cs="Arial"/>
        </w:rPr>
      </w:pPr>
      <w:r w:rsidRPr="00D233AD">
        <w:rPr>
          <w:rFonts w:ascii="Arial" w:hAnsi="Arial" w:cs="Arial"/>
        </w:rPr>
        <w:t xml:space="preserve">The concept of sustainable development was defined by the </w:t>
      </w:r>
      <w:r w:rsidRPr="00D233AD">
        <w:rPr>
          <w:rFonts w:ascii="Arial" w:hAnsi="Arial" w:cs="Arial"/>
          <w:b/>
          <w:bCs/>
        </w:rPr>
        <w:t>Brundtland Commission</w:t>
      </w:r>
      <w:r w:rsidRPr="00D233AD">
        <w:rPr>
          <w:rFonts w:ascii="Arial" w:hAnsi="Arial" w:cs="Arial"/>
        </w:rPr>
        <w:t xml:space="preserve"> as development that meets present needs without compromising the ability of future generations to meet their own needs (WCED, 1987).</w:t>
      </w:r>
    </w:p>
    <w:p w14:paraId="28AB75EE" w14:textId="77777777" w:rsidR="00D233AD" w:rsidRPr="006066C9" w:rsidRDefault="00D233AD" w:rsidP="006066C9">
      <w:pPr>
        <w:pStyle w:val="Heading2"/>
        <w:rPr>
          <w:b/>
          <w:bCs/>
        </w:rPr>
      </w:pPr>
      <w:bookmarkStart w:id="10" w:name="_Toc224232732"/>
      <w:r w:rsidRPr="006066C9">
        <w:rPr>
          <w:b/>
          <w:bCs/>
        </w:rPr>
        <w:t>3.3 Reflective Insight</w:t>
      </w:r>
      <w:bookmarkEnd w:id="10"/>
    </w:p>
    <w:p w14:paraId="54D7EF58" w14:textId="77777777" w:rsidR="00D233AD" w:rsidRPr="00D233AD" w:rsidRDefault="00D233AD" w:rsidP="00D233AD">
      <w:pPr>
        <w:jc w:val="both"/>
        <w:rPr>
          <w:rFonts w:ascii="Arial" w:hAnsi="Arial" w:cs="Arial"/>
        </w:rPr>
      </w:pPr>
      <w:r w:rsidRPr="00D233AD">
        <w:rPr>
          <w:rFonts w:ascii="Arial" w:hAnsi="Arial" w:cs="Arial"/>
        </w:rPr>
        <w:t>The Tamworth litter reduction initiative demonstrates how stakeholder management theory can be applied to real-world community challenges.</w:t>
      </w:r>
    </w:p>
    <w:p w14:paraId="7B05F289" w14:textId="77777777" w:rsidR="00D233AD" w:rsidRPr="00D233AD" w:rsidRDefault="00D233AD" w:rsidP="00D233AD">
      <w:pPr>
        <w:jc w:val="both"/>
        <w:rPr>
          <w:rFonts w:ascii="Arial" w:hAnsi="Arial" w:cs="Arial"/>
        </w:rPr>
      </w:pPr>
      <w:r w:rsidRPr="00D233AD">
        <w:rPr>
          <w:rFonts w:ascii="Arial" w:hAnsi="Arial" w:cs="Arial"/>
        </w:rPr>
        <w:t>Applying Mendelow’s Power–Interest Matrix improved understanding of stakeholder prioritisation and resource allocation. However, the project also revealed that stakeholders with limited formal authority can exert significant informal influence. Community groups and volunteers may mobilise public opinion and generate social pressure that encourages broader participation.</w:t>
      </w:r>
    </w:p>
    <w:p w14:paraId="2E365D5E" w14:textId="77777777" w:rsidR="00D233AD" w:rsidRPr="00D233AD" w:rsidRDefault="00D233AD" w:rsidP="00D233AD">
      <w:pPr>
        <w:jc w:val="both"/>
        <w:rPr>
          <w:rFonts w:ascii="Arial" w:hAnsi="Arial" w:cs="Arial"/>
        </w:rPr>
      </w:pPr>
      <w:r w:rsidRPr="00D233AD">
        <w:rPr>
          <w:rFonts w:ascii="Arial" w:hAnsi="Arial" w:cs="Arial"/>
        </w:rPr>
        <w:t>Freeman’s (1984) concept of stakeholder interdependence becomes particularly relevant in community initiatives where outcomes depend on collective cooperation rather than hierarchical authority.</w:t>
      </w:r>
    </w:p>
    <w:p w14:paraId="76A8B2B1" w14:textId="77777777" w:rsidR="00D233AD" w:rsidRPr="00D233AD" w:rsidRDefault="00D233AD" w:rsidP="00D233AD">
      <w:pPr>
        <w:jc w:val="both"/>
        <w:rPr>
          <w:rFonts w:ascii="Arial" w:hAnsi="Arial" w:cs="Arial"/>
        </w:rPr>
      </w:pPr>
      <w:r w:rsidRPr="00D233AD">
        <w:rPr>
          <w:rFonts w:ascii="Arial" w:hAnsi="Arial" w:cs="Arial"/>
        </w:rPr>
        <w:t>Through analysing this project, several professional competencies were strengthened:</w:t>
      </w:r>
    </w:p>
    <w:p w14:paraId="40DC1E72" w14:textId="77777777" w:rsidR="00D233AD" w:rsidRPr="00D233AD" w:rsidRDefault="00D233AD" w:rsidP="00D233AD">
      <w:pPr>
        <w:numPr>
          <w:ilvl w:val="0"/>
          <w:numId w:val="17"/>
        </w:numPr>
        <w:jc w:val="both"/>
        <w:rPr>
          <w:rFonts w:ascii="Arial" w:hAnsi="Arial" w:cs="Arial"/>
        </w:rPr>
      </w:pPr>
      <w:r w:rsidRPr="00D233AD">
        <w:rPr>
          <w:rFonts w:ascii="Arial" w:hAnsi="Arial" w:cs="Arial"/>
        </w:rPr>
        <w:lastRenderedPageBreak/>
        <w:t>strategic stakeholder analysis</w:t>
      </w:r>
    </w:p>
    <w:p w14:paraId="5788D5DA" w14:textId="77777777" w:rsidR="00D233AD" w:rsidRPr="00D233AD" w:rsidRDefault="00D233AD" w:rsidP="00D233AD">
      <w:pPr>
        <w:numPr>
          <w:ilvl w:val="0"/>
          <w:numId w:val="17"/>
        </w:numPr>
        <w:jc w:val="both"/>
        <w:rPr>
          <w:rFonts w:ascii="Arial" w:hAnsi="Arial" w:cs="Arial"/>
        </w:rPr>
      </w:pPr>
      <w:r w:rsidRPr="00D233AD">
        <w:rPr>
          <w:rFonts w:ascii="Arial" w:hAnsi="Arial" w:cs="Arial"/>
        </w:rPr>
        <w:t>ethical reasoning in decision-making</w:t>
      </w:r>
    </w:p>
    <w:p w14:paraId="3780EF40" w14:textId="77777777" w:rsidR="00D233AD" w:rsidRPr="00D233AD" w:rsidRDefault="00D233AD" w:rsidP="00D233AD">
      <w:pPr>
        <w:numPr>
          <w:ilvl w:val="0"/>
          <w:numId w:val="17"/>
        </w:numPr>
        <w:jc w:val="both"/>
        <w:rPr>
          <w:rFonts w:ascii="Arial" w:hAnsi="Arial" w:cs="Arial"/>
        </w:rPr>
      </w:pPr>
      <w:r w:rsidRPr="00D233AD">
        <w:rPr>
          <w:rFonts w:ascii="Arial" w:hAnsi="Arial" w:cs="Arial"/>
        </w:rPr>
        <w:t>systems thinking regarding policy and governance</w:t>
      </w:r>
    </w:p>
    <w:p w14:paraId="68674908" w14:textId="77777777" w:rsidR="00D233AD" w:rsidRPr="00D233AD" w:rsidRDefault="00D233AD" w:rsidP="00D233AD">
      <w:pPr>
        <w:numPr>
          <w:ilvl w:val="0"/>
          <w:numId w:val="17"/>
        </w:numPr>
        <w:jc w:val="both"/>
        <w:rPr>
          <w:rFonts w:ascii="Arial" w:hAnsi="Arial" w:cs="Arial"/>
        </w:rPr>
      </w:pPr>
      <w:r w:rsidRPr="00D233AD">
        <w:rPr>
          <w:rFonts w:ascii="Arial" w:hAnsi="Arial" w:cs="Arial"/>
        </w:rPr>
        <w:t>critical evaluation of sustainability frameworks</w:t>
      </w:r>
    </w:p>
    <w:p w14:paraId="3A7E4AB8" w14:textId="6C7340D8" w:rsidR="00D233AD" w:rsidRPr="00D233AD" w:rsidRDefault="00D233AD" w:rsidP="00D233AD">
      <w:pPr>
        <w:jc w:val="both"/>
        <w:rPr>
          <w:rFonts w:ascii="Arial" w:hAnsi="Arial" w:cs="Arial"/>
        </w:rPr>
      </w:pPr>
      <w:r w:rsidRPr="00D233AD">
        <w:rPr>
          <w:rFonts w:ascii="Arial" w:hAnsi="Arial" w:cs="Arial"/>
        </w:rPr>
        <w:t>These competencies are highly transferable to professional environments involving public policy, project management and community engagement.</w:t>
      </w:r>
    </w:p>
    <w:p w14:paraId="1A05356F" w14:textId="77777777" w:rsidR="00D233AD" w:rsidRPr="00680A0B" w:rsidRDefault="00D233AD" w:rsidP="00680A0B">
      <w:pPr>
        <w:pStyle w:val="Heading1"/>
        <w:rPr>
          <w:b/>
          <w:bCs/>
        </w:rPr>
      </w:pPr>
      <w:bookmarkStart w:id="11" w:name="_Toc224232733"/>
      <w:r w:rsidRPr="00680A0B">
        <w:rPr>
          <w:b/>
          <w:bCs/>
        </w:rPr>
        <w:t>4. Conclusion and Recommendations</w:t>
      </w:r>
      <w:bookmarkEnd w:id="11"/>
    </w:p>
    <w:p w14:paraId="54DFACD4" w14:textId="77777777" w:rsidR="00D233AD" w:rsidRPr="00D233AD" w:rsidRDefault="00D233AD" w:rsidP="00D233AD">
      <w:pPr>
        <w:jc w:val="both"/>
        <w:rPr>
          <w:rFonts w:ascii="Arial" w:hAnsi="Arial" w:cs="Arial"/>
        </w:rPr>
      </w:pPr>
      <w:r w:rsidRPr="00D233AD">
        <w:rPr>
          <w:rFonts w:ascii="Arial" w:hAnsi="Arial" w:cs="Arial"/>
        </w:rPr>
        <w:t>The Tamworth Community Litter Reduction Initiative illustrates the central importance of stakeholder management in community-based environmental projects. Although the project operates on a relatively small financial scale, it involves a diverse network of stakeholders including local authorities, businesses, residents, schools and environmental organisations.</w:t>
      </w:r>
    </w:p>
    <w:p w14:paraId="23F62220" w14:textId="77777777" w:rsidR="00D233AD" w:rsidRPr="00D233AD" w:rsidRDefault="00D233AD" w:rsidP="00D233AD">
      <w:pPr>
        <w:jc w:val="both"/>
        <w:rPr>
          <w:rFonts w:ascii="Arial" w:hAnsi="Arial" w:cs="Arial"/>
        </w:rPr>
      </w:pPr>
      <w:r w:rsidRPr="00D233AD">
        <w:rPr>
          <w:rFonts w:ascii="Arial" w:hAnsi="Arial" w:cs="Arial"/>
        </w:rPr>
        <w:t>Applying Mendelow’s Power–Interest Matrix provided a structured framework for prioritising stakeholders and designing appropriate engagement strategies. High-power stakeholders such as local councils and waste contractors require close management, while community groups and residents benefit from participatory engagement strategies.</w:t>
      </w:r>
    </w:p>
    <w:p w14:paraId="3487E8B0" w14:textId="77777777" w:rsidR="00D233AD" w:rsidRPr="00D233AD" w:rsidRDefault="00D233AD" w:rsidP="00D233AD">
      <w:pPr>
        <w:jc w:val="both"/>
        <w:rPr>
          <w:rFonts w:ascii="Arial" w:hAnsi="Arial" w:cs="Arial"/>
        </w:rPr>
      </w:pPr>
      <w:r w:rsidRPr="00D233AD">
        <w:rPr>
          <w:rFonts w:ascii="Arial" w:hAnsi="Arial" w:cs="Arial"/>
        </w:rPr>
        <w:t>Ethical principles including transparency, fairness and shared responsibility play a critical role in maintaining trust and legitimacy. Integrating CSR and sustainability frameworks further strengthens the long-term value of the initiative by linking environmental improvement with social wellbeing and economic development.</w:t>
      </w:r>
    </w:p>
    <w:p w14:paraId="5CF67137" w14:textId="77777777" w:rsidR="00D233AD" w:rsidRPr="00D233AD" w:rsidRDefault="00D233AD" w:rsidP="00D233AD">
      <w:pPr>
        <w:jc w:val="both"/>
        <w:rPr>
          <w:rFonts w:ascii="Arial" w:hAnsi="Arial" w:cs="Arial"/>
        </w:rPr>
      </w:pPr>
      <w:r w:rsidRPr="00D233AD">
        <w:rPr>
          <w:rFonts w:ascii="Arial" w:hAnsi="Arial" w:cs="Arial"/>
        </w:rPr>
        <w:t>However, several challenges remain. Behavioural resistance, limited public sector resources and coordination complexity may hinder long-term progress. Addressing these challenges requires adaptive stakeholder management and continuous engagement.</w:t>
      </w:r>
    </w:p>
    <w:p w14:paraId="75623D8B" w14:textId="77777777" w:rsidR="00D233AD" w:rsidRPr="00D233AD" w:rsidRDefault="00D233AD" w:rsidP="00D233AD">
      <w:pPr>
        <w:jc w:val="both"/>
        <w:rPr>
          <w:rFonts w:ascii="Arial" w:hAnsi="Arial" w:cs="Arial"/>
        </w:rPr>
      </w:pPr>
      <w:r w:rsidRPr="00D233AD">
        <w:rPr>
          <w:rFonts w:ascii="Arial" w:hAnsi="Arial" w:cs="Arial"/>
        </w:rPr>
        <w:t>Several recommendations can enhance the effectiveness of the initiative:</w:t>
      </w:r>
    </w:p>
    <w:p w14:paraId="54DFF348" w14:textId="77777777" w:rsidR="00D233AD" w:rsidRPr="00D233AD" w:rsidRDefault="00D233AD" w:rsidP="00D233AD">
      <w:pPr>
        <w:numPr>
          <w:ilvl w:val="0"/>
          <w:numId w:val="18"/>
        </w:numPr>
        <w:jc w:val="both"/>
        <w:rPr>
          <w:rFonts w:ascii="Arial" w:hAnsi="Arial" w:cs="Arial"/>
        </w:rPr>
      </w:pPr>
      <w:r w:rsidRPr="00D233AD">
        <w:rPr>
          <w:rFonts w:ascii="Arial" w:hAnsi="Arial" w:cs="Arial"/>
        </w:rPr>
        <w:t>Develop a formal stakeholder engagement plan aligned with PMI (2021) guidelines.</w:t>
      </w:r>
    </w:p>
    <w:p w14:paraId="2E84FFAD" w14:textId="77777777" w:rsidR="00D233AD" w:rsidRPr="00D233AD" w:rsidRDefault="00D233AD" w:rsidP="00D233AD">
      <w:pPr>
        <w:numPr>
          <w:ilvl w:val="0"/>
          <w:numId w:val="18"/>
        </w:numPr>
        <w:jc w:val="both"/>
        <w:rPr>
          <w:rFonts w:ascii="Arial" w:hAnsi="Arial" w:cs="Arial"/>
        </w:rPr>
      </w:pPr>
      <w:r w:rsidRPr="00D233AD">
        <w:rPr>
          <w:rFonts w:ascii="Arial" w:hAnsi="Arial" w:cs="Arial"/>
        </w:rPr>
        <w:t>Introduce CSR incentive schemes to encourage greater business participation.</w:t>
      </w:r>
    </w:p>
    <w:p w14:paraId="3F51669D" w14:textId="77777777" w:rsidR="00D233AD" w:rsidRPr="00D233AD" w:rsidRDefault="00D233AD" w:rsidP="00D233AD">
      <w:pPr>
        <w:numPr>
          <w:ilvl w:val="0"/>
          <w:numId w:val="18"/>
        </w:numPr>
        <w:jc w:val="both"/>
        <w:rPr>
          <w:rFonts w:ascii="Arial" w:hAnsi="Arial" w:cs="Arial"/>
        </w:rPr>
      </w:pPr>
      <w:r w:rsidRPr="00D233AD">
        <w:rPr>
          <w:rFonts w:ascii="Arial" w:hAnsi="Arial" w:cs="Arial"/>
        </w:rPr>
        <w:t>Establish measurable performance indicators to evaluate stakeholder satisfaction and environmental outcomes.</w:t>
      </w:r>
    </w:p>
    <w:p w14:paraId="30DA7BEA" w14:textId="77777777" w:rsidR="00D233AD" w:rsidRPr="00D233AD" w:rsidRDefault="00D233AD" w:rsidP="00D233AD">
      <w:pPr>
        <w:numPr>
          <w:ilvl w:val="0"/>
          <w:numId w:val="18"/>
        </w:numPr>
        <w:jc w:val="both"/>
        <w:rPr>
          <w:rFonts w:ascii="Arial" w:hAnsi="Arial" w:cs="Arial"/>
        </w:rPr>
      </w:pPr>
      <w:r w:rsidRPr="00D233AD">
        <w:rPr>
          <w:rFonts w:ascii="Arial" w:hAnsi="Arial" w:cs="Arial"/>
        </w:rPr>
        <w:t>Expand long-term educational partnerships with schools to promote sustainable behaviour.</w:t>
      </w:r>
    </w:p>
    <w:p w14:paraId="48D0828B" w14:textId="77777777" w:rsidR="00D233AD" w:rsidRPr="00D233AD" w:rsidRDefault="00D233AD" w:rsidP="00D233AD">
      <w:pPr>
        <w:numPr>
          <w:ilvl w:val="0"/>
          <w:numId w:val="18"/>
        </w:numPr>
        <w:jc w:val="both"/>
        <w:rPr>
          <w:rFonts w:ascii="Arial" w:hAnsi="Arial" w:cs="Arial"/>
        </w:rPr>
      </w:pPr>
      <w:r w:rsidRPr="00D233AD">
        <w:rPr>
          <w:rFonts w:ascii="Arial" w:hAnsi="Arial" w:cs="Arial"/>
        </w:rPr>
        <w:t>Conduct regular stakeholder mapping exercises to adapt engagement strategies as relationships evolve.</w:t>
      </w:r>
    </w:p>
    <w:p w14:paraId="1A839456" w14:textId="33139B6D" w:rsidR="00476CA6" w:rsidRPr="00BE69E1" w:rsidRDefault="00D233AD" w:rsidP="00476CA6">
      <w:pPr>
        <w:jc w:val="both"/>
        <w:rPr>
          <w:rFonts w:ascii="Arial" w:hAnsi="Arial" w:cs="Arial"/>
        </w:rPr>
      </w:pPr>
      <w:r w:rsidRPr="00D233AD">
        <w:rPr>
          <w:rFonts w:ascii="Arial" w:hAnsi="Arial" w:cs="Arial"/>
        </w:rPr>
        <w:lastRenderedPageBreak/>
        <w:t>Ultimately, stakeholder management should be viewed as an ongoing and adaptive process rather than a static framework. In community-based environmental initiatives, sustainable success depends on collaboration, ethical leadership and continuous engagement among diverse stakeholders.</w:t>
      </w:r>
    </w:p>
    <w:p w14:paraId="18BB5A37" w14:textId="74B9F70F" w:rsidR="00BE69E1" w:rsidRDefault="00BE69E1" w:rsidP="00AE10F3">
      <w:pPr>
        <w:spacing w:line="360" w:lineRule="auto"/>
        <w:jc w:val="both"/>
        <w:rPr>
          <w:rFonts w:ascii="Arial" w:hAnsi="Arial" w:cs="Arial"/>
        </w:rPr>
      </w:pPr>
      <w:r w:rsidRPr="00BE69E1">
        <w:rPr>
          <w:rFonts w:ascii="Arial" w:hAnsi="Arial" w:cs="Arial"/>
        </w:rPr>
        <w:t>.</w:t>
      </w:r>
    </w:p>
    <w:p w14:paraId="7D5C9AC1" w14:textId="77777777" w:rsidR="00AE10F3" w:rsidRDefault="00AE10F3" w:rsidP="00BE69E1">
      <w:pPr>
        <w:rPr>
          <w:rFonts w:ascii="Arial" w:hAnsi="Arial" w:cs="Arial"/>
        </w:rPr>
      </w:pPr>
    </w:p>
    <w:p w14:paraId="2D9257AA" w14:textId="77777777" w:rsidR="009D4380" w:rsidRDefault="009D4380" w:rsidP="00BE69E1">
      <w:pPr>
        <w:rPr>
          <w:rFonts w:ascii="Arial" w:hAnsi="Arial" w:cs="Arial"/>
        </w:rPr>
      </w:pPr>
    </w:p>
    <w:p w14:paraId="5F9DC221" w14:textId="77777777" w:rsidR="009D4380" w:rsidRDefault="009D4380" w:rsidP="00BE69E1">
      <w:pPr>
        <w:rPr>
          <w:rFonts w:ascii="Arial" w:hAnsi="Arial" w:cs="Arial"/>
        </w:rPr>
      </w:pPr>
    </w:p>
    <w:p w14:paraId="3377846B" w14:textId="77777777" w:rsidR="009D4380" w:rsidRDefault="009D4380" w:rsidP="00BE69E1">
      <w:pPr>
        <w:rPr>
          <w:rFonts w:ascii="Arial" w:hAnsi="Arial" w:cs="Arial"/>
        </w:rPr>
      </w:pPr>
    </w:p>
    <w:p w14:paraId="482C5140" w14:textId="77777777" w:rsidR="009D4380" w:rsidRDefault="009D4380" w:rsidP="00BE69E1">
      <w:pPr>
        <w:rPr>
          <w:rFonts w:ascii="Arial" w:hAnsi="Arial" w:cs="Arial"/>
        </w:rPr>
      </w:pPr>
    </w:p>
    <w:p w14:paraId="25E4AC51" w14:textId="77777777" w:rsidR="009D4380" w:rsidRDefault="009D4380" w:rsidP="00BE69E1">
      <w:pPr>
        <w:rPr>
          <w:rFonts w:ascii="Arial" w:hAnsi="Arial" w:cs="Arial"/>
        </w:rPr>
      </w:pPr>
    </w:p>
    <w:p w14:paraId="75AD0807" w14:textId="77777777" w:rsidR="009D4380" w:rsidRDefault="009D4380" w:rsidP="00BE69E1">
      <w:pPr>
        <w:rPr>
          <w:rFonts w:ascii="Arial" w:hAnsi="Arial" w:cs="Arial"/>
        </w:rPr>
      </w:pPr>
    </w:p>
    <w:p w14:paraId="1A41E99E" w14:textId="77777777" w:rsidR="009D4380" w:rsidRDefault="009D4380" w:rsidP="00BE69E1">
      <w:pPr>
        <w:rPr>
          <w:rFonts w:ascii="Arial" w:hAnsi="Arial" w:cs="Arial"/>
        </w:rPr>
      </w:pPr>
    </w:p>
    <w:p w14:paraId="06BF7137" w14:textId="77777777" w:rsidR="009D4380" w:rsidRDefault="009D4380" w:rsidP="00BE69E1">
      <w:pPr>
        <w:rPr>
          <w:rFonts w:ascii="Arial" w:hAnsi="Arial" w:cs="Arial"/>
        </w:rPr>
      </w:pPr>
    </w:p>
    <w:p w14:paraId="461ADA6C" w14:textId="77777777" w:rsidR="009D4380" w:rsidRDefault="009D4380" w:rsidP="00BE69E1">
      <w:pPr>
        <w:rPr>
          <w:rFonts w:ascii="Arial" w:hAnsi="Arial" w:cs="Arial"/>
        </w:rPr>
      </w:pPr>
    </w:p>
    <w:p w14:paraId="46D87CF0" w14:textId="77777777" w:rsidR="009D4380" w:rsidRDefault="009D4380" w:rsidP="00BE69E1">
      <w:pPr>
        <w:rPr>
          <w:rFonts w:ascii="Arial" w:hAnsi="Arial" w:cs="Arial"/>
        </w:rPr>
      </w:pPr>
    </w:p>
    <w:p w14:paraId="0E96D7D0" w14:textId="77777777" w:rsidR="009D4380" w:rsidRDefault="009D4380" w:rsidP="00BE69E1">
      <w:pPr>
        <w:rPr>
          <w:rFonts w:ascii="Arial" w:hAnsi="Arial" w:cs="Arial"/>
        </w:rPr>
      </w:pPr>
    </w:p>
    <w:p w14:paraId="175C350B" w14:textId="77777777" w:rsidR="009D4380" w:rsidRDefault="009D4380" w:rsidP="00BE69E1">
      <w:pPr>
        <w:rPr>
          <w:rFonts w:ascii="Arial" w:hAnsi="Arial" w:cs="Arial"/>
        </w:rPr>
      </w:pPr>
    </w:p>
    <w:p w14:paraId="344E4187" w14:textId="77777777" w:rsidR="009D4380" w:rsidRDefault="009D4380" w:rsidP="00BE69E1">
      <w:pPr>
        <w:rPr>
          <w:rFonts w:ascii="Arial" w:hAnsi="Arial" w:cs="Arial"/>
        </w:rPr>
      </w:pPr>
    </w:p>
    <w:p w14:paraId="49B105BE" w14:textId="77777777" w:rsidR="009D4380" w:rsidRDefault="009D4380" w:rsidP="00BE69E1">
      <w:pPr>
        <w:rPr>
          <w:rFonts w:ascii="Arial" w:hAnsi="Arial" w:cs="Arial"/>
        </w:rPr>
      </w:pPr>
    </w:p>
    <w:p w14:paraId="457F00EA" w14:textId="77777777" w:rsidR="009D4380" w:rsidRDefault="009D4380" w:rsidP="00BE69E1">
      <w:pPr>
        <w:rPr>
          <w:rFonts w:ascii="Arial" w:hAnsi="Arial" w:cs="Arial"/>
        </w:rPr>
      </w:pPr>
    </w:p>
    <w:p w14:paraId="194F1674" w14:textId="77777777" w:rsidR="009D4380" w:rsidRDefault="009D4380" w:rsidP="00BE69E1">
      <w:pPr>
        <w:rPr>
          <w:rFonts w:ascii="Arial" w:hAnsi="Arial" w:cs="Arial"/>
        </w:rPr>
      </w:pPr>
    </w:p>
    <w:p w14:paraId="5AF1E1EE" w14:textId="77777777" w:rsidR="009D4380" w:rsidRDefault="009D4380" w:rsidP="00BE69E1">
      <w:pPr>
        <w:rPr>
          <w:rFonts w:ascii="Arial" w:hAnsi="Arial" w:cs="Arial"/>
        </w:rPr>
      </w:pPr>
    </w:p>
    <w:p w14:paraId="6A892943" w14:textId="77777777" w:rsidR="009D4380" w:rsidRDefault="009D4380" w:rsidP="00BE69E1">
      <w:pPr>
        <w:rPr>
          <w:rFonts w:ascii="Arial" w:hAnsi="Arial" w:cs="Arial"/>
        </w:rPr>
      </w:pPr>
    </w:p>
    <w:p w14:paraId="18A8D658" w14:textId="77777777" w:rsidR="009D4380" w:rsidRDefault="009D4380" w:rsidP="00BE69E1">
      <w:pPr>
        <w:rPr>
          <w:rFonts w:ascii="Arial" w:hAnsi="Arial" w:cs="Arial"/>
        </w:rPr>
      </w:pPr>
    </w:p>
    <w:p w14:paraId="07C49399" w14:textId="77777777" w:rsidR="009D4380" w:rsidRDefault="009D4380" w:rsidP="00BE69E1">
      <w:pPr>
        <w:rPr>
          <w:rFonts w:ascii="Arial" w:hAnsi="Arial" w:cs="Arial"/>
        </w:rPr>
      </w:pPr>
    </w:p>
    <w:p w14:paraId="7648D0BD" w14:textId="77777777" w:rsidR="009D4380" w:rsidRDefault="009D4380" w:rsidP="00BE69E1">
      <w:pPr>
        <w:rPr>
          <w:rFonts w:ascii="Arial" w:hAnsi="Arial" w:cs="Arial"/>
        </w:rPr>
      </w:pPr>
    </w:p>
    <w:p w14:paraId="387CD900" w14:textId="77777777" w:rsidR="009D4380" w:rsidRDefault="009D4380" w:rsidP="00BE69E1">
      <w:pPr>
        <w:rPr>
          <w:rFonts w:ascii="Arial" w:hAnsi="Arial" w:cs="Arial"/>
        </w:rPr>
      </w:pPr>
    </w:p>
    <w:p w14:paraId="1CFB1AF8" w14:textId="77777777" w:rsidR="009D4380" w:rsidRDefault="009D4380" w:rsidP="00BE69E1">
      <w:pPr>
        <w:rPr>
          <w:rFonts w:ascii="Arial" w:hAnsi="Arial" w:cs="Arial"/>
        </w:rPr>
      </w:pPr>
    </w:p>
    <w:p w14:paraId="54779927" w14:textId="77777777" w:rsidR="009D4380" w:rsidRDefault="009D4380" w:rsidP="00BE69E1">
      <w:pPr>
        <w:rPr>
          <w:rFonts w:ascii="Arial" w:hAnsi="Arial" w:cs="Arial"/>
        </w:rPr>
      </w:pPr>
    </w:p>
    <w:p w14:paraId="30F5A11A" w14:textId="27830294" w:rsidR="0077518C" w:rsidRPr="0077518C" w:rsidRDefault="00BE69E1" w:rsidP="0077518C">
      <w:pPr>
        <w:pStyle w:val="Heading1"/>
        <w:rPr>
          <w:b/>
          <w:bCs/>
        </w:rPr>
      </w:pPr>
      <w:bookmarkStart w:id="12" w:name="_Toc224232734"/>
      <w:r w:rsidRPr="00AE10F3">
        <w:rPr>
          <w:b/>
          <w:bCs/>
        </w:rPr>
        <w:lastRenderedPageBreak/>
        <w:t>Reference</w:t>
      </w:r>
      <w:r w:rsidR="0077518C">
        <w:rPr>
          <w:b/>
          <w:bCs/>
        </w:rPr>
        <w:t>s</w:t>
      </w:r>
      <w:bookmarkEnd w:id="12"/>
    </w:p>
    <w:p w14:paraId="2B8BC37D" w14:textId="4358B62C" w:rsidR="00BE69E1" w:rsidRPr="00BE69E1" w:rsidRDefault="00AE10F3" w:rsidP="00BE69E1">
      <w:r>
        <w:t xml:space="preserve">1. </w:t>
      </w:r>
      <w:r w:rsidR="00BE69E1" w:rsidRPr="00BE69E1">
        <w:t xml:space="preserve">Ajzen, I. (1991) ‘The theory of planned behavior’, </w:t>
      </w:r>
      <w:r w:rsidR="00BE69E1" w:rsidRPr="00BE69E1">
        <w:rPr>
          <w:i/>
          <w:iCs/>
        </w:rPr>
        <w:t>Organizational Behavior and Human Decision Processes</w:t>
      </w:r>
      <w:r w:rsidR="00BE69E1" w:rsidRPr="00BE69E1">
        <w:t>, 50(2), pp. 179–211.</w:t>
      </w:r>
    </w:p>
    <w:p w14:paraId="2BD74DAE" w14:textId="4BD4F21A" w:rsidR="00BE69E1" w:rsidRPr="00BE69E1" w:rsidRDefault="00AE10F3" w:rsidP="00BE69E1">
      <w:r>
        <w:t xml:space="preserve">2. </w:t>
      </w:r>
      <w:r w:rsidR="00BE69E1" w:rsidRPr="00BE69E1">
        <w:t xml:space="preserve">Ansell, C. and Gash, A. (2008) ‘Collaborative governance in theory and practice’, </w:t>
      </w:r>
      <w:r w:rsidR="00BE69E1" w:rsidRPr="00BE69E1">
        <w:rPr>
          <w:i/>
          <w:iCs/>
        </w:rPr>
        <w:t>Journal of Public Administration Research and Theory</w:t>
      </w:r>
      <w:r w:rsidR="00BE69E1" w:rsidRPr="00BE69E1">
        <w:t>, 18(4), pp. 543–571.</w:t>
      </w:r>
    </w:p>
    <w:p w14:paraId="7DCBD9AF" w14:textId="007BC62C" w:rsidR="00BE69E1" w:rsidRPr="00BE69E1" w:rsidRDefault="00AE10F3" w:rsidP="00BE69E1">
      <w:r>
        <w:t xml:space="preserve">3. </w:t>
      </w:r>
      <w:r w:rsidR="00BE69E1" w:rsidRPr="00BE69E1">
        <w:t xml:space="preserve">Bamberg, S., Rees, J. and Seebauer, S. (2018) ‘Collective climate action’, </w:t>
      </w:r>
      <w:r w:rsidR="00BE69E1" w:rsidRPr="00BE69E1">
        <w:rPr>
          <w:i/>
          <w:iCs/>
        </w:rPr>
        <w:t>Journal of Environmental Psychology</w:t>
      </w:r>
      <w:r w:rsidR="00BE69E1" w:rsidRPr="00BE69E1">
        <w:t>, 57, pp. 155–165.</w:t>
      </w:r>
    </w:p>
    <w:p w14:paraId="106B07BD" w14:textId="2D88DD56" w:rsidR="00BE69E1" w:rsidRPr="00BE69E1" w:rsidRDefault="00AE10F3" w:rsidP="00BE69E1">
      <w:r>
        <w:t xml:space="preserve">4. </w:t>
      </w:r>
      <w:r w:rsidR="00BE69E1" w:rsidRPr="00BE69E1">
        <w:t xml:space="preserve">Bourne, L. (2015) </w:t>
      </w:r>
      <w:r w:rsidR="00BE69E1" w:rsidRPr="00BE69E1">
        <w:rPr>
          <w:i/>
          <w:iCs/>
        </w:rPr>
        <w:t>Stakeholder Relationship Management</w:t>
      </w:r>
      <w:r w:rsidR="00BE69E1" w:rsidRPr="00BE69E1">
        <w:t>. 2nd edn. London: Routledge.</w:t>
      </w:r>
    </w:p>
    <w:p w14:paraId="75148632" w14:textId="137ABB38" w:rsidR="00BE69E1" w:rsidRPr="00BE69E1" w:rsidRDefault="00597CDA" w:rsidP="00BE69E1">
      <w:r>
        <w:t xml:space="preserve">5. </w:t>
      </w:r>
      <w:r w:rsidR="00BE69E1" w:rsidRPr="00BE69E1">
        <w:t xml:space="preserve">Bryson, J.M., Quick, K.S., Slotterback, C.S. and Crosby, B.C. (2017) ‘Designing public participation processes’, </w:t>
      </w:r>
      <w:r w:rsidR="00BE69E1" w:rsidRPr="00BE69E1">
        <w:rPr>
          <w:i/>
          <w:iCs/>
        </w:rPr>
        <w:t>Public Administration Review</w:t>
      </w:r>
      <w:r w:rsidR="00BE69E1" w:rsidRPr="00BE69E1">
        <w:t>, 73(1), pp. 23–34.</w:t>
      </w:r>
    </w:p>
    <w:p w14:paraId="2F6D1045" w14:textId="33A800EC" w:rsidR="00BE69E1" w:rsidRPr="00BE69E1" w:rsidRDefault="00597CDA" w:rsidP="00BE69E1">
      <w:r>
        <w:t xml:space="preserve">6. </w:t>
      </w:r>
      <w:r w:rsidR="00BE69E1" w:rsidRPr="00BE69E1">
        <w:t xml:space="preserve">Carroll, A.B. (1991) ‘The pyramid of corporate social responsibility’, </w:t>
      </w:r>
      <w:r w:rsidR="00BE69E1" w:rsidRPr="00BE69E1">
        <w:rPr>
          <w:i/>
          <w:iCs/>
        </w:rPr>
        <w:t>Business Horizons</w:t>
      </w:r>
      <w:r w:rsidR="00BE69E1" w:rsidRPr="00BE69E1">
        <w:t>, 34(4), pp. 39–48.</w:t>
      </w:r>
    </w:p>
    <w:p w14:paraId="0615F452" w14:textId="0506C694" w:rsidR="00BE69E1" w:rsidRPr="00BE69E1" w:rsidRDefault="00597CDA" w:rsidP="00BE69E1">
      <w:r>
        <w:t xml:space="preserve">7. </w:t>
      </w:r>
      <w:r w:rsidR="00BE69E1" w:rsidRPr="00BE69E1">
        <w:t xml:space="preserve">Cornelissen, J. (2020) </w:t>
      </w:r>
      <w:r w:rsidR="00BE69E1" w:rsidRPr="00BE69E1">
        <w:rPr>
          <w:i/>
          <w:iCs/>
        </w:rPr>
        <w:t>Corporate Communication</w:t>
      </w:r>
      <w:r w:rsidR="00BE69E1" w:rsidRPr="00BE69E1">
        <w:t>. 6th edn. London: Sage.</w:t>
      </w:r>
    </w:p>
    <w:p w14:paraId="134AABAF" w14:textId="33B63EFD" w:rsidR="00BE69E1" w:rsidRPr="00BE69E1" w:rsidRDefault="00597CDA" w:rsidP="00BE69E1">
      <w:r>
        <w:t xml:space="preserve">8. </w:t>
      </w:r>
      <w:r w:rsidR="00BE69E1" w:rsidRPr="00BE69E1">
        <w:t xml:space="preserve">Crane, A., Matten, D., Glozer, S. and Spence, L. (2019) </w:t>
      </w:r>
      <w:r w:rsidR="00BE69E1" w:rsidRPr="00BE69E1">
        <w:rPr>
          <w:i/>
          <w:iCs/>
        </w:rPr>
        <w:t>Business Ethics</w:t>
      </w:r>
      <w:r w:rsidR="00BE69E1" w:rsidRPr="00BE69E1">
        <w:t>. 5th edn. Oxford: OUP.</w:t>
      </w:r>
    </w:p>
    <w:p w14:paraId="32A90D66" w14:textId="0E079548" w:rsidR="00BE69E1" w:rsidRPr="00BE69E1" w:rsidRDefault="00597CDA" w:rsidP="00BE69E1">
      <w:r>
        <w:t xml:space="preserve">9. </w:t>
      </w:r>
      <w:r w:rsidR="00BE69E1" w:rsidRPr="00BE69E1">
        <w:t xml:space="preserve">DEFRA (2021) </w:t>
      </w:r>
      <w:r w:rsidR="00BE69E1" w:rsidRPr="00BE69E1">
        <w:rPr>
          <w:i/>
          <w:iCs/>
        </w:rPr>
        <w:t>Litter Strategy for England – Progress Report</w:t>
      </w:r>
      <w:r w:rsidR="00BE69E1" w:rsidRPr="00BE69E1">
        <w:t>. London: DEFRA.</w:t>
      </w:r>
    </w:p>
    <w:p w14:paraId="1A73DE12" w14:textId="0AA42594" w:rsidR="00BE69E1" w:rsidRPr="00BE69E1" w:rsidRDefault="00597CDA" w:rsidP="00BE69E1">
      <w:r>
        <w:t xml:space="preserve">10. </w:t>
      </w:r>
      <w:r w:rsidR="00BE69E1" w:rsidRPr="00BE69E1">
        <w:t xml:space="preserve">Elkington, J. (1997) </w:t>
      </w:r>
      <w:r w:rsidR="00BE69E1" w:rsidRPr="00BE69E1">
        <w:rPr>
          <w:i/>
          <w:iCs/>
        </w:rPr>
        <w:t>Cannibals with Forks</w:t>
      </w:r>
      <w:r w:rsidR="00BE69E1" w:rsidRPr="00BE69E1">
        <w:t>. Oxford: Capstone.</w:t>
      </w:r>
    </w:p>
    <w:p w14:paraId="6A1B0E1C" w14:textId="475DE263" w:rsidR="00BE69E1" w:rsidRPr="00BE69E1" w:rsidRDefault="00597CDA" w:rsidP="00BE69E1">
      <w:r>
        <w:t xml:space="preserve">11. </w:t>
      </w:r>
      <w:r w:rsidR="00BE69E1" w:rsidRPr="00BE69E1">
        <w:t xml:space="preserve">Freeman, R.E. (1984) </w:t>
      </w:r>
      <w:r w:rsidR="00BE69E1" w:rsidRPr="00BE69E1">
        <w:rPr>
          <w:i/>
          <w:iCs/>
        </w:rPr>
        <w:t>Strategic Management: A Stakeholder Approach</w:t>
      </w:r>
      <w:r w:rsidR="00BE69E1" w:rsidRPr="00BE69E1">
        <w:t>. Boston: Pitman.</w:t>
      </w:r>
    </w:p>
    <w:p w14:paraId="2AF94381" w14:textId="521BABC6" w:rsidR="00BE69E1" w:rsidRPr="00BE69E1" w:rsidRDefault="00597CDA" w:rsidP="00BE69E1">
      <w:r>
        <w:t xml:space="preserve">12. </w:t>
      </w:r>
      <w:r w:rsidR="00BE69E1" w:rsidRPr="00BE69E1">
        <w:t xml:space="preserve">Johnson, G., Scholes, R. and Whittington, R. (2017) </w:t>
      </w:r>
      <w:r w:rsidR="00BE69E1" w:rsidRPr="00BE69E1">
        <w:rPr>
          <w:i/>
          <w:iCs/>
        </w:rPr>
        <w:t>Exploring Strategy</w:t>
      </w:r>
      <w:r w:rsidR="00BE69E1" w:rsidRPr="00BE69E1">
        <w:t>. 11th edn. Harlow: Pearson.</w:t>
      </w:r>
    </w:p>
    <w:p w14:paraId="379F84F4" w14:textId="3C749448" w:rsidR="00BE69E1" w:rsidRPr="00BE69E1" w:rsidRDefault="00597CDA" w:rsidP="00BE69E1">
      <w:r>
        <w:t xml:space="preserve">13. </w:t>
      </w:r>
      <w:r w:rsidR="00BE69E1" w:rsidRPr="00BE69E1">
        <w:t xml:space="preserve">Mendelow, A.L. (1991) ‘Environmental scanning’, </w:t>
      </w:r>
      <w:r w:rsidR="00BE69E1" w:rsidRPr="00BE69E1">
        <w:rPr>
          <w:i/>
          <w:iCs/>
        </w:rPr>
        <w:t>International Conference on Information Systems</w:t>
      </w:r>
      <w:r w:rsidR="00BE69E1" w:rsidRPr="00BE69E1">
        <w:t>.</w:t>
      </w:r>
    </w:p>
    <w:p w14:paraId="7DBC5D5A" w14:textId="254A42D8" w:rsidR="00BE69E1" w:rsidRPr="00BE69E1" w:rsidRDefault="00597CDA" w:rsidP="00BE69E1">
      <w:r>
        <w:t xml:space="preserve">14. </w:t>
      </w:r>
      <w:r w:rsidR="00BE69E1" w:rsidRPr="00BE69E1">
        <w:t xml:space="preserve">Mitchell, R.K., Agle, B.R. and Wood, D.J. (1997) ‘Stakeholder identification’, </w:t>
      </w:r>
      <w:r w:rsidR="00BE69E1" w:rsidRPr="00BE69E1">
        <w:rPr>
          <w:i/>
          <w:iCs/>
        </w:rPr>
        <w:t>Academy of Management Review</w:t>
      </w:r>
      <w:r w:rsidR="00BE69E1" w:rsidRPr="00BE69E1">
        <w:t>, 22(4), pp. 853–886.</w:t>
      </w:r>
    </w:p>
    <w:p w14:paraId="3E56484C" w14:textId="45B4FDB5" w:rsidR="00BE69E1" w:rsidRPr="00BE69E1" w:rsidRDefault="00597CDA" w:rsidP="00BE69E1">
      <w:r>
        <w:t xml:space="preserve">15. </w:t>
      </w:r>
      <w:r w:rsidR="00BE69E1" w:rsidRPr="00BE69E1">
        <w:t xml:space="preserve">Olson, M. (1965) </w:t>
      </w:r>
      <w:r w:rsidR="00BE69E1" w:rsidRPr="00BE69E1">
        <w:rPr>
          <w:i/>
          <w:iCs/>
        </w:rPr>
        <w:t>The Logic of Collective Action</w:t>
      </w:r>
      <w:r w:rsidR="00BE69E1" w:rsidRPr="00BE69E1">
        <w:t>. Cambridge, MA: Harvard University Press.</w:t>
      </w:r>
    </w:p>
    <w:p w14:paraId="0F20562B" w14:textId="2DA59781" w:rsidR="00BE69E1" w:rsidRPr="00BE69E1" w:rsidRDefault="00597CDA" w:rsidP="00BE69E1">
      <w:r>
        <w:t xml:space="preserve">16. </w:t>
      </w:r>
      <w:r w:rsidR="00BE69E1" w:rsidRPr="00BE69E1">
        <w:t xml:space="preserve">Pedrini, M. and Ferri, L.M. (2019) ‘Stakeholder management’, </w:t>
      </w:r>
      <w:r w:rsidR="00BE69E1" w:rsidRPr="00BE69E1">
        <w:rPr>
          <w:i/>
          <w:iCs/>
        </w:rPr>
        <w:t>Corporate Governance</w:t>
      </w:r>
      <w:r w:rsidR="00BE69E1" w:rsidRPr="00BE69E1">
        <w:t>, 19(1), pp. 44–59.</w:t>
      </w:r>
    </w:p>
    <w:p w14:paraId="669658D4" w14:textId="0F3B62E3" w:rsidR="00BE69E1" w:rsidRPr="00BE69E1" w:rsidRDefault="00597CDA" w:rsidP="00BE69E1">
      <w:r>
        <w:t xml:space="preserve">17. </w:t>
      </w:r>
      <w:r w:rsidR="00BE69E1" w:rsidRPr="00BE69E1">
        <w:t xml:space="preserve">Phillips, R. (2003) </w:t>
      </w:r>
      <w:r w:rsidR="00BE69E1" w:rsidRPr="00BE69E1">
        <w:rPr>
          <w:i/>
          <w:iCs/>
        </w:rPr>
        <w:t>Stakeholder Theory and Organizational Ethics</w:t>
      </w:r>
      <w:r w:rsidR="00BE69E1" w:rsidRPr="00BE69E1">
        <w:t>. San Francisco: Berrett-Koehler.</w:t>
      </w:r>
    </w:p>
    <w:p w14:paraId="30DAB979" w14:textId="2E79EA8B" w:rsidR="00BE69E1" w:rsidRPr="00BE69E1" w:rsidRDefault="00597CDA" w:rsidP="00BE69E1">
      <w:r>
        <w:lastRenderedPageBreak/>
        <w:t xml:space="preserve">18. </w:t>
      </w:r>
      <w:r w:rsidR="00BE69E1" w:rsidRPr="00BE69E1">
        <w:t xml:space="preserve">PMI (2021) </w:t>
      </w:r>
      <w:r w:rsidR="00BE69E1" w:rsidRPr="00BE69E1">
        <w:rPr>
          <w:i/>
          <w:iCs/>
        </w:rPr>
        <w:t>PMBOK Guide</w:t>
      </w:r>
      <w:r w:rsidR="00BE69E1" w:rsidRPr="00BE69E1">
        <w:t>. 7th edn. PMI.</w:t>
      </w:r>
    </w:p>
    <w:p w14:paraId="520A257B" w14:textId="4AABC015" w:rsidR="00BE69E1" w:rsidRPr="00BE69E1" w:rsidRDefault="00597CDA" w:rsidP="00BE69E1">
      <w:r>
        <w:t xml:space="preserve">19. </w:t>
      </w:r>
      <w:r w:rsidR="00BE69E1" w:rsidRPr="00BE69E1">
        <w:t xml:space="preserve">United Nations (2023) </w:t>
      </w:r>
      <w:r w:rsidR="00BE69E1" w:rsidRPr="00BE69E1">
        <w:rPr>
          <w:i/>
          <w:iCs/>
        </w:rPr>
        <w:t>The Sustainable Development Goals Report 2023</w:t>
      </w:r>
      <w:r w:rsidR="00BE69E1" w:rsidRPr="00BE69E1">
        <w:t>. New York: UN.</w:t>
      </w:r>
    </w:p>
    <w:p w14:paraId="6A4CC74F" w14:textId="22CAE99C" w:rsidR="00BE69E1" w:rsidRPr="00BE69E1" w:rsidRDefault="00597CDA" w:rsidP="00BE69E1">
      <w:r>
        <w:t xml:space="preserve">20. </w:t>
      </w:r>
      <w:r w:rsidR="00BE69E1" w:rsidRPr="00BE69E1">
        <w:t xml:space="preserve">WCED (1987) </w:t>
      </w:r>
      <w:r w:rsidR="00BE69E1" w:rsidRPr="00BE69E1">
        <w:rPr>
          <w:i/>
          <w:iCs/>
        </w:rPr>
        <w:t>Our Common Future</w:t>
      </w:r>
      <w:r w:rsidR="00BE69E1" w:rsidRPr="00BE69E1">
        <w:t>. Oxford: OUP.</w:t>
      </w:r>
    </w:p>
    <w:p w14:paraId="473634EB" w14:textId="30955602" w:rsidR="00BE69E1" w:rsidRPr="00BE69E1" w:rsidRDefault="00BE69E1" w:rsidP="00BE69E1"/>
    <w:p w14:paraId="2F8886A1" w14:textId="77777777" w:rsidR="00BE69E1" w:rsidRDefault="00BE69E1"/>
    <w:sectPr w:rsidR="00BE69E1" w:rsidSect="00597CD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E4013" w14:textId="77777777" w:rsidR="007632CC" w:rsidRDefault="007632CC" w:rsidP="004F26F4">
      <w:pPr>
        <w:spacing w:after="0" w:line="240" w:lineRule="auto"/>
      </w:pPr>
      <w:r>
        <w:separator/>
      </w:r>
    </w:p>
  </w:endnote>
  <w:endnote w:type="continuationSeparator" w:id="0">
    <w:p w14:paraId="6014BA54" w14:textId="77777777" w:rsidR="007632CC" w:rsidRDefault="007632CC" w:rsidP="004F2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016D6" w14:textId="77777777" w:rsidR="004F26F4" w:rsidRDefault="004F26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E95EC" w14:textId="1C5AE4C7" w:rsidR="004F26F4" w:rsidRDefault="004F26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78FE2" w14:textId="77777777" w:rsidR="004F26F4" w:rsidRDefault="004F26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0E392" w14:textId="77777777" w:rsidR="007632CC" w:rsidRDefault="007632CC" w:rsidP="004F26F4">
      <w:pPr>
        <w:spacing w:after="0" w:line="240" w:lineRule="auto"/>
      </w:pPr>
      <w:r>
        <w:separator/>
      </w:r>
    </w:p>
  </w:footnote>
  <w:footnote w:type="continuationSeparator" w:id="0">
    <w:p w14:paraId="3663904B" w14:textId="77777777" w:rsidR="007632CC" w:rsidRDefault="007632CC" w:rsidP="004F26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F85E5" w14:textId="77777777" w:rsidR="004F26F4" w:rsidRDefault="004F26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741E25" w14:textId="77777777" w:rsidR="004F26F4" w:rsidRDefault="004F26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24226" w14:textId="77777777" w:rsidR="004F26F4" w:rsidRDefault="004F26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30C0F"/>
    <w:multiLevelType w:val="multilevel"/>
    <w:tmpl w:val="75EC7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E617D"/>
    <w:multiLevelType w:val="multilevel"/>
    <w:tmpl w:val="6F20A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42B33"/>
    <w:multiLevelType w:val="multilevel"/>
    <w:tmpl w:val="EA485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B84357"/>
    <w:multiLevelType w:val="multilevel"/>
    <w:tmpl w:val="20A22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C62DD7"/>
    <w:multiLevelType w:val="multilevel"/>
    <w:tmpl w:val="A6963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325460"/>
    <w:multiLevelType w:val="multilevel"/>
    <w:tmpl w:val="5BCAB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665D27"/>
    <w:multiLevelType w:val="multilevel"/>
    <w:tmpl w:val="D5546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354EB1"/>
    <w:multiLevelType w:val="multilevel"/>
    <w:tmpl w:val="2116C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425D9D"/>
    <w:multiLevelType w:val="multilevel"/>
    <w:tmpl w:val="32EE2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6A025E"/>
    <w:multiLevelType w:val="multilevel"/>
    <w:tmpl w:val="F4F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F86451"/>
    <w:multiLevelType w:val="multilevel"/>
    <w:tmpl w:val="7FD81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563B77"/>
    <w:multiLevelType w:val="multilevel"/>
    <w:tmpl w:val="05D40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2123B2"/>
    <w:multiLevelType w:val="multilevel"/>
    <w:tmpl w:val="3A5C6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2E6009"/>
    <w:multiLevelType w:val="multilevel"/>
    <w:tmpl w:val="13528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B409D1"/>
    <w:multiLevelType w:val="multilevel"/>
    <w:tmpl w:val="87345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F83A90"/>
    <w:multiLevelType w:val="multilevel"/>
    <w:tmpl w:val="CB32D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2C4765"/>
    <w:multiLevelType w:val="multilevel"/>
    <w:tmpl w:val="7E868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D23B41"/>
    <w:multiLevelType w:val="multilevel"/>
    <w:tmpl w:val="E21AB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771059">
    <w:abstractNumId w:val="0"/>
  </w:num>
  <w:num w:numId="2" w16cid:durableId="169299272">
    <w:abstractNumId w:val="1"/>
  </w:num>
  <w:num w:numId="3" w16cid:durableId="1049458336">
    <w:abstractNumId w:val="2"/>
  </w:num>
  <w:num w:numId="4" w16cid:durableId="376441821">
    <w:abstractNumId w:val="4"/>
  </w:num>
  <w:num w:numId="5" w16cid:durableId="761292506">
    <w:abstractNumId w:val="11"/>
  </w:num>
  <w:num w:numId="6" w16cid:durableId="466122240">
    <w:abstractNumId w:val="15"/>
  </w:num>
  <w:num w:numId="7" w16cid:durableId="1891070915">
    <w:abstractNumId w:val="7"/>
  </w:num>
  <w:num w:numId="8" w16cid:durableId="2127574421">
    <w:abstractNumId w:val="10"/>
  </w:num>
  <w:num w:numId="9" w16cid:durableId="1307779076">
    <w:abstractNumId w:val="13"/>
  </w:num>
  <w:num w:numId="10" w16cid:durableId="1841235211">
    <w:abstractNumId w:val="9"/>
  </w:num>
  <w:num w:numId="11" w16cid:durableId="575167321">
    <w:abstractNumId w:val="6"/>
  </w:num>
  <w:num w:numId="12" w16cid:durableId="1778678911">
    <w:abstractNumId w:val="5"/>
  </w:num>
  <w:num w:numId="13" w16cid:durableId="1766657558">
    <w:abstractNumId w:val="16"/>
  </w:num>
  <w:num w:numId="14" w16cid:durableId="370156705">
    <w:abstractNumId w:val="3"/>
  </w:num>
  <w:num w:numId="15" w16cid:durableId="755709029">
    <w:abstractNumId w:val="14"/>
  </w:num>
  <w:num w:numId="16" w16cid:durableId="572542710">
    <w:abstractNumId w:val="8"/>
  </w:num>
  <w:num w:numId="17" w16cid:durableId="1789086409">
    <w:abstractNumId w:val="17"/>
  </w:num>
  <w:num w:numId="18" w16cid:durableId="3475675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9E1"/>
    <w:rsid w:val="0004141A"/>
    <w:rsid w:val="00133D9F"/>
    <w:rsid w:val="00206331"/>
    <w:rsid w:val="003A7254"/>
    <w:rsid w:val="00476CA6"/>
    <w:rsid w:val="004919FC"/>
    <w:rsid w:val="004F26F4"/>
    <w:rsid w:val="00597CDA"/>
    <w:rsid w:val="005D2361"/>
    <w:rsid w:val="005F2C43"/>
    <w:rsid w:val="006066C9"/>
    <w:rsid w:val="00680A0B"/>
    <w:rsid w:val="007632CC"/>
    <w:rsid w:val="0077518C"/>
    <w:rsid w:val="00791BE3"/>
    <w:rsid w:val="007E7327"/>
    <w:rsid w:val="00874632"/>
    <w:rsid w:val="00887A81"/>
    <w:rsid w:val="00907740"/>
    <w:rsid w:val="0098673C"/>
    <w:rsid w:val="009960AF"/>
    <w:rsid w:val="009D4380"/>
    <w:rsid w:val="00AE10F3"/>
    <w:rsid w:val="00BD33C4"/>
    <w:rsid w:val="00BE69E1"/>
    <w:rsid w:val="00C92BD5"/>
    <w:rsid w:val="00C94ADE"/>
    <w:rsid w:val="00CD6E37"/>
    <w:rsid w:val="00D2065B"/>
    <w:rsid w:val="00D233AD"/>
    <w:rsid w:val="00D27F97"/>
    <w:rsid w:val="00DB1219"/>
    <w:rsid w:val="00DF372F"/>
    <w:rsid w:val="00E13D27"/>
    <w:rsid w:val="00E62AC4"/>
    <w:rsid w:val="00ED62D7"/>
    <w:rsid w:val="00FA06E6"/>
    <w:rsid w:val="00FB47A5"/>
    <w:rsid w:val="00FC7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29028"/>
  <w15:chartTrackingRefBased/>
  <w15:docId w15:val="{33398485-6438-4D49-98C9-8E2C2BBF3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9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69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9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9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9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9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9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9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9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9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69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9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9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9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9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9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9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9E1"/>
    <w:rPr>
      <w:rFonts w:eastAsiaTheme="majorEastAsia" w:cstheme="majorBidi"/>
      <w:color w:val="272727" w:themeColor="text1" w:themeTint="D8"/>
    </w:rPr>
  </w:style>
  <w:style w:type="paragraph" w:styleId="Title">
    <w:name w:val="Title"/>
    <w:basedOn w:val="Normal"/>
    <w:next w:val="Normal"/>
    <w:link w:val="TitleChar"/>
    <w:uiPriority w:val="10"/>
    <w:qFormat/>
    <w:rsid w:val="00BE69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9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9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9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9E1"/>
    <w:pPr>
      <w:spacing w:before="160"/>
      <w:jc w:val="center"/>
    </w:pPr>
    <w:rPr>
      <w:i/>
      <w:iCs/>
      <w:color w:val="404040" w:themeColor="text1" w:themeTint="BF"/>
    </w:rPr>
  </w:style>
  <w:style w:type="character" w:customStyle="1" w:styleId="QuoteChar">
    <w:name w:val="Quote Char"/>
    <w:basedOn w:val="DefaultParagraphFont"/>
    <w:link w:val="Quote"/>
    <w:uiPriority w:val="29"/>
    <w:rsid w:val="00BE69E1"/>
    <w:rPr>
      <w:i/>
      <w:iCs/>
      <w:color w:val="404040" w:themeColor="text1" w:themeTint="BF"/>
    </w:rPr>
  </w:style>
  <w:style w:type="paragraph" w:styleId="ListParagraph">
    <w:name w:val="List Paragraph"/>
    <w:basedOn w:val="Normal"/>
    <w:uiPriority w:val="34"/>
    <w:qFormat/>
    <w:rsid w:val="00BE69E1"/>
    <w:pPr>
      <w:ind w:left="720"/>
      <w:contextualSpacing/>
    </w:pPr>
  </w:style>
  <w:style w:type="character" w:styleId="IntenseEmphasis">
    <w:name w:val="Intense Emphasis"/>
    <w:basedOn w:val="DefaultParagraphFont"/>
    <w:uiPriority w:val="21"/>
    <w:qFormat/>
    <w:rsid w:val="00BE69E1"/>
    <w:rPr>
      <w:i/>
      <w:iCs/>
      <w:color w:val="0F4761" w:themeColor="accent1" w:themeShade="BF"/>
    </w:rPr>
  </w:style>
  <w:style w:type="paragraph" w:styleId="IntenseQuote">
    <w:name w:val="Intense Quote"/>
    <w:basedOn w:val="Normal"/>
    <w:next w:val="Normal"/>
    <w:link w:val="IntenseQuoteChar"/>
    <w:uiPriority w:val="30"/>
    <w:qFormat/>
    <w:rsid w:val="00BE69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9E1"/>
    <w:rPr>
      <w:i/>
      <w:iCs/>
      <w:color w:val="0F4761" w:themeColor="accent1" w:themeShade="BF"/>
    </w:rPr>
  </w:style>
  <w:style w:type="character" w:styleId="IntenseReference">
    <w:name w:val="Intense Reference"/>
    <w:basedOn w:val="DefaultParagraphFont"/>
    <w:uiPriority w:val="32"/>
    <w:qFormat/>
    <w:rsid w:val="00BE69E1"/>
    <w:rPr>
      <w:b/>
      <w:bCs/>
      <w:smallCaps/>
      <w:color w:val="0F4761" w:themeColor="accent1" w:themeShade="BF"/>
      <w:spacing w:val="5"/>
    </w:rPr>
  </w:style>
  <w:style w:type="paragraph" w:styleId="NoSpacing">
    <w:name w:val="No Spacing"/>
    <w:link w:val="NoSpacingChar"/>
    <w:uiPriority w:val="1"/>
    <w:qFormat/>
    <w:rsid w:val="00BE69E1"/>
    <w:pPr>
      <w:spacing w:after="0" w:line="240" w:lineRule="auto"/>
    </w:pPr>
  </w:style>
  <w:style w:type="character" w:customStyle="1" w:styleId="NoSpacingChar">
    <w:name w:val="No Spacing Char"/>
    <w:basedOn w:val="DefaultParagraphFont"/>
    <w:link w:val="NoSpacing"/>
    <w:uiPriority w:val="1"/>
    <w:rsid w:val="00597CDA"/>
  </w:style>
  <w:style w:type="paragraph" w:styleId="Header">
    <w:name w:val="header"/>
    <w:basedOn w:val="Normal"/>
    <w:link w:val="HeaderChar"/>
    <w:uiPriority w:val="99"/>
    <w:unhideWhenUsed/>
    <w:rsid w:val="004F2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6F4"/>
  </w:style>
  <w:style w:type="paragraph" w:styleId="Footer">
    <w:name w:val="footer"/>
    <w:basedOn w:val="Normal"/>
    <w:link w:val="FooterChar"/>
    <w:uiPriority w:val="99"/>
    <w:unhideWhenUsed/>
    <w:rsid w:val="004F2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6F4"/>
  </w:style>
  <w:style w:type="paragraph" w:styleId="TOCHeading">
    <w:name w:val="TOC Heading"/>
    <w:basedOn w:val="Heading1"/>
    <w:next w:val="Normal"/>
    <w:uiPriority w:val="39"/>
    <w:unhideWhenUsed/>
    <w:qFormat/>
    <w:rsid w:val="004F26F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26F4"/>
    <w:pPr>
      <w:spacing w:after="100"/>
    </w:pPr>
  </w:style>
  <w:style w:type="paragraph" w:styleId="TOC2">
    <w:name w:val="toc 2"/>
    <w:basedOn w:val="Normal"/>
    <w:next w:val="Normal"/>
    <w:autoRedefine/>
    <w:uiPriority w:val="39"/>
    <w:unhideWhenUsed/>
    <w:rsid w:val="004F26F4"/>
    <w:pPr>
      <w:spacing w:after="100"/>
      <w:ind w:left="240"/>
    </w:pPr>
  </w:style>
  <w:style w:type="character" w:styleId="Hyperlink">
    <w:name w:val="Hyperlink"/>
    <w:basedOn w:val="DefaultParagraphFont"/>
    <w:uiPriority w:val="99"/>
    <w:unhideWhenUsed/>
    <w:rsid w:val="004F26F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03BF6-5ECD-40BE-A737-D1CB3A441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14</Pages>
  <Words>3425</Words>
  <Characters>19529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Stakeholder Management Analysis-PoRTfolio</Company>
  <LinksUpToDate>false</LinksUpToDate>
  <CharactersWithSpaces>22909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Community Litter Reduction Initiative – Tamworth, UK</dc:title>
  <dc:subject/>
  <dc:creator>Ilie Tundrea- 2321473</dc:creator>
  <cp:keywords/>
  <dc:description/>
  <cp:lastModifiedBy>gabriela tundrea</cp:lastModifiedBy>
  <cp:revision>25</cp:revision>
  <dcterms:created xsi:type="dcterms:W3CDTF">2026-02-26T20:18:00Z</dcterms:created>
  <dcterms:modified xsi:type="dcterms:W3CDTF">2026-03-19T22:06:00Z</dcterms:modified>
</cp:coreProperties>
</file>