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6FEEBA" w14:textId="77777777" w:rsidR="00670B84" w:rsidRPr="00997D31" w:rsidRDefault="00670B84">
      <w:pPr>
        <w:rPr>
          <w:rFonts w:ascii="Arial Nova" w:hAnsi="Arial Nova"/>
          <w:sz w:val="44"/>
          <w:szCs w:val="44"/>
        </w:rPr>
      </w:pPr>
    </w:p>
    <w:p w14:paraId="485D8239" w14:textId="32C678E1" w:rsidR="00997D31" w:rsidRPr="00997D31" w:rsidRDefault="00997D31">
      <w:pPr>
        <w:rPr>
          <w:rFonts w:ascii="Arial Nova" w:hAnsi="Arial Nova"/>
          <w:sz w:val="44"/>
          <w:szCs w:val="44"/>
        </w:rPr>
      </w:pPr>
      <w:r w:rsidRPr="00997D31">
        <w:rPr>
          <w:rFonts w:ascii="Arial Nova" w:hAnsi="Arial Nova"/>
          <w:sz w:val="44"/>
          <w:szCs w:val="44"/>
        </w:rPr>
        <w:t>Student Name – Dennis Brown</w:t>
      </w:r>
    </w:p>
    <w:p w14:paraId="12474F07" w14:textId="45D0075C" w:rsidR="00997D31" w:rsidRPr="00997D31" w:rsidRDefault="00997D31">
      <w:pPr>
        <w:rPr>
          <w:rFonts w:ascii="Arial Nova" w:hAnsi="Arial Nova"/>
          <w:sz w:val="44"/>
          <w:szCs w:val="44"/>
        </w:rPr>
      </w:pPr>
      <w:r w:rsidRPr="00997D31">
        <w:rPr>
          <w:rFonts w:ascii="Arial Nova" w:hAnsi="Arial Nova"/>
          <w:sz w:val="44"/>
          <w:szCs w:val="44"/>
        </w:rPr>
        <w:t>Student Number – 2026661</w:t>
      </w:r>
    </w:p>
    <w:p w14:paraId="7BC727BF" w14:textId="6D565892" w:rsidR="00997D31" w:rsidRPr="00997D31" w:rsidRDefault="00997D31">
      <w:pPr>
        <w:rPr>
          <w:rFonts w:ascii="Arial Nova" w:hAnsi="Arial Nova"/>
          <w:sz w:val="44"/>
          <w:szCs w:val="44"/>
        </w:rPr>
      </w:pPr>
      <w:r w:rsidRPr="00997D31">
        <w:rPr>
          <w:rFonts w:ascii="Arial Nova" w:hAnsi="Arial Nova"/>
          <w:sz w:val="44"/>
          <w:szCs w:val="44"/>
        </w:rPr>
        <w:t xml:space="preserve">Module Name – Understanding and Engaging Stakeholders </w:t>
      </w:r>
    </w:p>
    <w:p w14:paraId="4B8354FA" w14:textId="23F8EDCF" w:rsidR="00997D31" w:rsidRPr="00997D31" w:rsidRDefault="00997D31">
      <w:pPr>
        <w:rPr>
          <w:rFonts w:ascii="Arial Nova" w:hAnsi="Arial Nova"/>
          <w:sz w:val="44"/>
          <w:szCs w:val="44"/>
        </w:rPr>
      </w:pPr>
      <w:r w:rsidRPr="00997D31">
        <w:rPr>
          <w:rFonts w:ascii="Arial Nova" w:hAnsi="Arial Nova"/>
          <w:sz w:val="44"/>
          <w:szCs w:val="44"/>
        </w:rPr>
        <w:t xml:space="preserve">Module Number – LCLM5001 </w:t>
      </w:r>
    </w:p>
    <w:p w14:paraId="0439C9A5" w14:textId="4F23355D" w:rsidR="00997D31" w:rsidRDefault="00997D31">
      <w:pPr>
        <w:rPr>
          <w:rFonts w:ascii="Arial Nova" w:hAnsi="Arial Nova"/>
          <w:sz w:val="44"/>
          <w:szCs w:val="44"/>
        </w:rPr>
      </w:pPr>
      <w:r w:rsidRPr="00997D31">
        <w:rPr>
          <w:rFonts w:ascii="Arial Nova" w:hAnsi="Arial Nova"/>
          <w:sz w:val="44"/>
          <w:szCs w:val="44"/>
        </w:rPr>
        <w:t xml:space="preserve">Lecturers Name – Aso Abdullah </w:t>
      </w:r>
    </w:p>
    <w:p w14:paraId="3E85A627" w14:textId="3D53D887" w:rsidR="00997D31" w:rsidRDefault="00997D31">
      <w:pPr>
        <w:rPr>
          <w:rFonts w:ascii="Arial Nova" w:hAnsi="Arial Nova"/>
          <w:sz w:val="44"/>
          <w:szCs w:val="44"/>
        </w:rPr>
      </w:pPr>
    </w:p>
    <w:p w14:paraId="5211F1CC" w14:textId="77777777" w:rsidR="00997D31" w:rsidRDefault="00997D31">
      <w:pPr>
        <w:rPr>
          <w:rFonts w:ascii="Arial Nova" w:hAnsi="Arial Nova"/>
          <w:sz w:val="44"/>
          <w:szCs w:val="44"/>
        </w:rPr>
      </w:pPr>
    </w:p>
    <w:p w14:paraId="6A71CD39" w14:textId="77777777" w:rsidR="00997D31" w:rsidRDefault="00997D31">
      <w:pPr>
        <w:rPr>
          <w:rFonts w:ascii="Arial Nova" w:hAnsi="Arial Nova"/>
          <w:sz w:val="44"/>
          <w:szCs w:val="44"/>
        </w:rPr>
      </w:pPr>
    </w:p>
    <w:p w14:paraId="2BC23AE4" w14:textId="77777777" w:rsidR="00997D31" w:rsidRDefault="00997D31">
      <w:pPr>
        <w:rPr>
          <w:rFonts w:ascii="Arial Nova" w:hAnsi="Arial Nova"/>
          <w:sz w:val="44"/>
          <w:szCs w:val="44"/>
        </w:rPr>
      </w:pPr>
    </w:p>
    <w:p w14:paraId="7B55791A" w14:textId="77777777" w:rsidR="00997D31" w:rsidRDefault="00997D31">
      <w:pPr>
        <w:rPr>
          <w:rFonts w:ascii="Arial Nova" w:hAnsi="Arial Nova"/>
          <w:sz w:val="44"/>
          <w:szCs w:val="44"/>
        </w:rPr>
      </w:pPr>
    </w:p>
    <w:p w14:paraId="281FB66B" w14:textId="77777777" w:rsidR="00997D31" w:rsidRDefault="00997D31">
      <w:pPr>
        <w:rPr>
          <w:rFonts w:ascii="Arial Nova" w:hAnsi="Arial Nova"/>
          <w:sz w:val="44"/>
          <w:szCs w:val="44"/>
        </w:rPr>
      </w:pPr>
    </w:p>
    <w:p w14:paraId="6F261DF0" w14:textId="77777777" w:rsidR="00997D31" w:rsidRDefault="00997D31">
      <w:pPr>
        <w:rPr>
          <w:rFonts w:ascii="Arial Nova" w:hAnsi="Arial Nova"/>
          <w:sz w:val="44"/>
          <w:szCs w:val="44"/>
        </w:rPr>
      </w:pPr>
    </w:p>
    <w:p w14:paraId="4A0B037D" w14:textId="77777777" w:rsidR="00997D31" w:rsidRDefault="00997D31">
      <w:pPr>
        <w:rPr>
          <w:rFonts w:ascii="Arial Nova" w:hAnsi="Arial Nova"/>
          <w:sz w:val="44"/>
          <w:szCs w:val="44"/>
        </w:rPr>
      </w:pPr>
    </w:p>
    <w:p w14:paraId="26F9FFE1" w14:textId="77777777" w:rsidR="00997D31" w:rsidRDefault="00997D31">
      <w:pPr>
        <w:rPr>
          <w:rFonts w:ascii="Arial Nova" w:hAnsi="Arial Nova"/>
          <w:sz w:val="44"/>
          <w:szCs w:val="44"/>
        </w:rPr>
      </w:pPr>
    </w:p>
    <w:p w14:paraId="4FF7D0C2" w14:textId="77777777" w:rsidR="00997D31" w:rsidRDefault="00997D31">
      <w:pPr>
        <w:rPr>
          <w:rFonts w:ascii="Arial Nova" w:hAnsi="Arial Nova"/>
          <w:sz w:val="44"/>
          <w:szCs w:val="44"/>
        </w:rPr>
      </w:pPr>
    </w:p>
    <w:p w14:paraId="20CB9D9C" w14:textId="77777777" w:rsidR="00997D31" w:rsidRDefault="00997D31">
      <w:pPr>
        <w:rPr>
          <w:rFonts w:ascii="Arial Nova" w:hAnsi="Arial Nova"/>
          <w:sz w:val="44"/>
          <w:szCs w:val="44"/>
        </w:rPr>
      </w:pPr>
    </w:p>
    <w:p w14:paraId="2517609F" w14:textId="77777777" w:rsidR="000D467F" w:rsidRDefault="000D467F">
      <w:pPr>
        <w:rPr>
          <w:rFonts w:ascii="Arial Nova" w:hAnsi="Arial Nova"/>
          <w:sz w:val="32"/>
          <w:szCs w:val="32"/>
        </w:rPr>
      </w:pPr>
    </w:p>
    <w:p w14:paraId="5B0DE6AB" w14:textId="59DF1E1D" w:rsidR="00997D31" w:rsidRDefault="000D467F">
      <w:pPr>
        <w:rPr>
          <w:rFonts w:ascii="Arial Nova" w:hAnsi="Arial Nova"/>
          <w:sz w:val="32"/>
          <w:szCs w:val="32"/>
        </w:rPr>
      </w:pPr>
      <w:r>
        <w:rPr>
          <w:rFonts w:ascii="Arial Nova" w:hAnsi="Arial Nova"/>
          <w:sz w:val="32"/>
          <w:szCs w:val="32"/>
        </w:rPr>
        <w:t xml:space="preserve">    </w:t>
      </w:r>
      <w:r w:rsidR="00997D31" w:rsidRPr="00997D31">
        <w:rPr>
          <w:rFonts w:ascii="Arial Nova" w:hAnsi="Arial Nova"/>
          <w:sz w:val="32"/>
          <w:szCs w:val="32"/>
        </w:rPr>
        <w:t>Table on Contents</w:t>
      </w:r>
    </w:p>
    <w:p w14:paraId="0ADB53B0" w14:textId="77777777" w:rsidR="000D467F" w:rsidRDefault="000D467F">
      <w:pPr>
        <w:rPr>
          <w:rFonts w:ascii="Arial Nova" w:hAnsi="Arial Nova"/>
          <w:sz w:val="32"/>
          <w:szCs w:val="32"/>
        </w:rPr>
      </w:pPr>
    </w:p>
    <w:p w14:paraId="03615E0B" w14:textId="4D97ABD3" w:rsidR="00513057" w:rsidRPr="00513057" w:rsidRDefault="00997D31" w:rsidP="00513057">
      <w:pPr>
        <w:pStyle w:val="ListParagraph"/>
        <w:numPr>
          <w:ilvl w:val="0"/>
          <w:numId w:val="3"/>
        </w:numPr>
        <w:rPr>
          <w:rFonts w:ascii="Arial Nova" w:hAnsi="Arial Nova"/>
          <w:sz w:val="32"/>
          <w:szCs w:val="32"/>
        </w:rPr>
      </w:pPr>
      <w:r>
        <w:rPr>
          <w:rFonts w:ascii="Arial Nova" w:hAnsi="Arial Nova"/>
          <w:sz w:val="32"/>
          <w:szCs w:val="32"/>
        </w:rPr>
        <w:t xml:space="preserve">Front cover </w:t>
      </w:r>
    </w:p>
    <w:p w14:paraId="2323DA53" w14:textId="129B8533" w:rsidR="00997D31" w:rsidRDefault="00997D31" w:rsidP="00997D31">
      <w:pPr>
        <w:pStyle w:val="ListParagraph"/>
        <w:numPr>
          <w:ilvl w:val="0"/>
          <w:numId w:val="3"/>
        </w:numPr>
        <w:rPr>
          <w:rFonts w:ascii="Arial Nova" w:hAnsi="Arial Nova"/>
          <w:sz w:val="32"/>
          <w:szCs w:val="32"/>
        </w:rPr>
      </w:pPr>
      <w:r>
        <w:rPr>
          <w:rFonts w:ascii="Arial Nova" w:hAnsi="Arial Nova"/>
          <w:sz w:val="32"/>
          <w:szCs w:val="32"/>
        </w:rPr>
        <w:t xml:space="preserve">Table of contents </w:t>
      </w:r>
    </w:p>
    <w:p w14:paraId="222EAD1D" w14:textId="7D3DED76" w:rsidR="00997D31" w:rsidRDefault="00997D31" w:rsidP="00997D31">
      <w:pPr>
        <w:pStyle w:val="ListParagraph"/>
        <w:numPr>
          <w:ilvl w:val="0"/>
          <w:numId w:val="3"/>
        </w:numPr>
        <w:rPr>
          <w:rFonts w:ascii="Arial Nova" w:hAnsi="Arial Nova"/>
          <w:sz w:val="32"/>
          <w:szCs w:val="32"/>
        </w:rPr>
      </w:pPr>
      <w:r>
        <w:rPr>
          <w:rFonts w:ascii="Arial Nova" w:hAnsi="Arial Nova"/>
          <w:sz w:val="32"/>
          <w:szCs w:val="32"/>
        </w:rPr>
        <w:t xml:space="preserve">Introduction </w:t>
      </w:r>
    </w:p>
    <w:p w14:paraId="5B25A577" w14:textId="339C614D" w:rsidR="008D30E1" w:rsidRDefault="000D467F" w:rsidP="00997D31">
      <w:pPr>
        <w:pStyle w:val="ListParagraph"/>
        <w:numPr>
          <w:ilvl w:val="0"/>
          <w:numId w:val="3"/>
        </w:numPr>
        <w:rPr>
          <w:rFonts w:ascii="Arial Nova" w:hAnsi="Arial Nova"/>
          <w:sz w:val="32"/>
          <w:szCs w:val="32"/>
        </w:rPr>
      </w:pPr>
      <w:r>
        <w:rPr>
          <w:rFonts w:ascii="Arial Nova" w:hAnsi="Arial Nova"/>
          <w:sz w:val="32"/>
          <w:szCs w:val="32"/>
        </w:rPr>
        <w:t xml:space="preserve"> </w:t>
      </w:r>
      <w:r w:rsidR="00513057">
        <w:rPr>
          <w:rFonts w:ascii="Arial Nova" w:hAnsi="Arial Nova"/>
          <w:sz w:val="32"/>
          <w:szCs w:val="32"/>
        </w:rPr>
        <w:t>Summary</w:t>
      </w:r>
    </w:p>
    <w:p w14:paraId="6A081E44" w14:textId="4EA79E62" w:rsidR="00513057" w:rsidRPr="00997D31" w:rsidRDefault="00513057" w:rsidP="00997D31">
      <w:pPr>
        <w:pStyle w:val="ListParagraph"/>
        <w:numPr>
          <w:ilvl w:val="0"/>
          <w:numId w:val="3"/>
        </w:numPr>
        <w:rPr>
          <w:rFonts w:ascii="Arial Nova" w:hAnsi="Arial Nova"/>
          <w:sz w:val="32"/>
          <w:szCs w:val="32"/>
        </w:rPr>
      </w:pPr>
      <w:r>
        <w:rPr>
          <w:rFonts w:ascii="Arial Nova" w:hAnsi="Arial Nova"/>
          <w:sz w:val="32"/>
          <w:szCs w:val="32"/>
        </w:rPr>
        <w:t xml:space="preserve"> </w:t>
      </w:r>
    </w:p>
    <w:p w14:paraId="06EB347F" w14:textId="77777777" w:rsidR="00997D31" w:rsidRDefault="00997D31">
      <w:pPr>
        <w:rPr>
          <w:rFonts w:ascii="Arial Nova" w:hAnsi="Arial Nova"/>
          <w:sz w:val="44"/>
          <w:szCs w:val="44"/>
        </w:rPr>
      </w:pPr>
    </w:p>
    <w:p w14:paraId="10E574E7" w14:textId="77777777" w:rsidR="008A54B8" w:rsidRDefault="008A54B8">
      <w:pPr>
        <w:rPr>
          <w:rFonts w:ascii="Arial Nova" w:hAnsi="Arial Nova"/>
          <w:sz w:val="44"/>
          <w:szCs w:val="44"/>
        </w:rPr>
      </w:pPr>
    </w:p>
    <w:p w14:paraId="38F8EB89" w14:textId="77777777" w:rsidR="008A54B8" w:rsidRDefault="008A54B8">
      <w:pPr>
        <w:rPr>
          <w:rFonts w:ascii="Arial Nova" w:hAnsi="Arial Nova"/>
          <w:sz w:val="44"/>
          <w:szCs w:val="44"/>
        </w:rPr>
      </w:pPr>
    </w:p>
    <w:p w14:paraId="3F973DFC" w14:textId="77777777" w:rsidR="008A54B8" w:rsidRDefault="008A54B8">
      <w:pPr>
        <w:rPr>
          <w:rFonts w:ascii="Arial Nova" w:hAnsi="Arial Nova"/>
          <w:sz w:val="44"/>
          <w:szCs w:val="44"/>
        </w:rPr>
      </w:pPr>
    </w:p>
    <w:p w14:paraId="169AAC67" w14:textId="77777777" w:rsidR="008A54B8" w:rsidRDefault="008A54B8">
      <w:pPr>
        <w:rPr>
          <w:rFonts w:ascii="Arial Nova" w:hAnsi="Arial Nova"/>
          <w:sz w:val="44"/>
          <w:szCs w:val="44"/>
        </w:rPr>
      </w:pPr>
    </w:p>
    <w:p w14:paraId="65454FD8" w14:textId="77777777" w:rsidR="008A54B8" w:rsidRDefault="008A54B8">
      <w:pPr>
        <w:rPr>
          <w:rFonts w:ascii="Arial Nova" w:hAnsi="Arial Nova"/>
          <w:sz w:val="44"/>
          <w:szCs w:val="44"/>
        </w:rPr>
      </w:pPr>
    </w:p>
    <w:p w14:paraId="551D531F" w14:textId="77777777" w:rsidR="008A54B8" w:rsidRDefault="008A54B8">
      <w:pPr>
        <w:rPr>
          <w:rFonts w:ascii="Arial Nova" w:hAnsi="Arial Nova"/>
          <w:sz w:val="44"/>
          <w:szCs w:val="44"/>
        </w:rPr>
      </w:pPr>
    </w:p>
    <w:p w14:paraId="73F71E0F" w14:textId="77777777" w:rsidR="008A54B8" w:rsidRDefault="008A54B8">
      <w:pPr>
        <w:rPr>
          <w:rFonts w:ascii="Arial Nova" w:hAnsi="Arial Nova"/>
          <w:sz w:val="44"/>
          <w:szCs w:val="44"/>
        </w:rPr>
      </w:pPr>
    </w:p>
    <w:p w14:paraId="109B676C" w14:textId="77777777" w:rsidR="008A54B8" w:rsidRDefault="008A54B8">
      <w:pPr>
        <w:rPr>
          <w:rFonts w:ascii="Arial Nova" w:hAnsi="Arial Nova"/>
          <w:sz w:val="44"/>
          <w:szCs w:val="44"/>
        </w:rPr>
      </w:pPr>
    </w:p>
    <w:p w14:paraId="5CC82AB6" w14:textId="77777777" w:rsidR="008A54B8" w:rsidRDefault="008A54B8">
      <w:pPr>
        <w:rPr>
          <w:rFonts w:ascii="Arial Nova" w:hAnsi="Arial Nova"/>
          <w:sz w:val="44"/>
          <w:szCs w:val="44"/>
        </w:rPr>
      </w:pPr>
    </w:p>
    <w:p w14:paraId="6330A9AF" w14:textId="77777777" w:rsidR="008A54B8" w:rsidRDefault="008A54B8">
      <w:pPr>
        <w:rPr>
          <w:rFonts w:ascii="Arial Nova" w:hAnsi="Arial Nova"/>
          <w:sz w:val="44"/>
          <w:szCs w:val="44"/>
        </w:rPr>
      </w:pPr>
    </w:p>
    <w:p w14:paraId="2BEED71A" w14:textId="77777777" w:rsidR="008A54B8" w:rsidRDefault="008A54B8">
      <w:pPr>
        <w:rPr>
          <w:rFonts w:ascii="Arial Nova" w:hAnsi="Arial Nova"/>
          <w:sz w:val="44"/>
          <w:szCs w:val="44"/>
        </w:rPr>
      </w:pPr>
    </w:p>
    <w:p w14:paraId="25C976B9" w14:textId="1D81A31E" w:rsidR="008A54B8" w:rsidRDefault="002C1411">
      <w:pPr>
        <w:rPr>
          <w:rFonts w:ascii="Arial Nova" w:hAnsi="Arial Nova"/>
          <w:sz w:val="44"/>
          <w:szCs w:val="44"/>
        </w:rPr>
      </w:pPr>
      <w:r>
        <w:rPr>
          <w:rFonts w:ascii="Arial Nova" w:hAnsi="Arial Nova"/>
          <w:sz w:val="44"/>
          <w:szCs w:val="44"/>
        </w:rPr>
        <w:lastRenderedPageBreak/>
        <w:t>Summary</w:t>
      </w:r>
    </w:p>
    <w:p w14:paraId="6E03E0E3" w14:textId="14F98E96" w:rsidR="008A54B8" w:rsidRDefault="008A54B8">
      <w:pPr>
        <w:rPr>
          <w:rFonts w:ascii="Arial Nova" w:hAnsi="Arial Nova"/>
          <w:sz w:val="44"/>
          <w:szCs w:val="44"/>
        </w:rPr>
      </w:pPr>
    </w:p>
    <w:p w14:paraId="14A07CD1" w14:textId="290A4117" w:rsidR="00755C2D" w:rsidRDefault="002C1411">
      <w:pPr>
        <w:rPr>
          <w:rFonts w:ascii="Arial Nova" w:hAnsi="Arial Nova"/>
        </w:rPr>
      </w:pPr>
      <w:r w:rsidRPr="002C1411">
        <w:rPr>
          <w:rFonts w:ascii="Arial Nova" w:hAnsi="Arial Nova"/>
        </w:rPr>
        <w:t xml:space="preserve">For the introduction of </w:t>
      </w:r>
      <w:r w:rsidRPr="002C1411">
        <w:rPr>
          <w:rFonts w:ascii="Arial Nova" w:hAnsi="Arial Nova"/>
        </w:rPr>
        <w:t>Connect Plus</w:t>
      </w:r>
      <w:r w:rsidRPr="002C1411">
        <w:rPr>
          <w:rFonts w:ascii="Arial Nova" w:hAnsi="Arial Nova"/>
        </w:rPr>
        <w:t>, a new AI-powered customer loyalty and engagement platform at Amazon, this research critically assesses stakeholder identification, analysis, engagement, and management tactics. The platform seeks to boost Amazon's competitiveness in global markets, enhance customer retention, and tailor client experiences. Effective stakeholder engagement is crucial for the project's successful implementation because it involves customers, employees, regulators, suppliers, investors, and foreign partners.</w:t>
      </w:r>
    </w:p>
    <w:p w14:paraId="76237FA7" w14:textId="4F33619E" w:rsidR="002C1411" w:rsidRDefault="002C1411">
      <w:pPr>
        <w:rPr>
          <w:rFonts w:ascii="Arial Nova" w:hAnsi="Arial Nova"/>
        </w:rPr>
      </w:pPr>
      <w:r w:rsidRPr="002C1411">
        <w:rPr>
          <w:rFonts w:ascii="Arial Nova" w:hAnsi="Arial Nova"/>
        </w:rPr>
        <w:t>The study examines how Amazon may manage relationships with important stakeholders throughout the project lifecycle using stakeholder theory, the Power/Interest Matrix, the Salience Model, the RACI Matrix, and the 4C's stakeholder engagement framework. Based on their impact, interests, and contribution to the project's success, both internal and external stakeholders are examined. The advantages and difficulties of stakeholder engagement are also examined in the report. Trust, communication, teamwork, creativity, customer happiness, compliance, and organisational success can all be enhanced by effective engagement. Project success, however, may be impacted by issues like cultural differences, data privacy concerns, resistance to change, competing agendas, and cybersecurity hazards.</w:t>
      </w:r>
    </w:p>
    <w:p w14:paraId="6033CB83" w14:textId="096FCFDF" w:rsidR="002C1411" w:rsidRDefault="002C1411">
      <w:pPr>
        <w:rPr>
          <w:rFonts w:ascii="Arial Nova" w:hAnsi="Arial Nova"/>
        </w:rPr>
      </w:pPr>
      <w:r w:rsidRPr="002C1411">
        <w:rPr>
          <w:rFonts w:ascii="Arial Nova" w:hAnsi="Arial Nova"/>
        </w:rPr>
        <w:t>Lastly, the paper assesses how sustainable stakeholder involvement can boost consumer loyalty, brand reputation, compliance, and profitability, all of which can have a beneficial long-term business impact for Amazon. Suggestions are offered to facilitate Connect</w:t>
      </w:r>
      <w:r>
        <w:rPr>
          <w:rFonts w:ascii="Arial Nova" w:hAnsi="Arial Nova"/>
        </w:rPr>
        <w:t xml:space="preserve"> </w:t>
      </w:r>
      <w:r w:rsidRPr="002C1411">
        <w:rPr>
          <w:rFonts w:ascii="Arial Nova" w:hAnsi="Arial Nova"/>
        </w:rPr>
        <w:t>Plus's successful worldwide launch.</w:t>
      </w:r>
    </w:p>
    <w:p w14:paraId="102CC6D3" w14:textId="77777777" w:rsidR="00755C2D" w:rsidRDefault="00755C2D">
      <w:pPr>
        <w:rPr>
          <w:rFonts w:ascii="Arial Nova" w:hAnsi="Arial Nova"/>
        </w:rPr>
      </w:pPr>
    </w:p>
    <w:p w14:paraId="0B05F425" w14:textId="671CFC3B" w:rsidR="00755C2D" w:rsidRDefault="002C1411">
      <w:pPr>
        <w:rPr>
          <w:rFonts w:ascii="Arial Nova" w:hAnsi="Arial Nova"/>
          <w:b/>
          <w:bCs/>
        </w:rPr>
      </w:pPr>
      <w:r>
        <w:rPr>
          <w:rFonts w:ascii="Arial Nova" w:hAnsi="Arial Nova"/>
          <w:b/>
          <w:bCs/>
        </w:rPr>
        <w:t>Introduction</w:t>
      </w:r>
    </w:p>
    <w:p w14:paraId="0B17CC14" w14:textId="77777777" w:rsidR="002C1411" w:rsidRDefault="002C1411">
      <w:pPr>
        <w:rPr>
          <w:rFonts w:ascii="Arial Nova" w:hAnsi="Arial Nova"/>
          <w:b/>
          <w:bCs/>
        </w:rPr>
      </w:pPr>
    </w:p>
    <w:p w14:paraId="3F9140D3" w14:textId="799C74F0" w:rsidR="002C1411" w:rsidRDefault="002C1411">
      <w:pPr>
        <w:rPr>
          <w:rFonts w:ascii="Arial Nova" w:hAnsi="Arial Nova"/>
        </w:rPr>
      </w:pPr>
      <w:r w:rsidRPr="002C1411">
        <w:rPr>
          <w:rFonts w:ascii="Arial Nova" w:hAnsi="Arial Nova"/>
        </w:rPr>
        <w:t>One of the biggest global retail and e-commerce companies in the world is Amazon. The corporation was established in the United States and now operates in several foreign areas, including North America, Europe, Asia, and the United Kingdom. Amazon has established a solid reputation for customer support, innovation, and digital transformation. To be competitive in the global retail industry, the corporation keeps making significant investments in technology, artificial intelligence, cloud computing, logistics, and tailored consumer experiences.</w:t>
      </w:r>
    </w:p>
    <w:p w14:paraId="4AD993C3" w14:textId="4C20DDFD" w:rsidR="002C1411" w:rsidRDefault="002C1411">
      <w:pPr>
        <w:rPr>
          <w:rFonts w:ascii="Arial Nova" w:hAnsi="Arial Nova"/>
        </w:rPr>
      </w:pPr>
      <w:r w:rsidRPr="002C1411">
        <w:rPr>
          <w:rFonts w:ascii="Arial Nova" w:hAnsi="Arial Nova"/>
        </w:rPr>
        <w:t>Amazon intends to introduce Connect</w:t>
      </w:r>
      <w:r>
        <w:rPr>
          <w:rFonts w:ascii="Arial Nova" w:hAnsi="Arial Nova"/>
        </w:rPr>
        <w:t xml:space="preserve"> </w:t>
      </w:r>
      <w:r w:rsidRPr="002C1411">
        <w:rPr>
          <w:rFonts w:ascii="Arial Nova" w:hAnsi="Arial Nova"/>
        </w:rPr>
        <w:t xml:space="preserve">Plus, a digitally improved customer loyalty and engagement platform, as part of its digital transformation strategy. To increase </w:t>
      </w:r>
      <w:r w:rsidRPr="002C1411">
        <w:rPr>
          <w:rFonts w:ascii="Arial Nova" w:hAnsi="Arial Nova"/>
        </w:rPr>
        <w:lastRenderedPageBreak/>
        <w:t>customer engagement and retention, the platform will make use of AI-driven tailored recommendations, mobile-based rewards, predictive analytics, and customer insight tools. Based on their purchase habits and interests, Connect</w:t>
      </w:r>
      <w:r>
        <w:rPr>
          <w:rFonts w:ascii="Arial Nova" w:hAnsi="Arial Nova"/>
        </w:rPr>
        <w:t xml:space="preserve"> </w:t>
      </w:r>
      <w:r w:rsidRPr="002C1411">
        <w:rPr>
          <w:rFonts w:ascii="Arial Nova" w:hAnsi="Arial Nova"/>
        </w:rPr>
        <w:t>Plus users will receive tailored shopping recommendations, exclusive incentives, and focused promotions. Additionally, Amazon anticipates that the platform will enhance decision-making by offering improved access to customer data and behavioural insights.</w:t>
      </w:r>
    </w:p>
    <w:p w14:paraId="737615AB" w14:textId="72358A91" w:rsidR="002C1411" w:rsidRDefault="002C1411">
      <w:pPr>
        <w:rPr>
          <w:rFonts w:ascii="Arial Nova" w:hAnsi="Arial Nova"/>
        </w:rPr>
      </w:pPr>
      <w:r w:rsidRPr="002C1411">
        <w:rPr>
          <w:rFonts w:ascii="Arial Nova" w:hAnsi="Arial Nova"/>
        </w:rPr>
        <w:t>Within six months, Connect</w:t>
      </w:r>
      <w:r>
        <w:rPr>
          <w:rFonts w:ascii="Arial Nova" w:hAnsi="Arial Nova"/>
        </w:rPr>
        <w:t xml:space="preserve"> </w:t>
      </w:r>
      <w:r w:rsidRPr="002C1411">
        <w:rPr>
          <w:rFonts w:ascii="Arial Nova" w:hAnsi="Arial Nova"/>
        </w:rPr>
        <w:t>Plus will start to roll out in a few overseas areas. However, efficient stakeholder management is necessary for the deployment of such a sophisticated digital platform. Stakeholders are people or organisations that have the potential to influence or be impacted by the decisions and actions of an organization (Freeman, 1984). Senior management, IT teams, staff, clients, shareholders, suppliers, regulators, and foreign business partners are all considered stakeholders in the Connect</w:t>
      </w:r>
      <w:r>
        <w:rPr>
          <w:rFonts w:ascii="Arial Nova" w:hAnsi="Arial Nova"/>
        </w:rPr>
        <w:t xml:space="preserve"> </w:t>
      </w:r>
      <w:r w:rsidRPr="002C1411">
        <w:rPr>
          <w:rFonts w:ascii="Arial Nova" w:hAnsi="Arial Nova"/>
        </w:rPr>
        <w:t>Plus scenario. Because stakeholders have an impact on project performance, organisational reputation, innovation, compliance, and customer happiness, effective stakeholder involvement is crucial. Stakeholder engagement, according to Bourne (2022), aids organisations in lowering resistance, enhancing cooperation, and promoting improved decision-making. Stakeholder engagement becomes even more crucial in global projects like Connect</w:t>
      </w:r>
      <w:r>
        <w:rPr>
          <w:rFonts w:ascii="Arial Nova" w:hAnsi="Arial Nova"/>
        </w:rPr>
        <w:t xml:space="preserve"> </w:t>
      </w:r>
      <w:r w:rsidRPr="002C1411">
        <w:rPr>
          <w:rFonts w:ascii="Arial Nova" w:hAnsi="Arial Nova"/>
        </w:rPr>
        <w:t>Plus because of cultural variations, legal restrictions, and different customer expectations in different foreign markets.</w:t>
      </w:r>
    </w:p>
    <w:p w14:paraId="6FE97157" w14:textId="7811CE7A" w:rsidR="002C1411" w:rsidRPr="002C1411" w:rsidRDefault="002C1411">
      <w:pPr>
        <w:rPr>
          <w:rFonts w:ascii="Arial Nova" w:hAnsi="Arial Nova"/>
        </w:rPr>
      </w:pPr>
      <w:r w:rsidRPr="002C1411">
        <w:rPr>
          <w:rFonts w:ascii="Arial Nova" w:hAnsi="Arial Nova"/>
        </w:rPr>
        <w:t>This report critically analyses the stakeholders involved in the Connect</w:t>
      </w:r>
      <w:r>
        <w:rPr>
          <w:rFonts w:ascii="Arial Nova" w:hAnsi="Arial Nova"/>
        </w:rPr>
        <w:t xml:space="preserve"> </w:t>
      </w:r>
      <w:r w:rsidRPr="002C1411">
        <w:rPr>
          <w:rFonts w:ascii="Arial Nova" w:hAnsi="Arial Nova"/>
        </w:rPr>
        <w:t>Plus project and evaluates how Amazon can effectively identify, engage, and manage these stakeholders throughout the project lifecycle. The report also discusses ethical considerations, challenges, and the impact of sustainable stakeholder engagement on organisational performance.</w:t>
      </w:r>
    </w:p>
    <w:p w14:paraId="3F64DC94" w14:textId="77777777" w:rsidR="00755C2D" w:rsidRDefault="00755C2D">
      <w:pPr>
        <w:rPr>
          <w:rFonts w:ascii="Arial Nova" w:hAnsi="Arial Nova"/>
        </w:rPr>
      </w:pPr>
    </w:p>
    <w:p w14:paraId="433B5050" w14:textId="77777777" w:rsidR="002C1411" w:rsidRPr="002C1411" w:rsidRDefault="002C1411" w:rsidP="002C1411">
      <w:pPr>
        <w:rPr>
          <w:rFonts w:ascii="Arial Nova" w:hAnsi="Arial Nova"/>
        </w:rPr>
      </w:pPr>
      <w:r w:rsidRPr="002C1411">
        <w:rPr>
          <w:rFonts w:ascii="Arial Nova" w:hAnsi="Arial Nova"/>
        </w:rPr>
        <w:t>SMART Goals</w:t>
      </w:r>
    </w:p>
    <w:p w14:paraId="5584DE0F" w14:textId="77777777" w:rsidR="002C1411" w:rsidRPr="002C1411" w:rsidRDefault="002C1411" w:rsidP="002C1411">
      <w:pPr>
        <w:rPr>
          <w:rFonts w:ascii="Arial Nova" w:hAnsi="Arial Nova"/>
        </w:rPr>
      </w:pPr>
    </w:p>
    <w:p w14:paraId="6547CCD9" w14:textId="77777777" w:rsidR="002C1411" w:rsidRPr="002C1411" w:rsidRDefault="002C1411" w:rsidP="002C1411">
      <w:pPr>
        <w:rPr>
          <w:rFonts w:ascii="Arial Nova" w:hAnsi="Arial Nova"/>
        </w:rPr>
      </w:pPr>
      <w:r w:rsidRPr="002C1411">
        <w:rPr>
          <w:rFonts w:ascii="Arial Nova" w:hAnsi="Arial Nova"/>
        </w:rPr>
        <w:t xml:space="preserve">The </w:t>
      </w:r>
      <w:proofErr w:type="spellStart"/>
      <w:r w:rsidRPr="002C1411">
        <w:rPr>
          <w:rFonts w:ascii="Arial Nova" w:hAnsi="Arial Nova"/>
        </w:rPr>
        <w:t>ConnectPlus</w:t>
      </w:r>
      <w:proofErr w:type="spellEnd"/>
      <w:r w:rsidRPr="002C1411">
        <w:rPr>
          <w:rFonts w:ascii="Arial Nova" w:hAnsi="Arial Nova"/>
        </w:rPr>
        <w:t xml:space="preserve"> project's SMART goals are: 1. Within the first month of project planning, identify and classify all important internal and external stakeholders in the </w:t>
      </w:r>
      <w:proofErr w:type="spellStart"/>
      <w:r w:rsidRPr="002C1411">
        <w:rPr>
          <w:rFonts w:ascii="Arial Nova" w:hAnsi="Arial Nova"/>
        </w:rPr>
        <w:t>ConnectPlus</w:t>
      </w:r>
      <w:proofErr w:type="spellEnd"/>
      <w:r w:rsidRPr="002C1411">
        <w:rPr>
          <w:rFonts w:ascii="Arial Nova" w:hAnsi="Arial Nova"/>
        </w:rPr>
        <w:t xml:space="preserve"> project. 2. Within three months, create and execute a plan for stakeholder involvement and communication prior to the design and testing phase.</w:t>
      </w:r>
    </w:p>
    <w:p w14:paraId="0E8A9426" w14:textId="77777777" w:rsidR="002C1411" w:rsidRPr="002C1411" w:rsidRDefault="002C1411" w:rsidP="002C1411">
      <w:pPr>
        <w:rPr>
          <w:rFonts w:ascii="Arial Nova" w:hAnsi="Arial Nova"/>
        </w:rPr>
      </w:pPr>
    </w:p>
    <w:p w14:paraId="75623E2F" w14:textId="77777777" w:rsidR="002C1411" w:rsidRPr="002C1411" w:rsidRDefault="002C1411" w:rsidP="002C1411">
      <w:pPr>
        <w:rPr>
          <w:rFonts w:ascii="Arial Nova" w:hAnsi="Arial Nova"/>
        </w:rPr>
      </w:pPr>
    </w:p>
    <w:p w14:paraId="7071DFB5" w14:textId="54F87CBF" w:rsidR="002C1411" w:rsidRDefault="002C1411" w:rsidP="002C1411">
      <w:pPr>
        <w:rPr>
          <w:rFonts w:ascii="Arial Nova" w:hAnsi="Arial Nova"/>
        </w:rPr>
      </w:pPr>
      <w:r w:rsidRPr="002C1411">
        <w:rPr>
          <w:rFonts w:ascii="Arial Nova" w:hAnsi="Arial Nova"/>
        </w:rPr>
        <w:t xml:space="preserve">3. Using AI-driven tailored rewards and recommendations, increase customer retention rates by 15% within six months of </w:t>
      </w:r>
      <w:proofErr w:type="spellStart"/>
      <w:r w:rsidRPr="002C1411">
        <w:rPr>
          <w:rFonts w:ascii="Arial Nova" w:hAnsi="Arial Nova"/>
        </w:rPr>
        <w:t>ConnectPlus's</w:t>
      </w:r>
      <w:proofErr w:type="spellEnd"/>
      <w:r w:rsidRPr="002C1411">
        <w:rPr>
          <w:rFonts w:ascii="Arial Nova" w:hAnsi="Arial Nova"/>
        </w:rPr>
        <w:t xml:space="preserve"> launch. 4. To fully comply with GDPR and international data protection regulations prior to the </w:t>
      </w:r>
      <w:proofErr w:type="spellStart"/>
      <w:r w:rsidRPr="002C1411">
        <w:rPr>
          <w:rFonts w:ascii="Arial Nova" w:hAnsi="Arial Nova"/>
        </w:rPr>
        <w:t>ConnectPlus</w:t>
      </w:r>
      <w:proofErr w:type="spellEnd"/>
      <w:r w:rsidRPr="002C1411">
        <w:rPr>
          <w:rFonts w:ascii="Arial Nova" w:hAnsi="Arial Nova"/>
        </w:rPr>
        <w:t xml:space="preserve"> </w:t>
      </w:r>
      <w:r w:rsidRPr="002C1411">
        <w:rPr>
          <w:rFonts w:ascii="Arial Nova" w:hAnsi="Arial Nova"/>
        </w:rPr>
        <w:lastRenderedPageBreak/>
        <w:t>platform's global launch. 5. Within the first year of deployment, raise consumer engagement levels by 20% in a few international marketplaces.</w:t>
      </w:r>
    </w:p>
    <w:p w14:paraId="7E39B894" w14:textId="77777777" w:rsidR="002C1411" w:rsidRPr="002C1411" w:rsidRDefault="002C1411" w:rsidP="002C1411">
      <w:pPr>
        <w:rPr>
          <w:rFonts w:ascii="Arial Nova" w:hAnsi="Arial Nova"/>
          <w:b/>
          <w:bCs/>
        </w:rPr>
      </w:pPr>
      <w:r w:rsidRPr="002C1411">
        <w:rPr>
          <w:rFonts w:ascii="Arial Nova" w:hAnsi="Arial Nova"/>
          <w:b/>
          <w:bCs/>
        </w:rPr>
        <w:t>Stakeholder Identification and Classification</w:t>
      </w:r>
    </w:p>
    <w:p w14:paraId="076B0A3E" w14:textId="77777777" w:rsidR="002C1411" w:rsidRPr="002C1411" w:rsidRDefault="002C1411" w:rsidP="002C1411">
      <w:pPr>
        <w:rPr>
          <w:rFonts w:ascii="Arial Nova" w:hAnsi="Arial Nova"/>
        </w:rPr>
      </w:pPr>
    </w:p>
    <w:p w14:paraId="4FDE9273" w14:textId="3074A565" w:rsidR="002C1411" w:rsidRDefault="002C1411" w:rsidP="002C1411">
      <w:pPr>
        <w:rPr>
          <w:rFonts w:ascii="Arial Nova" w:hAnsi="Arial Nova"/>
        </w:rPr>
      </w:pPr>
      <w:r w:rsidRPr="002C1411">
        <w:rPr>
          <w:rFonts w:ascii="Arial Nova" w:hAnsi="Arial Nova"/>
        </w:rPr>
        <w:t xml:space="preserve">Since stakeholders have a big impact on project results, identifying them is one of the most crucial phases of project management. Organisations that actively include stakeholders are more likely to accomplish successful project delivery and enhance organisational performance, according to the Project Management Institute (2021). Early in the planning phase of the </w:t>
      </w:r>
      <w:proofErr w:type="spellStart"/>
      <w:r w:rsidRPr="002C1411">
        <w:rPr>
          <w:rFonts w:ascii="Arial Nova" w:hAnsi="Arial Nova"/>
        </w:rPr>
        <w:t>ConnectPlus</w:t>
      </w:r>
      <w:proofErr w:type="spellEnd"/>
      <w:r w:rsidRPr="002C1411">
        <w:rPr>
          <w:rFonts w:ascii="Arial Nova" w:hAnsi="Arial Nova"/>
        </w:rPr>
        <w:t xml:space="preserve"> project, Amazon </w:t>
      </w:r>
      <w:proofErr w:type="gramStart"/>
      <w:r w:rsidRPr="002C1411">
        <w:rPr>
          <w:rFonts w:ascii="Arial Nova" w:hAnsi="Arial Nova"/>
        </w:rPr>
        <w:t>has to</w:t>
      </w:r>
      <w:proofErr w:type="gramEnd"/>
      <w:r w:rsidRPr="002C1411">
        <w:rPr>
          <w:rFonts w:ascii="Arial Nova" w:hAnsi="Arial Nova"/>
        </w:rPr>
        <w:t xml:space="preserve"> identify internal and external stakeholders. Individuals or organisations that are directly involved in the project are known as internal stakeholders. People or organisations outside the company that are impacted by the project or </w:t>
      </w:r>
      <w:proofErr w:type="gramStart"/>
      <w:r w:rsidRPr="002C1411">
        <w:rPr>
          <w:rFonts w:ascii="Arial Nova" w:hAnsi="Arial Nova"/>
        </w:rPr>
        <w:t>have the ability to</w:t>
      </w:r>
      <w:proofErr w:type="gramEnd"/>
      <w:r w:rsidRPr="002C1411">
        <w:rPr>
          <w:rFonts w:ascii="Arial Nova" w:hAnsi="Arial Nova"/>
        </w:rPr>
        <w:t xml:space="preserve"> affect its success are known as external stakeholders.</w:t>
      </w:r>
    </w:p>
    <w:p w14:paraId="0850EC55" w14:textId="30810329" w:rsidR="00755C2D" w:rsidRDefault="002C1411">
      <w:pPr>
        <w:rPr>
          <w:rFonts w:ascii="Arial Nova" w:hAnsi="Arial Nova"/>
        </w:rPr>
      </w:pPr>
      <w:r w:rsidRPr="002C1411">
        <w:rPr>
          <w:rFonts w:ascii="Arial Nova" w:hAnsi="Arial Nova"/>
        </w:rPr>
        <w:t xml:space="preserve">Senior management, project managers, IT and product development teams, marketing teams, customer service departments, finance departments, employees, and the Data Protection Officer (DPO) are among the important internal stakeholders. Because they set budgets, distribute resources, and keep an eye on strategic success, senior management has a lot of power and interest. Timelines, risk management, stakeholder communication, and project activity coordination are under the purview of the project manager. Because they </w:t>
      </w:r>
      <w:proofErr w:type="gramStart"/>
      <w:r w:rsidRPr="002C1411">
        <w:rPr>
          <w:rFonts w:ascii="Arial Nova" w:hAnsi="Arial Nova"/>
        </w:rPr>
        <w:t>are in charge of</w:t>
      </w:r>
      <w:proofErr w:type="gramEnd"/>
      <w:r w:rsidRPr="002C1411">
        <w:rPr>
          <w:rFonts w:ascii="Arial Nova" w:hAnsi="Arial Nova"/>
        </w:rPr>
        <w:t xml:space="preserve"> platform maintenance, cybersecurity, software development, and AI integration, IT teams are essential.</w:t>
      </w:r>
    </w:p>
    <w:p w14:paraId="51A66D2A" w14:textId="646EA9D5" w:rsidR="002C1411" w:rsidRDefault="002C1411">
      <w:pPr>
        <w:rPr>
          <w:rFonts w:ascii="Arial Nova" w:hAnsi="Arial Nova"/>
        </w:rPr>
      </w:pPr>
      <w:r w:rsidRPr="002C1411">
        <w:rPr>
          <w:rFonts w:ascii="Arial Nova" w:hAnsi="Arial Nova"/>
        </w:rPr>
        <w:t xml:space="preserve">Marketing teams </w:t>
      </w:r>
      <w:proofErr w:type="gramStart"/>
      <w:r w:rsidRPr="002C1411">
        <w:rPr>
          <w:rFonts w:ascii="Arial Nova" w:hAnsi="Arial Nova"/>
        </w:rPr>
        <w:t>are in charge of</w:t>
      </w:r>
      <w:proofErr w:type="gramEnd"/>
      <w:r w:rsidRPr="002C1411">
        <w:rPr>
          <w:rFonts w:ascii="Arial Nova" w:hAnsi="Arial Nova"/>
        </w:rPr>
        <w:t xml:space="preserve"> customer communication, promotional plans, and customer engagement initiatives. In addition to offering front-line assistance, customer care personnel gather client feedback that might enhance platform functionality. The finance division assesses financial risks, project expenses, and return on investment. Because organisational change may have an impact on their responsibilities, training needs, and workload, employees from all departments are also significant stakeholders.</w:t>
      </w:r>
    </w:p>
    <w:p w14:paraId="44ABB31A" w14:textId="7D2ECC0D" w:rsidR="002C1411" w:rsidRDefault="002C1411" w:rsidP="002C1411">
      <w:pPr>
        <w:rPr>
          <w:rFonts w:ascii="Arial Nova" w:hAnsi="Arial Nova"/>
        </w:rPr>
      </w:pPr>
      <w:r>
        <w:rPr>
          <w:rFonts w:ascii="Arial Nova" w:hAnsi="Arial Nova"/>
        </w:rPr>
        <w:t xml:space="preserve"> </w:t>
      </w:r>
      <w:r w:rsidRPr="002C1411">
        <w:rPr>
          <w:rFonts w:ascii="Arial Nova" w:hAnsi="Arial Nova"/>
        </w:rPr>
        <w:t xml:space="preserve">Customers, stockholders, regulators, technology providers, foreign business partners, and local communities are examples of external stakeholders. Since their adoption and use of </w:t>
      </w:r>
      <w:proofErr w:type="spellStart"/>
      <w:r w:rsidRPr="002C1411">
        <w:rPr>
          <w:rFonts w:ascii="Arial Nova" w:hAnsi="Arial Nova"/>
        </w:rPr>
        <w:t>ConnectPlus</w:t>
      </w:r>
      <w:proofErr w:type="spellEnd"/>
      <w:r w:rsidRPr="002C1411">
        <w:rPr>
          <w:rFonts w:ascii="Arial Nova" w:hAnsi="Arial Nova"/>
        </w:rPr>
        <w:t xml:space="preserve"> will determine the platform's success, customers are among the most significant stakeholders. Although they have little direct organisational authority, customers are highly interested. However, Amazon's reputation and profitability can be significantly impacted by consumer evaluations, social media comments, and purchase patterns. Because they make sure Amazon complies with international digital standards, consumer rights laws, and GDPR, regulators have significant influence. AI systems, cloud infrastructure, cybersecurity </w:t>
      </w:r>
      <w:r w:rsidRPr="002C1411">
        <w:rPr>
          <w:rFonts w:ascii="Arial Nova" w:hAnsi="Arial Nova"/>
        </w:rPr>
        <w:lastRenderedPageBreak/>
        <w:t>software, and payment technologies are all offered by technology suppliers. Investors and shareholders anticipate both cash gains and commercial expansion from the initiative. International market partners help Amazon with regional operations, marketing, and localisation.</w:t>
      </w:r>
    </w:p>
    <w:p w14:paraId="13FCADE3" w14:textId="103B18A5" w:rsidR="00755C2D" w:rsidRDefault="002C1411">
      <w:pPr>
        <w:rPr>
          <w:rFonts w:ascii="Arial Nova" w:hAnsi="Arial Nova"/>
        </w:rPr>
      </w:pPr>
      <w:r w:rsidRPr="002C1411">
        <w:rPr>
          <w:rFonts w:ascii="Arial Nova" w:hAnsi="Arial Nova"/>
        </w:rPr>
        <w:t>Amazon can classify stakeholders based on their degree of influence and interest by using the Power/Interest Matrix. Senior management and project leaders are examples of high-power and high-interest stakeholders who should be actively monitored. Customers and staff are examples of stakeholders with strong interest but little power who should be informed and consulted on a regular basis. According to power, legitimacy, and urgency, Amazon can prioritise stakeholders using the Salience Model (Mitchell, Agle, and Wood, 1997). Senior management and regulators are examples of definitive stakeholders that have all three characteristics, necessitating prompt response and ongoing involvement. Due of their legitimacy, urgency, and lack of formal authority, customers and employees may be seen as dependent stakeholders.</w:t>
      </w:r>
    </w:p>
    <w:p w14:paraId="4DFB604B" w14:textId="7C2E4E04" w:rsidR="002C1411" w:rsidRDefault="002C1411">
      <w:pPr>
        <w:rPr>
          <w:rFonts w:ascii="Arial Nova" w:hAnsi="Arial Nova"/>
        </w:rPr>
      </w:pPr>
      <w:r w:rsidRPr="002C1411">
        <w:rPr>
          <w:rFonts w:ascii="Arial Nova" w:hAnsi="Arial Nova"/>
        </w:rPr>
        <w:t xml:space="preserve">By using these frameworks, Amazon </w:t>
      </w:r>
      <w:proofErr w:type="gramStart"/>
      <w:r w:rsidRPr="002C1411">
        <w:rPr>
          <w:rFonts w:ascii="Arial Nova" w:hAnsi="Arial Nova"/>
        </w:rPr>
        <w:t>is able to</w:t>
      </w:r>
      <w:proofErr w:type="gramEnd"/>
      <w:r w:rsidRPr="002C1411">
        <w:rPr>
          <w:rFonts w:ascii="Arial Nova" w:hAnsi="Arial Nova"/>
        </w:rPr>
        <w:t xml:space="preserve"> prioritise engagement tactics, identify risks, and gain a better understanding of stakeholder expectations. Throughout the course of a project, effective stakeholder mapping also lessens conflict and promotes better decision-making.</w:t>
      </w:r>
    </w:p>
    <w:p w14:paraId="57503FAC" w14:textId="77777777" w:rsidR="002C1411" w:rsidRDefault="002C1411">
      <w:pPr>
        <w:rPr>
          <w:rFonts w:ascii="Arial Nova" w:hAnsi="Arial Nova"/>
        </w:rPr>
      </w:pPr>
    </w:p>
    <w:p w14:paraId="60498003" w14:textId="77777777" w:rsidR="002C1411" w:rsidRPr="002C1411" w:rsidRDefault="002C1411" w:rsidP="002C1411">
      <w:pPr>
        <w:rPr>
          <w:rFonts w:ascii="Arial Nova" w:hAnsi="Arial Nova"/>
          <w:b/>
          <w:bCs/>
        </w:rPr>
      </w:pPr>
      <w:r w:rsidRPr="002C1411">
        <w:rPr>
          <w:rFonts w:ascii="Arial Nova" w:hAnsi="Arial Nova"/>
          <w:b/>
          <w:bCs/>
        </w:rPr>
        <w:t>Positions, Duties, Advantages, and Difficulties</w:t>
      </w:r>
    </w:p>
    <w:p w14:paraId="7EC0CEF3" w14:textId="77777777" w:rsidR="002C1411" w:rsidRPr="002C1411" w:rsidRDefault="002C1411" w:rsidP="002C1411">
      <w:pPr>
        <w:rPr>
          <w:rFonts w:ascii="Arial Nova" w:hAnsi="Arial Nova"/>
        </w:rPr>
      </w:pPr>
    </w:p>
    <w:p w14:paraId="0226702A" w14:textId="1DE7F2A6" w:rsidR="002C1411" w:rsidRDefault="002C1411" w:rsidP="002C1411">
      <w:pPr>
        <w:rPr>
          <w:rFonts w:ascii="Arial Nova" w:hAnsi="Arial Nova"/>
        </w:rPr>
      </w:pPr>
      <w:r w:rsidRPr="002C1411">
        <w:rPr>
          <w:rFonts w:ascii="Arial Nova" w:hAnsi="Arial Nova"/>
        </w:rPr>
        <w:t xml:space="preserve">Every stakeholder in the </w:t>
      </w:r>
      <w:proofErr w:type="spellStart"/>
      <w:r w:rsidRPr="002C1411">
        <w:rPr>
          <w:rFonts w:ascii="Arial Nova" w:hAnsi="Arial Nova"/>
        </w:rPr>
        <w:t>ConnectPlus</w:t>
      </w:r>
      <w:proofErr w:type="spellEnd"/>
      <w:r w:rsidRPr="002C1411">
        <w:rPr>
          <w:rFonts w:ascii="Arial Nova" w:hAnsi="Arial Nova"/>
        </w:rPr>
        <w:t xml:space="preserve"> project has distinct expectations, challenges, roles, and duties. Comprehending these distinctions is crucial as it enables the project manager to create engagement tactics that are more successful. Strategic decision-making is the responsibility of senior management, who must approve</w:t>
      </w:r>
      <w:r>
        <w:rPr>
          <w:rFonts w:ascii="Arial Nova" w:hAnsi="Arial Nova"/>
        </w:rPr>
        <w:t xml:space="preserve"> </w:t>
      </w:r>
      <w:r w:rsidRPr="002C1411">
        <w:rPr>
          <w:rFonts w:ascii="Arial Nova" w:hAnsi="Arial Nova"/>
        </w:rPr>
        <w:t xml:space="preserve">funds, </w:t>
      </w:r>
      <w:proofErr w:type="gramStart"/>
      <w:r w:rsidRPr="002C1411">
        <w:rPr>
          <w:rFonts w:ascii="Arial Nova" w:hAnsi="Arial Nova"/>
        </w:rPr>
        <w:t>assigning</w:t>
      </w:r>
      <w:proofErr w:type="gramEnd"/>
      <w:r w:rsidRPr="002C1411">
        <w:rPr>
          <w:rFonts w:ascii="Arial Nova" w:hAnsi="Arial Nova"/>
        </w:rPr>
        <w:t xml:space="preserve"> resources, and keeping an eye on the success of projects. Increased profitability and better client loyalty are two of the main advantages they anticipate from </w:t>
      </w:r>
      <w:proofErr w:type="spellStart"/>
      <w:r w:rsidRPr="002C1411">
        <w:rPr>
          <w:rFonts w:ascii="Arial Nova" w:hAnsi="Arial Nova"/>
        </w:rPr>
        <w:t>ConnectPlus</w:t>
      </w:r>
      <w:proofErr w:type="spellEnd"/>
      <w:r w:rsidRPr="002C1411">
        <w:rPr>
          <w:rFonts w:ascii="Arial Nova" w:hAnsi="Arial Nova"/>
        </w:rPr>
        <w:t>. Senior executives, however, might find it difficult to strike a balance between operational demands, financial risks, and innovation.</w:t>
      </w:r>
    </w:p>
    <w:p w14:paraId="547B1B88" w14:textId="182AEB1B" w:rsidR="002C1411" w:rsidRDefault="002C1411" w:rsidP="002C1411">
      <w:pPr>
        <w:rPr>
          <w:rFonts w:ascii="Arial Nova" w:hAnsi="Arial Nova"/>
        </w:rPr>
      </w:pPr>
      <w:r w:rsidRPr="002C1411">
        <w:rPr>
          <w:rFonts w:ascii="Arial Nova" w:hAnsi="Arial Nova"/>
        </w:rPr>
        <w:t xml:space="preserve">Planning, organising, and overseeing the project fall within the purview of the project manager. They </w:t>
      </w:r>
      <w:proofErr w:type="gramStart"/>
      <w:r w:rsidRPr="002C1411">
        <w:rPr>
          <w:rFonts w:ascii="Arial Nova" w:hAnsi="Arial Nova"/>
        </w:rPr>
        <w:t>are in charge of</w:t>
      </w:r>
      <w:proofErr w:type="gramEnd"/>
      <w:r w:rsidRPr="002C1411">
        <w:rPr>
          <w:rFonts w:ascii="Arial Nova" w:hAnsi="Arial Nova"/>
        </w:rPr>
        <w:t xml:space="preserve"> scheduling, managing conflicts, communicating with stakeholders, and making sure the project stays within the allocated budget and schedule. Managing conflicting stakeholder expectations while preserving project performance is one of the challenges faced by project managers. Building and testing the </w:t>
      </w:r>
      <w:proofErr w:type="spellStart"/>
      <w:r w:rsidRPr="002C1411">
        <w:rPr>
          <w:rFonts w:ascii="Arial Nova" w:hAnsi="Arial Nova"/>
        </w:rPr>
        <w:t>ConnectPlus</w:t>
      </w:r>
      <w:proofErr w:type="spellEnd"/>
      <w:r w:rsidRPr="002C1411">
        <w:rPr>
          <w:rFonts w:ascii="Arial Nova" w:hAnsi="Arial Nova"/>
        </w:rPr>
        <w:t xml:space="preserve"> platform, integrating AI systems, and upholding cybersecurity are the responsibilities of the IT and product development teams. These groups support Amazon's efforts to become more innovative and competitive </w:t>
      </w:r>
      <w:r w:rsidRPr="002C1411">
        <w:rPr>
          <w:rFonts w:ascii="Arial Nova" w:hAnsi="Arial Nova"/>
        </w:rPr>
        <w:lastRenderedPageBreak/>
        <w:t>online. However, they could encounter difficulties like tight project timelines, cybersecurity risks, and problems with system integration.</w:t>
      </w:r>
    </w:p>
    <w:p w14:paraId="6E4D9EEF" w14:textId="73A6231B" w:rsidR="002C1411" w:rsidRDefault="002C1411" w:rsidP="002C1411">
      <w:pPr>
        <w:rPr>
          <w:rFonts w:ascii="Arial Nova" w:hAnsi="Arial Nova"/>
        </w:rPr>
      </w:pPr>
      <w:r w:rsidRPr="002C1411">
        <w:rPr>
          <w:rFonts w:ascii="Arial Nova" w:hAnsi="Arial Nova"/>
        </w:rPr>
        <w:t xml:space="preserve">Promoting </w:t>
      </w:r>
      <w:proofErr w:type="spellStart"/>
      <w:r w:rsidRPr="002C1411">
        <w:rPr>
          <w:rFonts w:ascii="Arial Nova" w:hAnsi="Arial Nova"/>
        </w:rPr>
        <w:t>ConnectPlus</w:t>
      </w:r>
      <w:proofErr w:type="spellEnd"/>
      <w:r w:rsidRPr="002C1411">
        <w:rPr>
          <w:rFonts w:ascii="Arial Nova" w:hAnsi="Arial Nova"/>
        </w:rPr>
        <w:t xml:space="preserve">, creating customer loyalty programs, and raising consumer engagement are all important tasks for marketing teams. Their participation can increase consumer retention and brand loyalty. However, marketing teams may find it difficult to modify promotional tactics for various cultural and global markets. In addition to </w:t>
      </w:r>
      <w:proofErr w:type="gramStart"/>
      <w:r w:rsidRPr="002C1411">
        <w:rPr>
          <w:rFonts w:ascii="Arial Nova" w:hAnsi="Arial Nova"/>
        </w:rPr>
        <w:t>offering assistance to</w:t>
      </w:r>
      <w:proofErr w:type="gramEnd"/>
      <w:r w:rsidRPr="002C1411">
        <w:rPr>
          <w:rFonts w:ascii="Arial Nova" w:hAnsi="Arial Nova"/>
        </w:rPr>
        <w:t xml:space="preserve"> clients, customer service personnel gather insightful input regarding platform functionality and user contentment. They assist in early detection of operational problems and enhance client experiences. However, during the platform deployment, they can experience more pressure and workloads. Because they use the platform directly, customers are crucial stakeholders. Convenience, improved purchasing experiences, and customised rewards are all advantageous to customers. However, a lot of consumers might be concerned about the security of their personal information, AI decision-making, and data privacy.</w:t>
      </w:r>
    </w:p>
    <w:p w14:paraId="3E0815D7" w14:textId="63802748" w:rsidR="00755C2D" w:rsidRDefault="002C1411" w:rsidP="002C1411">
      <w:pPr>
        <w:rPr>
          <w:rFonts w:ascii="Arial Nova" w:hAnsi="Arial Nova"/>
        </w:rPr>
      </w:pPr>
      <w:r w:rsidRPr="002C1411">
        <w:rPr>
          <w:rFonts w:ascii="Arial Nova" w:hAnsi="Arial Nova"/>
        </w:rPr>
        <w:t xml:space="preserve">Regulators </w:t>
      </w:r>
      <w:proofErr w:type="gramStart"/>
      <w:r w:rsidRPr="002C1411">
        <w:rPr>
          <w:rFonts w:ascii="Arial Nova" w:hAnsi="Arial Nova"/>
        </w:rPr>
        <w:t>are in charge of</w:t>
      </w:r>
      <w:proofErr w:type="gramEnd"/>
      <w:r w:rsidRPr="002C1411">
        <w:rPr>
          <w:rFonts w:ascii="Arial Nova" w:hAnsi="Arial Nova"/>
        </w:rPr>
        <w:t xml:space="preserve"> making sure Amazon abides by global data protection regulations and moral business practices. Their participation lowers legal risks and boosts public confidence. However, international laws differ greatly between nations, which might make it difficult for Amazon to comply. Specialised systems, digital tools, and operational support are provided by technology providers and business partners. These collaborations can boost creativity and</w:t>
      </w:r>
      <w:r>
        <w:rPr>
          <w:rFonts w:ascii="Arial Nova" w:hAnsi="Arial Nova"/>
        </w:rPr>
        <w:t xml:space="preserve"> </w:t>
      </w:r>
      <w:r w:rsidRPr="002C1411">
        <w:rPr>
          <w:rFonts w:ascii="Arial Nova" w:hAnsi="Arial Nova"/>
        </w:rPr>
        <w:t>expectations, relying on outside vendors could put operations at risk.</w:t>
      </w:r>
    </w:p>
    <w:p w14:paraId="4B61D2ED" w14:textId="77777777" w:rsidR="002C1411" w:rsidRDefault="002C1411" w:rsidP="002C1411">
      <w:pPr>
        <w:rPr>
          <w:rFonts w:ascii="Arial Nova" w:hAnsi="Arial Nova"/>
        </w:rPr>
      </w:pPr>
    </w:p>
    <w:p w14:paraId="1855285F" w14:textId="77777777" w:rsidR="002C1411" w:rsidRPr="002C1411" w:rsidRDefault="002C1411" w:rsidP="002C1411">
      <w:pPr>
        <w:rPr>
          <w:rFonts w:ascii="Arial Nova" w:hAnsi="Arial Nova"/>
          <w:b/>
          <w:bCs/>
        </w:rPr>
      </w:pPr>
      <w:r w:rsidRPr="002C1411">
        <w:rPr>
          <w:rFonts w:ascii="Arial Nova" w:hAnsi="Arial Nova"/>
          <w:b/>
          <w:bCs/>
        </w:rPr>
        <w:t>Conflict Resolution and Stakeholder Involvement</w:t>
      </w:r>
    </w:p>
    <w:p w14:paraId="15FA924A" w14:textId="77777777" w:rsidR="002C1411" w:rsidRPr="002C1411" w:rsidRDefault="002C1411" w:rsidP="002C1411">
      <w:pPr>
        <w:rPr>
          <w:rFonts w:ascii="Arial Nova" w:hAnsi="Arial Nova"/>
        </w:rPr>
      </w:pPr>
    </w:p>
    <w:p w14:paraId="427C106D" w14:textId="48CAE930" w:rsidR="002C1411" w:rsidRDefault="002C1411" w:rsidP="002C1411">
      <w:pPr>
        <w:rPr>
          <w:rFonts w:ascii="Arial Nova" w:hAnsi="Arial Nova"/>
        </w:rPr>
      </w:pPr>
      <w:r w:rsidRPr="002C1411">
        <w:rPr>
          <w:rFonts w:ascii="Arial Nova" w:hAnsi="Arial Nova"/>
        </w:rPr>
        <w:t xml:space="preserve">The practice of establishing and preserving good connections with stakeholders </w:t>
      </w:r>
      <w:proofErr w:type="gramStart"/>
      <w:r w:rsidRPr="002C1411">
        <w:rPr>
          <w:rFonts w:ascii="Arial Nova" w:hAnsi="Arial Nova"/>
        </w:rPr>
        <w:t>during the course of</w:t>
      </w:r>
      <w:proofErr w:type="gramEnd"/>
      <w:r w:rsidRPr="002C1411">
        <w:rPr>
          <w:rFonts w:ascii="Arial Nova" w:hAnsi="Arial Nova"/>
        </w:rPr>
        <w:t xml:space="preserve"> a project is known as stakeholder engagement. Trust, communication, teamwork, and organisational success all improve with effective involvement (Bourne, 2022). Stakeholder engagement is especially crucial in a worldwide project like </w:t>
      </w:r>
      <w:proofErr w:type="spellStart"/>
      <w:r w:rsidRPr="002C1411">
        <w:rPr>
          <w:rFonts w:ascii="Arial Nova" w:hAnsi="Arial Nova"/>
        </w:rPr>
        <w:t>ConnectPlus</w:t>
      </w:r>
      <w:proofErr w:type="spellEnd"/>
      <w:r w:rsidRPr="002C1411">
        <w:rPr>
          <w:rFonts w:ascii="Arial Nova" w:hAnsi="Arial Nova"/>
        </w:rPr>
        <w:t xml:space="preserve"> since the platform will function in a variety of markets with varying legal systems, cultural norms, and customer expectations. Stakeholder identification is the first step in the stakeholder engagement process. All people and organisations that could have an impact on </w:t>
      </w:r>
      <w:proofErr w:type="spellStart"/>
      <w:r w:rsidRPr="002C1411">
        <w:rPr>
          <w:rFonts w:ascii="Arial Nova" w:hAnsi="Arial Nova"/>
        </w:rPr>
        <w:t>ConnectPlus</w:t>
      </w:r>
      <w:proofErr w:type="spellEnd"/>
      <w:r w:rsidRPr="002C1411">
        <w:rPr>
          <w:rFonts w:ascii="Arial Nova" w:hAnsi="Arial Nova"/>
        </w:rPr>
        <w:t xml:space="preserve"> must be identified by Amazon. Stakeholder registers, organisational charts, customer analysis, and brainstorming sessions can all be part of this approach.</w:t>
      </w:r>
    </w:p>
    <w:p w14:paraId="38F832B7" w14:textId="0DDC66ED" w:rsidR="002C1411" w:rsidRDefault="002C1411" w:rsidP="002C1411">
      <w:pPr>
        <w:rPr>
          <w:rFonts w:ascii="Arial Nova" w:hAnsi="Arial Nova"/>
        </w:rPr>
      </w:pPr>
      <w:r w:rsidRPr="002C1411">
        <w:rPr>
          <w:rFonts w:ascii="Arial Nova" w:hAnsi="Arial Nova"/>
        </w:rPr>
        <w:t xml:space="preserve">Stakeholder analysis is the second step. Power, interest, expectations, influence, and possible hazards should all be taken into consideration while analysing stakeholders. Amazon may more efficiently prioritise stakeholder connections by using frameworks like the Power/Interest Matrix and Salience Model. Developing a plan for engaging </w:t>
      </w:r>
      <w:r w:rsidRPr="002C1411">
        <w:rPr>
          <w:rFonts w:ascii="Arial Nova" w:hAnsi="Arial Nova"/>
        </w:rPr>
        <w:lastRenderedPageBreak/>
        <w:t>stakeholders is the third step. Communication techniques, stakeholder expectations, engagement goals, schedules, dispute resolution techniques, and feedback channels should all be included in the plan. During project implementation, a well-defined interaction plan enhances transparency and minimises uncertainty.</w:t>
      </w:r>
    </w:p>
    <w:p w14:paraId="06113FB7" w14:textId="1CB011B1" w:rsidR="002C1411" w:rsidRDefault="002C1411" w:rsidP="002C1411">
      <w:pPr>
        <w:rPr>
          <w:rFonts w:ascii="Arial Nova" w:hAnsi="Arial Nova"/>
        </w:rPr>
      </w:pPr>
      <w:r w:rsidRPr="002C1411">
        <w:rPr>
          <w:rFonts w:ascii="Arial Nova" w:hAnsi="Arial Nova"/>
        </w:rPr>
        <w:t>The 4Cs of stakeholder engagement—communication, consultation, collaboration, and commitment—can be used by Amazon. Because stakeholders require quick and accurate information, communication is crucial. Weekly meetings, project dashboards, reports, emails, and digital collaboration tools are some of the ways that Amazon can interact with its stakeholders. Trust is increased and uncertainty is decreased through effective communication. For instance, staff would need operational direction and training materials, while senior management might need reports on strategic performance.</w:t>
      </w:r>
      <w:r>
        <w:rPr>
          <w:rFonts w:ascii="Arial Nova" w:hAnsi="Arial Nova"/>
        </w:rPr>
        <w:t xml:space="preserve"> </w:t>
      </w:r>
      <w:r w:rsidRPr="002C1411">
        <w:rPr>
          <w:rFonts w:ascii="Arial Nova" w:hAnsi="Arial Nova"/>
        </w:rPr>
        <w:t>Stakeholders can offer suggestions and comments through consultation. Focus groups, app evaluations, pilot testing, and surveys are all ways to include customers. Finding operational issues might also be aided by employee consultation sessions</w:t>
      </w:r>
      <w:r>
        <w:rPr>
          <w:rFonts w:ascii="Arial Nova" w:hAnsi="Arial Nova"/>
        </w:rPr>
        <w:t xml:space="preserve"> </w:t>
      </w:r>
      <w:r w:rsidRPr="002C1411">
        <w:rPr>
          <w:rFonts w:ascii="Arial Nova" w:hAnsi="Arial Nova"/>
        </w:rPr>
        <w:t xml:space="preserve">as well as opposition to change. Bryson (2021) asserts that because stakeholders believe their perspectives are appreciated, consultation enhances stakeholder commitment. </w:t>
      </w:r>
      <w:proofErr w:type="gramStart"/>
      <w:r w:rsidRPr="002C1411">
        <w:rPr>
          <w:rFonts w:ascii="Arial Nova" w:hAnsi="Arial Nova"/>
        </w:rPr>
        <w:t>In order to</w:t>
      </w:r>
      <w:proofErr w:type="gramEnd"/>
      <w:r w:rsidRPr="002C1411">
        <w:rPr>
          <w:rFonts w:ascii="Arial Nova" w:hAnsi="Arial Nova"/>
        </w:rPr>
        <w:t xml:space="preserve"> overcome issues and enhance project results, stakeholders must actively collaborate. Through cross-functional project teams that include the IT, marketing, customer support, and compliance divisions, Amazon may promote cooperation. During platform development, agile project management techniques may also encourage ongoing cooperation and adaptability.</w:t>
      </w:r>
      <w:r w:rsidRPr="002C1411">
        <w:t xml:space="preserve"> </w:t>
      </w:r>
      <w:r w:rsidRPr="002C1411">
        <w:rPr>
          <w:rFonts w:ascii="Arial Nova" w:hAnsi="Arial Nova"/>
        </w:rPr>
        <w:t xml:space="preserve">Maintaining long-term stakeholder support and involvement is referred to as commitment. Through staff training programs, rewards, leadership support, and ongoing engagement initiatives, Amazon can boost commitment. Workers are more likely to successfully support implementation if they are aware of </w:t>
      </w:r>
      <w:proofErr w:type="spellStart"/>
      <w:r w:rsidRPr="002C1411">
        <w:rPr>
          <w:rFonts w:ascii="Arial Nova" w:hAnsi="Arial Nova"/>
        </w:rPr>
        <w:t>ConnectPlus's</w:t>
      </w:r>
      <w:proofErr w:type="spellEnd"/>
      <w:r w:rsidRPr="002C1411">
        <w:rPr>
          <w:rFonts w:ascii="Arial Nova" w:hAnsi="Arial Nova"/>
        </w:rPr>
        <w:t xml:space="preserve"> advantages. Another crucial component of engaging stakeholders is conflict management. Stakeholders frequently have different priorities and expectations, which can lead to conflicts. For instance, the Data Protection Officer may give privacy and GDPR compliance a priority, while marketing teams may wish to gather a lot of consumer data to enhance personalisation. In a similar vein, IT teams can ask for more funding for cybersecurity systems, while finance departments might concentrate on cutting project costs.</w:t>
      </w:r>
    </w:p>
    <w:p w14:paraId="58F3F583" w14:textId="77777777" w:rsidR="002C1411" w:rsidRDefault="002C1411" w:rsidP="002C1411">
      <w:pPr>
        <w:rPr>
          <w:rFonts w:ascii="Arial Nova" w:hAnsi="Arial Nova"/>
        </w:rPr>
      </w:pPr>
    </w:p>
    <w:p w14:paraId="7FB69930" w14:textId="11EBA376" w:rsidR="00755C2D" w:rsidRDefault="002C1411" w:rsidP="002C1411">
      <w:pPr>
        <w:rPr>
          <w:rFonts w:ascii="Arial Nova" w:hAnsi="Arial Nova"/>
        </w:rPr>
      </w:pPr>
      <w:r w:rsidRPr="002C1411">
        <w:rPr>
          <w:rFonts w:ascii="Arial Nova" w:hAnsi="Arial Nova"/>
        </w:rPr>
        <w:t xml:space="preserve">Amazon may resolve disputes through cooperation, mediation, negotiation, and open communication. Stakeholders can come to mutually beneficial agreements through negotiation. Serious disputes between departments can be settled through senior management mediation. Stakeholders are encouraged to cooperate rather than compete through collaborative problem-solving. Because </w:t>
      </w:r>
      <w:proofErr w:type="spellStart"/>
      <w:r w:rsidRPr="002C1411">
        <w:rPr>
          <w:rFonts w:ascii="Arial Nova" w:hAnsi="Arial Nova"/>
        </w:rPr>
        <w:t>ConnectPlus</w:t>
      </w:r>
      <w:proofErr w:type="spellEnd"/>
      <w:r w:rsidRPr="002C1411">
        <w:rPr>
          <w:rFonts w:ascii="Arial Nova" w:hAnsi="Arial Nova"/>
        </w:rPr>
        <w:t xml:space="preserve"> will function globally, cross-cultural stakeholder participation is very crucial. Employee attitude, consumer expectations, and communication methods can all be impacted by cultural </w:t>
      </w:r>
      <w:r w:rsidRPr="002C1411">
        <w:rPr>
          <w:rFonts w:ascii="Arial Nova" w:hAnsi="Arial Nova"/>
        </w:rPr>
        <w:lastRenderedPageBreak/>
        <w:t>variations. According to Hofstede's theory of cultural dimensions, people's reactions to organisational change, technology, and leadership are influenced by their cultural values. As a result, Amazon should modify its communication tactics to fit various cultural contexts and offer multilingual assistance as</w:t>
      </w:r>
      <w:r>
        <w:rPr>
          <w:rFonts w:ascii="Arial Nova" w:hAnsi="Arial Nova"/>
        </w:rPr>
        <w:t xml:space="preserve"> </w:t>
      </w:r>
      <w:r w:rsidRPr="002C1411">
        <w:rPr>
          <w:rFonts w:ascii="Arial Nova" w:hAnsi="Arial Nova"/>
        </w:rPr>
        <w:t>Stakeholder participation also heavily relies on ethical issues. Large volumes of consumer data are gathered by AI-driven systems, raising issues with cybersecurity, privacy, and transparency. Amazon needs to make sure that consumer consent is</w:t>
      </w:r>
      <w:r>
        <w:rPr>
          <w:rFonts w:ascii="Arial Nova" w:hAnsi="Arial Nova"/>
        </w:rPr>
        <w:t xml:space="preserve"> </w:t>
      </w:r>
      <w:r w:rsidRPr="002C1411">
        <w:rPr>
          <w:rFonts w:ascii="Arial Nova" w:hAnsi="Arial Nova"/>
        </w:rPr>
        <w:t xml:space="preserve">acquired, and information is safely kept. Because biased AI algorithms may adversely affect recommendations or consumer experiences, ethical AI governance is crucial. Another significant ethical concern is cybersecurity threats. Data breaches have the potential to undermine consumer confidence and damage Amazon's brand. As a result, Amazon needs to make investments in cutting-edge cybersecurity systems and frequent risk analyses. The welfare of employees should also be </w:t>
      </w:r>
      <w:proofErr w:type="gramStart"/>
      <w:r w:rsidRPr="002C1411">
        <w:rPr>
          <w:rFonts w:ascii="Arial Nova" w:hAnsi="Arial Nova"/>
        </w:rPr>
        <w:t>taken into account</w:t>
      </w:r>
      <w:proofErr w:type="gramEnd"/>
      <w:r w:rsidRPr="002C1411">
        <w:rPr>
          <w:rFonts w:ascii="Arial Nova" w:hAnsi="Arial Nova"/>
        </w:rPr>
        <w:t>. Employee stress and uncertainty can result from organisational change. During implementation, training, communication, and support initiatives can lower resistance and boost morale.</w:t>
      </w:r>
    </w:p>
    <w:p w14:paraId="1E43140E" w14:textId="77777777" w:rsidR="002C1411" w:rsidRDefault="002C1411" w:rsidP="002C1411">
      <w:pPr>
        <w:rPr>
          <w:rFonts w:ascii="Arial Nova" w:hAnsi="Arial Nova"/>
        </w:rPr>
      </w:pPr>
    </w:p>
    <w:p w14:paraId="32E0B442" w14:textId="77777777" w:rsidR="002C1411" w:rsidRPr="002C1411" w:rsidRDefault="002C1411" w:rsidP="002C1411">
      <w:pPr>
        <w:rPr>
          <w:rFonts w:ascii="Arial Nova" w:hAnsi="Arial Nova"/>
          <w:b/>
          <w:bCs/>
        </w:rPr>
      </w:pPr>
      <w:r w:rsidRPr="002C1411">
        <w:rPr>
          <w:rFonts w:ascii="Arial Nova" w:hAnsi="Arial Nova"/>
          <w:b/>
          <w:bCs/>
        </w:rPr>
        <w:t>Sustainable Stakeholder Engagement's Effect on Business Performance</w:t>
      </w:r>
    </w:p>
    <w:p w14:paraId="717013CD" w14:textId="77777777" w:rsidR="002C1411" w:rsidRPr="002C1411" w:rsidRDefault="002C1411" w:rsidP="002C1411">
      <w:pPr>
        <w:rPr>
          <w:rFonts w:ascii="Arial Nova" w:hAnsi="Arial Nova"/>
        </w:rPr>
      </w:pPr>
    </w:p>
    <w:p w14:paraId="241A2E0A" w14:textId="06C38EEF" w:rsidR="002C1411" w:rsidRPr="002C1411" w:rsidRDefault="002C1411" w:rsidP="002C1411">
      <w:pPr>
        <w:rPr>
          <w:rFonts w:ascii="Arial Nova" w:hAnsi="Arial Nova"/>
        </w:rPr>
      </w:pPr>
      <w:r w:rsidRPr="002C1411">
        <w:rPr>
          <w:rFonts w:ascii="Arial Nova" w:hAnsi="Arial Nova"/>
        </w:rPr>
        <w:t xml:space="preserve">Amazon's commercial success can be greatly enhanced by sustainable stakeholder involvement. Positive stakeholder relationships increase an organization's chances of long-term success, innovation, and client loyalty (Freeman, Phillips, and Sisodia, 2020). Increased client retention is one of the most significant advantages of stakeholder engagement. With tailored suggestions and incentives, </w:t>
      </w:r>
      <w:proofErr w:type="spellStart"/>
      <w:r w:rsidRPr="002C1411">
        <w:rPr>
          <w:rFonts w:ascii="Arial Nova" w:hAnsi="Arial Nova"/>
        </w:rPr>
        <w:t>ConnectPlus</w:t>
      </w:r>
      <w:proofErr w:type="spellEnd"/>
      <w:r w:rsidRPr="002C1411">
        <w:rPr>
          <w:rFonts w:ascii="Arial Nova" w:hAnsi="Arial Nova"/>
        </w:rPr>
        <w:t xml:space="preserve"> aims to increase client loyalty. Customers are more inclined to stick with Amazon if they feel appreciated and understood. Long-term profitability and client lifetime value are also enhanced by strong customer relationships.</w:t>
      </w:r>
      <w:r w:rsidRPr="002C1411">
        <w:t xml:space="preserve"> </w:t>
      </w:r>
      <w:r w:rsidRPr="002C1411">
        <w:rPr>
          <w:rFonts w:ascii="Arial Nova" w:hAnsi="Arial Nova"/>
        </w:rPr>
        <w:t>Engaging stakeholders can improve Amazon's reputation as a brand. Public trust is increased by competent data management, open communication, and ethical corporate practices. Customers expect businesses to act ethically and safeguard personal information in today's digital world. Customer confidence and brand reputation may suffer if these expectations are not met. Better decision-making is another significant effect. Stakeholders contribute important data, opinions, and insights that help with strategic planning and innovation. While employee insights can spot operational issues early in the project lifecycle, customer feedback can help Amazon enhance platform usability.</w:t>
      </w:r>
      <w:r w:rsidRPr="002C1411">
        <w:t xml:space="preserve"> </w:t>
      </w:r>
      <w:r w:rsidRPr="002C1411">
        <w:rPr>
          <w:rFonts w:ascii="Arial Nova" w:hAnsi="Arial Nova"/>
        </w:rPr>
        <w:t xml:space="preserve">Involving stakeholders can enhance Amazon's brand image. Competent data management, transparent communication, and moral business practices all boost public trust. In today's digital environment, customers expect firms to behave morally and protect personal data. If these expectations are not fulfilled, customer confidence and brand reputation may deteriorate. Another important consequence is improved </w:t>
      </w:r>
      <w:r w:rsidRPr="002C1411">
        <w:rPr>
          <w:rFonts w:ascii="Arial Nova" w:hAnsi="Arial Nova"/>
        </w:rPr>
        <w:lastRenderedPageBreak/>
        <w:t>decision-making. Stakeholders provide crucial information, viewpoints, and insights that support innovation and strategic planning. Customer comments can help Amazon improve platform usability, while employee insights can identify operational problems early in the project lifecycle.</w:t>
      </w:r>
      <w:r w:rsidRPr="002C1411">
        <w:t xml:space="preserve"> </w:t>
      </w:r>
      <w:r w:rsidRPr="002C1411">
        <w:rPr>
          <w:rFonts w:ascii="Arial Nova" w:hAnsi="Arial Nova"/>
        </w:rPr>
        <w:t>words</w:t>
      </w:r>
    </w:p>
    <w:p w14:paraId="1B64FA32" w14:textId="77777777" w:rsidR="002C1411" w:rsidRPr="002C1411" w:rsidRDefault="002C1411" w:rsidP="002C1411">
      <w:pPr>
        <w:rPr>
          <w:rFonts w:ascii="Arial Nova" w:hAnsi="Arial Nova"/>
        </w:rPr>
      </w:pPr>
      <w:r w:rsidRPr="002C1411">
        <w:rPr>
          <w:rFonts w:ascii="Arial Nova" w:hAnsi="Arial Nova"/>
        </w:rPr>
        <w:t>Innovation and operational effectiveness may rise when suppliers and technology pa</w:t>
      </w:r>
    </w:p>
    <w:p w14:paraId="5B0D3E5F" w14:textId="63E1BA7C" w:rsidR="002C1411" w:rsidRDefault="002C1411" w:rsidP="002C1411">
      <w:pPr>
        <w:rPr>
          <w:rFonts w:ascii="Arial Nova" w:hAnsi="Arial Nova"/>
        </w:rPr>
      </w:pPr>
      <w:r w:rsidRPr="002C1411">
        <w:rPr>
          <w:rFonts w:ascii="Arial Nova" w:hAnsi="Arial Nova"/>
        </w:rPr>
        <w:t>Working together with technology partners and suppliers can boost creativity and operational effectiveness. Through outside collaborations, Amazon can gain access to cutting-edge technologies and specialised knowledge that bolster its competitive edge. Long-term financial performance is further supported by sustainable stakeholder involvement. Profitability and shareholder value can rise with increased staff productivity, operational effectiveness, customer satisfaction, and innovation. Organisations that exhibit sound governance, moral leadership, and conscientious stakeholder management are more likely to win over investors.</w:t>
      </w:r>
      <w:r w:rsidRPr="002C1411">
        <w:rPr>
          <w:color w:val="000000"/>
          <w:sz w:val="27"/>
          <w:szCs w:val="27"/>
        </w:rPr>
        <w:t xml:space="preserve"> </w:t>
      </w:r>
      <w:r w:rsidRPr="002C1411">
        <w:rPr>
          <w:rFonts w:ascii="Arial Nova" w:hAnsi="Arial Nova"/>
        </w:rPr>
        <w:t>However, stakeholder engagement also creates challenges. Managing multiple stakeholders across international markets can be expensive and time-consuming. Conflicting stakeholder priorities may slow decision-making processes. Cultural differences and communication barriers can also create misunderstandings. Despite these challenges, the benefits of stakeholder engagement generally outweigh the disadvantages. According to the Chartered Management Institute (2023), organisations with strong stakeholder relationships are more adaptable, innovative, and resilient during periods of change and uncertainty.</w:t>
      </w:r>
      <w:r w:rsidRPr="002C1411">
        <w:t xml:space="preserve"> </w:t>
      </w:r>
      <w:r w:rsidRPr="002C1411">
        <w:rPr>
          <w:rFonts w:ascii="Arial Nova" w:hAnsi="Arial Nova"/>
        </w:rPr>
        <w:t xml:space="preserve">For </w:t>
      </w:r>
      <w:proofErr w:type="spellStart"/>
      <w:r w:rsidRPr="002C1411">
        <w:rPr>
          <w:rFonts w:ascii="Arial Nova" w:hAnsi="Arial Nova"/>
        </w:rPr>
        <w:t>ConnectPlus</w:t>
      </w:r>
      <w:proofErr w:type="spellEnd"/>
      <w:r w:rsidRPr="002C1411">
        <w:rPr>
          <w:rFonts w:ascii="Arial Nova" w:hAnsi="Arial Nova"/>
        </w:rPr>
        <w:t xml:space="preserve"> to be implemented successfully and succeed in the long run, Amazon will need to involve stakeholders in a sustainable manner. Effective engagement strategies can boost a company's competitiveness, customer relationships, trust, and ability to grow sustainably in international markets.</w:t>
      </w:r>
    </w:p>
    <w:p w14:paraId="2E8FC241" w14:textId="77777777" w:rsidR="00755C2D" w:rsidRDefault="00755C2D">
      <w:pPr>
        <w:rPr>
          <w:rFonts w:ascii="Arial Nova" w:hAnsi="Arial Nova"/>
        </w:rPr>
      </w:pPr>
    </w:p>
    <w:p w14:paraId="413F9360" w14:textId="11AA3EAB" w:rsidR="002C1411" w:rsidRPr="002C1411" w:rsidRDefault="002C1411" w:rsidP="002C1411">
      <w:pPr>
        <w:rPr>
          <w:rFonts w:ascii="Arial Nova" w:hAnsi="Arial Nova"/>
          <w:b/>
          <w:bCs/>
        </w:rPr>
      </w:pPr>
      <w:r w:rsidRPr="002C1411">
        <w:rPr>
          <w:rFonts w:ascii="Arial Nova" w:hAnsi="Arial Nova"/>
          <w:b/>
          <w:bCs/>
        </w:rPr>
        <w:t xml:space="preserve">Conclusion and </w:t>
      </w:r>
      <w:r w:rsidRPr="002C1411">
        <w:rPr>
          <w:rFonts w:ascii="Arial Nova" w:hAnsi="Arial Nova"/>
          <w:b/>
          <w:bCs/>
        </w:rPr>
        <w:t>Recommendations</w:t>
      </w:r>
    </w:p>
    <w:p w14:paraId="3F058F8F" w14:textId="77777777" w:rsidR="002C1411" w:rsidRPr="002C1411" w:rsidRDefault="002C1411" w:rsidP="002C1411">
      <w:pPr>
        <w:rPr>
          <w:rFonts w:ascii="Arial Nova" w:hAnsi="Arial Nova"/>
        </w:rPr>
      </w:pPr>
    </w:p>
    <w:p w14:paraId="3BC80176" w14:textId="32B61825" w:rsidR="00755C2D" w:rsidRDefault="002C1411" w:rsidP="002C1411">
      <w:pPr>
        <w:rPr>
          <w:rFonts w:ascii="Arial Nova" w:hAnsi="Arial Nova"/>
        </w:rPr>
      </w:pPr>
      <w:r w:rsidRPr="002C1411">
        <w:rPr>
          <w:rFonts w:ascii="Arial Nova" w:hAnsi="Arial Nova"/>
        </w:rPr>
        <w:t xml:space="preserve">During the </w:t>
      </w:r>
      <w:proofErr w:type="spellStart"/>
      <w:r w:rsidRPr="002C1411">
        <w:rPr>
          <w:rFonts w:ascii="Arial Nova" w:hAnsi="Arial Nova"/>
        </w:rPr>
        <w:t>ConnectPlus</w:t>
      </w:r>
      <w:proofErr w:type="spellEnd"/>
      <w:r w:rsidRPr="002C1411">
        <w:rPr>
          <w:rFonts w:ascii="Arial Nova" w:hAnsi="Arial Nova"/>
        </w:rPr>
        <w:t xml:space="preserve"> launch, Amazon should use </w:t>
      </w:r>
      <w:proofErr w:type="gramStart"/>
      <w:r w:rsidRPr="002C1411">
        <w:rPr>
          <w:rFonts w:ascii="Arial Nova" w:hAnsi="Arial Nova"/>
        </w:rPr>
        <w:t>a number of</w:t>
      </w:r>
      <w:proofErr w:type="gramEnd"/>
      <w:r w:rsidRPr="002C1411">
        <w:rPr>
          <w:rFonts w:ascii="Arial Nova" w:hAnsi="Arial Nova"/>
        </w:rPr>
        <w:t xml:space="preserve"> tactics to increase stakeholder engagement. The business should first create a thorough stakeholder engagement plan that is tailored to various global markets and cultural contexts. This will enhance consumer comprehension and communication. Second, Amazon needs to be more open about how it uses customer data and AI technologies. Consumers' concerns over ethical data and privacy are growing.</w:t>
      </w:r>
      <w:r w:rsidRPr="002C1411">
        <w:rPr>
          <w:color w:val="000000"/>
          <w:sz w:val="27"/>
          <w:szCs w:val="27"/>
        </w:rPr>
        <w:t xml:space="preserve"> </w:t>
      </w:r>
      <w:r w:rsidRPr="002C1411">
        <w:rPr>
          <w:rFonts w:ascii="Arial Nova" w:hAnsi="Arial Nova"/>
        </w:rPr>
        <w:t xml:space="preserve">management, so clear communication about how customer information is collected and protected is essential. Third, continuous employee training programmes should be introduced to improve staff readiness and reduce resistance to change. Employees who understand the purpose and benefits of </w:t>
      </w:r>
      <w:proofErr w:type="spellStart"/>
      <w:r w:rsidRPr="002C1411">
        <w:rPr>
          <w:rFonts w:ascii="Arial Nova" w:hAnsi="Arial Nova"/>
        </w:rPr>
        <w:t>ConnectPlus</w:t>
      </w:r>
      <w:proofErr w:type="spellEnd"/>
      <w:r w:rsidRPr="002C1411">
        <w:rPr>
          <w:rFonts w:ascii="Arial Nova" w:hAnsi="Arial Nova"/>
        </w:rPr>
        <w:t xml:space="preserve"> are more likely to support </w:t>
      </w:r>
      <w:r w:rsidRPr="002C1411">
        <w:rPr>
          <w:rFonts w:ascii="Arial Nova" w:hAnsi="Arial Nova"/>
        </w:rPr>
        <w:lastRenderedPageBreak/>
        <w:t>successful implementation. Fourth, Amazon should strengthen cross-functional collaboration between IT, marketing, finance, customer service, and compliance teams. Agile project management methods may help improve flexibility and teamwork during the project lifecycle.</w:t>
      </w:r>
      <w:r w:rsidRPr="002C1411">
        <w:t xml:space="preserve"> </w:t>
      </w:r>
      <w:r w:rsidRPr="002C1411">
        <w:rPr>
          <w:rFonts w:ascii="Arial Nova" w:hAnsi="Arial Nova"/>
        </w:rPr>
        <w:t xml:space="preserve">Lastly, </w:t>
      </w:r>
      <w:proofErr w:type="gramStart"/>
      <w:r w:rsidRPr="002C1411">
        <w:rPr>
          <w:rFonts w:ascii="Arial Nova" w:hAnsi="Arial Nova"/>
        </w:rPr>
        <w:t>in order to</w:t>
      </w:r>
      <w:proofErr w:type="gramEnd"/>
      <w:r w:rsidRPr="002C1411">
        <w:rPr>
          <w:rFonts w:ascii="Arial Nova" w:hAnsi="Arial Nova"/>
        </w:rPr>
        <w:t xml:space="preserve"> safeguard consumer data and uphold stakeholder confidence, Amazon should make investments in robust cybersecurity systems and frequent risk assessments. In conclusion, the successful launch of </w:t>
      </w:r>
      <w:proofErr w:type="spellStart"/>
      <w:r w:rsidRPr="002C1411">
        <w:rPr>
          <w:rFonts w:ascii="Arial Nova" w:hAnsi="Arial Nova"/>
        </w:rPr>
        <w:t>ConnectPlus</w:t>
      </w:r>
      <w:proofErr w:type="spellEnd"/>
      <w:r w:rsidRPr="002C1411">
        <w:rPr>
          <w:rFonts w:ascii="Arial Nova" w:hAnsi="Arial Nova"/>
        </w:rPr>
        <w:t xml:space="preserve"> at Amazon is largely due to stakeholder participation. Project results, client adoption, compliance, innovation, and organisational success are all impacted by internal and external stakeholders. Stronger stakeholder relationships and increased project success may be achieved by Amazon with the aid of effective stakeholder engagement frameworks like the Power/Interest Matrix, Salience Model, RACI Matrix, and 4Cs framework.</w:t>
      </w:r>
      <w:r w:rsidRPr="002C1411">
        <w:t xml:space="preserve"> </w:t>
      </w:r>
      <w:r w:rsidRPr="002C1411">
        <w:rPr>
          <w:rFonts w:ascii="Arial Nova" w:hAnsi="Arial Nova"/>
        </w:rPr>
        <w:t xml:space="preserve">Sustainable stakeholder involvement can enhance consumer loyalty, employee dedication, brand reputation, and long-term profitability despite potential obstacles such cultural differences, data privacy issues, and competing stakeholder goals. Thus, competent stakeholder management will be crucial to </w:t>
      </w:r>
      <w:proofErr w:type="spellStart"/>
      <w:r w:rsidRPr="002C1411">
        <w:rPr>
          <w:rFonts w:ascii="Arial Nova" w:hAnsi="Arial Nova"/>
        </w:rPr>
        <w:t>ConnectPlus's</w:t>
      </w:r>
      <w:proofErr w:type="spellEnd"/>
      <w:r w:rsidRPr="002C1411">
        <w:rPr>
          <w:rFonts w:ascii="Arial Nova" w:hAnsi="Arial Nova"/>
        </w:rPr>
        <w:t xml:space="preserve"> implementation and widespread adoption.</w:t>
      </w:r>
    </w:p>
    <w:p w14:paraId="53B1AD9F" w14:textId="77777777" w:rsidR="002C1411" w:rsidRDefault="002C1411" w:rsidP="002C1411">
      <w:pPr>
        <w:rPr>
          <w:rFonts w:ascii="Arial Nova" w:hAnsi="Arial Nova"/>
        </w:rPr>
      </w:pPr>
    </w:p>
    <w:p w14:paraId="610DC037" w14:textId="77777777" w:rsidR="002C1411" w:rsidRDefault="002C1411" w:rsidP="002C1411">
      <w:pPr>
        <w:rPr>
          <w:rFonts w:ascii="Arial Nova" w:hAnsi="Arial Nova"/>
        </w:rPr>
      </w:pPr>
    </w:p>
    <w:p w14:paraId="32D32B06" w14:textId="77777777" w:rsidR="002C1411" w:rsidRDefault="002C1411" w:rsidP="002C1411">
      <w:pPr>
        <w:rPr>
          <w:rFonts w:ascii="Arial Nova" w:hAnsi="Arial Nova"/>
        </w:rPr>
      </w:pPr>
    </w:p>
    <w:p w14:paraId="5C4EDD8A" w14:textId="77777777" w:rsidR="002C1411" w:rsidRDefault="002C1411" w:rsidP="002C1411">
      <w:pPr>
        <w:rPr>
          <w:rFonts w:ascii="Arial Nova" w:hAnsi="Arial Nova"/>
        </w:rPr>
      </w:pPr>
    </w:p>
    <w:p w14:paraId="096A1082" w14:textId="77777777" w:rsidR="002C1411" w:rsidRDefault="002C1411" w:rsidP="002C1411">
      <w:pPr>
        <w:rPr>
          <w:rFonts w:ascii="Arial Nova" w:hAnsi="Arial Nova"/>
        </w:rPr>
      </w:pPr>
    </w:p>
    <w:p w14:paraId="5F194D2E" w14:textId="77777777" w:rsidR="002C1411" w:rsidRDefault="002C1411" w:rsidP="002C1411">
      <w:pPr>
        <w:rPr>
          <w:rFonts w:ascii="Arial Nova" w:hAnsi="Arial Nova"/>
        </w:rPr>
      </w:pPr>
    </w:p>
    <w:p w14:paraId="2F9F3B33" w14:textId="77777777" w:rsidR="002C1411" w:rsidRDefault="002C1411" w:rsidP="002C1411">
      <w:pPr>
        <w:rPr>
          <w:rFonts w:ascii="Arial Nova" w:hAnsi="Arial Nova"/>
        </w:rPr>
      </w:pPr>
    </w:p>
    <w:p w14:paraId="7322C8D6" w14:textId="77777777" w:rsidR="002C1411" w:rsidRDefault="002C1411" w:rsidP="002C1411">
      <w:pPr>
        <w:rPr>
          <w:rFonts w:ascii="Arial Nova" w:hAnsi="Arial Nova"/>
        </w:rPr>
      </w:pPr>
    </w:p>
    <w:p w14:paraId="7507E1F0" w14:textId="77777777" w:rsidR="002C1411" w:rsidRDefault="002C1411" w:rsidP="002C1411">
      <w:pPr>
        <w:rPr>
          <w:rFonts w:ascii="Arial Nova" w:hAnsi="Arial Nova"/>
        </w:rPr>
      </w:pPr>
    </w:p>
    <w:p w14:paraId="5104F2DE" w14:textId="77777777" w:rsidR="002C1411" w:rsidRDefault="002C1411" w:rsidP="002C1411">
      <w:pPr>
        <w:rPr>
          <w:rFonts w:ascii="Arial Nova" w:hAnsi="Arial Nova"/>
        </w:rPr>
      </w:pPr>
    </w:p>
    <w:p w14:paraId="27EB7209" w14:textId="77777777" w:rsidR="002C1411" w:rsidRDefault="002C1411" w:rsidP="002C1411">
      <w:pPr>
        <w:rPr>
          <w:rFonts w:ascii="Arial Nova" w:hAnsi="Arial Nova"/>
        </w:rPr>
      </w:pPr>
    </w:p>
    <w:p w14:paraId="431CF4FE" w14:textId="77777777" w:rsidR="002C1411" w:rsidRDefault="002C1411" w:rsidP="002C1411">
      <w:pPr>
        <w:rPr>
          <w:rFonts w:ascii="Arial Nova" w:hAnsi="Arial Nova"/>
        </w:rPr>
      </w:pPr>
    </w:p>
    <w:p w14:paraId="27C47060" w14:textId="77777777" w:rsidR="002C1411" w:rsidRDefault="002C1411" w:rsidP="002C1411">
      <w:pPr>
        <w:rPr>
          <w:rFonts w:ascii="Arial Nova" w:hAnsi="Arial Nova"/>
        </w:rPr>
      </w:pPr>
    </w:p>
    <w:p w14:paraId="4B8580D2" w14:textId="77777777" w:rsidR="002C1411" w:rsidRDefault="002C1411" w:rsidP="002C1411">
      <w:pPr>
        <w:rPr>
          <w:rFonts w:ascii="Arial Nova" w:hAnsi="Arial Nova"/>
        </w:rPr>
      </w:pPr>
    </w:p>
    <w:p w14:paraId="6A47268C" w14:textId="77777777" w:rsidR="002C1411" w:rsidRDefault="002C1411" w:rsidP="002C1411">
      <w:pPr>
        <w:rPr>
          <w:rFonts w:ascii="Arial Nova" w:hAnsi="Arial Nova"/>
        </w:rPr>
      </w:pPr>
    </w:p>
    <w:p w14:paraId="4F4A5965" w14:textId="77777777" w:rsidR="002C1411" w:rsidRDefault="002C1411" w:rsidP="002C1411">
      <w:pPr>
        <w:rPr>
          <w:rFonts w:ascii="Arial Nova" w:hAnsi="Arial Nova"/>
        </w:rPr>
      </w:pPr>
    </w:p>
    <w:p w14:paraId="2B241969" w14:textId="77777777" w:rsidR="002C1411" w:rsidRDefault="002C1411" w:rsidP="002C1411">
      <w:pPr>
        <w:rPr>
          <w:rFonts w:ascii="Arial Nova" w:hAnsi="Arial Nova"/>
        </w:rPr>
      </w:pPr>
    </w:p>
    <w:p w14:paraId="5EC19FC1" w14:textId="77777777" w:rsidR="002C1411" w:rsidRDefault="002C1411" w:rsidP="002C1411">
      <w:pPr>
        <w:rPr>
          <w:rFonts w:ascii="Arial Nova" w:hAnsi="Arial Nova"/>
        </w:rPr>
      </w:pPr>
    </w:p>
    <w:p w14:paraId="0457C00B" w14:textId="77777777" w:rsidR="002C1411" w:rsidRPr="002C1411" w:rsidRDefault="002C1411" w:rsidP="002C1411">
      <w:pPr>
        <w:rPr>
          <w:rFonts w:ascii="Arial Nova" w:hAnsi="Arial Nova"/>
          <w:b/>
          <w:bCs/>
        </w:rPr>
      </w:pPr>
      <w:r w:rsidRPr="002C1411">
        <w:rPr>
          <w:rFonts w:ascii="Arial Nova" w:hAnsi="Arial Nova"/>
          <w:b/>
          <w:bCs/>
        </w:rPr>
        <w:t>References</w:t>
      </w:r>
    </w:p>
    <w:p w14:paraId="356F2264" w14:textId="77777777" w:rsidR="002C1411" w:rsidRPr="002C1411" w:rsidRDefault="002C1411" w:rsidP="002C1411">
      <w:pPr>
        <w:rPr>
          <w:rFonts w:ascii="Arial Nova" w:hAnsi="Arial Nova"/>
        </w:rPr>
      </w:pPr>
      <w:r w:rsidRPr="002C1411">
        <w:rPr>
          <w:rFonts w:ascii="Arial Nova" w:hAnsi="Arial Nova"/>
        </w:rPr>
        <w:t>Amazon (2024) Annual Report 2024. Seattle: Amazon Inc.</w:t>
      </w:r>
    </w:p>
    <w:p w14:paraId="0387193E" w14:textId="77777777" w:rsidR="002C1411" w:rsidRPr="002C1411" w:rsidRDefault="002C1411" w:rsidP="002C1411">
      <w:pPr>
        <w:rPr>
          <w:rFonts w:ascii="Arial Nova" w:hAnsi="Arial Nova"/>
        </w:rPr>
      </w:pPr>
      <w:r w:rsidRPr="002C1411">
        <w:rPr>
          <w:rFonts w:ascii="Arial Nova" w:hAnsi="Arial Nova"/>
        </w:rPr>
        <w:t xml:space="preserve">Bourne, L. (2022) Stakeholder Relationship Management: A Maturity Model for Organisational Implementation. 2nd </w:t>
      </w:r>
      <w:proofErr w:type="spellStart"/>
      <w:r w:rsidRPr="002C1411">
        <w:rPr>
          <w:rFonts w:ascii="Arial Nova" w:hAnsi="Arial Nova"/>
        </w:rPr>
        <w:t>edn</w:t>
      </w:r>
      <w:proofErr w:type="spellEnd"/>
      <w:r w:rsidRPr="002C1411">
        <w:rPr>
          <w:rFonts w:ascii="Arial Nova" w:hAnsi="Arial Nova"/>
        </w:rPr>
        <w:t>. London: Routledge.</w:t>
      </w:r>
    </w:p>
    <w:p w14:paraId="70E01ADD" w14:textId="77777777" w:rsidR="002C1411" w:rsidRPr="002C1411" w:rsidRDefault="002C1411" w:rsidP="002C1411">
      <w:pPr>
        <w:rPr>
          <w:rFonts w:ascii="Arial Nova" w:hAnsi="Arial Nova"/>
        </w:rPr>
      </w:pPr>
      <w:r w:rsidRPr="002C1411">
        <w:rPr>
          <w:rFonts w:ascii="Arial Nova" w:hAnsi="Arial Nova"/>
        </w:rPr>
        <w:t xml:space="preserve">Bryson, J. (2021) Strategic Planning for Public and Nonprofit Organizations. 6th </w:t>
      </w:r>
      <w:proofErr w:type="spellStart"/>
      <w:r w:rsidRPr="002C1411">
        <w:rPr>
          <w:rFonts w:ascii="Arial Nova" w:hAnsi="Arial Nova"/>
        </w:rPr>
        <w:t>edn</w:t>
      </w:r>
      <w:proofErr w:type="spellEnd"/>
      <w:r w:rsidRPr="002C1411">
        <w:rPr>
          <w:rFonts w:ascii="Arial Nova" w:hAnsi="Arial Nova"/>
        </w:rPr>
        <w:t>. Hoboken: Wiley.</w:t>
      </w:r>
    </w:p>
    <w:p w14:paraId="60738B17" w14:textId="77777777" w:rsidR="002C1411" w:rsidRPr="002C1411" w:rsidRDefault="002C1411" w:rsidP="002C1411">
      <w:pPr>
        <w:rPr>
          <w:rFonts w:ascii="Arial Nova" w:hAnsi="Arial Nova"/>
        </w:rPr>
      </w:pPr>
      <w:r w:rsidRPr="002C1411">
        <w:rPr>
          <w:rFonts w:ascii="Arial Nova" w:hAnsi="Arial Nova"/>
        </w:rPr>
        <w:t>Chartered Management Institute (2023) Managing Stakeholder Relationships in Digital Organisations. London: CMI.</w:t>
      </w:r>
    </w:p>
    <w:p w14:paraId="4BABE678" w14:textId="77777777" w:rsidR="002C1411" w:rsidRPr="002C1411" w:rsidRDefault="002C1411" w:rsidP="002C1411">
      <w:pPr>
        <w:rPr>
          <w:rFonts w:ascii="Arial Nova" w:hAnsi="Arial Nova"/>
        </w:rPr>
      </w:pPr>
      <w:r w:rsidRPr="002C1411">
        <w:rPr>
          <w:rFonts w:ascii="Arial Nova" w:hAnsi="Arial Nova"/>
        </w:rPr>
        <w:t>Freeman, R.E. (1984) Strategic Management: A Stakeholder Approach. Boston: Pitman.</w:t>
      </w:r>
    </w:p>
    <w:p w14:paraId="1CB55FC4" w14:textId="77777777" w:rsidR="002C1411" w:rsidRPr="002C1411" w:rsidRDefault="002C1411" w:rsidP="002C1411">
      <w:pPr>
        <w:rPr>
          <w:rFonts w:ascii="Arial Nova" w:hAnsi="Arial Nova"/>
        </w:rPr>
      </w:pPr>
      <w:r w:rsidRPr="002C1411">
        <w:rPr>
          <w:rFonts w:ascii="Arial Nova" w:hAnsi="Arial Nova"/>
        </w:rPr>
        <w:t>Freeman, R.E., Phillips, R. and Sisodia, R. (2020) Tensions in Stakeholder Theory. Business and Society, 59(2), pp.213–231.</w:t>
      </w:r>
    </w:p>
    <w:p w14:paraId="75279155" w14:textId="77777777" w:rsidR="002C1411" w:rsidRPr="002C1411" w:rsidRDefault="002C1411" w:rsidP="002C1411">
      <w:pPr>
        <w:rPr>
          <w:rFonts w:ascii="Arial Nova" w:hAnsi="Arial Nova"/>
        </w:rPr>
      </w:pPr>
      <w:r w:rsidRPr="002C1411">
        <w:rPr>
          <w:rFonts w:ascii="Arial Nova" w:hAnsi="Arial Nova"/>
        </w:rPr>
        <w:t>Harrison, J., Barney, J., Freeman, R. and Phillips, R. (2021) The Cambridge Handbook of Stakeholder Theory. Cambridge: Cambridge University Press.</w:t>
      </w:r>
    </w:p>
    <w:p w14:paraId="09FF4D63" w14:textId="77777777" w:rsidR="002C1411" w:rsidRPr="002C1411" w:rsidRDefault="002C1411" w:rsidP="002C1411">
      <w:pPr>
        <w:rPr>
          <w:rFonts w:ascii="Arial Nova" w:hAnsi="Arial Nova"/>
        </w:rPr>
      </w:pPr>
      <w:r w:rsidRPr="002C1411">
        <w:rPr>
          <w:rFonts w:ascii="Arial Nova" w:hAnsi="Arial Nova"/>
        </w:rPr>
        <w:t>Hofstede Insights (2022) National Culture Dimensions. Available at: https://www.hofstede-insights.com</w:t>
      </w:r>
    </w:p>
    <w:p w14:paraId="22488AD6" w14:textId="77777777" w:rsidR="002C1411" w:rsidRPr="002C1411" w:rsidRDefault="002C1411" w:rsidP="002C1411">
      <w:pPr>
        <w:rPr>
          <w:rFonts w:ascii="Arial Nova" w:hAnsi="Arial Nova"/>
        </w:rPr>
      </w:pPr>
      <w:r w:rsidRPr="002C1411">
        <w:rPr>
          <w:rFonts w:ascii="Arial Nova" w:hAnsi="Arial Nova"/>
        </w:rPr>
        <w:t xml:space="preserve">Kerzner, H. (2022) Project Management: A Systems Approach to Planning, Scheduling, and Controlling. 13th </w:t>
      </w:r>
      <w:proofErr w:type="spellStart"/>
      <w:r w:rsidRPr="002C1411">
        <w:rPr>
          <w:rFonts w:ascii="Arial Nova" w:hAnsi="Arial Nova"/>
        </w:rPr>
        <w:t>edn</w:t>
      </w:r>
      <w:proofErr w:type="spellEnd"/>
      <w:r w:rsidRPr="002C1411">
        <w:rPr>
          <w:rFonts w:ascii="Arial Nova" w:hAnsi="Arial Nova"/>
        </w:rPr>
        <w:t>. Hoboken: Wiley.</w:t>
      </w:r>
    </w:p>
    <w:p w14:paraId="5402EC3D" w14:textId="77777777" w:rsidR="002C1411" w:rsidRPr="002C1411" w:rsidRDefault="002C1411" w:rsidP="002C1411">
      <w:pPr>
        <w:rPr>
          <w:rFonts w:ascii="Arial Nova" w:hAnsi="Arial Nova"/>
        </w:rPr>
      </w:pPr>
      <w:r w:rsidRPr="002C1411">
        <w:rPr>
          <w:rFonts w:ascii="Arial Nova" w:hAnsi="Arial Nova"/>
        </w:rPr>
        <w:t>Kotter, J. (2021) Leading Change in a Digital Age. Harvard Business Review Press.</w:t>
      </w:r>
    </w:p>
    <w:p w14:paraId="0F2DB85B" w14:textId="77777777" w:rsidR="002C1411" w:rsidRPr="002C1411" w:rsidRDefault="002C1411" w:rsidP="002C1411">
      <w:pPr>
        <w:rPr>
          <w:rFonts w:ascii="Arial Nova" w:hAnsi="Arial Nova"/>
        </w:rPr>
      </w:pPr>
      <w:r w:rsidRPr="002C1411">
        <w:rPr>
          <w:rFonts w:ascii="Arial Nova" w:hAnsi="Arial Nova"/>
        </w:rPr>
        <w:t>Mitchell, R., Agle, B. and Wood, D. (1997) Toward a Theory of Stakeholder Identification and Salience. Academy of Management Review, 22(4), pp.853–886.</w:t>
      </w:r>
    </w:p>
    <w:p w14:paraId="68062684" w14:textId="77777777" w:rsidR="002C1411" w:rsidRPr="002C1411" w:rsidRDefault="002C1411" w:rsidP="002C1411">
      <w:pPr>
        <w:rPr>
          <w:rFonts w:ascii="Arial Nova" w:hAnsi="Arial Nova"/>
        </w:rPr>
      </w:pPr>
      <w:r w:rsidRPr="002C1411">
        <w:rPr>
          <w:rFonts w:ascii="Arial Nova" w:hAnsi="Arial Nova"/>
        </w:rPr>
        <w:t xml:space="preserve">Project Management Institute (2021) A Guide to the Project Management Body of Knowledge (PMBOK Guide). 7th </w:t>
      </w:r>
      <w:proofErr w:type="spellStart"/>
      <w:r w:rsidRPr="002C1411">
        <w:rPr>
          <w:rFonts w:ascii="Arial Nova" w:hAnsi="Arial Nova"/>
        </w:rPr>
        <w:t>edn</w:t>
      </w:r>
      <w:proofErr w:type="spellEnd"/>
      <w:r w:rsidRPr="002C1411">
        <w:rPr>
          <w:rFonts w:ascii="Arial Nova" w:hAnsi="Arial Nova"/>
        </w:rPr>
        <w:t>. Pennsylvania: PMI.</w:t>
      </w:r>
    </w:p>
    <w:p w14:paraId="4F007D47" w14:textId="77777777" w:rsidR="002C1411" w:rsidRPr="002C1411" w:rsidRDefault="002C1411" w:rsidP="002C1411">
      <w:pPr>
        <w:rPr>
          <w:rFonts w:ascii="Arial Nova" w:hAnsi="Arial Nova"/>
        </w:rPr>
      </w:pPr>
      <w:r w:rsidRPr="002C1411">
        <w:rPr>
          <w:rFonts w:ascii="Arial Nova" w:hAnsi="Arial Nova"/>
        </w:rPr>
        <w:t xml:space="preserve">Schwalbe, K. (2022) Information Technology Project Management. 10th </w:t>
      </w:r>
      <w:proofErr w:type="spellStart"/>
      <w:r w:rsidRPr="002C1411">
        <w:rPr>
          <w:rFonts w:ascii="Arial Nova" w:hAnsi="Arial Nova"/>
        </w:rPr>
        <w:t>edn</w:t>
      </w:r>
      <w:proofErr w:type="spellEnd"/>
      <w:r w:rsidRPr="002C1411">
        <w:rPr>
          <w:rFonts w:ascii="Arial Nova" w:hAnsi="Arial Nova"/>
        </w:rPr>
        <w:t>. Boston: Cengage.</w:t>
      </w:r>
    </w:p>
    <w:p w14:paraId="60D2F923" w14:textId="77777777" w:rsidR="002C1411" w:rsidRPr="002C1411" w:rsidRDefault="002C1411" w:rsidP="002C1411">
      <w:pPr>
        <w:rPr>
          <w:rFonts w:ascii="Arial Nova" w:hAnsi="Arial Nova"/>
        </w:rPr>
      </w:pPr>
      <w:r w:rsidRPr="002C1411">
        <w:rPr>
          <w:rFonts w:ascii="Arial Nova" w:hAnsi="Arial Nova"/>
        </w:rPr>
        <w:t>Tapscott, D. (2021) Digital Economy: Promise and Peril in the Age of Networked Intelligence. New York: McGraw-Hill.</w:t>
      </w:r>
    </w:p>
    <w:p w14:paraId="18ACA695" w14:textId="77777777" w:rsidR="002C1411" w:rsidRPr="002C1411" w:rsidRDefault="002C1411" w:rsidP="002C1411">
      <w:pPr>
        <w:rPr>
          <w:rFonts w:ascii="Arial Nova" w:hAnsi="Arial Nova"/>
        </w:rPr>
      </w:pPr>
      <w:r w:rsidRPr="002C1411">
        <w:rPr>
          <w:rFonts w:ascii="Arial Nova" w:hAnsi="Arial Nova"/>
        </w:rPr>
        <w:t>Thompson, A. (2023) Stakeholder Engagement in International Digital Transformation Projects. International Journal of Project Management, 41(3), pp.233–248.</w:t>
      </w:r>
    </w:p>
    <w:p w14:paraId="327F6710" w14:textId="77777777" w:rsidR="002C1411" w:rsidRPr="002C1411" w:rsidRDefault="002C1411" w:rsidP="002C1411">
      <w:pPr>
        <w:rPr>
          <w:rFonts w:ascii="Arial Nova" w:hAnsi="Arial Nova"/>
        </w:rPr>
      </w:pPr>
      <w:r w:rsidRPr="002C1411">
        <w:rPr>
          <w:rFonts w:ascii="Arial Nova" w:hAnsi="Arial Nova"/>
        </w:rPr>
        <w:t>Westerman, G., Bonnet, D. and McAfee, A. (2022) Leading Digital Transformation. Boston: Harvard Business Review Press.</w:t>
      </w:r>
    </w:p>
    <w:p w14:paraId="2677C524" w14:textId="77777777" w:rsidR="002C1411" w:rsidRDefault="002C1411" w:rsidP="002C1411">
      <w:pPr>
        <w:rPr>
          <w:rFonts w:ascii="Arial Nova" w:hAnsi="Arial Nova"/>
        </w:rPr>
      </w:pPr>
    </w:p>
    <w:p w14:paraId="527AA1DA" w14:textId="77777777" w:rsidR="00755C2D" w:rsidRDefault="00755C2D">
      <w:pPr>
        <w:rPr>
          <w:rFonts w:ascii="Arial Nova" w:hAnsi="Arial Nova"/>
        </w:rPr>
      </w:pPr>
    </w:p>
    <w:p w14:paraId="270215DE" w14:textId="77777777" w:rsidR="00755C2D" w:rsidRDefault="00755C2D">
      <w:pPr>
        <w:rPr>
          <w:rFonts w:ascii="Arial Nova" w:hAnsi="Arial Nova"/>
        </w:rPr>
      </w:pPr>
    </w:p>
    <w:p w14:paraId="26C303BE" w14:textId="77777777" w:rsidR="00755C2D" w:rsidRDefault="00755C2D">
      <w:pPr>
        <w:rPr>
          <w:rFonts w:ascii="Arial Nova" w:hAnsi="Arial Nova"/>
        </w:rPr>
      </w:pPr>
    </w:p>
    <w:p w14:paraId="3CC30239" w14:textId="77777777" w:rsidR="00755C2D" w:rsidRDefault="00755C2D">
      <w:pPr>
        <w:rPr>
          <w:rFonts w:ascii="Arial Nova" w:hAnsi="Arial Nova"/>
        </w:rPr>
      </w:pPr>
    </w:p>
    <w:p w14:paraId="47F44DF3" w14:textId="77777777" w:rsidR="00755C2D" w:rsidRPr="00755C2D" w:rsidRDefault="00755C2D">
      <w:pPr>
        <w:rPr>
          <w:rFonts w:ascii="Arial Nova" w:hAnsi="Arial Nova"/>
          <w:sz w:val="32"/>
          <w:szCs w:val="32"/>
        </w:rPr>
      </w:pPr>
    </w:p>
    <w:p w14:paraId="7F24BB73" w14:textId="5DA255E9" w:rsidR="00755C2D" w:rsidRDefault="00755C2D">
      <w:pPr>
        <w:rPr>
          <w:rFonts w:ascii="Arial Nova" w:hAnsi="Arial Nova"/>
          <w:sz w:val="32"/>
          <w:szCs w:val="32"/>
        </w:rPr>
      </w:pPr>
      <w:r w:rsidRPr="00755C2D">
        <w:rPr>
          <w:rFonts w:ascii="Arial Nova" w:hAnsi="Arial Nova"/>
          <w:sz w:val="32"/>
          <w:szCs w:val="32"/>
        </w:rPr>
        <w:t xml:space="preserve">Summary </w:t>
      </w:r>
    </w:p>
    <w:p w14:paraId="626F7F50" w14:textId="77777777" w:rsidR="00755C2D" w:rsidRDefault="00755C2D">
      <w:pPr>
        <w:rPr>
          <w:rFonts w:ascii="Arial Nova" w:hAnsi="Arial Nova"/>
          <w:sz w:val="32"/>
          <w:szCs w:val="32"/>
        </w:rPr>
      </w:pPr>
    </w:p>
    <w:p w14:paraId="7EA2F773" w14:textId="77777777" w:rsidR="00755C2D" w:rsidRDefault="00755C2D">
      <w:pPr>
        <w:rPr>
          <w:rFonts w:ascii="Arial Nova" w:hAnsi="Arial Nova"/>
          <w:sz w:val="32"/>
          <w:szCs w:val="32"/>
        </w:rPr>
      </w:pPr>
    </w:p>
    <w:p w14:paraId="7B0D9808" w14:textId="77777777" w:rsidR="00755C2D" w:rsidRDefault="00755C2D">
      <w:pPr>
        <w:rPr>
          <w:rFonts w:ascii="Arial Nova" w:hAnsi="Arial Nova"/>
          <w:sz w:val="32"/>
          <w:szCs w:val="32"/>
        </w:rPr>
      </w:pPr>
    </w:p>
    <w:p w14:paraId="17EC974D" w14:textId="77777777" w:rsidR="00755C2D" w:rsidRDefault="00755C2D">
      <w:pPr>
        <w:rPr>
          <w:rFonts w:ascii="Arial Nova" w:hAnsi="Arial Nova"/>
          <w:sz w:val="32"/>
          <w:szCs w:val="32"/>
        </w:rPr>
      </w:pPr>
    </w:p>
    <w:p w14:paraId="2A76D718" w14:textId="77777777" w:rsidR="00755C2D" w:rsidRDefault="00755C2D">
      <w:pPr>
        <w:rPr>
          <w:rFonts w:ascii="Arial Nova" w:hAnsi="Arial Nova"/>
          <w:sz w:val="32"/>
          <w:szCs w:val="32"/>
        </w:rPr>
      </w:pPr>
    </w:p>
    <w:p w14:paraId="5E70545A" w14:textId="77777777" w:rsidR="00755C2D" w:rsidRDefault="00755C2D">
      <w:pPr>
        <w:rPr>
          <w:rFonts w:ascii="Arial Nova" w:hAnsi="Arial Nova"/>
          <w:sz w:val="32"/>
          <w:szCs w:val="32"/>
        </w:rPr>
      </w:pPr>
    </w:p>
    <w:p w14:paraId="1F390E16" w14:textId="77777777" w:rsidR="00755C2D" w:rsidRDefault="00755C2D">
      <w:pPr>
        <w:rPr>
          <w:rFonts w:ascii="Arial Nova" w:hAnsi="Arial Nova"/>
          <w:sz w:val="32"/>
          <w:szCs w:val="32"/>
        </w:rPr>
      </w:pPr>
    </w:p>
    <w:p w14:paraId="6862A64D" w14:textId="77777777" w:rsidR="00755C2D" w:rsidRDefault="00755C2D">
      <w:pPr>
        <w:rPr>
          <w:rFonts w:ascii="Arial Nova" w:hAnsi="Arial Nova"/>
          <w:sz w:val="32"/>
          <w:szCs w:val="32"/>
        </w:rPr>
      </w:pPr>
    </w:p>
    <w:p w14:paraId="3A511578" w14:textId="77777777" w:rsidR="00755C2D" w:rsidRDefault="00755C2D">
      <w:pPr>
        <w:rPr>
          <w:rFonts w:ascii="Arial Nova" w:hAnsi="Arial Nova"/>
          <w:sz w:val="32"/>
          <w:szCs w:val="32"/>
        </w:rPr>
      </w:pPr>
    </w:p>
    <w:p w14:paraId="5B050764" w14:textId="77777777" w:rsidR="00755C2D" w:rsidRDefault="00755C2D">
      <w:pPr>
        <w:rPr>
          <w:rFonts w:ascii="Arial Nova" w:hAnsi="Arial Nova"/>
          <w:sz w:val="32"/>
          <w:szCs w:val="32"/>
        </w:rPr>
      </w:pPr>
    </w:p>
    <w:p w14:paraId="7D19F464" w14:textId="77777777" w:rsidR="00755C2D" w:rsidRDefault="00755C2D">
      <w:pPr>
        <w:rPr>
          <w:rFonts w:ascii="Arial Nova" w:hAnsi="Arial Nova"/>
          <w:sz w:val="32"/>
          <w:szCs w:val="32"/>
        </w:rPr>
      </w:pPr>
    </w:p>
    <w:p w14:paraId="0AD94BEA" w14:textId="77777777" w:rsidR="00755C2D" w:rsidRDefault="00755C2D">
      <w:pPr>
        <w:rPr>
          <w:rFonts w:ascii="Arial Nova" w:hAnsi="Arial Nova"/>
          <w:sz w:val="32"/>
          <w:szCs w:val="32"/>
        </w:rPr>
      </w:pPr>
    </w:p>
    <w:p w14:paraId="796F9380" w14:textId="77777777" w:rsidR="00755C2D" w:rsidRDefault="00755C2D">
      <w:pPr>
        <w:rPr>
          <w:rFonts w:ascii="Arial Nova" w:hAnsi="Arial Nova"/>
          <w:sz w:val="32"/>
          <w:szCs w:val="32"/>
        </w:rPr>
      </w:pPr>
    </w:p>
    <w:p w14:paraId="1EF0ED0B" w14:textId="77777777" w:rsidR="00755C2D" w:rsidRDefault="00755C2D">
      <w:pPr>
        <w:rPr>
          <w:rFonts w:ascii="Arial Nova" w:hAnsi="Arial Nova"/>
          <w:sz w:val="32"/>
          <w:szCs w:val="32"/>
        </w:rPr>
      </w:pPr>
    </w:p>
    <w:p w14:paraId="0FDEE46A" w14:textId="77777777" w:rsidR="00755C2D" w:rsidRDefault="00755C2D">
      <w:pPr>
        <w:rPr>
          <w:rFonts w:ascii="Arial Nova" w:hAnsi="Arial Nova"/>
          <w:sz w:val="32"/>
          <w:szCs w:val="32"/>
        </w:rPr>
      </w:pPr>
    </w:p>
    <w:p w14:paraId="53441781" w14:textId="77777777" w:rsidR="00755C2D" w:rsidRDefault="00755C2D">
      <w:pPr>
        <w:rPr>
          <w:rFonts w:ascii="Arial Nova" w:hAnsi="Arial Nova"/>
          <w:sz w:val="32"/>
          <w:szCs w:val="32"/>
        </w:rPr>
      </w:pPr>
    </w:p>
    <w:p w14:paraId="0996A1A8" w14:textId="77777777" w:rsidR="00755C2D" w:rsidRDefault="00755C2D">
      <w:pPr>
        <w:rPr>
          <w:rFonts w:ascii="Arial Nova" w:hAnsi="Arial Nova"/>
          <w:sz w:val="32"/>
          <w:szCs w:val="32"/>
        </w:rPr>
      </w:pPr>
    </w:p>
    <w:p w14:paraId="6FF9B047" w14:textId="77777777" w:rsidR="00755C2D" w:rsidRDefault="00755C2D">
      <w:pPr>
        <w:rPr>
          <w:rFonts w:ascii="Arial Nova" w:hAnsi="Arial Nova"/>
          <w:sz w:val="32"/>
          <w:szCs w:val="32"/>
        </w:rPr>
      </w:pPr>
    </w:p>
    <w:p w14:paraId="066C7598" w14:textId="77777777" w:rsidR="00755C2D" w:rsidRDefault="00755C2D">
      <w:pPr>
        <w:rPr>
          <w:rFonts w:ascii="Arial Nova" w:hAnsi="Arial Nova"/>
          <w:sz w:val="32"/>
          <w:szCs w:val="32"/>
        </w:rPr>
      </w:pPr>
    </w:p>
    <w:p w14:paraId="258FB7BE" w14:textId="77777777" w:rsidR="00755C2D" w:rsidRDefault="00755C2D">
      <w:pPr>
        <w:rPr>
          <w:rFonts w:ascii="Arial Nova" w:hAnsi="Arial Nova"/>
          <w:sz w:val="32"/>
          <w:szCs w:val="32"/>
        </w:rPr>
      </w:pPr>
    </w:p>
    <w:p w14:paraId="36D687F1" w14:textId="77777777" w:rsidR="00755C2D" w:rsidRDefault="00755C2D">
      <w:pPr>
        <w:rPr>
          <w:rFonts w:ascii="Arial Nova" w:hAnsi="Arial Nova"/>
          <w:sz w:val="32"/>
          <w:szCs w:val="32"/>
        </w:rPr>
      </w:pPr>
    </w:p>
    <w:p w14:paraId="65A8562B" w14:textId="5E31C110" w:rsidR="00755C2D" w:rsidRDefault="00755C2D">
      <w:pPr>
        <w:rPr>
          <w:rFonts w:ascii="Arial Nova" w:hAnsi="Arial Nova"/>
          <w:sz w:val="32"/>
          <w:szCs w:val="32"/>
        </w:rPr>
      </w:pPr>
      <w:r>
        <w:rPr>
          <w:rFonts w:ascii="Arial Nova" w:hAnsi="Arial Nova"/>
          <w:sz w:val="32"/>
          <w:szCs w:val="32"/>
        </w:rPr>
        <w:t>Process flow of stake holder engagement</w:t>
      </w:r>
    </w:p>
    <w:p w14:paraId="12DD8F2B" w14:textId="77777777" w:rsidR="00755C2D" w:rsidRDefault="00755C2D">
      <w:pPr>
        <w:rPr>
          <w:rFonts w:ascii="Arial Nova" w:hAnsi="Arial Nova"/>
          <w:sz w:val="32"/>
          <w:szCs w:val="32"/>
        </w:rPr>
      </w:pPr>
    </w:p>
    <w:p w14:paraId="5E5E4DFB" w14:textId="2B121E40" w:rsidR="00755C2D" w:rsidRPr="00755C2D" w:rsidRDefault="009B16E8">
      <w:pPr>
        <w:rPr>
          <w:rFonts w:ascii="Arial Nova" w:hAnsi="Arial Nova"/>
          <w:sz w:val="32"/>
          <w:szCs w:val="32"/>
        </w:rPr>
      </w:pPr>
      <w:r>
        <w:rPr>
          <w:rFonts w:ascii="Arial Nova" w:hAnsi="Arial Nova"/>
          <w:noProof/>
          <w:sz w:val="32"/>
          <w:szCs w:val="32"/>
        </w:rPr>
        <w:drawing>
          <wp:inline distT="0" distB="0" distL="0" distR="0" wp14:anchorId="711F52D1" wp14:editId="5F62D3B4">
            <wp:extent cx="5486400" cy="3200400"/>
            <wp:effectExtent l="0" t="0" r="0" b="19050"/>
            <wp:docPr id="153889714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sectPr w:rsidR="00755C2D" w:rsidRPr="00755C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67A04"/>
    <w:multiLevelType w:val="hybridMultilevel"/>
    <w:tmpl w:val="766EE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640459"/>
    <w:multiLevelType w:val="hybridMultilevel"/>
    <w:tmpl w:val="E85E0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366F12"/>
    <w:multiLevelType w:val="hybridMultilevel"/>
    <w:tmpl w:val="BEE62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3074109">
    <w:abstractNumId w:val="2"/>
  </w:num>
  <w:num w:numId="2" w16cid:durableId="195192138">
    <w:abstractNumId w:val="0"/>
  </w:num>
  <w:num w:numId="3" w16cid:durableId="3386271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D31"/>
    <w:rsid w:val="000D467F"/>
    <w:rsid w:val="00115E16"/>
    <w:rsid w:val="002C1411"/>
    <w:rsid w:val="00513057"/>
    <w:rsid w:val="005A7675"/>
    <w:rsid w:val="00670B84"/>
    <w:rsid w:val="006D333D"/>
    <w:rsid w:val="00755C2D"/>
    <w:rsid w:val="00832646"/>
    <w:rsid w:val="008A54B8"/>
    <w:rsid w:val="008D30E1"/>
    <w:rsid w:val="00997D31"/>
    <w:rsid w:val="009B16E8"/>
    <w:rsid w:val="00AB59D4"/>
    <w:rsid w:val="00CA4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191D4"/>
  <w15:chartTrackingRefBased/>
  <w15:docId w15:val="{6277829E-5186-4FC1-9E47-310050EAC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D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7D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7D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7D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7D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7D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D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D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D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D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7D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7D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7D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7D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7D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D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D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D31"/>
    <w:rPr>
      <w:rFonts w:eastAsiaTheme="majorEastAsia" w:cstheme="majorBidi"/>
      <w:color w:val="272727" w:themeColor="text1" w:themeTint="D8"/>
    </w:rPr>
  </w:style>
  <w:style w:type="paragraph" w:styleId="Title">
    <w:name w:val="Title"/>
    <w:basedOn w:val="Normal"/>
    <w:next w:val="Normal"/>
    <w:link w:val="TitleChar"/>
    <w:uiPriority w:val="10"/>
    <w:qFormat/>
    <w:rsid w:val="00997D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D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D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D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D31"/>
    <w:pPr>
      <w:spacing w:before="160"/>
      <w:jc w:val="center"/>
    </w:pPr>
    <w:rPr>
      <w:i/>
      <w:iCs/>
      <w:color w:val="404040" w:themeColor="text1" w:themeTint="BF"/>
    </w:rPr>
  </w:style>
  <w:style w:type="character" w:customStyle="1" w:styleId="QuoteChar">
    <w:name w:val="Quote Char"/>
    <w:basedOn w:val="DefaultParagraphFont"/>
    <w:link w:val="Quote"/>
    <w:uiPriority w:val="29"/>
    <w:rsid w:val="00997D31"/>
    <w:rPr>
      <w:i/>
      <w:iCs/>
      <w:color w:val="404040" w:themeColor="text1" w:themeTint="BF"/>
    </w:rPr>
  </w:style>
  <w:style w:type="paragraph" w:styleId="ListParagraph">
    <w:name w:val="List Paragraph"/>
    <w:basedOn w:val="Normal"/>
    <w:uiPriority w:val="34"/>
    <w:qFormat/>
    <w:rsid w:val="00997D31"/>
    <w:pPr>
      <w:ind w:left="720"/>
      <w:contextualSpacing/>
    </w:pPr>
  </w:style>
  <w:style w:type="character" w:styleId="IntenseEmphasis">
    <w:name w:val="Intense Emphasis"/>
    <w:basedOn w:val="DefaultParagraphFont"/>
    <w:uiPriority w:val="21"/>
    <w:qFormat/>
    <w:rsid w:val="00997D31"/>
    <w:rPr>
      <w:i/>
      <w:iCs/>
      <w:color w:val="0F4761" w:themeColor="accent1" w:themeShade="BF"/>
    </w:rPr>
  </w:style>
  <w:style w:type="paragraph" w:styleId="IntenseQuote">
    <w:name w:val="Intense Quote"/>
    <w:basedOn w:val="Normal"/>
    <w:next w:val="Normal"/>
    <w:link w:val="IntenseQuoteChar"/>
    <w:uiPriority w:val="30"/>
    <w:qFormat/>
    <w:rsid w:val="00997D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7D31"/>
    <w:rPr>
      <w:i/>
      <w:iCs/>
      <w:color w:val="0F4761" w:themeColor="accent1" w:themeShade="BF"/>
    </w:rPr>
  </w:style>
  <w:style w:type="character" w:styleId="IntenseReference">
    <w:name w:val="Intense Reference"/>
    <w:basedOn w:val="DefaultParagraphFont"/>
    <w:uiPriority w:val="32"/>
    <w:qFormat/>
    <w:rsid w:val="00997D3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CC18FD-4674-4C38-A51E-B07D06532E77}"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2D65AEA4-B2FF-4F58-BC37-50BDE7D712B1}">
      <dgm:prSet phldrT="[Text]"/>
      <dgm:spPr/>
      <dgm:t>
        <a:bodyPr/>
        <a:lstStyle/>
        <a:p>
          <a:r>
            <a:rPr lang="en-GB"/>
            <a:t>stage 3 </a:t>
          </a:r>
        </a:p>
        <a:p>
          <a:r>
            <a:rPr lang="en-GB"/>
            <a:t>internal preperation &amp; allignment</a:t>
          </a:r>
        </a:p>
      </dgm:t>
    </dgm:pt>
    <dgm:pt modelId="{929ACB20-9461-4BDF-8F31-5D5A450E79D9}" type="parTrans" cxnId="{238DB1C8-968A-4559-8DAF-1BB0A4DE4D59}">
      <dgm:prSet/>
      <dgm:spPr/>
      <dgm:t>
        <a:bodyPr/>
        <a:lstStyle/>
        <a:p>
          <a:endParaRPr lang="en-GB"/>
        </a:p>
      </dgm:t>
    </dgm:pt>
    <dgm:pt modelId="{A65D142D-BEC4-47A3-A866-C8CFD95462A5}" type="sibTrans" cxnId="{238DB1C8-968A-4559-8DAF-1BB0A4DE4D59}">
      <dgm:prSet/>
      <dgm:spPr/>
      <dgm:t>
        <a:bodyPr/>
        <a:lstStyle/>
        <a:p>
          <a:endParaRPr lang="en-GB"/>
        </a:p>
      </dgm:t>
    </dgm:pt>
    <dgm:pt modelId="{9C1272FE-97C6-4BF7-B212-41B8E763C63D}">
      <dgm:prSet phldrT="[Text]"/>
      <dgm:spPr/>
      <dgm:t>
        <a:bodyPr/>
        <a:lstStyle/>
        <a:p>
          <a:r>
            <a:rPr lang="en-GB"/>
            <a:t>stage 1 </a:t>
          </a:r>
        </a:p>
        <a:p>
          <a:r>
            <a:rPr lang="en-GB"/>
            <a:t>planning </a:t>
          </a:r>
        </a:p>
      </dgm:t>
    </dgm:pt>
    <dgm:pt modelId="{8F76395E-09BC-4D3C-9BCE-346649D6C866}" type="parTrans" cxnId="{6C649B84-65DD-4E67-8C58-1DF8123B7314}">
      <dgm:prSet/>
      <dgm:spPr/>
      <dgm:t>
        <a:bodyPr/>
        <a:lstStyle/>
        <a:p>
          <a:endParaRPr lang="en-GB"/>
        </a:p>
      </dgm:t>
    </dgm:pt>
    <dgm:pt modelId="{1CEC2316-AFAE-48C5-AA54-7B6BA0F4A8A4}" type="sibTrans" cxnId="{6C649B84-65DD-4E67-8C58-1DF8123B7314}">
      <dgm:prSet/>
      <dgm:spPr/>
      <dgm:t>
        <a:bodyPr/>
        <a:lstStyle/>
        <a:p>
          <a:endParaRPr lang="en-GB"/>
        </a:p>
      </dgm:t>
    </dgm:pt>
    <dgm:pt modelId="{E7D5ACC9-1437-4766-88B4-9A40942B5734}">
      <dgm:prSet phldrT="[Text]"/>
      <dgm:spPr/>
      <dgm:t>
        <a:bodyPr/>
        <a:lstStyle/>
        <a:p>
          <a:r>
            <a:rPr lang="en-GB"/>
            <a:t>stage 4</a:t>
          </a:r>
        </a:p>
        <a:p>
          <a:r>
            <a:rPr lang="en-GB"/>
            <a:t>Building trust  </a:t>
          </a:r>
        </a:p>
      </dgm:t>
    </dgm:pt>
    <dgm:pt modelId="{75DB1DDB-CECC-4A90-B209-93119E4ACEE7}" type="parTrans" cxnId="{4D8FBB56-BED6-4704-94EB-56F048CA808F}">
      <dgm:prSet/>
      <dgm:spPr/>
      <dgm:t>
        <a:bodyPr/>
        <a:lstStyle/>
        <a:p>
          <a:endParaRPr lang="en-GB"/>
        </a:p>
      </dgm:t>
    </dgm:pt>
    <dgm:pt modelId="{2824C4DD-4839-4EFC-BAA3-72F721883ABD}" type="sibTrans" cxnId="{4D8FBB56-BED6-4704-94EB-56F048CA808F}">
      <dgm:prSet/>
      <dgm:spPr/>
      <dgm:t>
        <a:bodyPr/>
        <a:lstStyle/>
        <a:p>
          <a:endParaRPr lang="en-GB"/>
        </a:p>
      </dgm:t>
    </dgm:pt>
    <dgm:pt modelId="{AD17388C-C7FB-4CAA-8F2B-B76205299EFC}">
      <dgm:prSet phldrT="[Text]"/>
      <dgm:spPr/>
      <dgm:t>
        <a:bodyPr/>
        <a:lstStyle/>
        <a:p>
          <a:r>
            <a:rPr lang="en-GB"/>
            <a:t>stage 7 </a:t>
          </a:r>
        </a:p>
        <a:p>
          <a:r>
            <a:rPr lang="en-GB"/>
            <a:t>evaluate ,monitor and document </a:t>
          </a:r>
        </a:p>
      </dgm:t>
    </dgm:pt>
    <dgm:pt modelId="{5F1C08D6-B35E-4DEC-8A6C-F619ABA84442}" type="parTrans" cxnId="{EB18B2D9-86D1-43C0-84F1-A2B86F76A263}">
      <dgm:prSet/>
      <dgm:spPr/>
      <dgm:t>
        <a:bodyPr/>
        <a:lstStyle/>
        <a:p>
          <a:endParaRPr lang="en-GB"/>
        </a:p>
      </dgm:t>
    </dgm:pt>
    <dgm:pt modelId="{A009789F-5457-4BE4-9EE4-C8FA8A25DECA}" type="sibTrans" cxnId="{EB18B2D9-86D1-43C0-84F1-A2B86F76A263}">
      <dgm:prSet/>
      <dgm:spPr/>
      <dgm:t>
        <a:bodyPr/>
        <a:lstStyle/>
        <a:p>
          <a:endParaRPr lang="en-GB"/>
        </a:p>
      </dgm:t>
    </dgm:pt>
    <dgm:pt modelId="{34879567-F08D-419E-86E1-DB483BAD68AA}">
      <dgm:prSet phldrT="[Text]"/>
      <dgm:spPr/>
      <dgm:t>
        <a:bodyPr/>
        <a:lstStyle/>
        <a:p>
          <a:r>
            <a:rPr lang="en-GB"/>
            <a:t>stage 6 respond and implement </a:t>
          </a:r>
        </a:p>
      </dgm:t>
    </dgm:pt>
    <dgm:pt modelId="{ADB4BD79-CB37-4E84-BD8E-A4B6CE458B55}" type="parTrans" cxnId="{BBD9A7C8-11CC-4BDF-8020-4B2E92973FE0}">
      <dgm:prSet/>
      <dgm:spPr/>
      <dgm:t>
        <a:bodyPr/>
        <a:lstStyle/>
        <a:p>
          <a:endParaRPr lang="en-GB"/>
        </a:p>
      </dgm:t>
    </dgm:pt>
    <dgm:pt modelId="{93719EB5-241C-4DE3-957F-FC7F1E9A5F2E}" type="sibTrans" cxnId="{BBD9A7C8-11CC-4BDF-8020-4B2E92973FE0}">
      <dgm:prSet/>
      <dgm:spPr/>
      <dgm:t>
        <a:bodyPr/>
        <a:lstStyle/>
        <a:p>
          <a:endParaRPr lang="en-GB"/>
        </a:p>
      </dgm:t>
    </dgm:pt>
    <dgm:pt modelId="{1EA0595D-47D8-43D0-BC1D-DAFF0DC4DE02}">
      <dgm:prSet phldrT="[Text]"/>
      <dgm:spPr/>
      <dgm:t>
        <a:bodyPr/>
        <a:lstStyle/>
        <a:p>
          <a:r>
            <a:rPr lang="en-GB"/>
            <a:t>stage  5</a:t>
          </a:r>
        </a:p>
        <a:p>
          <a:r>
            <a:rPr lang="en-GB"/>
            <a:t>Consult </a:t>
          </a:r>
        </a:p>
      </dgm:t>
    </dgm:pt>
    <dgm:pt modelId="{4342A145-47E9-4FC5-8CD5-E95E11DB262F}" type="parTrans" cxnId="{BB697575-B7E7-4557-AE87-01FE8CB4935C}">
      <dgm:prSet/>
      <dgm:spPr/>
      <dgm:t>
        <a:bodyPr/>
        <a:lstStyle/>
        <a:p>
          <a:endParaRPr lang="en-GB"/>
        </a:p>
      </dgm:t>
    </dgm:pt>
    <dgm:pt modelId="{C3636716-EF96-4E0C-AAE1-45017C0BE6A9}" type="sibTrans" cxnId="{BB697575-B7E7-4557-AE87-01FE8CB4935C}">
      <dgm:prSet/>
      <dgm:spPr/>
      <dgm:t>
        <a:bodyPr/>
        <a:lstStyle/>
        <a:p>
          <a:endParaRPr lang="en-GB"/>
        </a:p>
      </dgm:t>
    </dgm:pt>
    <dgm:pt modelId="{56CBDDA4-7468-4AA7-8622-287884D57B3C}">
      <dgm:prSet phldrT="[Text]"/>
      <dgm:spPr/>
      <dgm:t>
        <a:bodyPr/>
        <a:lstStyle/>
        <a:p>
          <a:r>
            <a:rPr lang="en-GB"/>
            <a:t>stage 2</a:t>
          </a:r>
        </a:p>
        <a:p>
          <a:r>
            <a:rPr lang="en-GB"/>
            <a:t>understand needs  </a:t>
          </a:r>
        </a:p>
      </dgm:t>
    </dgm:pt>
    <dgm:pt modelId="{56CBE67F-C990-481D-AF52-3CF9BDEE2B7A}" type="parTrans" cxnId="{A242EC43-93C2-46FF-9CBC-C25304EC9B73}">
      <dgm:prSet/>
      <dgm:spPr/>
      <dgm:t>
        <a:bodyPr/>
        <a:lstStyle/>
        <a:p>
          <a:endParaRPr lang="en-GB"/>
        </a:p>
      </dgm:t>
    </dgm:pt>
    <dgm:pt modelId="{ED2A4601-A0BF-44D0-90F0-9F4CC3E56742}" type="sibTrans" cxnId="{A242EC43-93C2-46FF-9CBC-C25304EC9B73}">
      <dgm:prSet/>
      <dgm:spPr/>
      <dgm:t>
        <a:bodyPr/>
        <a:lstStyle/>
        <a:p>
          <a:endParaRPr lang="en-GB"/>
        </a:p>
      </dgm:t>
    </dgm:pt>
    <dgm:pt modelId="{1753472F-7258-48B9-9C67-E83CECCDEE02}" type="pres">
      <dgm:prSet presAssocID="{76CC18FD-4674-4C38-A51E-B07D06532E77}" presName="Name0" presStyleCnt="0">
        <dgm:presLayoutVars>
          <dgm:chMax val="1"/>
          <dgm:chPref val="1"/>
          <dgm:dir/>
          <dgm:animOne val="branch"/>
          <dgm:animLvl val="lvl"/>
        </dgm:presLayoutVars>
      </dgm:prSet>
      <dgm:spPr/>
    </dgm:pt>
    <dgm:pt modelId="{B828139F-8BC3-4BC9-BBBD-5CE2B15F4B20}" type="pres">
      <dgm:prSet presAssocID="{2D65AEA4-B2FF-4F58-BC37-50BDE7D712B1}" presName="Parent" presStyleLbl="node0" presStyleIdx="0" presStyleCnt="1" custLinFactNeighborX="-726" custLinFactNeighborY="2518">
        <dgm:presLayoutVars>
          <dgm:chMax val="6"/>
          <dgm:chPref val="6"/>
        </dgm:presLayoutVars>
      </dgm:prSet>
      <dgm:spPr/>
    </dgm:pt>
    <dgm:pt modelId="{EA33F58B-3784-427A-8030-D91D70D9FA66}" type="pres">
      <dgm:prSet presAssocID="{9C1272FE-97C6-4BF7-B212-41B8E763C63D}" presName="Accent1" presStyleCnt="0"/>
      <dgm:spPr/>
    </dgm:pt>
    <dgm:pt modelId="{8013DC80-352D-4E78-BB10-07D2A87E0323}" type="pres">
      <dgm:prSet presAssocID="{9C1272FE-97C6-4BF7-B212-41B8E763C63D}" presName="Accent" presStyleLbl="bgShp" presStyleIdx="0" presStyleCnt="6"/>
      <dgm:spPr/>
    </dgm:pt>
    <dgm:pt modelId="{30915931-3494-4939-83C4-C68C38CB11BE}" type="pres">
      <dgm:prSet presAssocID="{9C1272FE-97C6-4BF7-B212-41B8E763C63D}" presName="Child1" presStyleLbl="node1" presStyleIdx="0" presStyleCnt="6">
        <dgm:presLayoutVars>
          <dgm:chMax val="0"/>
          <dgm:chPref val="0"/>
          <dgm:bulletEnabled val="1"/>
        </dgm:presLayoutVars>
      </dgm:prSet>
      <dgm:spPr/>
    </dgm:pt>
    <dgm:pt modelId="{B7B03336-FD94-4B70-9A39-7F513843CD6A}" type="pres">
      <dgm:prSet presAssocID="{E7D5ACC9-1437-4766-88B4-9A40942B5734}" presName="Accent2" presStyleCnt="0"/>
      <dgm:spPr/>
    </dgm:pt>
    <dgm:pt modelId="{FBB5EAE9-3196-404A-8C7A-4A757881156D}" type="pres">
      <dgm:prSet presAssocID="{E7D5ACC9-1437-4766-88B4-9A40942B5734}" presName="Accent" presStyleLbl="bgShp" presStyleIdx="1" presStyleCnt="6"/>
      <dgm:spPr/>
    </dgm:pt>
    <dgm:pt modelId="{3FC699E9-539D-4D58-A409-F6CC221EE9FF}" type="pres">
      <dgm:prSet presAssocID="{E7D5ACC9-1437-4766-88B4-9A40942B5734}" presName="Child2" presStyleLbl="node1" presStyleIdx="1" presStyleCnt="6">
        <dgm:presLayoutVars>
          <dgm:chMax val="0"/>
          <dgm:chPref val="0"/>
          <dgm:bulletEnabled val="1"/>
        </dgm:presLayoutVars>
      </dgm:prSet>
      <dgm:spPr/>
    </dgm:pt>
    <dgm:pt modelId="{952A4B44-007C-4161-B558-E0334A1E6C3F}" type="pres">
      <dgm:prSet presAssocID="{AD17388C-C7FB-4CAA-8F2B-B76205299EFC}" presName="Accent3" presStyleCnt="0"/>
      <dgm:spPr/>
    </dgm:pt>
    <dgm:pt modelId="{10FE03DE-24D9-4004-9207-1E710F34B665}" type="pres">
      <dgm:prSet presAssocID="{AD17388C-C7FB-4CAA-8F2B-B76205299EFC}" presName="Accent" presStyleLbl="bgShp" presStyleIdx="2" presStyleCnt="6"/>
      <dgm:spPr/>
    </dgm:pt>
    <dgm:pt modelId="{F0FAAB66-C826-4F11-9E5C-2A057D350DC4}" type="pres">
      <dgm:prSet presAssocID="{AD17388C-C7FB-4CAA-8F2B-B76205299EFC}" presName="Child3" presStyleLbl="node1" presStyleIdx="2" presStyleCnt="6">
        <dgm:presLayoutVars>
          <dgm:chMax val="0"/>
          <dgm:chPref val="0"/>
          <dgm:bulletEnabled val="1"/>
        </dgm:presLayoutVars>
      </dgm:prSet>
      <dgm:spPr/>
    </dgm:pt>
    <dgm:pt modelId="{28EC67B8-E8E7-48B9-B4B8-D5148E4A983E}" type="pres">
      <dgm:prSet presAssocID="{34879567-F08D-419E-86E1-DB483BAD68AA}" presName="Accent4" presStyleCnt="0"/>
      <dgm:spPr/>
    </dgm:pt>
    <dgm:pt modelId="{3C5494AF-250B-4579-B4FB-38CBF37BA4C1}" type="pres">
      <dgm:prSet presAssocID="{34879567-F08D-419E-86E1-DB483BAD68AA}" presName="Accent" presStyleLbl="bgShp" presStyleIdx="3" presStyleCnt="6"/>
      <dgm:spPr/>
    </dgm:pt>
    <dgm:pt modelId="{EF326AD2-E813-4873-9CA7-34C4B9413E80}" type="pres">
      <dgm:prSet presAssocID="{34879567-F08D-419E-86E1-DB483BAD68AA}" presName="Child4" presStyleLbl="node1" presStyleIdx="3" presStyleCnt="6">
        <dgm:presLayoutVars>
          <dgm:chMax val="0"/>
          <dgm:chPref val="0"/>
          <dgm:bulletEnabled val="1"/>
        </dgm:presLayoutVars>
      </dgm:prSet>
      <dgm:spPr/>
    </dgm:pt>
    <dgm:pt modelId="{013DFDE2-9886-4897-A2F3-A75765BD2B36}" type="pres">
      <dgm:prSet presAssocID="{1EA0595D-47D8-43D0-BC1D-DAFF0DC4DE02}" presName="Accent5" presStyleCnt="0"/>
      <dgm:spPr/>
    </dgm:pt>
    <dgm:pt modelId="{7343FB75-5B73-4D45-8C9C-07FB98E52980}" type="pres">
      <dgm:prSet presAssocID="{1EA0595D-47D8-43D0-BC1D-DAFF0DC4DE02}" presName="Accent" presStyleLbl="bgShp" presStyleIdx="4" presStyleCnt="6"/>
      <dgm:spPr/>
    </dgm:pt>
    <dgm:pt modelId="{DD313DCD-A6C1-4CE6-8F0E-081438E9EAFB}" type="pres">
      <dgm:prSet presAssocID="{1EA0595D-47D8-43D0-BC1D-DAFF0DC4DE02}" presName="Child5" presStyleLbl="node1" presStyleIdx="4" presStyleCnt="6">
        <dgm:presLayoutVars>
          <dgm:chMax val="0"/>
          <dgm:chPref val="0"/>
          <dgm:bulletEnabled val="1"/>
        </dgm:presLayoutVars>
      </dgm:prSet>
      <dgm:spPr/>
    </dgm:pt>
    <dgm:pt modelId="{444C6DA9-3791-45C5-B0D3-6F40905A15A9}" type="pres">
      <dgm:prSet presAssocID="{56CBDDA4-7468-4AA7-8622-287884D57B3C}" presName="Accent6" presStyleCnt="0"/>
      <dgm:spPr/>
    </dgm:pt>
    <dgm:pt modelId="{1610C2E1-AEB4-40BE-A9D2-F76131A73576}" type="pres">
      <dgm:prSet presAssocID="{56CBDDA4-7468-4AA7-8622-287884D57B3C}" presName="Accent" presStyleLbl="bgShp" presStyleIdx="5" presStyleCnt="6"/>
      <dgm:spPr/>
    </dgm:pt>
    <dgm:pt modelId="{6A93DF7D-2B92-4912-A404-8B91068DA6ED}" type="pres">
      <dgm:prSet presAssocID="{56CBDDA4-7468-4AA7-8622-287884D57B3C}" presName="Child6" presStyleLbl="node1" presStyleIdx="5" presStyleCnt="6">
        <dgm:presLayoutVars>
          <dgm:chMax val="0"/>
          <dgm:chPref val="0"/>
          <dgm:bulletEnabled val="1"/>
        </dgm:presLayoutVars>
      </dgm:prSet>
      <dgm:spPr/>
    </dgm:pt>
  </dgm:ptLst>
  <dgm:cxnLst>
    <dgm:cxn modelId="{7A98E101-EC37-4179-8FD1-942A29738E2D}" type="presOf" srcId="{34879567-F08D-419E-86E1-DB483BAD68AA}" destId="{EF326AD2-E813-4873-9CA7-34C4B9413E80}" srcOrd="0" destOrd="0" presId="urn:microsoft.com/office/officeart/2011/layout/HexagonRadial"/>
    <dgm:cxn modelId="{57ED8C09-77A6-4678-AFA8-57C136962DBB}" type="presOf" srcId="{E7D5ACC9-1437-4766-88B4-9A40942B5734}" destId="{3FC699E9-539D-4D58-A409-F6CC221EE9FF}" srcOrd="0" destOrd="0" presId="urn:microsoft.com/office/officeart/2011/layout/HexagonRadial"/>
    <dgm:cxn modelId="{73080F34-622A-4EF1-9C16-913BABA01443}" type="presOf" srcId="{AD17388C-C7FB-4CAA-8F2B-B76205299EFC}" destId="{F0FAAB66-C826-4F11-9E5C-2A057D350DC4}" srcOrd="0" destOrd="0" presId="urn:microsoft.com/office/officeart/2011/layout/HexagonRadial"/>
    <dgm:cxn modelId="{DF9CDF42-C5AC-4BE6-8DC0-A6DA090D402C}" type="presOf" srcId="{9C1272FE-97C6-4BF7-B212-41B8E763C63D}" destId="{30915931-3494-4939-83C4-C68C38CB11BE}" srcOrd="0" destOrd="0" presId="urn:microsoft.com/office/officeart/2011/layout/HexagonRadial"/>
    <dgm:cxn modelId="{A242EC43-93C2-46FF-9CBC-C25304EC9B73}" srcId="{2D65AEA4-B2FF-4F58-BC37-50BDE7D712B1}" destId="{56CBDDA4-7468-4AA7-8622-287884D57B3C}" srcOrd="5" destOrd="0" parTransId="{56CBE67F-C990-481D-AF52-3CF9BDEE2B7A}" sibTransId="{ED2A4601-A0BF-44D0-90F0-9F4CC3E56742}"/>
    <dgm:cxn modelId="{BB697575-B7E7-4557-AE87-01FE8CB4935C}" srcId="{2D65AEA4-B2FF-4F58-BC37-50BDE7D712B1}" destId="{1EA0595D-47D8-43D0-BC1D-DAFF0DC4DE02}" srcOrd="4" destOrd="0" parTransId="{4342A145-47E9-4FC5-8CD5-E95E11DB262F}" sibTransId="{C3636716-EF96-4E0C-AAE1-45017C0BE6A9}"/>
    <dgm:cxn modelId="{4D8FBB56-BED6-4704-94EB-56F048CA808F}" srcId="{2D65AEA4-B2FF-4F58-BC37-50BDE7D712B1}" destId="{E7D5ACC9-1437-4766-88B4-9A40942B5734}" srcOrd="1" destOrd="0" parTransId="{75DB1DDB-CECC-4A90-B209-93119E4ACEE7}" sibTransId="{2824C4DD-4839-4EFC-BAA3-72F721883ABD}"/>
    <dgm:cxn modelId="{6C649B84-65DD-4E67-8C58-1DF8123B7314}" srcId="{2D65AEA4-B2FF-4F58-BC37-50BDE7D712B1}" destId="{9C1272FE-97C6-4BF7-B212-41B8E763C63D}" srcOrd="0" destOrd="0" parTransId="{8F76395E-09BC-4D3C-9BCE-346649D6C866}" sibTransId="{1CEC2316-AFAE-48C5-AA54-7B6BA0F4A8A4}"/>
    <dgm:cxn modelId="{11919A9A-59B2-4A2A-8D2D-DA20514B8D07}" type="presOf" srcId="{76CC18FD-4674-4C38-A51E-B07D06532E77}" destId="{1753472F-7258-48B9-9C67-E83CECCDEE02}" srcOrd="0" destOrd="0" presId="urn:microsoft.com/office/officeart/2011/layout/HexagonRadial"/>
    <dgm:cxn modelId="{5C850AAE-63AE-4DAD-AC80-9C0DEFDB99DA}" type="presOf" srcId="{56CBDDA4-7468-4AA7-8622-287884D57B3C}" destId="{6A93DF7D-2B92-4912-A404-8B91068DA6ED}" srcOrd="0" destOrd="0" presId="urn:microsoft.com/office/officeart/2011/layout/HexagonRadial"/>
    <dgm:cxn modelId="{96B0B2B7-D9C7-4BD2-BB24-0772EF2632A1}" type="presOf" srcId="{2D65AEA4-B2FF-4F58-BC37-50BDE7D712B1}" destId="{B828139F-8BC3-4BC9-BBBD-5CE2B15F4B20}" srcOrd="0" destOrd="0" presId="urn:microsoft.com/office/officeart/2011/layout/HexagonRadial"/>
    <dgm:cxn modelId="{BBD9A7C8-11CC-4BDF-8020-4B2E92973FE0}" srcId="{2D65AEA4-B2FF-4F58-BC37-50BDE7D712B1}" destId="{34879567-F08D-419E-86E1-DB483BAD68AA}" srcOrd="3" destOrd="0" parTransId="{ADB4BD79-CB37-4E84-BD8E-A4B6CE458B55}" sibTransId="{93719EB5-241C-4DE3-957F-FC7F1E9A5F2E}"/>
    <dgm:cxn modelId="{238DB1C8-968A-4559-8DAF-1BB0A4DE4D59}" srcId="{76CC18FD-4674-4C38-A51E-B07D06532E77}" destId="{2D65AEA4-B2FF-4F58-BC37-50BDE7D712B1}" srcOrd="0" destOrd="0" parTransId="{929ACB20-9461-4BDF-8F31-5D5A450E79D9}" sibTransId="{A65D142D-BEC4-47A3-A866-C8CFD95462A5}"/>
    <dgm:cxn modelId="{EB18B2D9-86D1-43C0-84F1-A2B86F76A263}" srcId="{2D65AEA4-B2FF-4F58-BC37-50BDE7D712B1}" destId="{AD17388C-C7FB-4CAA-8F2B-B76205299EFC}" srcOrd="2" destOrd="0" parTransId="{5F1C08D6-B35E-4DEC-8A6C-F619ABA84442}" sibTransId="{A009789F-5457-4BE4-9EE4-C8FA8A25DECA}"/>
    <dgm:cxn modelId="{3236CEEA-9165-4C6E-9975-0590DFDBD5E3}" type="presOf" srcId="{1EA0595D-47D8-43D0-BC1D-DAFF0DC4DE02}" destId="{DD313DCD-A6C1-4CE6-8F0E-081438E9EAFB}" srcOrd="0" destOrd="0" presId="urn:microsoft.com/office/officeart/2011/layout/HexagonRadial"/>
    <dgm:cxn modelId="{EE8B59E1-B703-4038-9C1B-393F95FD3317}" type="presParOf" srcId="{1753472F-7258-48B9-9C67-E83CECCDEE02}" destId="{B828139F-8BC3-4BC9-BBBD-5CE2B15F4B20}" srcOrd="0" destOrd="0" presId="urn:microsoft.com/office/officeart/2011/layout/HexagonRadial"/>
    <dgm:cxn modelId="{40A87F05-1A76-4C2F-8970-34B2C5F47465}" type="presParOf" srcId="{1753472F-7258-48B9-9C67-E83CECCDEE02}" destId="{EA33F58B-3784-427A-8030-D91D70D9FA66}" srcOrd="1" destOrd="0" presId="urn:microsoft.com/office/officeart/2011/layout/HexagonRadial"/>
    <dgm:cxn modelId="{97B6BE39-AB15-4838-A2C3-0CF744BAA0D4}" type="presParOf" srcId="{EA33F58B-3784-427A-8030-D91D70D9FA66}" destId="{8013DC80-352D-4E78-BB10-07D2A87E0323}" srcOrd="0" destOrd="0" presId="urn:microsoft.com/office/officeart/2011/layout/HexagonRadial"/>
    <dgm:cxn modelId="{50D1505A-F362-4EF0-8125-0EED44EB413C}" type="presParOf" srcId="{1753472F-7258-48B9-9C67-E83CECCDEE02}" destId="{30915931-3494-4939-83C4-C68C38CB11BE}" srcOrd="2" destOrd="0" presId="urn:microsoft.com/office/officeart/2011/layout/HexagonRadial"/>
    <dgm:cxn modelId="{7BD016EE-2876-4C1B-A406-A6E3E59154FA}" type="presParOf" srcId="{1753472F-7258-48B9-9C67-E83CECCDEE02}" destId="{B7B03336-FD94-4B70-9A39-7F513843CD6A}" srcOrd="3" destOrd="0" presId="urn:microsoft.com/office/officeart/2011/layout/HexagonRadial"/>
    <dgm:cxn modelId="{BEBF9161-3DE5-4429-876F-3071712176B9}" type="presParOf" srcId="{B7B03336-FD94-4B70-9A39-7F513843CD6A}" destId="{FBB5EAE9-3196-404A-8C7A-4A757881156D}" srcOrd="0" destOrd="0" presId="urn:microsoft.com/office/officeart/2011/layout/HexagonRadial"/>
    <dgm:cxn modelId="{EA19F78C-4405-480A-A67F-ED756C3B2299}" type="presParOf" srcId="{1753472F-7258-48B9-9C67-E83CECCDEE02}" destId="{3FC699E9-539D-4D58-A409-F6CC221EE9FF}" srcOrd="4" destOrd="0" presId="urn:microsoft.com/office/officeart/2011/layout/HexagonRadial"/>
    <dgm:cxn modelId="{F40DC579-09E7-466B-AC50-11F7E33DB32C}" type="presParOf" srcId="{1753472F-7258-48B9-9C67-E83CECCDEE02}" destId="{952A4B44-007C-4161-B558-E0334A1E6C3F}" srcOrd="5" destOrd="0" presId="urn:microsoft.com/office/officeart/2011/layout/HexagonRadial"/>
    <dgm:cxn modelId="{9439A073-2505-4020-A7CD-A85DB1870AD5}" type="presParOf" srcId="{952A4B44-007C-4161-B558-E0334A1E6C3F}" destId="{10FE03DE-24D9-4004-9207-1E710F34B665}" srcOrd="0" destOrd="0" presId="urn:microsoft.com/office/officeart/2011/layout/HexagonRadial"/>
    <dgm:cxn modelId="{1B6FAB6F-437F-437B-BB2B-4222244DDCA1}" type="presParOf" srcId="{1753472F-7258-48B9-9C67-E83CECCDEE02}" destId="{F0FAAB66-C826-4F11-9E5C-2A057D350DC4}" srcOrd="6" destOrd="0" presId="urn:microsoft.com/office/officeart/2011/layout/HexagonRadial"/>
    <dgm:cxn modelId="{7147D920-DADA-4835-AA33-56CF74D5AB74}" type="presParOf" srcId="{1753472F-7258-48B9-9C67-E83CECCDEE02}" destId="{28EC67B8-E8E7-48B9-B4B8-D5148E4A983E}" srcOrd="7" destOrd="0" presId="urn:microsoft.com/office/officeart/2011/layout/HexagonRadial"/>
    <dgm:cxn modelId="{AE4D270B-1D94-442B-9ADE-14DB32A5056D}" type="presParOf" srcId="{28EC67B8-E8E7-48B9-B4B8-D5148E4A983E}" destId="{3C5494AF-250B-4579-B4FB-38CBF37BA4C1}" srcOrd="0" destOrd="0" presId="urn:microsoft.com/office/officeart/2011/layout/HexagonRadial"/>
    <dgm:cxn modelId="{5A706C4B-D02B-4758-8ACB-319083B9C2B2}" type="presParOf" srcId="{1753472F-7258-48B9-9C67-E83CECCDEE02}" destId="{EF326AD2-E813-4873-9CA7-34C4B9413E80}" srcOrd="8" destOrd="0" presId="urn:microsoft.com/office/officeart/2011/layout/HexagonRadial"/>
    <dgm:cxn modelId="{465B4E3F-B766-4F85-93B4-4AE922CA3341}" type="presParOf" srcId="{1753472F-7258-48B9-9C67-E83CECCDEE02}" destId="{013DFDE2-9886-4897-A2F3-A75765BD2B36}" srcOrd="9" destOrd="0" presId="urn:microsoft.com/office/officeart/2011/layout/HexagonRadial"/>
    <dgm:cxn modelId="{2228B845-B96C-4CD0-89A4-0E182C8FF9B3}" type="presParOf" srcId="{013DFDE2-9886-4897-A2F3-A75765BD2B36}" destId="{7343FB75-5B73-4D45-8C9C-07FB98E52980}" srcOrd="0" destOrd="0" presId="urn:microsoft.com/office/officeart/2011/layout/HexagonRadial"/>
    <dgm:cxn modelId="{C1488B3E-A09B-47EE-924D-4ED82BF7CFD2}" type="presParOf" srcId="{1753472F-7258-48B9-9C67-E83CECCDEE02}" destId="{DD313DCD-A6C1-4CE6-8F0E-081438E9EAFB}" srcOrd="10" destOrd="0" presId="urn:microsoft.com/office/officeart/2011/layout/HexagonRadial"/>
    <dgm:cxn modelId="{BDF7CA7A-2032-49CB-A502-449B4A676797}" type="presParOf" srcId="{1753472F-7258-48B9-9C67-E83CECCDEE02}" destId="{444C6DA9-3791-45C5-B0D3-6F40905A15A9}" srcOrd="11" destOrd="0" presId="urn:microsoft.com/office/officeart/2011/layout/HexagonRadial"/>
    <dgm:cxn modelId="{7FF7F69D-4E88-418F-8219-BA24ABF9DE24}" type="presParOf" srcId="{444C6DA9-3791-45C5-B0D3-6F40905A15A9}" destId="{1610C2E1-AEB4-40BE-A9D2-F76131A73576}" srcOrd="0" destOrd="0" presId="urn:microsoft.com/office/officeart/2011/layout/HexagonRadial"/>
    <dgm:cxn modelId="{DA8E682A-37E7-4DAB-85FE-7BA2A1408614}" type="presParOf" srcId="{1753472F-7258-48B9-9C67-E83CECCDEE02}" destId="{6A93DF7D-2B92-4912-A404-8B91068DA6ED}" srcOrd="12" destOrd="0" presId="urn:microsoft.com/office/officeart/2011/layout/HexagonRadial"/>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28139F-8BC3-4BC9-BBBD-5CE2B15F4B20}">
      <dsp:nvSpPr>
        <dsp:cNvPr id="0" name=""/>
        <dsp:cNvSpPr/>
      </dsp:nvSpPr>
      <dsp:spPr>
        <a:xfrm>
          <a:off x="2077376" y="1061032"/>
          <a:ext cx="1312287" cy="1135181"/>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stage 3 </a:t>
          </a:r>
        </a:p>
        <a:p>
          <a:pPr marL="0" lvl="0" indent="0" algn="ctr" defTabSz="400050">
            <a:lnSpc>
              <a:spcPct val="90000"/>
            </a:lnSpc>
            <a:spcBef>
              <a:spcPct val="0"/>
            </a:spcBef>
            <a:spcAft>
              <a:spcPct val="35000"/>
            </a:spcAft>
            <a:buNone/>
          </a:pPr>
          <a:r>
            <a:rPr lang="en-GB" sz="900" kern="1200"/>
            <a:t>internal preperation &amp; allignment</a:t>
          </a:r>
        </a:p>
      </dsp:txBody>
      <dsp:txXfrm>
        <a:off x="2294840" y="1249147"/>
        <a:ext cx="877359" cy="758951"/>
      </dsp:txXfrm>
    </dsp:sp>
    <dsp:sp modelId="{FBB5EAE9-3196-404A-8C7A-4A757881156D}">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0915931-3494-4939-83C4-C68C38CB11BE}">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stage 1 </a:t>
          </a:r>
        </a:p>
        <a:p>
          <a:pPr marL="0" lvl="0" indent="0" algn="ctr" defTabSz="400050">
            <a:lnSpc>
              <a:spcPct val="90000"/>
            </a:lnSpc>
            <a:spcBef>
              <a:spcPct val="0"/>
            </a:spcBef>
            <a:spcAft>
              <a:spcPct val="35000"/>
            </a:spcAft>
            <a:buNone/>
          </a:pPr>
          <a:r>
            <a:rPr lang="en-GB" sz="900" kern="1200"/>
            <a:t>planning </a:t>
          </a:r>
        </a:p>
      </dsp:txBody>
      <dsp:txXfrm>
        <a:off x="2386002" y="154180"/>
        <a:ext cx="718974" cy="621996"/>
      </dsp:txXfrm>
    </dsp:sp>
    <dsp:sp modelId="{10FE03DE-24D9-4004-9207-1E710F34B665}">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FC699E9-539D-4D58-A409-F6CC221EE9FF}">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stage 4</a:t>
          </a:r>
        </a:p>
        <a:p>
          <a:pPr marL="0" lvl="0" indent="0" algn="ctr" defTabSz="400050">
            <a:lnSpc>
              <a:spcPct val="90000"/>
            </a:lnSpc>
            <a:spcBef>
              <a:spcPct val="0"/>
            </a:spcBef>
            <a:spcAft>
              <a:spcPct val="35000"/>
            </a:spcAft>
            <a:buNone/>
          </a:pPr>
          <a:r>
            <a:rPr lang="en-GB" sz="900" kern="1200"/>
            <a:t>Building trust  </a:t>
          </a:r>
        </a:p>
      </dsp:txBody>
      <dsp:txXfrm>
        <a:off x="3372278" y="726411"/>
        <a:ext cx="718974" cy="621996"/>
      </dsp:txXfrm>
    </dsp:sp>
    <dsp:sp modelId="{3C5494AF-250B-4579-B4FB-38CBF37BA4C1}">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0FAAB66-C826-4F11-9E5C-2A057D350DC4}">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stage 7 </a:t>
          </a:r>
        </a:p>
        <a:p>
          <a:pPr marL="0" lvl="0" indent="0" algn="ctr" defTabSz="400050">
            <a:lnSpc>
              <a:spcPct val="90000"/>
            </a:lnSpc>
            <a:spcBef>
              <a:spcPct val="0"/>
            </a:spcBef>
            <a:spcAft>
              <a:spcPct val="35000"/>
            </a:spcAft>
            <a:buNone/>
          </a:pPr>
          <a:r>
            <a:rPr lang="en-GB" sz="900" kern="1200"/>
            <a:t>evaluate ,monitor and document </a:t>
          </a:r>
        </a:p>
      </dsp:txBody>
      <dsp:txXfrm>
        <a:off x="3372278" y="1851352"/>
        <a:ext cx="718974" cy="621996"/>
      </dsp:txXfrm>
    </dsp:sp>
    <dsp:sp modelId="{7343FB75-5B73-4D45-8C9C-07FB98E52980}">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F326AD2-E813-4873-9CA7-34C4B9413E80}">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stage 6 respond and implement </a:t>
          </a:r>
        </a:p>
      </dsp:txBody>
      <dsp:txXfrm>
        <a:off x="2386002" y="2424223"/>
        <a:ext cx="718974" cy="621996"/>
      </dsp:txXfrm>
    </dsp:sp>
    <dsp:sp modelId="{1610C2E1-AEB4-40BE-A9D2-F76131A73576}">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D313DCD-A6C1-4CE6-8F0E-081438E9EAFB}">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stage  5</a:t>
          </a:r>
        </a:p>
        <a:p>
          <a:pPr marL="0" lvl="0" indent="0" algn="ctr" defTabSz="400050">
            <a:lnSpc>
              <a:spcPct val="90000"/>
            </a:lnSpc>
            <a:spcBef>
              <a:spcPct val="0"/>
            </a:spcBef>
            <a:spcAft>
              <a:spcPct val="35000"/>
            </a:spcAft>
            <a:buNone/>
          </a:pPr>
          <a:r>
            <a:rPr lang="en-GB" sz="900" kern="1200"/>
            <a:t>Consult </a:t>
          </a:r>
        </a:p>
      </dsp:txBody>
      <dsp:txXfrm>
        <a:off x="1395147" y="1851992"/>
        <a:ext cx="718974" cy="621996"/>
      </dsp:txXfrm>
    </dsp:sp>
    <dsp:sp modelId="{6A93DF7D-2B92-4912-A404-8B91068DA6ED}">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stage 2</a:t>
          </a:r>
        </a:p>
        <a:p>
          <a:pPr marL="0" lvl="0" indent="0" algn="ctr" defTabSz="400050">
            <a:lnSpc>
              <a:spcPct val="90000"/>
            </a:lnSpc>
            <a:spcBef>
              <a:spcPct val="0"/>
            </a:spcBef>
            <a:spcAft>
              <a:spcPct val="35000"/>
            </a:spcAft>
            <a:buNone/>
          </a:pPr>
          <a:r>
            <a:rPr lang="en-GB" sz="900" kern="1200"/>
            <a:t>understand needs  </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254</TotalTime>
  <Pages>14</Pages>
  <Words>3801</Words>
  <Characters>21667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 Brown (2026661)</dc:creator>
  <cp:keywords/>
  <dc:description/>
  <cp:lastModifiedBy>Dennis Brown (2026661)</cp:lastModifiedBy>
  <cp:revision>1</cp:revision>
  <dcterms:created xsi:type="dcterms:W3CDTF">2026-05-21T08:39:00Z</dcterms:created>
  <dcterms:modified xsi:type="dcterms:W3CDTF">2026-05-27T13:55:00Z</dcterms:modified>
</cp:coreProperties>
</file>