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12490C" w14:textId="77777777" w:rsidR="00ED1049" w:rsidRPr="00ED1049" w:rsidRDefault="007B3CD3" w:rsidP="00ED1049">
      <w:pPr>
        <w:ind w:left="426"/>
        <w:rPr>
          <w:rFonts w:ascii="Arial" w:hAnsi="Arial" w:cs="Arial"/>
        </w:rPr>
      </w:pPr>
      <w:r>
        <w:rPr>
          <w:noProof/>
        </w:rPr>
        <w:drawing>
          <wp:anchor distT="0" distB="0" distL="114300" distR="114300" simplePos="0" relativeHeight="251658240" behindDoc="1" locked="0" layoutInCell="1" allowOverlap="1" wp14:anchorId="7D35675A" wp14:editId="04CAE474">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a:blip r:embed="rId11">
                      <a:extLst>
                        <a:ext uri="{28A0092B-C50C-407E-A947-70E740481C1C}">
                          <a14:useLocalDpi xmlns:a14="http://schemas.microsoft.com/office/drawing/2010/main" val="0"/>
                        </a:ext>
                      </a:extLst>
                    </a:blip>
                    <a:srcRect r="23643"/>
                    <a:stretch>
                      <a:fillRect/>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A8953A9" w14:textId="77777777" w:rsidR="00ED1049" w:rsidRPr="00074402" w:rsidRDefault="00ED1049" w:rsidP="00ED1049">
      <w:pPr>
        <w:spacing w:line="360" w:lineRule="auto"/>
        <w:ind w:left="426"/>
        <w:rPr>
          <w:rFonts w:ascii="Arial" w:hAnsi="Arial" w:cs="Arial"/>
          <w:szCs w:val="24"/>
        </w:rPr>
      </w:pPr>
    </w:p>
    <w:p w14:paraId="715B4F6F" w14:textId="77777777" w:rsidR="00ED1049" w:rsidRPr="00074402" w:rsidRDefault="00ED1049" w:rsidP="00ED1049">
      <w:pPr>
        <w:spacing w:line="360" w:lineRule="auto"/>
        <w:ind w:left="426"/>
        <w:rPr>
          <w:rFonts w:ascii="Arial" w:hAnsi="Arial" w:cs="Arial"/>
          <w:szCs w:val="24"/>
        </w:rPr>
      </w:pPr>
    </w:p>
    <w:p w14:paraId="57035BBF" w14:textId="77777777" w:rsidR="00ED1049" w:rsidRPr="00074402" w:rsidRDefault="00ED1049" w:rsidP="00ED1049">
      <w:pPr>
        <w:spacing w:line="360" w:lineRule="auto"/>
        <w:ind w:left="426"/>
        <w:rPr>
          <w:rFonts w:ascii="Arial" w:hAnsi="Arial" w:cs="Arial"/>
          <w:szCs w:val="24"/>
        </w:rPr>
      </w:pPr>
    </w:p>
    <w:p w14:paraId="36E38322" w14:textId="77777777" w:rsidR="00ED1049" w:rsidRPr="00ED1049" w:rsidRDefault="00ED1049">
      <w:pPr>
        <w:rPr>
          <w:rFonts w:ascii="Arial" w:hAnsi="Arial" w:cs="Arial"/>
        </w:rPr>
      </w:pPr>
    </w:p>
    <w:p w14:paraId="512A7389" w14:textId="77777777" w:rsidR="00C31D85" w:rsidRDefault="00C31D85" w:rsidP="00C31D85">
      <w:pPr>
        <w:jc w:val="center"/>
        <w:rPr>
          <w:rFonts w:ascii="Aptos" w:hAnsi="Aptos"/>
          <w:b/>
          <w:bCs/>
          <w:sz w:val="36"/>
          <w:szCs w:val="36"/>
        </w:rPr>
      </w:pPr>
    </w:p>
    <w:p w14:paraId="649F33D9" w14:textId="77777777" w:rsidR="00C31D85" w:rsidRDefault="007B3CD3"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4A94E6F2" w14:textId="77777777" w:rsidR="00C31D85" w:rsidRDefault="00C31D85" w:rsidP="00C31D85">
      <w:pPr>
        <w:jc w:val="center"/>
        <w:rPr>
          <w:rFonts w:ascii="Aptos" w:hAnsi="Aptos"/>
          <w:b/>
          <w:bCs/>
          <w:sz w:val="36"/>
          <w:szCs w:val="36"/>
        </w:rPr>
      </w:pPr>
    </w:p>
    <w:p w14:paraId="4D6CA6F5" w14:textId="77777777" w:rsidR="00C31D85" w:rsidRDefault="00C31D85" w:rsidP="00C31D85">
      <w:pPr>
        <w:jc w:val="center"/>
        <w:rPr>
          <w:rFonts w:ascii="Aptos" w:hAnsi="Aptos"/>
          <w:b/>
          <w:bCs/>
          <w:sz w:val="36"/>
          <w:szCs w:val="36"/>
        </w:rPr>
      </w:pPr>
    </w:p>
    <w:p w14:paraId="5C4DE510" w14:textId="77777777" w:rsidR="00C31D85" w:rsidRDefault="00C31D85" w:rsidP="00C31D85">
      <w:pPr>
        <w:jc w:val="center"/>
        <w:rPr>
          <w:rFonts w:ascii="Aptos" w:hAnsi="Aptos"/>
          <w:b/>
          <w:bCs/>
          <w:sz w:val="36"/>
          <w:szCs w:val="36"/>
        </w:rPr>
      </w:pPr>
    </w:p>
    <w:p w14:paraId="33596B68" w14:textId="4AE6E52F" w:rsidR="00C31D85" w:rsidRPr="00C31D85" w:rsidRDefault="007B3CD3"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F77E67">
        <w:rPr>
          <w:rFonts w:ascii="Aptos" w:hAnsi="Aptos" w:cs="Arial"/>
          <w:sz w:val="28"/>
          <w:szCs w:val="28"/>
          <w:lang w:val="nl-NL"/>
        </w:rPr>
        <w:t xml:space="preserve">Ionela </w:t>
      </w:r>
      <w:proofErr w:type="spellStart"/>
      <w:r w:rsidR="00F77E67">
        <w:rPr>
          <w:rFonts w:ascii="Aptos" w:hAnsi="Aptos" w:cs="Arial"/>
          <w:sz w:val="28"/>
          <w:szCs w:val="28"/>
          <w:lang w:val="nl-NL"/>
        </w:rPr>
        <w:t>Slavoiu</w:t>
      </w:r>
      <w:proofErr w:type="spellEnd"/>
    </w:p>
    <w:p w14:paraId="087A5165" w14:textId="1B066599" w:rsidR="00C31D85" w:rsidRPr="00C31D85" w:rsidRDefault="007B3CD3"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70741C">
        <w:rPr>
          <w:rFonts w:ascii="Aptos" w:hAnsi="Aptos" w:cs="Arial"/>
          <w:sz w:val="28"/>
          <w:szCs w:val="28"/>
          <w:lang w:val="nl-NL"/>
        </w:rPr>
        <w:t>2243457</w:t>
      </w:r>
    </w:p>
    <w:p w14:paraId="579156A6"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7DB5F8AA" w14:textId="2A8C5FAC" w:rsidR="00C31D85" w:rsidRPr="00C31D85" w:rsidRDefault="007B3CD3"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70741C">
        <w:rPr>
          <w:rFonts w:ascii="Aptos" w:hAnsi="Aptos" w:cs="Arial"/>
          <w:sz w:val="28"/>
          <w:szCs w:val="28"/>
          <w:lang w:val="nl-NL"/>
        </w:rPr>
        <w:t xml:space="preserve">Independent Project </w:t>
      </w:r>
    </w:p>
    <w:p w14:paraId="49119435" w14:textId="0A8FC084" w:rsidR="00C31D85" w:rsidRPr="00C31D85" w:rsidRDefault="007B3CD3"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7C50B9">
        <w:rPr>
          <w:rFonts w:ascii="Aptos" w:hAnsi="Aptos" w:cs="Arial"/>
          <w:sz w:val="28"/>
          <w:szCs w:val="28"/>
        </w:rPr>
        <w:t>BMHP</w:t>
      </w:r>
      <w:r w:rsidR="00246D2E">
        <w:rPr>
          <w:rFonts w:ascii="Aptos" w:hAnsi="Aptos" w:cs="Arial"/>
          <w:sz w:val="28"/>
          <w:szCs w:val="28"/>
        </w:rPr>
        <w:t>6020</w:t>
      </w:r>
    </w:p>
    <w:p w14:paraId="426F983C" w14:textId="571CB44A" w:rsidR="00C31D85" w:rsidRPr="00C31D85" w:rsidRDefault="00C31D85"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p>
    <w:tbl>
      <w:tblPr>
        <w:tblStyle w:val="TableGrid"/>
        <w:tblW w:w="14616" w:type="dxa"/>
        <w:tblLook w:val="04A0" w:firstRow="1" w:lastRow="0" w:firstColumn="1" w:lastColumn="0" w:noHBand="0" w:noVBand="1"/>
      </w:tblPr>
      <w:tblGrid>
        <w:gridCol w:w="7225"/>
        <w:gridCol w:w="7391"/>
      </w:tblGrid>
      <w:tr w:rsidR="00AA464A" w14:paraId="6D4BFFCE" w14:textId="77777777" w:rsidTr="00D06DEF">
        <w:trPr>
          <w:trHeight w:val="597"/>
        </w:trPr>
        <w:tc>
          <w:tcPr>
            <w:tcW w:w="14616" w:type="dxa"/>
            <w:gridSpan w:val="2"/>
            <w:shd w:val="clear" w:color="auto" w:fill="D1F5FB"/>
            <w:vAlign w:val="center"/>
          </w:tcPr>
          <w:p w14:paraId="4E300D9D" w14:textId="17D49FB4" w:rsidR="00802FF1" w:rsidRDefault="00FF635B" w:rsidP="00AC5944">
            <w:pPr>
              <w:rPr>
                <w:rFonts w:ascii="Aptos" w:hAnsi="Aptos"/>
                <w:b/>
                <w:bCs/>
                <w:sz w:val="36"/>
                <w:szCs w:val="36"/>
              </w:rPr>
            </w:pPr>
            <w:r>
              <w:rPr>
                <w:rFonts w:ascii="Aptos" w:hAnsi="Aptos"/>
                <w:b/>
                <w:bCs/>
                <w:sz w:val="36"/>
                <w:szCs w:val="36"/>
              </w:rPr>
              <w:lastRenderedPageBreak/>
              <w:t xml:space="preserve">Exploring the </w:t>
            </w:r>
            <w:r w:rsidR="007D0B6C">
              <w:rPr>
                <w:rFonts w:ascii="Aptos" w:hAnsi="Aptos"/>
                <w:b/>
                <w:bCs/>
                <w:sz w:val="36"/>
                <w:szCs w:val="36"/>
              </w:rPr>
              <w:t xml:space="preserve">Effectiveness of </w:t>
            </w:r>
            <w:proofErr w:type="spellStart"/>
            <w:r w:rsidR="00FD2441">
              <w:rPr>
                <w:rFonts w:ascii="Aptos" w:hAnsi="Aptos"/>
                <w:b/>
                <w:bCs/>
                <w:sz w:val="36"/>
                <w:szCs w:val="36"/>
              </w:rPr>
              <w:t>Tele-Paliative</w:t>
            </w:r>
            <w:proofErr w:type="spellEnd"/>
            <w:r w:rsidR="00FD2441">
              <w:rPr>
                <w:rFonts w:ascii="Aptos" w:hAnsi="Aptos"/>
                <w:b/>
                <w:bCs/>
                <w:sz w:val="36"/>
                <w:szCs w:val="36"/>
              </w:rPr>
              <w:t xml:space="preserve"> Care</w:t>
            </w:r>
            <w:r w:rsidR="007D6C48">
              <w:rPr>
                <w:rFonts w:ascii="Aptos" w:hAnsi="Aptos"/>
                <w:b/>
                <w:bCs/>
                <w:sz w:val="36"/>
                <w:szCs w:val="36"/>
              </w:rPr>
              <w:t xml:space="preserve"> in </w:t>
            </w:r>
            <w:r w:rsidR="00D6792B">
              <w:rPr>
                <w:rFonts w:ascii="Aptos" w:hAnsi="Aptos"/>
                <w:b/>
                <w:bCs/>
                <w:sz w:val="36"/>
                <w:szCs w:val="36"/>
              </w:rPr>
              <w:t xml:space="preserve">Quality of </w:t>
            </w:r>
            <w:r w:rsidR="00F532FC">
              <w:rPr>
                <w:rFonts w:ascii="Aptos" w:hAnsi="Aptos"/>
                <w:b/>
                <w:bCs/>
                <w:sz w:val="36"/>
                <w:szCs w:val="36"/>
              </w:rPr>
              <w:t xml:space="preserve">Life for End-of </w:t>
            </w:r>
            <w:r w:rsidR="00C34B00">
              <w:rPr>
                <w:rFonts w:ascii="Aptos" w:hAnsi="Aptos"/>
                <w:b/>
                <w:bCs/>
                <w:sz w:val="36"/>
                <w:szCs w:val="36"/>
              </w:rPr>
              <w:t>Li</w:t>
            </w:r>
            <w:r w:rsidR="000F4B62">
              <w:rPr>
                <w:rFonts w:ascii="Aptos" w:hAnsi="Aptos"/>
                <w:b/>
                <w:bCs/>
                <w:sz w:val="36"/>
                <w:szCs w:val="36"/>
              </w:rPr>
              <w:t xml:space="preserve">fe Patients </w:t>
            </w:r>
          </w:p>
          <w:p w14:paraId="24871561" w14:textId="77777777" w:rsidR="00802FF1" w:rsidRPr="00802FF1" w:rsidRDefault="00802FF1" w:rsidP="00802FF1">
            <w:pPr>
              <w:jc w:val="center"/>
              <w:rPr>
                <w:rFonts w:ascii="Aptos" w:hAnsi="Aptos"/>
                <w:b/>
                <w:bCs/>
              </w:rPr>
            </w:pPr>
          </w:p>
        </w:tc>
      </w:tr>
      <w:tr w:rsidR="00AA464A" w14:paraId="1DD9D622" w14:textId="77777777" w:rsidTr="008825F1">
        <w:trPr>
          <w:trHeight w:val="1856"/>
        </w:trPr>
        <w:tc>
          <w:tcPr>
            <w:tcW w:w="7225" w:type="dxa"/>
            <w:shd w:val="clear" w:color="auto" w:fill="E2EFD9" w:themeFill="accent6" w:themeFillTint="33"/>
          </w:tcPr>
          <w:p w14:paraId="17A16C50" w14:textId="77777777" w:rsidR="00C31D85" w:rsidRPr="005F7D75" w:rsidRDefault="007B3CD3" w:rsidP="008825F1">
            <w:pPr>
              <w:shd w:val="clear" w:color="auto" w:fill="A8D08D" w:themeFill="accent6" w:themeFillTint="99"/>
              <w:rPr>
                <w:rFonts w:ascii="Aptos" w:hAnsi="Aptos"/>
                <w:b/>
                <w:bCs/>
              </w:rPr>
            </w:pPr>
            <w:r w:rsidRPr="00AB5409">
              <w:rPr>
                <w:rFonts w:ascii="Aptos" w:hAnsi="Aptos"/>
                <w:b/>
                <w:bCs/>
                <w:sz w:val="40"/>
                <w:szCs w:val="40"/>
              </w:rPr>
              <w:t>01</w:t>
            </w:r>
            <w:r>
              <w:rPr>
                <w:rFonts w:ascii="Aptos" w:hAnsi="Aptos"/>
              </w:rPr>
              <w:t xml:space="preserve"> Introduction</w:t>
            </w:r>
            <w:r w:rsidR="001A2DAB" w:rsidRPr="005F7D75">
              <w:rPr>
                <w:rFonts w:ascii="Aptos" w:hAnsi="Aptos"/>
                <w:b/>
                <w:bCs/>
              </w:rPr>
              <w:t xml:space="preserve"> and </w:t>
            </w:r>
            <w:r w:rsidR="00AB5409" w:rsidRPr="005F7D75">
              <w:rPr>
                <w:rFonts w:ascii="Aptos" w:hAnsi="Aptos"/>
                <w:b/>
                <w:bCs/>
              </w:rPr>
              <w:t xml:space="preserve">Research </w:t>
            </w:r>
            <w:r w:rsidR="001A2DAB" w:rsidRPr="005F7D75">
              <w:rPr>
                <w:rFonts w:ascii="Aptos" w:hAnsi="Aptos"/>
                <w:b/>
                <w:bCs/>
              </w:rPr>
              <w:t xml:space="preserve">Aim </w:t>
            </w:r>
          </w:p>
          <w:p w14:paraId="26C4F0E3" w14:textId="77777777" w:rsidR="00AB4E67" w:rsidRPr="005F7D75" w:rsidRDefault="007B3CD3" w:rsidP="005F7D75">
            <w:pPr>
              <w:spacing w:line="360" w:lineRule="auto"/>
              <w:jc w:val="both"/>
              <w:rPr>
                <w:rFonts w:ascii="Aptos" w:hAnsi="Aptos"/>
              </w:rPr>
            </w:pPr>
            <w:r w:rsidRPr="00E6591D">
              <w:rPr>
                <w:rFonts w:ascii="Aptos" w:hAnsi="Aptos"/>
              </w:rPr>
              <w:t xml:space="preserve">A methods chapter contains the way a study is planned, carried out and </w:t>
            </w:r>
            <w:proofErr w:type="spellStart"/>
            <w:r w:rsidRPr="00E6591D">
              <w:rPr>
                <w:rFonts w:ascii="Aptos" w:hAnsi="Aptos"/>
              </w:rPr>
              <w:t>analysed</w:t>
            </w:r>
            <w:proofErr w:type="spellEnd"/>
            <w:r w:rsidRPr="00E6591D">
              <w:rPr>
                <w:rFonts w:ascii="Aptos" w:hAnsi="Aptos"/>
              </w:rPr>
              <w:t xml:space="preserve"> to provide transparency, </w:t>
            </w:r>
            <w:proofErr w:type="spellStart"/>
            <w:r w:rsidRPr="00E6591D">
              <w:rPr>
                <w:rFonts w:ascii="Aptos" w:hAnsi="Aptos"/>
              </w:rPr>
              <w:t>rigour</w:t>
            </w:r>
            <w:proofErr w:type="spellEnd"/>
            <w:r w:rsidRPr="00E6591D">
              <w:rPr>
                <w:rFonts w:ascii="Aptos" w:hAnsi="Aptos"/>
              </w:rPr>
              <w:t xml:space="preserve"> and credibility. This scholarly approach poster abstracts the secondary research design taken by this dissertation, the search strategy, retrieval procedure, validation, analysis, and ethics. The poster presents a summary of the method used to systematically identify, review, and </w:t>
            </w:r>
            <w:proofErr w:type="spellStart"/>
            <w:r w:rsidRPr="00E6591D">
              <w:rPr>
                <w:rFonts w:ascii="Aptos" w:hAnsi="Aptos"/>
              </w:rPr>
              <w:t>synthesise</w:t>
            </w:r>
            <w:proofErr w:type="spellEnd"/>
            <w:r w:rsidRPr="00E6591D">
              <w:rPr>
                <w:rFonts w:ascii="Aptos" w:hAnsi="Aptos"/>
              </w:rPr>
              <w:t xml:space="preserve"> evidence to meet the purpose of the research: to investigate the role of tele-palliative care in improving the quality of life of patients. This is a methodological approach ensuring that findings are based on robust and up-to-date evidence applicable to </w:t>
            </w:r>
            <w:proofErr w:type="spellStart"/>
            <w:r w:rsidRPr="00E6591D">
              <w:rPr>
                <w:rFonts w:ascii="Aptos" w:hAnsi="Aptos"/>
              </w:rPr>
              <w:t>practise</w:t>
            </w:r>
            <w:proofErr w:type="spellEnd"/>
            <w:r w:rsidRPr="00E6591D">
              <w:rPr>
                <w:rFonts w:ascii="Aptos" w:hAnsi="Aptos"/>
              </w:rPr>
              <w:t xml:space="preserve"> in health and social care.</w:t>
            </w:r>
          </w:p>
        </w:tc>
        <w:tc>
          <w:tcPr>
            <w:tcW w:w="7391" w:type="dxa"/>
            <w:shd w:val="clear" w:color="auto" w:fill="FFF2CC" w:themeFill="accent4" w:themeFillTint="33"/>
          </w:tcPr>
          <w:p w14:paraId="6C59F44D" w14:textId="77777777" w:rsidR="00C31D85" w:rsidRDefault="007B3CD3" w:rsidP="008825F1">
            <w:pPr>
              <w:shd w:val="clear" w:color="auto" w:fill="FFD966" w:themeFill="accent4" w:themeFillTint="99"/>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51FE24E2" w14:textId="77777777" w:rsidR="00E6591D" w:rsidRPr="005F7D75" w:rsidRDefault="007B3CD3" w:rsidP="005F7D75">
            <w:pPr>
              <w:spacing w:line="360" w:lineRule="auto"/>
              <w:jc w:val="both"/>
              <w:rPr>
                <w:rFonts w:ascii="Aptos" w:hAnsi="Aptos"/>
                <w:lang w:val="en-GB"/>
              </w:rPr>
            </w:pPr>
            <w:r w:rsidRPr="00D9383E">
              <w:rPr>
                <w:rFonts w:ascii="Aptos" w:hAnsi="Aptos"/>
                <w:lang w:val="en-GB"/>
              </w:rPr>
              <w:t>In secondary research, a search strategy is a well-organised and systematic approach to finding the appropriate literature with a minimum of bias and omission (</w:t>
            </w:r>
            <w:proofErr w:type="spellStart"/>
            <w:r w:rsidRPr="00D9383E">
              <w:rPr>
                <w:rFonts w:ascii="Aptos" w:hAnsi="Aptos"/>
                <w:lang w:val="en-GB"/>
              </w:rPr>
              <w:t>Chigbu</w:t>
            </w:r>
            <w:proofErr w:type="spellEnd"/>
            <w:r w:rsidRPr="00D9383E">
              <w:rPr>
                <w:rFonts w:ascii="Aptos" w:hAnsi="Aptos"/>
                <w:lang w:val="en-GB"/>
              </w:rPr>
              <w:t xml:space="preserve"> et al., 2023). In this paper, the tactic entailed the application of pre-determined key words, Boolean operators, and inclusion thresholds to access evidence of high quality. PubMed, CINAHL, and Google Scholar databases were searched with combinations of various terms like tele-palliative care, end-of-life care, quality of life, and digital health. Peer-reviewed journal articles released since 2015 were used as filters to ensure relevance and up-to-date results.</w:t>
            </w:r>
          </w:p>
        </w:tc>
      </w:tr>
      <w:tr w:rsidR="00AA464A" w14:paraId="749124B7" w14:textId="77777777" w:rsidTr="00D06DEF">
        <w:trPr>
          <w:trHeight w:val="1856"/>
        </w:trPr>
        <w:tc>
          <w:tcPr>
            <w:tcW w:w="7225" w:type="dxa"/>
            <w:shd w:val="clear" w:color="auto" w:fill="FBE4D5" w:themeFill="accent2" w:themeFillTint="33"/>
          </w:tcPr>
          <w:p w14:paraId="48F89CA2" w14:textId="77777777" w:rsidR="00C31D85" w:rsidRDefault="007B3CD3" w:rsidP="008825F1">
            <w:pPr>
              <w:shd w:val="clear" w:color="auto" w:fill="F4B083" w:themeFill="accent2" w:themeFillTint="99"/>
              <w:rPr>
                <w:rFonts w:ascii="Aptos" w:hAnsi="Aptos"/>
              </w:rPr>
            </w:pPr>
            <w:r w:rsidRPr="00AB5409">
              <w:rPr>
                <w:rFonts w:ascii="Aptos" w:hAnsi="Aptos"/>
                <w:b/>
                <w:bCs/>
                <w:sz w:val="40"/>
                <w:szCs w:val="40"/>
              </w:rPr>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049DDB3B" w14:textId="3824FB11" w:rsidR="00130AD0" w:rsidRPr="005F7D75" w:rsidRDefault="007B3CD3" w:rsidP="00F52F83">
            <w:pPr>
              <w:spacing w:line="360" w:lineRule="auto"/>
              <w:jc w:val="both"/>
              <w:rPr>
                <w:rFonts w:ascii="Aptos" w:hAnsi="Aptos"/>
                <w:lang w:val="en-GB"/>
              </w:rPr>
            </w:pPr>
            <w:r w:rsidRPr="005C789D">
              <w:rPr>
                <w:rFonts w:ascii="Aptos" w:hAnsi="Aptos"/>
                <w:lang w:val="en-GB"/>
              </w:rPr>
              <w:t xml:space="preserve">The search for information was in a step-by-step mode. First, the main concepts were determined based on the research purpose. Second, appropriate synonyms and alternative terms have been created to expand the retrieval. Third, the results were further narrowed using database-specific filters, such as date, language, and type of study. The screening of abstracts was subsequently conducted to determine relevancy, and then a full-text review of qualifying articles was conducted. This systematic inclusion made sure that only the literature that dealt with tele-palliative </w:t>
            </w:r>
            <w:r w:rsidRPr="005C789D">
              <w:rPr>
                <w:rFonts w:ascii="Aptos" w:hAnsi="Aptos"/>
                <w:lang w:val="en-GB"/>
              </w:rPr>
              <w:lastRenderedPageBreak/>
              <w:t>care outcomes and quality of life was incorporated</w:t>
            </w:r>
            <w:r w:rsidR="003718E4">
              <w:rPr>
                <w:rFonts w:ascii="Aptos" w:hAnsi="Aptos"/>
                <w:lang w:val="en-GB"/>
              </w:rPr>
              <w:t xml:space="preserve"> (</w:t>
            </w:r>
            <w:proofErr w:type="spellStart"/>
            <w:r w:rsidR="003718E4" w:rsidRPr="003718E4">
              <w:rPr>
                <w:rFonts w:ascii="Aptos" w:hAnsi="Aptos"/>
                <w:lang w:val="en-GB"/>
              </w:rPr>
              <w:t>Krieckemans</w:t>
            </w:r>
            <w:proofErr w:type="spellEnd"/>
            <w:r w:rsidR="003718E4">
              <w:rPr>
                <w:rFonts w:ascii="Aptos" w:hAnsi="Aptos"/>
                <w:lang w:val="en-GB"/>
              </w:rPr>
              <w:t xml:space="preserve"> et al., 2025)</w:t>
            </w:r>
            <w:r w:rsidRPr="005C789D">
              <w:rPr>
                <w:rFonts w:ascii="Aptos" w:hAnsi="Aptos"/>
                <w:lang w:val="en-GB"/>
              </w:rPr>
              <w:t>. Secondary research allows summarising the existing body of evidence and is especially suitable when it comes to assessing novel healthcare models (</w:t>
            </w:r>
            <w:proofErr w:type="spellStart"/>
            <w:r w:rsidRPr="005C789D">
              <w:rPr>
                <w:rFonts w:ascii="Aptos" w:hAnsi="Aptos"/>
                <w:lang w:val="en-GB"/>
              </w:rPr>
              <w:t>Dusin</w:t>
            </w:r>
            <w:proofErr w:type="spellEnd"/>
            <w:r w:rsidRPr="005C789D">
              <w:rPr>
                <w:rFonts w:ascii="Aptos" w:hAnsi="Aptos"/>
                <w:lang w:val="en-GB"/>
              </w:rPr>
              <w:t xml:space="preserve"> et al., 2023).</w:t>
            </w:r>
          </w:p>
        </w:tc>
        <w:tc>
          <w:tcPr>
            <w:tcW w:w="7391" w:type="dxa"/>
            <w:shd w:val="clear" w:color="auto" w:fill="DEEAF6" w:themeFill="accent5" w:themeFillTint="33"/>
          </w:tcPr>
          <w:p w14:paraId="36F01AE2" w14:textId="77777777" w:rsidR="00C31D85" w:rsidRDefault="007B3CD3" w:rsidP="00D06DEF">
            <w:pPr>
              <w:shd w:val="clear" w:color="auto" w:fill="9CC2E5" w:themeFill="accent5" w:themeFillTint="99"/>
              <w:rPr>
                <w:rFonts w:ascii="Aptos" w:hAnsi="Aptos"/>
              </w:rPr>
            </w:pPr>
            <w:r w:rsidRPr="00AB5409">
              <w:rPr>
                <w:rFonts w:ascii="Aptos" w:hAnsi="Aptos"/>
                <w:b/>
                <w:bCs/>
                <w:sz w:val="40"/>
                <w:szCs w:val="40"/>
              </w:rPr>
              <w:lastRenderedPageBreak/>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p>
          <w:p w14:paraId="34442FA3" w14:textId="4FF91CC5" w:rsidR="005C789D" w:rsidRDefault="004E2F00" w:rsidP="00292DDD">
            <w:pPr>
              <w:spacing w:line="360" w:lineRule="auto"/>
              <w:jc w:val="both"/>
              <w:rPr>
                <w:rFonts w:ascii="Aptos" w:hAnsi="Aptos"/>
              </w:rPr>
            </w:pPr>
            <w:r>
              <w:rPr>
                <w:rFonts w:ascii="Aptos" w:hAnsi="Aptos"/>
              </w:rPr>
              <w:t xml:space="preserve">The study of </w:t>
            </w:r>
            <w:r w:rsidR="007B3CD3" w:rsidRPr="00D248E5">
              <w:rPr>
                <w:rFonts w:ascii="Aptos" w:hAnsi="Aptos"/>
              </w:rPr>
              <w:t xml:space="preserve">Greer et al. (2024) offer conclusive data that tele- palliative care is equal to face-to- face visits. </w:t>
            </w:r>
            <w:r w:rsidR="008D5999">
              <w:rPr>
                <w:rFonts w:ascii="Aptos" w:hAnsi="Aptos"/>
              </w:rPr>
              <w:t xml:space="preserve">The </w:t>
            </w:r>
            <w:r w:rsidR="001C7624">
              <w:rPr>
                <w:rFonts w:ascii="Aptos" w:hAnsi="Aptos"/>
              </w:rPr>
              <w:t>f</w:t>
            </w:r>
            <w:r w:rsidR="007B3CD3" w:rsidRPr="00D248E5">
              <w:rPr>
                <w:rFonts w:ascii="Aptos" w:hAnsi="Aptos"/>
              </w:rPr>
              <w:t>igure indicates that patients in both groups had a significant improvement in quality of life, which establishes that virtual delivery effectively sustains clinical standards without necessitating higher accessibility in end-of-life patients.</w:t>
            </w:r>
            <w:r w:rsidR="007B3CD3">
              <w:rPr>
                <w:rFonts w:ascii="Aptos" w:hAnsi="Aptos"/>
              </w:rPr>
              <w:t xml:space="preserve"> </w:t>
            </w:r>
          </w:p>
          <w:p w14:paraId="36E44A65" w14:textId="77777777" w:rsidR="001C636A" w:rsidRDefault="007B3CD3" w:rsidP="001C636A">
            <w:pPr>
              <w:keepNext/>
              <w:spacing w:line="360" w:lineRule="auto"/>
              <w:jc w:val="center"/>
            </w:pPr>
            <w:r>
              <w:rPr>
                <w:rFonts w:ascii="Aptos" w:hAnsi="Aptos"/>
                <w:noProof/>
              </w:rPr>
              <w:lastRenderedPageBreak/>
              <w:drawing>
                <wp:inline distT="0" distB="0" distL="0" distR="0" wp14:anchorId="76AAFA3F" wp14:editId="184F475D">
                  <wp:extent cx="3550793" cy="129277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587380" cy="1306093"/>
                          </a:xfrm>
                          <a:prstGeom prst="rect">
                            <a:avLst/>
                          </a:prstGeom>
                          <a:noFill/>
                        </pic:spPr>
                      </pic:pic>
                    </a:graphicData>
                  </a:graphic>
                </wp:inline>
              </w:drawing>
            </w:r>
          </w:p>
          <w:p w14:paraId="6F06D7C9" w14:textId="77777777" w:rsidR="00FC781A" w:rsidRPr="00FC781A" w:rsidRDefault="007B3CD3" w:rsidP="00FC781A">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C53C9D">
              <w:t>Changes in Patient-Reported Quality of Life From Baseline to Week 24 by Study Group</w:t>
            </w:r>
            <w:r w:rsidR="009F7637">
              <w:t xml:space="preserve"> </w:t>
            </w:r>
            <w:r>
              <w:t>(</w:t>
            </w:r>
            <w:r w:rsidRPr="00FC781A">
              <w:t>Greer et al.,</w:t>
            </w:r>
            <w:r>
              <w:t xml:space="preserve"> </w:t>
            </w:r>
            <w:r w:rsidRPr="00FC781A">
              <w:t>2024</w:t>
            </w:r>
            <w:r>
              <w:t>)</w:t>
            </w:r>
          </w:p>
        </w:tc>
      </w:tr>
      <w:tr w:rsidR="00AA464A" w14:paraId="08EFDC78" w14:textId="77777777" w:rsidTr="00D06DEF">
        <w:trPr>
          <w:trHeight w:val="983"/>
        </w:trPr>
        <w:tc>
          <w:tcPr>
            <w:tcW w:w="14616" w:type="dxa"/>
            <w:gridSpan w:val="2"/>
            <w:shd w:val="clear" w:color="auto" w:fill="FFE599" w:themeFill="accent4" w:themeFillTint="66"/>
          </w:tcPr>
          <w:p w14:paraId="7F3A737E" w14:textId="77777777" w:rsidR="00C31D85" w:rsidRDefault="007B3CD3" w:rsidP="00D06DEF">
            <w:pPr>
              <w:shd w:val="clear" w:color="auto" w:fill="FFC000" w:themeFill="accent4"/>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006DA216" w14:textId="21365514" w:rsidR="00E379CA" w:rsidRPr="00516CC0" w:rsidRDefault="007B3CD3" w:rsidP="00516CC0">
            <w:pPr>
              <w:spacing w:line="360" w:lineRule="auto"/>
              <w:jc w:val="both"/>
              <w:rPr>
                <w:rFonts w:ascii="Aptos" w:hAnsi="Aptos"/>
                <w:lang w:val="en-GB"/>
              </w:rPr>
            </w:pPr>
            <w:r w:rsidRPr="00F87CA3">
              <w:rPr>
                <w:rFonts w:ascii="Aptos" w:hAnsi="Aptos"/>
                <w:lang w:val="en-GB"/>
              </w:rPr>
              <w:t>Validation of secondary research means that the sources must be credible, reliable and methodologically sound (</w:t>
            </w:r>
            <w:proofErr w:type="spellStart"/>
            <w:r w:rsidRPr="00F87CA3">
              <w:rPr>
                <w:rFonts w:ascii="Aptos" w:hAnsi="Aptos"/>
                <w:lang w:val="en-GB"/>
              </w:rPr>
              <w:t>Cheong</w:t>
            </w:r>
            <w:proofErr w:type="spellEnd"/>
            <w:r w:rsidRPr="00F87CA3">
              <w:rPr>
                <w:rFonts w:ascii="Aptos" w:hAnsi="Aptos"/>
                <w:lang w:val="en-GB"/>
              </w:rPr>
              <w:t xml:space="preserve"> et al., 2023). This was attained through prioritising peer-reviewed studies, criticism of research design, and synthesis of findings in more than one study. Whereas validation enhances reliability, there are constraints such as publication bias and a change in the quality of a study. The secondary research analysis is a keen examination of literature to determine the patterns and themes</w:t>
            </w:r>
            <w:r w:rsidR="00027F52">
              <w:rPr>
                <w:rFonts w:ascii="Aptos" w:hAnsi="Aptos"/>
                <w:lang w:val="en-GB"/>
              </w:rPr>
              <w:t xml:space="preserve"> (</w:t>
            </w:r>
            <w:proofErr w:type="spellStart"/>
            <w:r w:rsidR="00027F52" w:rsidRPr="00027F52">
              <w:rPr>
                <w:rFonts w:ascii="Aptos" w:hAnsi="Aptos"/>
                <w:lang w:val="en-GB"/>
              </w:rPr>
              <w:t>Basheer</w:t>
            </w:r>
            <w:proofErr w:type="spellEnd"/>
            <w:r w:rsidR="00027F52">
              <w:rPr>
                <w:rFonts w:ascii="Aptos" w:hAnsi="Aptos"/>
                <w:lang w:val="en-GB"/>
              </w:rPr>
              <w:t xml:space="preserve"> et al., 2024)</w:t>
            </w:r>
            <w:r w:rsidRPr="00F87CA3">
              <w:rPr>
                <w:rFonts w:ascii="Aptos" w:hAnsi="Aptos"/>
                <w:lang w:val="en-GB"/>
              </w:rPr>
              <w:t>. A thematic analysis method was adopted in order to derive consistent themes like symptom management, access to care, and emotional support that will inform Chapter 4 findings.</w:t>
            </w:r>
          </w:p>
        </w:tc>
      </w:tr>
      <w:tr w:rsidR="00AA464A" w14:paraId="3E529351" w14:textId="77777777" w:rsidTr="00D06DEF">
        <w:trPr>
          <w:trHeight w:val="1856"/>
        </w:trPr>
        <w:tc>
          <w:tcPr>
            <w:tcW w:w="7225" w:type="dxa"/>
            <w:shd w:val="clear" w:color="auto" w:fill="E2EFD9" w:themeFill="accent6" w:themeFillTint="33"/>
          </w:tcPr>
          <w:p w14:paraId="74E99D17" w14:textId="77777777" w:rsidR="00AB5409" w:rsidRDefault="007B3CD3" w:rsidP="00D06DEF">
            <w:pPr>
              <w:shd w:val="clear" w:color="auto" w:fill="A8D08D" w:themeFill="accent6" w:themeFillTint="99"/>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413C7B39" w14:textId="77777777" w:rsidR="00516CC0" w:rsidRPr="00C31D85" w:rsidRDefault="007B3CD3" w:rsidP="001B6094">
            <w:pPr>
              <w:spacing w:line="360" w:lineRule="auto"/>
              <w:contextualSpacing/>
              <w:jc w:val="both"/>
              <w:rPr>
                <w:rFonts w:ascii="Aptos" w:hAnsi="Aptos"/>
              </w:rPr>
            </w:pPr>
            <w:r w:rsidRPr="001B6094">
              <w:rPr>
                <w:rFonts w:ascii="Aptos" w:hAnsi="Aptos"/>
              </w:rPr>
              <w:t>This literature review incorporated peer-reviewed journal publications as of 2015, in English, and literature on tele-palliative or digital end-of-life care and was 100 per cent accessible online.</w:t>
            </w:r>
          </w:p>
        </w:tc>
        <w:tc>
          <w:tcPr>
            <w:tcW w:w="7391" w:type="dxa"/>
            <w:shd w:val="clear" w:color="auto" w:fill="F7CAAC" w:themeFill="accent2" w:themeFillTint="66"/>
          </w:tcPr>
          <w:p w14:paraId="484FFF51" w14:textId="77777777" w:rsidR="00AB5409" w:rsidRDefault="007B3CD3" w:rsidP="00D06DEF">
            <w:pPr>
              <w:shd w:val="clear" w:color="auto" w:fill="ED7D31" w:themeFill="accent2"/>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40029673" w14:textId="77777777" w:rsidR="0029052C" w:rsidRPr="00C31D85" w:rsidRDefault="007B3CD3" w:rsidP="00102C5C">
            <w:pPr>
              <w:spacing w:line="360" w:lineRule="auto"/>
              <w:contextualSpacing/>
              <w:jc w:val="both"/>
              <w:rPr>
                <w:rFonts w:ascii="Aptos" w:hAnsi="Aptos"/>
              </w:rPr>
            </w:pPr>
            <w:r w:rsidRPr="00C63C89">
              <w:rPr>
                <w:rFonts w:ascii="Aptos" w:hAnsi="Aptos"/>
              </w:rPr>
              <w:t>Sources that were excluded included publications dated prior to 2015, non-peer-reviewed articles, publications not dealing with end-of-life care, and those articles lacking full-text access.</w:t>
            </w:r>
          </w:p>
        </w:tc>
      </w:tr>
      <w:tr w:rsidR="00AA464A" w14:paraId="17264CE1" w14:textId="77777777" w:rsidTr="00D06DEF">
        <w:trPr>
          <w:trHeight w:val="1798"/>
        </w:trPr>
        <w:tc>
          <w:tcPr>
            <w:tcW w:w="14616" w:type="dxa"/>
            <w:gridSpan w:val="2"/>
            <w:shd w:val="clear" w:color="auto" w:fill="FFF2CC" w:themeFill="accent4" w:themeFillTint="33"/>
          </w:tcPr>
          <w:p w14:paraId="00EA6697" w14:textId="77777777" w:rsidR="00C31D85" w:rsidRDefault="007B3CD3" w:rsidP="00AB5409">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3B6E725E" w14:textId="77777777" w:rsidR="00737490" w:rsidRPr="00C83288" w:rsidRDefault="007B3CD3" w:rsidP="00102C5C">
            <w:pPr>
              <w:spacing w:line="360" w:lineRule="auto"/>
              <w:jc w:val="both"/>
              <w:rPr>
                <w:rFonts w:ascii="Aptos" w:hAnsi="Aptos"/>
                <w:highlight w:val="yellow"/>
                <w:lang w:val="en-GB"/>
              </w:rPr>
            </w:pPr>
            <w:r w:rsidRPr="00C83288">
              <w:rPr>
                <w:rFonts w:ascii="Aptos" w:hAnsi="Aptos"/>
                <w:lang w:val="en-GB"/>
              </w:rPr>
              <w:t>In secondary research, ethics includes good sharing of existing data, proper reference, and avoidance of misrepresentation (</w:t>
            </w:r>
            <w:proofErr w:type="spellStart"/>
            <w:r w:rsidRPr="00C83288">
              <w:rPr>
                <w:rFonts w:ascii="Aptos" w:hAnsi="Aptos"/>
                <w:lang w:val="en-GB"/>
              </w:rPr>
              <w:t>Kambhampati</w:t>
            </w:r>
            <w:proofErr w:type="spellEnd"/>
            <w:r w:rsidRPr="00C83288">
              <w:rPr>
                <w:rFonts w:ascii="Aptos" w:hAnsi="Aptos"/>
                <w:lang w:val="en-GB"/>
              </w:rPr>
              <w:t xml:space="preserve"> et al., 2023). Ethical factors were proper reference, observation of academic integrity policies and objective explanation of findings so that bias/distortion of evidence is avoided.</w:t>
            </w:r>
          </w:p>
        </w:tc>
      </w:tr>
    </w:tbl>
    <w:p w14:paraId="336012AE"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07B966DF" w14:textId="77777777" w:rsidR="00ED1049" w:rsidRPr="00C31D85" w:rsidRDefault="007B3CD3" w:rsidP="00C31D85">
      <w:r w:rsidRPr="00ED1049">
        <w:rPr>
          <w:rFonts w:ascii="Arial" w:hAnsi="Arial" w:cs="Arial"/>
          <w:b/>
          <w:bCs/>
          <w:sz w:val="28"/>
          <w:szCs w:val="28"/>
        </w:rPr>
        <w:lastRenderedPageBreak/>
        <w:t>References</w:t>
      </w:r>
    </w:p>
    <w:p w14:paraId="5D084659" w14:textId="201D69D7" w:rsidR="000104EC" w:rsidRPr="000B3F27" w:rsidRDefault="000104EC" w:rsidP="00B409E3">
      <w:pPr>
        <w:spacing w:line="360" w:lineRule="auto"/>
        <w:ind w:left="720" w:hanging="720"/>
        <w:jc w:val="both"/>
        <w:rPr>
          <w:rFonts w:ascii="Aptos" w:hAnsi="Aptos" w:cs="Arial"/>
          <w:sz w:val="24"/>
          <w:szCs w:val="28"/>
        </w:rPr>
      </w:pPr>
      <w:proofErr w:type="spellStart"/>
      <w:r w:rsidRPr="003718E4">
        <w:rPr>
          <w:rFonts w:ascii="Aptos" w:hAnsi="Aptos" w:cs="Arial"/>
          <w:sz w:val="24"/>
          <w:szCs w:val="28"/>
        </w:rPr>
        <w:t>Basheer</w:t>
      </w:r>
      <w:proofErr w:type="spellEnd"/>
      <w:r w:rsidRPr="003718E4">
        <w:rPr>
          <w:rFonts w:ascii="Aptos" w:hAnsi="Aptos" w:cs="Arial"/>
          <w:sz w:val="24"/>
          <w:szCs w:val="28"/>
        </w:rPr>
        <w:t xml:space="preserve">, N., Ahmed, V., </w:t>
      </w:r>
      <w:proofErr w:type="spellStart"/>
      <w:r w:rsidRPr="003718E4">
        <w:rPr>
          <w:rFonts w:ascii="Aptos" w:hAnsi="Aptos" w:cs="Arial"/>
          <w:sz w:val="24"/>
          <w:szCs w:val="28"/>
        </w:rPr>
        <w:t>Bahroun</w:t>
      </w:r>
      <w:proofErr w:type="spellEnd"/>
      <w:r w:rsidRPr="003718E4">
        <w:rPr>
          <w:rFonts w:ascii="Aptos" w:hAnsi="Aptos" w:cs="Arial"/>
          <w:sz w:val="24"/>
          <w:szCs w:val="28"/>
        </w:rPr>
        <w:t xml:space="preserve">, Z., </w:t>
      </w:r>
      <w:r>
        <w:rPr>
          <w:rFonts w:ascii="Aptos" w:hAnsi="Aptos" w:cs="Arial"/>
          <w:sz w:val="24"/>
          <w:szCs w:val="28"/>
        </w:rPr>
        <w:t xml:space="preserve">and </w:t>
      </w:r>
      <w:proofErr w:type="spellStart"/>
      <w:r w:rsidRPr="003718E4">
        <w:rPr>
          <w:rFonts w:ascii="Aptos" w:hAnsi="Aptos" w:cs="Arial"/>
          <w:sz w:val="24"/>
          <w:szCs w:val="28"/>
        </w:rPr>
        <w:t>Anane</w:t>
      </w:r>
      <w:proofErr w:type="spellEnd"/>
      <w:r w:rsidRPr="003718E4">
        <w:rPr>
          <w:rFonts w:ascii="Aptos" w:hAnsi="Aptos" w:cs="Arial"/>
          <w:sz w:val="24"/>
          <w:szCs w:val="28"/>
        </w:rPr>
        <w:t xml:space="preserve">, C. (2024). Exploring sustainability assessment practices in higher education: a comprehensive review through content and </w:t>
      </w:r>
      <w:proofErr w:type="spellStart"/>
      <w:r w:rsidRPr="003718E4">
        <w:rPr>
          <w:rFonts w:ascii="Aptos" w:hAnsi="Aptos" w:cs="Arial"/>
          <w:sz w:val="24"/>
          <w:szCs w:val="28"/>
        </w:rPr>
        <w:t>bibliometric</w:t>
      </w:r>
      <w:proofErr w:type="spellEnd"/>
      <w:r w:rsidRPr="003718E4">
        <w:rPr>
          <w:rFonts w:ascii="Aptos" w:hAnsi="Aptos" w:cs="Arial"/>
          <w:sz w:val="24"/>
          <w:szCs w:val="28"/>
        </w:rPr>
        <w:t xml:space="preserve"> analyses. Sustainability, 16(13), 5799.</w:t>
      </w:r>
      <w:r>
        <w:rPr>
          <w:rFonts w:ascii="Aptos" w:hAnsi="Aptos" w:cs="Arial"/>
          <w:sz w:val="24"/>
          <w:szCs w:val="28"/>
        </w:rPr>
        <w:t xml:space="preserve"> </w:t>
      </w:r>
      <w:hyperlink r:id="rId15" w:history="1">
        <w:r w:rsidR="0023262E" w:rsidRPr="0026778C">
          <w:rPr>
            <w:rStyle w:val="Hyperlink"/>
            <w:rFonts w:ascii="Aptos" w:hAnsi="Aptos" w:cs="Arial"/>
            <w:sz w:val="24"/>
            <w:szCs w:val="28"/>
          </w:rPr>
          <w:t>https://doi.org/10.3390/su16135799</w:t>
        </w:r>
      </w:hyperlink>
      <w:r w:rsidR="0023262E">
        <w:rPr>
          <w:rFonts w:ascii="Aptos" w:hAnsi="Aptos" w:cs="Arial"/>
          <w:sz w:val="24"/>
          <w:szCs w:val="28"/>
        </w:rPr>
        <w:t xml:space="preserve"> </w:t>
      </w:r>
    </w:p>
    <w:p w14:paraId="217FBCBE" w14:textId="1D2EC73E" w:rsidR="000104EC" w:rsidRDefault="000104EC" w:rsidP="00B409E3">
      <w:pPr>
        <w:spacing w:line="360" w:lineRule="auto"/>
        <w:ind w:left="720" w:hanging="720"/>
        <w:jc w:val="both"/>
        <w:rPr>
          <w:rFonts w:ascii="Aptos" w:hAnsi="Aptos" w:cs="Arial"/>
          <w:sz w:val="24"/>
          <w:szCs w:val="28"/>
        </w:rPr>
      </w:pPr>
      <w:proofErr w:type="spellStart"/>
      <w:r w:rsidRPr="003A0C3C">
        <w:rPr>
          <w:rFonts w:ascii="Aptos" w:hAnsi="Aptos" w:cs="Arial"/>
          <w:sz w:val="24"/>
          <w:szCs w:val="28"/>
        </w:rPr>
        <w:t>Cheong</w:t>
      </w:r>
      <w:proofErr w:type="spellEnd"/>
      <w:r w:rsidRPr="003A0C3C">
        <w:rPr>
          <w:rFonts w:ascii="Aptos" w:hAnsi="Aptos" w:cs="Arial"/>
          <w:sz w:val="24"/>
          <w:szCs w:val="28"/>
        </w:rPr>
        <w:t xml:space="preserve">, H.I., Lyons, A., Houghton, R. and </w:t>
      </w:r>
      <w:proofErr w:type="spellStart"/>
      <w:r w:rsidRPr="003A0C3C">
        <w:rPr>
          <w:rFonts w:ascii="Aptos" w:hAnsi="Aptos" w:cs="Arial"/>
          <w:sz w:val="24"/>
          <w:szCs w:val="28"/>
        </w:rPr>
        <w:t>Majumdar</w:t>
      </w:r>
      <w:proofErr w:type="spellEnd"/>
      <w:r w:rsidRPr="003A0C3C">
        <w:rPr>
          <w:rFonts w:ascii="Aptos" w:hAnsi="Aptos" w:cs="Arial"/>
          <w:sz w:val="24"/>
          <w:szCs w:val="28"/>
        </w:rPr>
        <w:t xml:space="preserve">, A., </w:t>
      </w:r>
      <w:r>
        <w:rPr>
          <w:rFonts w:ascii="Aptos" w:hAnsi="Aptos" w:cs="Arial"/>
          <w:sz w:val="24"/>
          <w:szCs w:val="28"/>
        </w:rPr>
        <w:t>(</w:t>
      </w:r>
      <w:r w:rsidRPr="003A0C3C">
        <w:rPr>
          <w:rFonts w:ascii="Aptos" w:hAnsi="Aptos" w:cs="Arial"/>
          <w:sz w:val="24"/>
          <w:szCs w:val="28"/>
        </w:rPr>
        <w:t>2023</w:t>
      </w:r>
      <w:r>
        <w:rPr>
          <w:rFonts w:ascii="Aptos" w:hAnsi="Aptos" w:cs="Arial"/>
          <w:sz w:val="24"/>
          <w:szCs w:val="28"/>
        </w:rPr>
        <w:t>)</w:t>
      </w:r>
      <w:r w:rsidRPr="003A0C3C">
        <w:rPr>
          <w:rFonts w:ascii="Aptos" w:hAnsi="Aptos" w:cs="Arial"/>
          <w:sz w:val="24"/>
          <w:szCs w:val="28"/>
        </w:rPr>
        <w:t>. Secondary qualitative research methodology using online data within the context of social sciences. </w:t>
      </w:r>
      <w:r w:rsidRPr="003A0C3C">
        <w:rPr>
          <w:rFonts w:ascii="Aptos" w:hAnsi="Aptos" w:cs="Arial"/>
          <w:i/>
          <w:iCs/>
          <w:sz w:val="24"/>
          <w:szCs w:val="28"/>
        </w:rPr>
        <w:t>International Journal of Qualitative Methods</w:t>
      </w:r>
      <w:r w:rsidRPr="003A0C3C">
        <w:rPr>
          <w:rFonts w:ascii="Aptos" w:hAnsi="Aptos" w:cs="Arial"/>
          <w:sz w:val="24"/>
          <w:szCs w:val="28"/>
        </w:rPr>
        <w:t>, </w:t>
      </w:r>
      <w:r w:rsidRPr="003A0C3C">
        <w:rPr>
          <w:rFonts w:ascii="Aptos" w:hAnsi="Aptos" w:cs="Arial"/>
          <w:i/>
          <w:iCs/>
          <w:sz w:val="24"/>
          <w:szCs w:val="28"/>
        </w:rPr>
        <w:t>22</w:t>
      </w:r>
      <w:r w:rsidRPr="003A0C3C">
        <w:rPr>
          <w:rFonts w:ascii="Aptos" w:hAnsi="Aptos" w:cs="Arial"/>
          <w:sz w:val="24"/>
          <w:szCs w:val="28"/>
        </w:rPr>
        <w:t>, p.16094069231180160.</w:t>
      </w:r>
      <w:r w:rsidR="0023262E">
        <w:rPr>
          <w:rFonts w:ascii="Aptos" w:hAnsi="Aptos" w:cs="Arial"/>
          <w:sz w:val="24"/>
          <w:szCs w:val="28"/>
        </w:rPr>
        <w:t xml:space="preserve"> </w:t>
      </w:r>
      <w:hyperlink r:id="rId16" w:history="1">
        <w:r w:rsidR="0023262E" w:rsidRPr="0026778C">
          <w:rPr>
            <w:rStyle w:val="Hyperlink"/>
            <w:rFonts w:ascii="Aptos" w:hAnsi="Aptos" w:cs="Arial"/>
            <w:sz w:val="24"/>
            <w:szCs w:val="28"/>
          </w:rPr>
          <w:t>https://doi.org/10.1177/16094069231180160?urlappend=%3Futm_source%3Dresearchgate.net%26utm_medium%3Darticle</w:t>
        </w:r>
      </w:hyperlink>
      <w:r w:rsidR="0023262E">
        <w:rPr>
          <w:rFonts w:ascii="Aptos" w:hAnsi="Aptos" w:cs="Arial"/>
          <w:sz w:val="24"/>
          <w:szCs w:val="28"/>
        </w:rPr>
        <w:t xml:space="preserve"> </w:t>
      </w:r>
    </w:p>
    <w:p w14:paraId="3C789AE4" w14:textId="2986338F" w:rsidR="000104EC" w:rsidRDefault="000104EC" w:rsidP="00B409E3">
      <w:pPr>
        <w:spacing w:line="360" w:lineRule="auto"/>
        <w:ind w:left="720" w:hanging="720"/>
        <w:jc w:val="both"/>
        <w:rPr>
          <w:rFonts w:ascii="Aptos" w:hAnsi="Aptos" w:cs="Arial"/>
          <w:sz w:val="24"/>
          <w:szCs w:val="28"/>
        </w:rPr>
      </w:pPr>
      <w:proofErr w:type="spellStart"/>
      <w:r w:rsidRPr="00F52A07">
        <w:rPr>
          <w:rFonts w:ascii="Aptos" w:hAnsi="Aptos" w:cs="Arial"/>
          <w:sz w:val="24"/>
          <w:szCs w:val="28"/>
        </w:rPr>
        <w:t>Chigbu</w:t>
      </w:r>
      <w:proofErr w:type="spellEnd"/>
      <w:r w:rsidRPr="00F52A07">
        <w:rPr>
          <w:rFonts w:ascii="Aptos" w:hAnsi="Aptos" w:cs="Arial"/>
          <w:sz w:val="24"/>
          <w:szCs w:val="28"/>
        </w:rPr>
        <w:t xml:space="preserve">, U.E., </w:t>
      </w:r>
      <w:proofErr w:type="spellStart"/>
      <w:r w:rsidRPr="00F52A07">
        <w:rPr>
          <w:rFonts w:ascii="Aptos" w:hAnsi="Aptos" w:cs="Arial"/>
          <w:sz w:val="24"/>
          <w:szCs w:val="28"/>
        </w:rPr>
        <w:t>Atiku</w:t>
      </w:r>
      <w:proofErr w:type="spellEnd"/>
      <w:r w:rsidRPr="00F52A07">
        <w:rPr>
          <w:rFonts w:ascii="Aptos" w:hAnsi="Aptos" w:cs="Arial"/>
          <w:sz w:val="24"/>
          <w:szCs w:val="28"/>
        </w:rPr>
        <w:t xml:space="preserve">, S.O. and Du </w:t>
      </w:r>
      <w:proofErr w:type="spellStart"/>
      <w:r w:rsidRPr="00F52A07">
        <w:rPr>
          <w:rFonts w:ascii="Aptos" w:hAnsi="Aptos" w:cs="Arial"/>
          <w:sz w:val="24"/>
          <w:szCs w:val="28"/>
        </w:rPr>
        <w:t>Plessis</w:t>
      </w:r>
      <w:proofErr w:type="spellEnd"/>
      <w:r w:rsidRPr="00F52A07">
        <w:rPr>
          <w:rFonts w:ascii="Aptos" w:hAnsi="Aptos" w:cs="Arial"/>
          <w:sz w:val="24"/>
          <w:szCs w:val="28"/>
        </w:rPr>
        <w:t xml:space="preserve">, C.C., </w:t>
      </w:r>
      <w:r>
        <w:rPr>
          <w:rFonts w:ascii="Aptos" w:hAnsi="Aptos" w:cs="Arial"/>
          <w:sz w:val="24"/>
          <w:szCs w:val="28"/>
        </w:rPr>
        <w:t>(</w:t>
      </w:r>
      <w:r w:rsidRPr="00F52A07">
        <w:rPr>
          <w:rFonts w:ascii="Aptos" w:hAnsi="Aptos" w:cs="Arial"/>
          <w:sz w:val="24"/>
          <w:szCs w:val="28"/>
        </w:rPr>
        <w:t>2023</w:t>
      </w:r>
      <w:r>
        <w:rPr>
          <w:rFonts w:ascii="Aptos" w:hAnsi="Aptos" w:cs="Arial"/>
          <w:sz w:val="24"/>
          <w:szCs w:val="28"/>
        </w:rPr>
        <w:t>)</w:t>
      </w:r>
      <w:r w:rsidRPr="00F52A07">
        <w:rPr>
          <w:rFonts w:ascii="Aptos" w:hAnsi="Aptos" w:cs="Arial"/>
          <w:sz w:val="24"/>
          <w:szCs w:val="28"/>
        </w:rPr>
        <w:t xml:space="preserve">. The science of literature reviews: Searching, identifying, selecting, and </w:t>
      </w:r>
      <w:proofErr w:type="spellStart"/>
      <w:r w:rsidRPr="00F52A07">
        <w:rPr>
          <w:rFonts w:ascii="Aptos" w:hAnsi="Aptos" w:cs="Arial"/>
          <w:sz w:val="24"/>
          <w:szCs w:val="28"/>
        </w:rPr>
        <w:t>synthesising</w:t>
      </w:r>
      <w:proofErr w:type="spellEnd"/>
      <w:r w:rsidRPr="00F52A07">
        <w:rPr>
          <w:rFonts w:ascii="Aptos" w:hAnsi="Aptos" w:cs="Arial"/>
          <w:sz w:val="24"/>
          <w:szCs w:val="28"/>
        </w:rPr>
        <w:t>. </w:t>
      </w:r>
      <w:r w:rsidRPr="00F52A07">
        <w:rPr>
          <w:rFonts w:ascii="Aptos" w:hAnsi="Aptos" w:cs="Arial"/>
          <w:i/>
          <w:iCs/>
          <w:sz w:val="24"/>
          <w:szCs w:val="28"/>
        </w:rPr>
        <w:t>Publications</w:t>
      </w:r>
      <w:r w:rsidRPr="00F52A07">
        <w:rPr>
          <w:rFonts w:ascii="Aptos" w:hAnsi="Aptos" w:cs="Arial"/>
          <w:sz w:val="24"/>
          <w:szCs w:val="28"/>
        </w:rPr>
        <w:t>, </w:t>
      </w:r>
      <w:r w:rsidRPr="00F52A07">
        <w:rPr>
          <w:rFonts w:ascii="Aptos" w:hAnsi="Aptos" w:cs="Arial"/>
          <w:i/>
          <w:iCs/>
          <w:sz w:val="24"/>
          <w:szCs w:val="28"/>
        </w:rPr>
        <w:t>11</w:t>
      </w:r>
      <w:r w:rsidRPr="00F52A07">
        <w:rPr>
          <w:rFonts w:ascii="Aptos" w:hAnsi="Aptos" w:cs="Arial"/>
          <w:sz w:val="24"/>
          <w:szCs w:val="28"/>
        </w:rPr>
        <w:t>(1), p.2.</w:t>
      </w:r>
      <w:r w:rsidR="0023262E">
        <w:rPr>
          <w:rFonts w:ascii="Aptos" w:hAnsi="Aptos" w:cs="Arial"/>
          <w:sz w:val="24"/>
          <w:szCs w:val="28"/>
        </w:rPr>
        <w:t xml:space="preserve"> </w:t>
      </w:r>
      <w:hyperlink r:id="rId17" w:history="1">
        <w:r w:rsidR="0023262E" w:rsidRPr="0026778C">
          <w:rPr>
            <w:rStyle w:val="Hyperlink"/>
            <w:rFonts w:ascii="Aptos" w:hAnsi="Aptos" w:cs="Arial"/>
            <w:sz w:val="24"/>
            <w:szCs w:val="28"/>
          </w:rPr>
          <w:t>https://doi.org/10.3390/publications11010002</w:t>
        </w:r>
      </w:hyperlink>
      <w:r w:rsidR="0023262E">
        <w:rPr>
          <w:rFonts w:ascii="Aptos" w:hAnsi="Aptos" w:cs="Arial"/>
          <w:sz w:val="24"/>
          <w:szCs w:val="28"/>
        </w:rPr>
        <w:t xml:space="preserve"> </w:t>
      </w:r>
    </w:p>
    <w:p w14:paraId="79DAFCCF" w14:textId="170EAB85" w:rsidR="000104EC" w:rsidRDefault="000104EC" w:rsidP="00B409E3">
      <w:pPr>
        <w:spacing w:line="360" w:lineRule="auto"/>
        <w:ind w:left="720" w:hanging="720"/>
        <w:jc w:val="both"/>
        <w:rPr>
          <w:rFonts w:ascii="Aptos" w:hAnsi="Aptos" w:cs="Arial"/>
          <w:sz w:val="24"/>
          <w:szCs w:val="28"/>
        </w:rPr>
      </w:pPr>
      <w:proofErr w:type="spellStart"/>
      <w:r w:rsidRPr="00BF5E6B">
        <w:rPr>
          <w:rFonts w:ascii="Aptos" w:hAnsi="Aptos" w:cs="Arial"/>
          <w:sz w:val="24"/>
          <w:szCs w:val="28"/>
        </w:rPr>
        <w:t>Dusin</w:t>
      </w:r>
      <w:proofErr w:type="spellEnd"/>
      <w:r w:rsidRPr="00BF5E6B">
        <w:rPr>
          <w:rFonts w:ascii="Aptos" w:hAnsi="Aptos" w:cs="Arial"/>
          <w:sz w:val="24"/>
          <w:szCs w:val="28"/>
        </w:rPr>
        <w:t xml:space="preserve">, J., </w:t>
      </w:r>
      <w:proofErr w:type="spellStart"/>
      <w:r w:rsidRPr="00BF5E6B">
        <w:rPr>
          <w:rFonts w:ascii="Aptos" w:hAnsi="Aptos" w:cs="Arial"/>
          <w:sz w:val="24"/>
          <w:szCs w:val="28"/>
        </w:rPr>
        <w:t>Melanson</w:t>
      </w:r>
      <w:proofErr w:type="spellEnd"/>
      <w:r w:rsidRPr="00BF5E6B">
        <w:rPr>
          <w:rFonts w:ascii="Aptos" w:hAnsi="Aptos" w:cs="Arial"/>
          <w:sz w:val="24"/>
          <w:szCs w:val="28"/>
        </w:rPr>
        <w:t xml:space="preserve">, A. and </w:t>
      </w:r>
      <w:proofErr w:type="spellStart"/>
      <w:r w:rsidRPr="00BF5E6B">
        <w:rPr>
          <w:rFonts w:ascii="Aptos" w:hAnsi="Aptos" w:cs="Arial"/>
          <w:sz w:val="24"/>
          <w:szCs w:val="28"/>
        </w:rPr>
        <w:t>Mische-Lawson</w:t>
      </w:r>
      <w:proofErr w:type="spellEnd"/>
      <w:r w:rsidRPr="00BF5E6B">
        <w:rPr>
          <w:rFonts w:ascii="Aptos" w:hAnsi="Aptos" w:cs="Arial"/>
          <w:sz w:val="24"/>
          <w:szCs w:val="28"/>
        </w:rPr>
        <w:t xml:space="preserve">, L., </w:t>
      </w:r>
      <w:r>
        <w:rPr>
          <w:rFonts w:ascii="Aptos" w:hAnsi="Aptos" w:cs="Arial"/>
          <w:sz w:val="24"/>
          <w:szCs w:val="28"/>
        </w:rPr>
        <w:t>(</w:t>
      </w:r>
      <w:r w:rsidRPr="00BF5E6B">
        <w:rPr>
          <w:rFonts w:ascii="Aptos" w:hAnsi="Aptos" w:cs="Arial"/>
          <w:sz w:val="24"/>
          <w:szCs w:val="28"/>
        </w:rPr>
        <w:t>2023</w:t>
      </w:r>
      <w:r>
        <w:rPr>
          <w:rFonts w:ascii="Aptos" w:hAnsi="Aptos" w:cs="Arial"/>
          <w:sz w:val="24"/>
          <w:szCs w:val="28"/>
        </w:rPr>
        <w:t>)</w:t>
      </w:r>
      <w:r w:rsidRPr="00BF5E6B">
        <w:rPr>
          <w:rFonts w:ascii="Aptos" w:hAnsi="Aptos" w:cs="Arial"/>
          <w:sz w:val="24"/>
          <w:szCs w:val="28"/>
        </w:rPr>
        <w:t>. Evidence-based practice models and frameworks in the healthcare setting: a scoping review. </w:t>
      </w:r>
      <w:r w:rsidRPr="00BF5E6B">
        <w:rPr>
          <w:rFonts w:ascii="Aptos" w:hAnsi="Aptos" w:cs="Arial"/>
          <w:i/>
          <w:iCs/>
          <w:sz w:val="24"/>
          <w:szCs w:val="28"/>
        </w:rPr>
        <w:t>BMJ open</w:t>
      </w:r>
      <w:r w:rsidRPr="00BF5E6B">
        <w:rPr>
          <w:rFonts w:ascii="Aptos" w:hAnsi="Aptos" w:cs="Arial"/>
          <w:sz w:val="24"/>
          <w:szCs w:val="28"/>
        </w:rPr>
        <w:t>, </w:t>
      </w:r>
      <w:r w:rsidRPr="00BF5E6B">
        <w:rPr>
          <w:rFonts w:ascii="Aptos" w:hAnsi="Aptos" w:cs="Arial"/>
          <w:i/>
          <w:iCs/>
          <w:sz w:val="24"/>
          <w:szCs w:val="28"/>
        </w:rPr>
        <w:t>13</w:t>
      </w:r>
      <w:r w:rsidRPr="00BF5E6B">
        <w:rPr>
          <w:rFonts w:ascii="Aptos" w:hAnsi="Aptos" w:cs="Arial"/>
          <w:sz w:val="24"/>
          <w:szCs w:val="28"/>
        </w:rPr>
        <w:t>(5), p.e071188.</w:t>
      </w:r>
      <w:r w:rsidR="0023262E">
        <w:rPr>
          <w:rFonts w:ascii="Aptos" w:hAnsi="Aptos" w:cs="Arial"/>
          <w:sz w:val="24"/>
          <w:szCs w:val="28"/>
        </w:rPr>
        <w:t xml:space="preserve"> </w:t>
      </w:r>
      <w:hyperlink r:id="rId18" w:history="1">
        <w:r w:rsidR="0023262E" w:rsidRPr="0026778C">
          <w:rPr>
            <w:rStyle w:val="Hyperlink"/>
            <w:rFonts w:ascii="Aptos" w:hAnsi="Aptos" w:cs="Arial"/>
            <w:sz w:val="24"/>
            <w:szCs w:val="28"/>
          </w:rPr>
          <w:t>https://doi.org/10.1136/bmjopen-2022-071188</w:t>
        </w:r>
      </w:hyperlink>
      <w:r w:rsidR="0023262E">
        <w:rPr>
          <w:rFonts w:ascii="Aptos" w:hAnsi="Aptos" w:cs="Arial"/>
          <w:sz w:val="24"/>
          <w:szCs w:val="28"/>
        </w:rPr>
        <w:t xml:space="preserve"> </w:t>
      </w:r>
    </w:p>
    <w:p w14:paraId="61218530" w14:textId="5AE6D143" w:rsidR="000104EC" w:rsidRDefault="000104EC" w:rsidP="00B409E3">
      <w:pPr>
        <w:spacing w:line="360" w:lineRule="auto"/>
        <w:ind w:left="720" w:hanging="720"/>
        <w:jc w:val="both"/>
        <w:rPr>
          <w:rFonts w:ascii="Aptos" w:hAnsi="Aptos" w:cs="Arial"/>
          <w:sz w:val="24"/>
          <w:szCs w:val="28"/>
        </w:rPr>
      </w:pPr>
      <w:r w:rsidRPr="00292DDD">
        <w:rPr>
          <w:rFonts w:ascii="Aptos" w:hAnsi="Aptos" w:cs="Arial"/>
          <w:sz w:val="24"/>
          <w:szCs w:val="28"/>
        </w:rPr>
        <w:t xml:space="preserve">Greer, J.A., </w:t>
      </w:r>
      <w:proofErr w:type="spellStart"/>
      <w:r w:rsidRPr="00292DDD">
        <w:rPr>
          <w:rFonts w:ascii="Aptos" w:hAnsi="Aptos" w:cs="Arial"/>
          <w:sz w:val="24"/>
          <w:szCs w:val="28"/>
        </w:rPr>
        <w:t>Temel</w:t>
      </w:r>
      <w:proofErr w:type="spellEnd"/>
      <w:r w:rsidRPr="00292DDD">
        <w:rPr>
          <w:rFonts w:ascii="Aptos" w:hAnsi="Aptos" w:cs="Arial"/>
          <w:sz w:val="24"/>
          <w:szCs w:val="28"/>
        </w:rPr>
        <w:t xml:space="preserve">, J.S., </w:t>
      </w:r>
      <w:proofErr w:type="spellStart"/>
      <w:r w:rsidRPr="00292DDD">
        <w:rPr>
          <w:rFonts w:ascii="Aptos" w:hAnsi="Aptos" w:cs="Arial"/>
          <w:sz w:val="24"/>
          <w:szCs w:val="28"/>
        </w:rPr>
        <w:t>El-Jawahri</w:t>
      </w:r>
      <w:proofErr w:type="spellEnd"/>
      <w:r w:rsidRPr="00292DDD">
        <w:rPr>
          <w:rFonts w:ascii="Aptos" w:hAnsi="Aptos" w:cs="Arial"/>
          <w:sz w:val="24"/>
          <w:szCs w:val="28"/>
        </w:rPr>
        <w:t xml:space="preserve">, A., Rinaldi, S., </w:t>
      </w:r>
      <w:proofErr w:type="spellStart"/>
      <w:r w:rsidRPr="00292DDD">
        <w:rPr>
          <w:rFonts w:ascii="Aptos" w:hAnsi="Aptos" w:cs="Arial"/>
          <w:sz w:val="24"/>
          <w:szCs w:val="28"/>
        </w:rPr>
        <w:t>Kamdar</w:t>
      </w:r>
      <w:proofErr w:type="spellEnd"/>
      <w:r w:rsidRPr="00292DDD">
        <w:rPr>
          <w:rFonts w:ascii="Aptos" w:hAnsi="Aptos" w:cs="Arial"/>
          <w:sz w:val="24"/>
          <w:szCs w:val="28"/>
        </w:rPr>
        <w:t xml:space="preserve">, M., Park, E.R., </w:t>
      </w:r>
      <w:proofErr w:type="spellStart"/>
      <w:r w:rsidRPr="00292DDD">
        <w:rPr>
          <w:rFonts w:ascii="Aptos" w:hAnsi="Aptos" w:cs="Arial"/>
          <w:sz w:val="24"/>
          <w:szCs w:val="28"/>
        </w:rPr>
        <w:t>Horick</w:t>
      </w:r>
      <w:proofErr w:type="spellEnd"/>
      <w:r w:rsidRPr="00292DDD">
        <w:rPr>
          <w:rFonts w:ascii="Aptos" w:hAnsi="Aptos" w:cs="Arial"/>
          <w:sz w:val="24"/>
          <w:szCs w:val="28"/>
        </w:rPr>
        <w:t xml:space="preserve">, N.K., </w:t>
      </w:r>
      <w:proofErr w:type="spellStart"/>
      <w:r w:rsidRPr="00292DDD">
        <w:rPr>
          <w:rFonts w:ascii="Aptos" w:hAnsi="Aptos" w:cs="Arial"/>
          <w:sz w:val="24"/>
          <w:szCs w:val="28"/>
        </w:rPr>
        <w:t>Pintro</w:t>
      </w:r>
      <w:proofErr w:type="spellEnd"/>
      <w:r w:rsidRPr="00292DDD">
        <w:rPr>
          <w:rFonts w:ascii="Aptos" w:hAnsi="Aptos" w:cs="Arial"/>
          <w:sz w:val="24"/>
          <w:szCs w:val="28"/>
        </w:rPr>
        <w:t xml:space="preserve">, K., </w:t>
      </w:r>
      <w:proofErr w:type="spellStart"/>
      <w:r w:rsidRPr="00292DDD">
        <w:rPr>
          <w:rFonts w:ascii="Aptos" w:hAnsi="Aptos" w:cs="Arial"/>
          <w:sz w:val="24"/>
          <w:szCs w:val="28"/>
        </w:rPr>
        <w:t>Rabideau</w:t>
      </w:r>
      <w:proofErr w:type="spellEnd"/>
      <w:r w:rsidRPr="00292DDD">
        <w:rPr>
          <w:rFonts w:ascii="Aptos" w:hAnsi="Aptos" w:cs="Arial"/>
          <w:sz w:val="24"/>
          <w:szCs w:val="28"/>
        </w:rPr>
        <w:t xml:space="preserve">, D.J., </w:t>
      </w:r>
      <w:proofErr w:type="spellStart"/>
      <w:r w:rsidRPr="00292DDD">
        <w:rPr>
          <w:rFonts w:ascii="Aptos" w:hAnsi="Aptos" w:cs="Arial"/>
          <w:sz w:val="24"/>
          <w:szCs w:val="28"/>
        </w:rPr>
        <w:t>Schwamm</w:t>
      </w:r>
      <w:proofErr w:type="spellEnd"/>
      <w:r w:rsidRPr="00292DDD">
        <w:rPr>
          <w:rFonts w:ascii="Aptos" w:hAnsi="Aptos" w:cs="Arial"/>
          <w:sz w:val="24"/>
          <w:szCs w:val="28"/>
        </w:rPr>
        <w:t xml:space="preserve">, L. and Feliciano, J., </w:t>
      </w:r>
      <w:r>
        <w:rPr>
          <w:rFonts w:ascii="Aptos" w:hAnsi="Aptos" w:cs="Arial"/>
          <w:sz w:val="24"/>
          <w:szCs w:val="28"/>
        </w:rPr>
        <w:t>(</w:t>
      </w:r>
      <w:r w:rsidRPr="00292DDD">
        <w:rPr>
          <w:rFonts w:ascii="Aptos" w:hAnsi="Aptos" w:cs="Arial"/>
          <w:sz w:val="24"/>
          <w:szCs w:val="28"/>
        </w:rPr>
        <w:t>2024</w:t>
      </w:r>
      <w:r>
        <w:rPr>
          <w:rFonts w:ascii="Aptos" w:hAnsi="Aptos" w:cs="Arial"/>
          <w:sz w:val="24"/>
          <w:szCs w:val="28"/>
        </w:rPr>
        <w:t>)</w:t>
      </w:r>
      <w:r w:rsidRPr="00292DDD">
        <w:rPr>
          <w:rFonts w:ascii="Aptos" w:hAnsi="Aptos" w:cs="Arial"/>
          <w:sz w:val="24"/>
          <w:szCs w:val="28"/>
        </w:rPr>
        <w:t xml:space="preserve">. Telehealth vs in-person early palliative care for patients with advanced lung cancer: a multisite </w:t>
      </w:r>
      <w:proofErr w:type="spellStart"/>
      <w:r w:rsidRPr="00292DDD">
        <w:rPr>
          <w:rFonts w:ascii="Aptos" w:hAnsi="Aptos" w:cs="Arial"/>
          <w:sz w:val="24"/>
          <w:szCs w:val="28"/>
        </w:rPr>
        <w:t>randomi</w:t>
      </w:r>
      <w:r>
        <w:rPr>
          <w:rFonts w:ascii="Aptos" w:hAnsi="Aptos" w:cs="Arial"/>
          <w:sz w:val="24"/>
          <w:szCs w:val="28"/>
        </w:rPr>
        <w:t>s</w:t>
      </w:r>
      <w:r w:rsidRPr="00292DDD">
        <w:rPr>
          <w:rFonts w:ascii="Aptos" w:hAnsi="Aptos" w:cs="Arial"/>
          <w:sz w:val="24"/>
          <w:szCs w:val="28"/>
        </w:rPr>
        <w:t>ed</w:t>
      </w:r>
      <w:proofErr w:type="spellEnd"/>
      <w:r w:rsidRPr="00292DDD">
        <w:rPr>
          <w:rFonts w:ascii="Aptos" w:hAnsi="Aptos" w:cs="Arial"/>
          <w:sz w:val="24"/>
          <w:szCs w:val="28"/>
        </w:rPr>
        <w:t xml:space="preserve"> clinical trial. </w:t>
      </w:r>
      <w:r w:rsidRPr="00292DDD">
        <w:rPr>
          <w:rFonts w:ascii="Aptos" w:hAnsi="Aptos" w:cs="Arial"/>
          <w:i/>
          <w:iCs/>
          <w:sz w:val="24"/>
          <w:szCs w:val="28"/>
        </w:rPr>
        <w:t>JAMA</w:t>
      </w:r>
      <w:r w:rsidRPr="00292DDD">
        <w:rPr>
          <w:rFonts w:ascii="Aptos" w:hAnsi="Aptos" w:cs="Arial"/>
          <w:sz w:val="24"/>
          <w:szCs w:val="28"/>
        </w:rPr>
        <w:t>, </w:t>
      </w:r>
      <w:r w:rsidRPr="00292DDD">
        <w:rPr>
          <w:rFonts w:ascii="Aptos" w:hAnsi="Aptos" w:cs="Arial"/>
          <w:i/>
          <w:iCs/>
          <w:sz w:val="24"/>
          <w:szCs w:val="28"/>
        </w:rPr>
        <w:t>332</w:t>
      </w:r>
      <w:r w:rsidRPr="00292DDD">
        <w:rPr>
          <w:rFonts w:ascii="Aptos" w:hAnsi="Aptos" w:cs="Arial"/>
          <w:sz w:val="24"/>
          <w:szCs w:val="28"/>
        </w:rPr>
        <w:t>(14), pp.1153-1164.</w:t>
      </w:r>
      <w:r w:rsidR="0053300B">
        <w:rPr>
          <w:rFonts w:ascii="Aptos" w:hAnsi="Aptos" w:cs="Arial"/>
          <w:sz w:val="24"/>
          <w:szCs w:val="28"/>
        </w:rPr>
        <w:t xml:space="preserve"> </w:t>
      </w:r>
      <w:hyperlink r:id="rId19" w:history="1">
        <w:r w:rsidR="0053300B" w:rsidRPr="0026778C">
          <w:rPr>
            <w:rStyle w:val="Hyperlink"/>
            <w:rFonts w:ascii="Aptos" w:hAnsi="Aptos" w:cs="Arial"/>
            <w:sz w:val="24"/>
            <w:szCs w:val="28"/>
          </w:rPr>
          <w:t>https://jamanetwork.com/journals/jama/fullarticle/2823624</w:t>
        </w:r>
      </w:hyperlink>
      <w:r w:rsidR="0053300B">
        <w:rPr>
          <w:rFonts w:ascii="Aptos" w:hAnsi="Aptos" w:cs="Arial"/>
          <w:sz w:val="24"/>
          <w:szCs w:val="28"/>
        </w:rPr>
        <w:t xml:space="preserve"> </w:t>
      </w:r>
    </w:p>
    <w:p w14:paraId="5DFF632B" w14:textId="5AC9D5D9" w:rsidR="000104EC" w:rsidRDefault="000104EC" w:rsidP="00B409E3">
      <w:pPr>
        <w:spacing w:line="360" w:lineRule="auto"/>
        <w:ind w:left="720" w:hanging="720"/>
        <w:jc w:val="both"/>
        <w:rPr>
          <w:rFonts w:ascii="Aptos" w:hAnsi="Aptos" w:cs="Arial"/>
          <w:sz w:val="24"/>
          <w:szCs w:val="28"/>
        </w:rPr>
      </w:pPr>
      <w:proofErr w:type="spellStart"/>
      <w:r w:rsidRPr="00B409E3">
        <w:rPr>
          <w:rFonts w:ascii="Aptos" w:hAnsi="Aptos" w:cs="Arial"/>
          <w:sz w:val="24"/>
          <w:szCs w:val="28"/>
        </w:rPr>
        <w:t>Kambhampati</w:t>
      </w:r>
      <w:proofErr w:type="spellEnd"/>
      <w:r w:rsidRPr="00B409E3">
        <w:rPr>
          <w:rFonts w:ascii="Aptos" w:hAnsi="Aptos" w:cs="Arial"/>
          <w:sz w:val="24"/>
          <w:szCs w:val="28"/>
        </w:rPr>
        <w:t xml:space="preserve">, S.B., </w:t>
      </w:r>
      <w:proofErr w:type="spellStart"/>
      <w:r w:rsidRPr="00B409E3">
        <w:rPr>
          <w:rFonts w:ascii="Aptos" w:hAnsi="Aptos" w:cs="Arial"/>
          <w:sz w:val="24"/>
          <w:szCs w:val="28"/>
        </w:rPr>
        <w:t>Menon</w:t>
      </w:r>
      <w:proofErr w:type="spellEnd"/>
      <w:r w:rsidRPr="00B409E3">
        <w:rPr>
          <w:rFonts w:ascii="Aptos" w:hAnsi="Aptos" w:cs="Arial"/>
          <w:sz w:val="24"/>
          <w:szCs w:val="28"/>
        </w:rPr>
        <w:t xml:space="preserve">, J. and </w:t>
      </w:r>
      <w:proofErr w:type="spellStart"/>
      <w:r w:rsidRPr="00B409E3">
        <w:rPr>
          <w:rFonts w:ascii="Aptos" w:hAnsi="Aptos" w:cs="Arial"/>
          <w:sz w:val="24"/>
          <w:szCs w:val="28"/>
        </w:rPr>
        <w:t>Maini</w:t>
      </w:r>
      <w:proofErr w:type="spellEnd"/>
      <w:r w:rsidRPr="00B409E3">
        <w:rPr>
          <w:rFonts w:ascii="Aptos" w:hAnsi="Aptos" w:cs="Arial"/>
          <w:sz w:val="24"/>
          <w:szCs w:val="28"/>
        </w:rPr>
        <w:t xml:space="preserve">, L., </w:t>
      </w:r>
      <w:r>
        <w:rPr>
          <w:rFonts w:ascii="Aptos" w:hAnsi="Aptos" w:cs="Arial"/>
          <w:sz w:val="24"/>
          <w:szCs w:val="28"/>
        </w:rPr>
        <w:t>(</w:t>
      </w:r>
      <w:r w:rsidRPr="00B409E3">
        <w:rPr>
          <w:rFonts w:ascii="Aptos" w:hAnsi="Aptos" w:cs="Arial"/>
          <w:sz w:val="24"/>
          <w:szCs w:val="28"/>
        </w:rPr>
        <w:t>2023</w:t>
      </w:r>
      <w:r>
        <w:rPr>
          <w:rFonts w:ascii="Aptos" w:hAnsi="Aptos" w:cs="Arial"/>
          <w:sz w:val="24"/>
          <w:szCs w:val="28"/>
        </w:rPr>
        <w:t>)</w:t>
      </w:r>
      <w:r w:rsidRPr="00B409E3">
        <w:rPr>
          <w:rFonts w:ascii="Aptos" w:hAnsi="Aptos" w:cs="Arial"/>
          <w:sz w:val="24"/>
          <w:szCs w:val="28"/>
        </w:rPr>
        <w:t>. Ethics in research and publications. </w:t>
      </w:r>
      <w:r w:rsidRPr="00B409E3">
        <w:rPr>
          <w:rFonts w:ascii="Aptos" w:hAnsi="Aptos" w:cs="Arial"/>
          <w:i/>
          <w:iCs/>
          <w:sz w:val="24"/>
          <w:szCs w:val="28"/>
        </w:rPr>
        <w:t xml:space="preserve">Indian Journal of </w:t>
      </w:r>
      <w:proofErr w:type="spellStart"/>
      <w:r w:rsidRPr="00B409E3">
        <w:rPr>
          <w:rFonts w:ascii="Aptos" w:hAnsi="Aptos" w:cs="Arial"/>
          <w:i/>
          <w:iCs/>
          <w:sz w:val="24"/>
          <w:szCs w:val="28"/>
        </w:rPr>
        <w:t>Orthopaedics</w:t>
      </w:r>
      <w:proofErr w:type="spellEnd"/>
      <w:r w:rsidRPr="00B409E3">
        <w:rPr>
          <w:rFonts w:ascii="Aptos" w:hAnsi="Aptos" w:cs="Arial"/>
          <w:sz w:val="24"/>
          <w:szCs w:val="28"/>
        </w:rPr>
        <w:t>, </w:t>
      </w:r>
      <w:r w:rsidRPr="00B409E3">
        <w:rPr>
          <w:rFonts w:ascii="Aptos" w:hAnsi="Aptos" w:cs="Arial"/>
          <w:i/>
          <w:iCs/>
          <w:sz w:val="24"/>
          <w:szCs w:val="28"/>
        </w:rPr>
        <w:t>57</w:t>
      </w:r>
      <w:r w:rsidRPr="00B409E3">
        <w:rPr>
          <w:rFonts w:ascii="Aptos" w:hAnsi="Aptos" w:cs="Arial"/>
          <w:sz w:val="24"/>
          <w:szCs w:val="28"/>
        </w:rPr>
        <w:t>(11), pp.1722-1734.</w:t>
      </w:r>
      <w:r w:rsidR="0053300B">
        <w:rPr>
          <w:rFonts w:ascii="Aptos" w:hAnsi="Aptos" w:cs="Arial"/>
          <w:sz w:val="24"/>
          <w:szCs w:val="28"/>
        </w:rPr>
        <w:t xml:space="preserve"> </w:t>
      </w:r>
      <w:hyperlink r:id="rId20" w:history="1">
        <w:r w:rsidR="0053300B" w:rsidRPr="0026778C">
          <w:rPr>
            <w:rStyle w:val="Hyperlink"/>
            <w:rFonts w:ascii="Aptos" w:hAnsi="Aptos" w:cs="Arial"/>
            <w:sz w:val="24"/>
            <w:szCs w:val="28"/>
          </w:rPr>
          <w:t>https://doi.org/10.1007/s43465-023-00971-x</w:t>
        </w:r>
      </w:hyperlink>
      <w:r w:rsidR="0053300B">
        <w:rPr>
          <w:rFonts w:ascii="Aptos" w:hAnsi="Aptos" w:cs="Arial"/>
          <w:sz w:val="24"/>
          <w:szCs w:val="28"/>
        </w:rPr>
        <w:t xml:space="preserve"> </w:t>
      </w:r>
    </w:p>
    <w:p w14:paraId="298C5592" w14:textId="0D452145" w:rsidR="000104EC" w:rsidRDefault="000104EC" w:rsidP="00B409E3">
      <w:pPr>
        <w:spacing w:line="360" w:lineRule="auto"/>
        <w:ind w:left="720" w:hanging="720"/>
        <w:jc w:val="both"/>
        <w:rPr>
          <w:rFonts w:ascii="Aptos" w:hAnsi="Aptos" w:cs="Arial"/>
          <w:sz w:val="24"/>
          <w:szCs w:val="28"/>
        </w:rPr>
      </w:pPr>
      <w:proofErr w:type="spellStart"/>
      <w:r w:rsidRPr="003718E4">
        <w:rPr>
          <w:rFonts w:ascii="Aptos" w:hAnsi="Aptos" w:cs="Arial"/>
          <w:sz w:val="24"/>
          <w:szCs w:val="28"/>
        </w:rPr>
        <w:t>Krieckemans</w:t>
      </w:r>
      <w:proofErr w:type="spellEnd"/>
      <w:r w:rsidRPr="003718E4">
        <w:rPr>
          <w:rFonts w:ascii="Aptos" w:hAnsi="Aptos" w:cs="Arial"/>
          <w:sz w:val="24"/>
          <w:szCs w:val="28"/>
        </w:rPr>
        <w:t xml:space="preserve">, L., </w:t>
      </w:r>
      <w:proofErr w:type="spellStart"/>
      <w:r w:rsidRPr="003718E4">
        <w:rPr>
          <w:rFonts w:ascii="Aptos" w:hAnsi="Aptos" w:cs="Arial"/>
          <w:sz w:val="24"/>
          <w:szCs w:val="28"/>
        </w:rPr>
        <w:t>Cavolo</w:t>
      </w:r>
      <w:proofErr w:type="spellEnd"/>
      <w:r w:rsidRPr="003718E4">
        <w:rPr>
          <w:rFonts w:ascii="Aptos" w:hAnsi="Aptos" w:cs="Arial"/>
          <w:sz w:val="24"/>
          <w:szCs w:val="28"/>
        </w:rPr>
        <w:t xml:space="preserve">, A., </w:t>
      </w:r>
      <w:proofErr w:type="spellStart"/>
      <w:r w:rsidRPr="003718E4">
        <w:rPr>
          <w:rFonts w:ascii="Aptos" w:hAnsi="Aptos" w:cs="Arial"/>
          <w:sz w:val="24"/>
          <w:szCs w:val="28"/>
        </w:rPr>
        <w:t>Casaer</w:t>
      </w:r>
      <w:proofErr w:type="spellEnd"/>
      <w:r w:rsidRPr="003718E4">
        <w:rPr>
          <w:rFonts w:ascii="Aptos" w:hAnsi="Aptos" w:cs="Arial"/>
          <w:sz w:val="24"/>
          <w:szCs w:val="28"/>
        </w:rPr>
        <w:t xml:space="preserve">, M., </w:t>
      </w:r>
      <w:r>
        <w:rPr>
          <w:rFonts w:ascii="Aptos" w:hAnsi="Aptos" w:cs="Arial"/>
          <w:sz w:val="24"/>
          <w:szCs w:val="28"/>
        </w:rPr>
        <w:t>and</w:t>
      </w:r>
      <w:r w:rsidRPr="003718E4">
        <w:rPr>
          <w:rFonts w:ascii="Aptos" w:hAnsi="Aptos" w:cs="Arial"/>
          <w:sz w:val="24"/>
          <w:szCs w:val="28"/>
        </w:rPr>
        <w:t xml:space="preserve"> </w:t>
      </w:r>
      <w:proofErr w:type="spellStart"/>
      <w:r w:rsidRPr="003718E4">
        <w:rPr>
          <w:rFonts w:ascii="Aptos" w:hAnsi="Aptos" w:cs="Arial"/>
          <w:sz w:val="24"/>
          <w:szCs w:val="28"/>
        </w:rPr>
        <w:t>Gastmans</w:t>
      </w:r>
      <w:proofErr w:type="spellEnd"/>
      <w:r w:rsidRPr="003718E4">
        <w:rPr>
          <w:rFonts w:ascii="Aptos" w:hAnsi="Aptos" w:cs="Arial"/>
          <w:sz w:val="24"/>
          <w:szCs w:val="28"/>
        </w:rPr>
        <w:t>, C. (2025). Telehealth in palliative care settings: A systematic review of argument-based ethics literature. Palliative medicine, 02692163251360115.</w:t>
      </w:r>
      <w:r>
        <w:rPr>
          <w:rFonts w:ascii="Aptos" w:hAnsi="Aptos" w:cs="Arial"/>
          <w:sz w:val="24"/>
          <w:szCs w:val="28"/>
        </w:rPr>
        <w:t xml:space="preserve"> </w:t>
      </w:r>
      <w:hyperlink r:id="rId21" w:history="1">
        <w:r w:rsidR="0053300B" w:rsidRPr="0026778C">
          <w:rPr>
            <w:rStyle w:val="Hyperlink"/>
            <w:rFonts w:ascii="Aptos" w:hAnsi="Aptos" w:cs="Arial"/>
            <w:sz w:val="24"/>
            <w:szCs w:val="28"/>
          </w:rPr>
          <w:t>https://doi.org/10.1177/02692163251360115</w:t>
        </w:r>
      </w:hyperlink>
      <w:r w:rsidR="0053300B">
        <w:rPr>
          <w:rFonts w:ascii="Aptos" w:hAnsi="Aptos" w:cs="Arial"/>
          <w:sz w:val="24"/>
          <w:szCs w:val="28"/>
        </w:rPr>
        <w:t xml:space="preserve"> </w:t>
      </w:r>
    </w:p>
    <w:sectPr w:rsidR="000104EC"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CBEA5A" w14:textId="77777777" w:rsidR="00FC1278" w:rsidRDefault="00FC1278">
      <w:pPr>
        <w:spacing w:after="0"/>
      </w:pPr>
      <w:r>
        <w:separator/>
      </w:r>
    </w:p>
  </w:endnote>
  <w:endnote w:type="continuationSeparator" w:id="0">
    <w:p w14:paraId="61A144F8" w14:textId="77777777" w:rsidR="00FC1278" w:rsidRDefault="00FC127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2ADA5B" w14:textId="77777777" w:rsidR="00FC1278" w:rsidRDefault="00FC1278">
      <w:pPr>
        <w:spacing w:after="0"/>
      </w:pPr>
      <w:r>
        <w:separator/>
      </w:r>
    </w:p>
  </w:footnote>
  <w:footnote w:type="continuationSeparator" w:id="0">
    <w:p w14:paraId="4409DC83" w14:textId="77777777" w:rsidR="00FC1278" w:rsidRDefault="00FC127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4148A7" w14:textId="77777777" w:rsidR="00CC0A8F" w:rsidRDefault="007B3CD3">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B47317" w14:textId="77777777" w:rsidR="008B0F18" w:rsidRDefault="008B0F18">
    <w:pPr>
      <w:pStyle w:val="Header"/>
    </w:pPr>
  </w:p>
  <w:p w14:paraId="08AFFF6B"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92440"/>
    <w:multiLevelType w:val="hybridMultilevel"/>
    <w:tmpl w:val="B7C23D08"/>
    <w:lvl w:ilvl="0" w:tplc="B796AF28">
      <w:start w:val="1"/>
      <w:numFmt w:val="bullet"/>
      <w:lvlText w:val="•"/>
      <w:lvlJc w:val="left"/>
      <w:pPr>
        <w:tabs>
          <w:tab w:val="num" w:pos="720"/>
        </w:tabs>
        <w:ind w:left="720" w:hanging="360"/>
      </w:pPr>
      <w:rPr>
        <w:rFonts w:ascii="Arial" w:hAnsi="Arial" w:hint="default"/>
      </w:rPr>
    </w:lvl>
    <w:lvl w:ilvl="1" w:tplc="07FCC068" w:tentative="1">
      <w:start w:val="1"/>
      <w:numFmt w:val="bullet"/>
      <w:lvlText w:val="•"/>
      <w:lvlJc w:val="left"/>
      <w:pPr>
        <w:tabs>
          <w:tab w:val="num" w:pos="1440"/>
        </w:tabs>
        <w:ind w:left="1440" w:hanging="360"/>
      </w:pPr>
      <w:rPr>
        <w:rFonts w:ascii="Arial" w:hAnsi="Arial" w:hint="default"/>
      </w:rPr>
    </w:lvl>
    <w:lvl w:ilvl="2" w:tplc="11C2A2B0" w:tentative="1">
      <w:start w:val="1"/>
      <w:numFmt w:val="bullet"/>
      <w:lvlText w:val="•"/>
      <w:lvlJc w:val="left"/>
      <w:pPr>
        <w:tabs>
          <w:tab w:val="num" w:pos="2160"/>
        </w:tabs>
        <w:ind w:left="2160" w:hanging="360"/>
      </w:pPr>
      <w:rPr>
        <w:rFonts w:ascii="Arial" w:hAnsi="Arial" w:hint="default"/>
      </w:rPr>
    </w:lvl>
    <w:lvl w:ilvl="3" w:tplc="CB80993C" w:tentative="1">
      <w:start w:val="1"/>
      <w:numFmt w:val="bullet"/>
      <w:lvlText w:val="•"/>
      <w:lvlJc w:val="left"/>
      <w:pPr>
        <w:tabs>
          <w:tab w:val="num" w:pos="2880"/>
        </w:tabs>
        <w:ind w:left="2880" w:hanging="360"/>
      </w:pPr>
      <w:rPr>
        <w:rFonts w:ascii="Arial" w:hAnsi="Arial" w:hint="default"/>
      </w:rPr>
    </w:lvl>
    <w:lvl w:ilvl="4" w:tplc="01A0BF1C" w:tentative="1">
      <w:start w:val="1"/>
      <w:numFmt w:val="bullet"/>
      <w:lvlText w:val="•"/>
      <w:lvlJc w:val="left"/>
      <w:pPr>
        <w:tabs>
          <w:tab w:val="num" w:pos="3600"/>
        </w:tabs>
        <w:ind w:left="3600" w:hanging="360"/>
      </w:pPr>
      <w:rPr>
        <w:rFonts w:ascii="Arial" w:hAnsi="Arial" w:hint="default"/>
      </w:rPr>
    </w:lvl>
    <w:lvl w:ilvl="5" w:tplc="07C8C500" w:tentative="1">
      <w:start w:val="1"/>
      <w:numFmt w:val="bullet"/>
      <w:lvlText w:val="•"/>
      <w:lvlJc w:val="left"/>
      <w:pPr>
        <w:tabs>
          <w:tab w:val="num" w:pos="4320"/>
        </w:tabs>
        <w:ind w:left="4320" w:hanging="360"/>
      </w:pPr>
      <w:rPr>
        <w:rFonts w:ascii="Arial" w:hAnsi="Arial" w:hint="default"/>
      </w:rPr>
    </w:lvl>
    <w:lvl w:ilvl="6" w:tplc="19428032" w:tentative="1">
      <w:start w:val="1"/>
      <w:numFmt w:val="bullet"/>
      <w:lvlText w:val="•"/>
      <w:lvlJc w:val="left"/>
      <w:pPr>
        <w:tabs>
          <w:tab w:val="num" w:pos="5040"/>
        </w:tabs>
        <w:ind w:left="5040" w:hanging="360"/>
      </w:pPr>
      <w:rPr>
        <w:rFonts w:ascii="Arial" w:hAnsi="Arial" w:hint="default"/>
      </w:rPr>
    </w:lvl>
    <w:lvl w:ilvl="7" w:tplc="75302D0C" w:tentative="1">
      <w:start w:val="1"/>
      <w:numFmt w:val="bullet"/>
      <w:lvlText w:val="•"/>
      <w:lvlJc w:val="left"/>
      <w:pPr>
        <w:tabs>
          <w:tab w:val="num" w:pos="5760"/>
        </w:tabs>
        <w:ind w:left="5760" w:hanging="360"/>
      </w:pPr>
      <w:rPr>
        <w:rFonts w:ascii="Arial" w:hAnsi="Arial" w:hint="default"/>
      </w:rPr>
    </w:lvl>
    <w:lvl w:ilvl="8" w:tplc="7C1CCA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93B4EC32">
      <w:start w:val="1"/>
      <w:numFmt w:val="bullet"/>
      <w:lvlText w:val="•"/>
      <w:lvlJc w:val="left"/>
      <w:pPr>
        <w:tabs>
          <w:tab w:val="num" w:pos="720"/>
        </w:tabs>
        <w:ind w:left="720" w:hanging="360"/>
      </w:pPr>
      <w:rPr>
        <w:rFonts w:ascii="Arial" w:hAnsi="Arial" w:hint="default"/>
      </w:rPr>
    </w:lvl>
    <w:lvl w:ilvl="1" w:tplc="E9F28EC8" w:tentative="1">
      <w:start w:val="1"/>
      <w:numFmt w:val="bullet"/>
      <w:lvlText w:val="•"/>
      <w:lvlJc w:val="left"/>
      <w:pPr>
        <w:tabs>
          <w:tab w:val="num" w:pos="1440"/>
        </w:tabs>
        <w:ind w:left="1440" w:hanging="360"/>
      </w:pPr>
      <w:rPr>
        <w:rFonts w:ascii="Arial" w:hAnsi="Arial" w:hint="default"/>
      </w:rPr>
    </w:lvl>
    <w:lvl w:ilvl="2" w:tplc="18E2D64E" w:tentative="1">
      <w:start w:val="1"/>
      <w:numFmt w:val="bullet"/>
      <w:lvlText w:val="•"/>
      <w:lvlJc w:val="left"/>
      <w:pPr>
        <w:tabs>
          <w:tab w:val="num" w:pos="2160"/>
        </w:tabs>
        <w:ind w:left="2160" w:hanging="360"/>
      </w:pPr>
      <w:rPr>
        <w:rFonts w:ascii="Arial" w:hAnsi="Arial" w:hint="default"/>
      </w:rPr>
    </w:lvl>
    <w:lvl w:ilvl="3" w:tplc="E7065624" w:tentative="1">
      <w:start w:val="1"/>
      <w:numFmt w:val="bullet"/>
      <w:lvlText w:val="•"/>
      <w:lvlJc w:val="left"/>
      <w:pPr>
        <w:tabs>
          <w:tab w:val="num" w:pos="2880"/>
        </w:tabs>
        <w:ind w:left="2880" w:hanging="360"/>
      </w:pPr>
      <w:rPr>
        <w:rFonts w:ascii="Arial" w:hAnsi="Arial" w:hint="default"/>
      </w:rPr>
    </w:lvl>
    <w:lvl w:ilvl="4" w:tplc="209A3B58" w:tentative="1">
      <w:start w:val="1"/>
      <w:numFmt w:val="bullet"/>
      <w:lvlText w:val="•"/>
      <w:lvlJc w:val="left"/>
      <w:pPr>
        <w:tabs>
          <w:tab w:val="num" w:pos="3600"/>
        </w:tabs>
        <w:ind w:left="3600" w:hanging="360"/>
      </w:pPr>
      <w:rPr>
        <w:rFonts w:ascii="Arial" w:hAnsi="Arial" w:hint="default"/>
      </w:rPr>
    </w:lvl>
    <w:lvl w:ilvl="5" w:tplc="FA425ADA" w:tentative="1">
      <w:start w:val="1"/>
      <w:numFmt w:val="bullet"/>
      <w:lvlText w:val="•"/>
      <w:lvlJc w:val="left"/>
      <w:pPr>
        <w:tabs>
          <w:tab w:val="num" w:pos="4320"/>
        </w:tabs>
        <w:ind w:left="4320" w:hanging="360"/>
      </w:pPr>
      <w:rPr>
        <w:rFonts w:ascii="Arial" w:hAnsi="Arial" w:hint="default"/>
      </w:rPr>
    </w:lvl>
    <w:lvl w:ilvl="6" w:tplc="D70C833C" w:tentative="1">
      <w:start w:val="1"/>
      <w:numFmt w:val="bullet"/>
      <w:lvlText w:val="•"/>
      <w:lvlJc w:val="left"/>
      <w:pPr>
        <w:tabs>
          <w:tab w:val="num" w:pos="5040"/>
        </w:tabs>
        <w:ind w:left="5040" w:hanging="360"/>
      </w:pPr>
      <w:rPr>
        <w:rFonts w:ascii="Arial" w:hAnsi="Arial" w:hint="default"/>
      </w:rPr>
    </w:lvl>
    <w:lvl w:ilvl="7" w:tplc="3D5A31EE" w:tentative="1">
      <w:start w:val="1"/>
      <w:numFmt w:val="bullet"/>
      <w:lvlText w:val="•"/>
      <w:lvlJc w:val="left"/>
      <w:pPr>
        <w:tabs>
          <w:tab w:val="num" w:pos="5760"/>
        </w:tabs>
        <w:ind w:left="5760" w:hanging="360"/>
      </w:pPr>
      <w:rPr>
        <w:rFonts w:ascii="Arial" w:hAnsi="Arial" w:hint="default"/>
      </w:rPr>
    </w:lvl>
    <w:lvl w:ilvl="8" w:tplc="C7F0C8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7BF0318A">
      <w:start w:val="1"/>
      <w:numFmt w:val="bullet"/>
      <w:lvlText w:val="•"/>
      <w:lvlJc w:val="left"/>
      <w:pPr>
        <w:tabs>
          <w:tab w:val="num" w:pos="720"/>
        </w:tabs>
        <w:ind w:left="720" w:hanging="360"/>
      </w:pPr>
      <w:rPr>
        <w:rFonts w:ascii="Arial" w:hAnsi="Arial" w:hint="default"/>
      </w:rPr>
    </w:lvl>
    <w:lvl w:ilvl="1" w:tplc="F8CAE55A" w:tentative="1">
      <w:start w:val="1"/>
      <w:numFmt w:val="bullet"/>
      <w:lvlText w:val="•"/>
      <w:lvlJc w:val="left"/>
      <w:pPr>
        <w:tabs>
          <w:tab w:val="num" w:pos="1440"/>
        </w:tabs>
        <w:ind w:left="1440" w:hanging="360"/>
      </w:pPr>
      <w:rPr>
        <w:rFonts w:ascii="Arial" w:hAnsi="Arial" w:hint="default"/>
      </w:rPr>
    </w:lvl>
    <w:lvl w:ilvl="2" w:tplc="60D8BEF8" w:tentative="1">
      <w:start w:val="1"/>
      <w:numFmt w:val="bullet"/>
      <w:lvlText w:val="•"/>
      <w:lvlJc w:val="left"/>
      <w:pPr>
        <w:tabs>
          <w:tab w:val="num" w:pos="2160"/>
        </w:tabs>
        <w:ind w:left="2160" w:hanging="360"/>
      </w:pPr>
      <w:rPr>
        <w:rFonts w:ascii="Arial" w:hAnsi="Arial" w:hint="default"/>
      </w:rPr>
    </w:lvl>
    <w:lvl w:ilvl="3" w:tplc="E56AC42A" w:tentative="1">
      <w:start w:val="1"/>
      <w:numFmt w:val="bullet"/>
      <w:lvlText w:val="•"/>
      <w:lvlJc w:val="left"/>
      <w:pPr>
        <w:tabs>
          <w:tab w:val="num" w:pos="2880"/>
        </w:tabs>
        <w:ind w:left="2880" w:hanging="360"/>
      </w:pPr>
      <w:rPr>
        <w:rFonts w:ascii="Arial" w:hAnsi="Arial" w:hint="default"/>
      </w:rPr>
    </w:lvl>
    <w:lvl w:ilvl="4" w:tplc="F856B14A" w:tentative="1">
      <w:start w:val="1"/>
      <w:numFmt w:val="bullet"/>
      <w:lvlText w:val="•"/>
      <w:lvlJc w:val="left"/>
      <w:pPr>
        <w:tabs>
          <w:tab w:val="num" w:pos="3600"/>
        </w:tabs>
        <w:ind w:left="3600" w:hanging="360"/>
      </w:pPr>
      <w:rPr>
        <w:rFonts w:ascii="Arial" w:hAnsi="Arial" w:hint="default"/>
      </w:rPr>
    </w:lvl>
    <w:lvl w:ilvl="5" w:tplc="0F1C131A" w:tentative="1">
      <w:start w:val="1"/>
      <w:numFmt w:val="bullet"/>
      <w:lvlText w:val="•"/>
      <w:lvlJc w:val="left"/>
      <w:pPr>
        <w:tabs>
          <w:tab w:val="num" w:pos="4320"/>
        </w:tabs>
        <w:ind w:left="4320" w:hanging="360"/>
      </w:pPr>
      <w:rPr>
        <w:rFonts w:ascii="Arial" w:hAnsi="Arial" w:hint="default"/>
      </w:rPr>
    </w:lvl>
    <w:lvl w:ilvl="6" w:tplc="3AF2B2E0" w:tentative="1">
      <w:start w:val="1"/>
      <w:numFmt w:val="bullet"/>
      <w:lvlText w:val="•"/>
      <w:lvlJc w:val="left"/>
      <w:pPr>
        <w:tabs>
          <w:tab w:val="num" w:pos="5040"/>
        </w:tabs>
        <w:ind w:left="5040" w:hanging="360"/>
      </w:pPr>
      <w:rPr>
        <w:rFonts w:ascii="Arial" w:hAnsi="Arial" w:hint="default"/>
      </w:rPr>
    </w:lvl>
    <w:lvl w:ilvl="7" w:tplc="C05E87F2" w:tentative="1">
      <w:start w:val="1"/>
      <w:numFmt w:val="bullet"/>
      <w:lvlText w:val="•"/>
      <w:lvlJc w:val="left"/>
      <w:pPr>
        <w:tabs>
          <w:tab w:val="num" w:pos="5760"/>
        </w:tabs>
        <w:ind w:left="5760" w:hanging="360"/>
      </w:pPr>
      <w:rPr>
        <w:rFonts w:ascii="Arial" w:hAnsi="Arial" w:hint="default"/>
      </w:rPr>
    </w:lvl>
    <w:lvl w:ilvl="8" w:tplc="BCFA5C4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4E22D4E4">
      <w:start w:val="1"/>
      <w:numFmt w:val="bullet"/>
      <w:lvlText w:val="•"/>
      <w:lvlJc w:val="left"/>
      <w:pPr>
        <w:tabs>
          <w:tab w:val="num" w:pos="720"/>
        </w:tabs>
        <w:ind w:left="720" w:hanging="360"/>
      </w:pPr>
      <w:rPr>
        <w:rFonts w:ascii="Arial" w:hAnsi="Arial" w:hint="default"/>
      </w:rPr>
    </w:lvl>
    <w:lvl w:ilvl="1" w:tplc="BFDCF28C" w:tentative="1">
      <w:start w:val="1"/>
      <w:numFmt w:val="bullet"/>
      <w:lvlText w:val="•"/>
      <w:lvlJc w:val="left"/>
      <w:pPr>
        <w:tabs>
          <w:tab w:val="num" w:pos="1440"/>
        </w:tabs>
        <w:ind w:left="1440" w:hanging="360"/>
      </w:pPr>
      <w:rPr>
        <w:rFonts w:ascii="Arial" w:hAnsi="Arial" w:hint="default"/>
      </w:rPr>
    </w:lvl>
    <w:lvl w:ilvl="2" w:tplc="92984FFA" w:tentative="1">
      <w:start w:val="1"/>
      <w:numFmt w:val="bullet"/>
      <w:lvlText w:val="•"/>
      <w:lvlJc w:val="left"/>
      <w:pPr>
        <w:tabs>
          <w:tab w:val="num" w:pos="2160"/>
        </w:tabs>
        <w:ind w:left="2160" w:hanging="360"/>
      </w:pPr>
      <w:rPr>
        <w:rFonts w:ascii="Arial" w:hAnsi="Arial" w:hint="default"/>
      </w:rPr>
    </w:lvl>
    <w:lvl w:ilvl="3" w:tplc="8B10720E" w:tentative="1">
      <w:start w:val="1"/>
      <w:numFmt w:val="bullet"/>
      <w:lvlText w:val="•"/>
      <w:lvlJc w:val="left"/>
      <w:pPr>
        <w:tabs>
          <w:tab w:val="num" w:pos="2880"/>
        </w:tabs>
        <w:ind w:left="2880" w:hanging="360"/>
      </w:pPr>
      <w:rPr>
        <w:rFonts w:ascii="Arial" w:hAnsi="Arial" w:hint="default"/>
      </w:rPr>
    </w:lvl>
    <w:lvl w:ilvl="4" w:tplc="E5C8EE48" w:tentative="1">
      <w:start w:val="1"/>
      <w:numFmt w:val="bullet"/>
      <w:lvlText w:val="•"/>
      <w:lvlJc w:val="left"/>
      <w:pPr>
        <w:tabs>
          <w:tab w:val="num" w:pos="3600"/>
        </w:tabs>
        <w:ind w:left="3600" w:hanging="360"/>
      </w:pPr>
      <w:rPr>
        <w:rFonts w:ascii="Arial" w:hAnsi="Arial" w:hint="default"/>
      </w:rPr>
    </w:lvl>
    <w:lvl w:ilvl="5" w:tplc="C6D69346" w:tentative="1">
      <w:start w:val="1"/>
      <w:numFmt w:val="bullet"/>
      <w:lvlText w:val="•"/>
      <w:lvlJc w:val="left"/>
      <w:pPr>
        <w:tabs>
          <w:tab w:val="num" w:pos="4320"/>
        </w:tabs>
        <w:ind w:left="4320" w:hanging="360"/>
      </w:pPr>
      <w:rPr>
        <w:rFonts w:ascii="Arial" w:hAnsi="Arial" w:hint="default"/>
      </w:rPr>
    </w:lvl>
    <w:lvl w:ilvl="6" w:tplc="5B681288" w:tentative="1">
      <w:start w:val="1"/>
      <w:numFmt w:val="bullet"/>
      <w:lvlText w:val="•"/>
      <w:lvlJc w:val="left"/>
      <w:pPr>
        <w:tabs>
          <w:tab w:val="num" w:pos="5040"/>
        </w:tabs>
        <w:ind w:left="5040" w:hanging="360"/>
      </w:pPr>
      <w:rPr>
        <w:rFonts w:ascii="Arial" w:hAnsi="Arial" w:hint="default"/>
      </w:rPr>
    </w:lvl>
    <w:lvl w:ilvl="7" w:tplc="73A876DC" w:tentative="1">
      <w:start w:val="1"/>
      <w:numFmt w:val="bullet"/>
      <w:lvlText w:val="•"/>
      <w:lvlJc w:val="left"/>
      <w:pPr>
        <w:tabs>
          <w:tab w:val="num" w:pos="5760"/>
        </w:tabs>
        <w:ind w:left="5760" w:hanging="360"/>
      </w:pPr>
      <w:rPr>
        <w:rFonts w:ascii="Arial" w:hAnsi="Arial" w:hint="default"/>
      </w:rPr>
    </w:lvl>
    <w:lvl w:ilvl="8" w:tplc="65DC1F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B1A8EE88">
      <w:start w:val="1"/>
      <w:numFmt w:val="bullet"/>
      <w:lvlText w:val=""/>
      <w:lvlJc w:val="left"/>
      <w:pPr>
        <w:ind w:left="720" w:hanging="360"/>
      </w:pPr>
      <w:rPr>
        <w:rFonts w:ascii="Wingdings" w:hAnsi="Wingdings" w:hint="default"/>
      </w:rPr>
    </w:lvl>
    <w:lvl w:ilvl="1" w:tplc="85A44B74" w:tentative="1">
      <w:start w:val="1"/>
      <w:numFmt w:val="bullet"/>
      <w:lvlText w:val="o"/>
      <w:lvlJc w:val="left"/>
      <w:pPr>
        <w:ind w:left="1440" w:hanging="360"/>
      </w:pPr>
      <w:rPr>
        <w:rFonts w:ascii="Courier New" w:hAnsi="Courier New" w:cs="Courier New" w:hint="default"/>
      </w:rPr>
    </w:lvl>
    <w:lvl w:ilvl="2" w:tplc="1198703C" w:tentative="1">
      <w:start w:val="1"/>
      <w:numFmt w:val="bullet"/>
      <w:lvlText w:val=""/>
      <w:lvlJc w:val="left"/>
      <w:pPr>
        <w:ind w:left="2160" w:hanging="360"/>
      </w:pPr>
      <w:rPr>
        <w:rFonts w:ascii="Wingdings" w:hAnsi="Wingdings" w:hint="default"/>
      </w:rPr>
    </w:lvl>
    <w:lvl w:ilvl="3" w:tplc="406CC022" w:tentative="1">
      <w:start w:val="1"/>
      <w:numFmt w:val="bullet"/>
      <w:lvlText w:val=""/>
      <w:lvlJc w:val="left"/>
      <w:pPr>
        <w:ind w:left="2880" w:hanging="360"/>
      </w:pPr>
      <w:rPr>
        <w:rFonts w:ascii="Symbol" w:hAnsi="Symbol" w:hint="default"/>
      </w:rPr>
    </w:lvl>
    <w:lvl w:ilvl="4" w:tplc="7B9438C4" w:tentative="1">
      <w:start w:val="1"/>
      <w:numFmt w:val="bullet"/>
      <w:lvlText w:val="o"/>
      <w:lvlJc w:val="left"/>
      <w:pPr>
        <w:ind w:left="3600" w:hanging="360"/>
      </w:pPr>
      <w:rPr>
        <w:rFonts w:ascii="Courier New" w:hAnsi="Courier New" w:cs="Courier New" w:hint="default"/>
      </w:rPr>
    </w:lvl>
    <w:lvl w:ilvl="5" w:tplc="4808DF24" w:tentative="1">
      <w:start w:val="1"/>
      <w:numFmt w:val="bullet"/>
      <w:lvlText w:val=""/>
      <w:lvlJc w:val="left"/>
      <w:pPr>
        <w:ind w:left="4320" w:hanging="360"/>
      </w:pPr>
      <w:rPr>
        <w:rFonts w:ascii="Wingdings" w:hAnsi="Wingdings" w:hint="default"/>
      </w:rPr>
    </w:lvl>
    <w:lvl w:ilvl="6" w:tplc="242ADBE6" w:tentative="1">
      <w:start w:val="1"/>
      <w:numFmt w:val="bullet"/>
      <w:lvlText w:val=""/>
      <w:lvlJc w:val="left"/>
      <w:pPr>
        <w:ind w:left="5040" w:hanging="360"/>
      </w:pPr>
      <w:rPr>
        <w:rFonts w:ascii="Symbol" w:hAnsi="Symbol" w:hint="default"/>
      </w:rPr>
    </w:lvl>
    <w:lvl w:ilvl="7" w:tplc="C930B4A2" w:tentative="1">
      <w:start w:val="1"/>
      <w:numFmt w:val="bullet"/>
      <w:lvlText w:val="o"/>
      <w:lvlJc w:val="left"/>
      <w:pPr>
        <w:ind w:left="5760" w:hanging="360"/>
      </w:pPr>
      <w:rPr>
        <w:rFonts w:ascii="Courier New" w:hAnsi="Courier New" w:cs="Courier New" w:hint="default"/>
      </w:rPr>
    </w:lvl>
    <w:lvl w:ilvl="8" w:tplc="26FCF20A"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C6705C84">
      <w:start w:val="1"/>
      <w:numFmt w:val="bullet"/>
      <w:lvlText w:val="•"/>
      <w:lvlJc w:val="left"/>
      <w:pPr>
        <w:tabs>
          <w:tab w:val="num" w:pos="720"/>
        </w:tabs>
        <w:ind w:left="720" w:hanging="360"/>
      </w:pPr>
      <w:rPr>
        <w:rFonts w:ascii="Arial" w:hAnsi="Arial" w:hint="default"/>
      </w:rPr>
    </w:lvl>
    <w:lvl w:ilvl="1" w:tplc="A550764E" w:tentative="1">
      <w:start w:val="1"/>
      <w:numFmt w:val="bullet"/>
      <w:lvlText w:val="•"/>
      <w:lvlJc w:val="left"/>
      <w:pPr>
        <w:tabs>
          <w:tab w:val="num" w:pos="1440"/>
        </w:tabs>
        <w:ind w:left="1440" w:hanging="360"/>
      </w:pPr>
      <w:rPr>
        <w:rFonts w:ascii="Arial" w:hAnsi="Arial" w:hint="default"/>
      </w:rPr>
    </w:lvl>
    <w:lvl w:ilvl="2" w:tplc="0E820724" w:tentative="1">
      <w:start w:val="1"/>
      <w:numFmt w:val="bullet"/>
      <w:lvlText w:val="•"/>
      <w:lvlJc w:val="left"/>
      <w:pPr>
        <w:tabs>
          <w:tab w:val="num" w:pos="2160"/>
        </w:tabs>
        <w:ind w:left="2160" w:hanging="360"/>
      </w:pPr>
      <w:rPr>
        <w:rFonts w:ascii="Arial" w:hAnsi="Arial" w:hint="default"/>
      </w:rPr>
    </w:lvl>
    <w:lvl w:ilvl="3" w:tplc="5754CD72" w:tentative="1">
      <w:start w:val="1"/>
      <w:numFmt w:val="bullet"/>
      <w:lvlText w:val="•"/>
      <w:lvlJc w:val="left"/>
      <w:pPr>
        <w:tabs>
          <w:tab w:val="num" w:pos="2880"/>
        </w:tabs>
        <w:ind w:left="2880" w:hanging="360"/>
      </w:pPr>
      <w:rPr>
        <w:rFonts w:ascii="Arial" w:hAnsi="Arial" w:hint="default"/>
      </w:rPr>
    </w:lvl>
    <w:lvl w:ilvl="4" w:tplc="3490F8C4" w:tentative="1">
      <w:start w:val="1"/>
      <w:numFmt w:val="bullet"/>
      <w:lvlText w:val="•"/>
      <w:lvlJc w:val="left"/>
      <w:pPr>
        <w:tabs>
          <w:tab w:val="num" w:pos="3600"/>
        </w:tabs>
        <w:ind w:left="3600" w:hanging="360"/>
      </w:pPr>
      <w:rPr>
        <w:rFonts w:ascii="Arial" w:hAnsi="Arial" w:hint="default"/>
      </w:rPr>
    </w:lvl>
    <w:lvl w:ilvl="5" w:tplc="3A7E47BE" w:tentative="1">
      <w:start w:val="1"/>
      <w:numFmt w:val="bullet"/>
      <w:lvlText w:val="•"/>
      <w:lvlJc w:val="left"/>
      <w:pPr>
        <w:tabs>
          <w:tab w:val="num" w:pos="4320"/>
        </w:tabs>
        <w:ind w:left="4320" w:hanging="360"/>
      </w:pPr>
      <w:rPr>
        <w:rFonts w:ascii="Arial" w:hAnsi="Arial" w:hint="default"/>
      </w:rPr>
    </w:lvl>
    <w:lvl w:ilvl="6" w:tplc="AA587878" w:tentative="1">
      <w:start w:val="1"/>
      <w:numFmt w:val="bullet"/>
      <w:lvlText w:val="•"/>
      <w:lvlJc w:val="left"/>
      <w:pPr>
        <w:tabs>
          <w:tab w:val="num" w:pos="5040"/>
        </w:tabs>
        <w:ind w:left="5040" w:hanging="360"/>
      </w:pPr>
      <w:rPr>
        <w:rFonts w:ascii="Arial" w:hAnsi="Arial" w:hint="default"/>
      </w:rPr>
    </w:lvl>
    <w:lvl w:ilvl="7" w:tplc="F6A81818" w:tentative="1">
      <w:start w:val="1"/>
      <w:numFmt w:val="bullet"/>
      <w:lvlText w:val="•"/>
      <w:lvlJc w:val="left"/>
      <w:pPr>
        <w:tabs>
          <w:tab w:val="num" w:pos="5760"/>
        </w:tabs>
        <w:ind w:left="5760" w:hanging="360"/>
      </w:pPr>
      <w:rPr>
        <w:rFonts w:ascii="Arial" w:hAnsi="Arial" w:hint="default"/>
      </w:rPr>
    </w:lvl>
    <w:lvl w:ilvl="8" w:tplc="CE0C483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024EE98C">
      <w:start w:val="1"/>
      <w:numFmt w:val="bullet"/>
      <w:lvlText w:val="•"/>
      <w:lvlJc w:val="left"/>
      <w:pPr>
        <w:ind w:left="720" w:hanging="360"/>
      </w:pPr>
      <w:rPr>
        <w:rFonts w:ascii="Arial" w:hAnsi="Arial" w:hint="default"/>
      </w:rPr>
    </w:lvl>
    <w:lvl w:ilvl="1" w:tplc="60E25D92" w:tentative="1">
      <w:start w:val="1"/>
      <w:numFmt w:val="bullet"/>
      <w:lvlText w:val="o"/>
      <w:lvlJc w:val="left"/>
      <w:pPr>
        <w:ind w:left="1440" w:hanging="360"/>
      </w:pPr>
      <w:rPr>
        <w:rFonts w:ascii="Courier New" w:hAnsi="Courier New" w:cs="Courier New" w:hint="default"/>
      </w:rPr>
    </w:lvl>
    <w:lvl w:ilvl="2" w:tplc="2DEC1BF6" w:tentative="1">
      <w:start w:val="1"/>
      <w:numFmt w:val="bullet"/>
      <w:lvlText w:val=""/>
      <w:lvlJc w:val="left"/>
      <w:pPr>
        <w:ind w:left="2160" w:hanging="360"/>
      </w:pPr>
      <w:rPr>
        <w:rFonts w:ascii="Wingdings" w:hAnsi="Wingdings" w:hint="default"/>
      </w:rPr>
    </w:lvl>
    <w:lvl w:ilvl="3" w:tplc="0290B91E" w:tentative="1">
      <w:start w:val="1"/>
      <w:numFmt w:val="bullet"/>
      <w:lvlText w:val=""/>
      <w:lvlJc w:val="left"/>
      <w:pPr>
        <w:ind w:left="2880" w:hanging="360"/>
      </w:pPr>
      <w:rPr>
        <w:rFonts w:ascii="Symbol" w:hAnsi="Symbol" w:hint="default"/>
      </w:rPr>
    </w:lvl>
    <w:lvl w:ilvl="4" w:tplc="699C02F4" w:tentative="1">
      <w:start w:val="1"/>
      <w:numFmt w:val="bullet"/>
      <w:lvlText w:val="o"/>
      <w:lvlJc w:val="left"/>
      <w:pPr>
        <w:ind w:left="3600" w:hanging="360"/>
      </w:pPr>
      <w:rPr>
        <w:rFonts w:ascii="Courier New" w:hAnsi="Courier New" w:cs="Courier New" w:hint="default"/>
      </w:rPr>
    </w:lvl>
    <w:lvl w:ilvl="5" w:tplc="8292BCCC" w:tentative="1">
      <w:start w:val="1"/>
      <w:numFmt w:val="bullet"/>
      <w:lvlText w:val=""/>
      <w:lvlJc w:val="left"/>
      <w:pPr>
        <w:ind w:left="4320" w:hanging="360"/>
      </w:pPr>
      <w:rPr>
        <w:rFonts w:ascii="Wingdings" w:hAnsi="Wingdings" w:hint="default"/>
      </w:rPr>
    </w:lvl>
    <w:lvl w:ilvl="6" w:tplc="523424F2" w:tentative="1">
      <w:start w:val="1"/>
      <w:numFmt w:val="bullet"/>
      <w:lvlText w:val=""/>
      <w:lvlJc w:val="left"/>
      <w:pPr>
        <w:ind w:left="5040" w:hanging="360"/>
      </w:pPr>
      <w:rPr>
        <w:rFonts w:ascii="Symbol" w:hAnsi="Symbol" w:hint="default"/>
      </w:rPr>
    </w:lvl>
    <w:lvl w:ilvl="7" w:tplc="D63C4872" w:tentative="1">
      <w:start w:val="1"/>
      <w:numFmt w:val="bullet"/>
      <w:lvlText w:val="o"/>
      <w:lvlJc w:val="left"/>
      <w:pPr>
        <w:ind w:left="5760" w:hanging="360"/>
      </w:pPr>
      <w:rPr>
        <w:rFonts w:ascii="Courier New" w:hAnsi="Courier New" w:cs="Courier New" w:hint="default"/>
      </w:rPr>
    </w:lvl>
    <w:lvl w:ilvl="8" w:tplc="95488340"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C9F8A1CA">
      <w:start w:val="1"/>
      <w:numFmt w:val="bullet"/>
      <w:lvlText w:val=""/>
      <w:lvlJc w:val="left"/>
      <w:pPr>
        <w:ind w:left="720" w:hanging="360"/>
      </w:pPr>
      <w:rPr>
        <w:rFonts w:ascii="Wingdings" w:hAnsi="Wingdings" w:hint="default"/>
      </w:rPr>
    </w:lvl>
    <w:lvl w:ilvl="1" w:tplc="2A30C08E" w:tentative="1">
      <w:start w:val="1"/>
      <w:numFmt w:val="bullet"/>
      <w:lvlText w:val="o"/>
      <w:lvlJc w:val="left"/>
      <w:pPr>
        <w:ind w:left="1440" w:hanging="360"/>
      </w:pPr>
      <w:rPr>
        <w:rFonts w:ascii="Courier New" w:hAnsi="Courier New" w:cs="Courier New" w:hint="default"/>
      </w:rPr>
    </w:lvl>
    <w:lvl w:ilvl="2" w:tplc="8F38F6A8" w:tentative="1">
      <w:start w:val="1"/>
      <w:numFmt w:val="bullet"/>
      <w:lvlText w:val=""/>
      <w:lvlJc w:val="left"/>
      <w:pPr>
        <w:ind w:left="2160" w:hanging="360"/>
      </w:pPr>
      <w:rPr>
        <w:rFonts w:ascii="Wingdings" w:hAnsi="Wingdings" w:hint="default"/>
      </w:rPr>
    </w:lvl>
    <w:lvl w:ilvl="3" w:tplc="21B6A632" w:tentative="1">
      <w:start w:val="1"/>
      <w:numFmt w:val="bullet"/>
      <w:lvlText w:val=""/>
      <w:lvlJc w:val="left"/>
      <w:pPr>
        <w:ind w:left="2880" w:hanging="360"/>
      </w:pPr>
      <w:rPr>
        <w:rFonts w:ascii="Symbol" w:hAnsi="Symbol" w:hint="default"/>
      </w:rPr>
    </w:lvl>
    <w:lvl w:ilvl="4" w:tplc="567082EE" w:tentative="1">
      <w:start w:val="1"/>
      <w:numFmt w:val="bullet"/>
      <w:lvlText w:val="o"/>
      <w:lvlJc w:val="left"/>
      <w:pPr>
        <w:ind w:left="3600" w:hanging="360"/>
      </w:pPr>
      <w:rPr>
        <w:rFonts w:ascii="Courier New" w:hAnsi="Courier New" w:cs="Courier New" w:hint="default"/>
      </w:rPr>
    </w:lvl>
    <w:lvl w:ilvl="5" w:tplc="43B62F5E" w:tentative="1">
      <w:start w:val="1"/>
      <w:numFmt w:val="bullet"/>
      <w:lvlText w:val=""/>
      <w:lvlJc w:val="left"/>
      <w:pPr>
        <w:ind w:left="4320" w:hanging="360"/>
      </w:pPr>
      <w:rPr>
        <w:rFonts w:ascii="Wingdings" w:hAnsi="Wingdings" w:hint="default"/>
      </w:rPr>
    </w:lvl>
    <w:lvl w:ilvl="6" w:tplc="A044E96A" w:tentative="1">
      <w:start w:val="1"/>
      <w:numFmt w:val="bullet"/>
      <w:lvlText w:val=""/>
      <w:lvlJc w:val="left"/>
      <w:pPr>
        <w:ind w:left="5040" w:hanging="360"/>
      </w:pPr>
      <w:rPr>
        <w:rFonts w:ascii="Symbol" w:hAnsi="Symbol" w:hint="default"/>
      </w:rPr>
    </w:lvl>
    <w:lvl w:ilvl="7" w:tplc="337C748A" w:tentative="1">
      <w:start w:val="1"/>
      <w:numFmt w:val="bullet"/>
      <w:lvlText w:val="o"/>
      <w:lvlJc w:val="left"/>
      <w:pPr>
        <w:ind w:left="5760" w:hanging="360"/>
      </w:pPr>
      <w:rPr>
        <w:rFonts w:ascii="Courier New" w:hAnsi="Courier New" w:cs="Courier New" w:hint="default"/>
      </w:rPr>
    </w:lvl>
    <w:lvl w:ilvl="8" w:tplc="39E6BBF6" w:tentative="1">
      <w:start w:val="1"/>
      <w:numFmt w:val="bullet"/>
      <w:lvlText w:val=""/>
      <w:lvlJc w:val="left"/>
      <w:pPr>
        <w:ind w:left="6480" w:hanging="360"/>
      </w:pPr>
      <w:rPr>
        <w:rFonts w:ascii="Wingdings" w:hAnsi="Wingdings" w:hint="default"/>
      </w:rPr>
    </w:lvl>
  </w:abstractNum>
  <w:num w:numId="1" w16cid:durableId="1422795293">
    <w:abstractNumId w:val="4"/>
  </w:num>
  <w:num w:numId="2" w16cid:durableId="1756783474">
    <w:abstractNumId w:val="3"/>
  </w:num>
  <w:num w:numId="3" w16cid:durableId="704019158">
    <w:abstractNumId w:val="11"/>
  </w:num>
  <w:num w:numId="4" w16cid:durableId="817650244">
    <w:abstractNumId w:val="12"/>
  </w:num>
  <w:num w:numId="5" w16cid:durableId="1804346880">
    <w:abstractNumId w:val="7"/>
  </w:num>
  <w:num w:numId="6" w16cid:durableId="549071746">
    <w:abstractNumId w:val="6"/>
  </w:num>
  <w:num w:numId="7" w16cid:durableId="1377465182">
    <w:abstractNumId w:val="9"/>
  </w:num>
  <w:num w:numId="8" w16cid:durableId="107050962">
    <w:abstractNumId w:val="8"/>
  </w:num>
  <w:num w:numId="9" w16cid:durableId="1230115256">
    <w:abstractNumId w:val="2"/>
  </w:num>
  <w:num w:numId="10" w16cid:durableId="534853020">
    <w:abstractNumId w:val="0"/>
  </w:num>
  <w:num w:numId="11" w16cid:durableId="878663486">
    <w:abstractNumId w:val="5"/>
  </w:num>
  <w:num w:numId="12" w16cid:durableId="1279799823">
    <w:abstractNumId w:val="1"/>
  </w:num>
  <w:num w:numId="13" w16cid:durableId="1845586568">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5"/>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04EC"/>
    <w:rsid w:val="00023293"/>
    <w:rsid w:val="00027F52"/>
    <w:rsid w:val="00061977"/>
    <w:rsid w:val="00063B85"/>
    <w:rsid w:val="000729DA"/>
    <w:rsid w:val="00074402"/>
    <w:rsid w:val="0008782A"/>
    <w:rsid w:val="000A065A"/>
    <w:rsid w:val="000A48E5"/>
    <w:rsid w:val="000B3F27"/>
    <w:rsid w:val="000E56ED"/>
    <w:rsid w:val="000F4B62"/>
    <w:rsid w:val="00102C5C"/>
    <w:rsid w:val="00106FC5"/>
    <w:rsid w:val="00120DEC"/>
    <w:rsid w:val="00123C19"/>
    <w:rsid w:val="00130AD0"/>
    <w:rsid w:val="001A2DAB"/>
    <w:rsid w:val="001B6094"/>
    <w:rsid w:val="001C55B6"/>
    <w:rsid w:val="001C636A"/>
    <w:rsid w:val="001C7624"/>
    <w:rsid w:val="001D6CC4"/>
    <w:rsid w:val="00206405"/>
    <w:rsid w:val="0023182E"/>
    <w:rsid w:val="0023262E"/>
    <w:rsid w:val="002341AD"/>
    <w:rsid w:val="00246D2E"/>
    <w:rsid w:val="00253267"/>
    <w:rsid w:val="002823CD"/>
    <w:rsid w:val="00287787"/>
    <w:rsid w:val="0029052C"/>
    <w:rsid w:val="00291685"/>
    <w:rsid w:val="00292DDD"/>
    <w:rsid w:val="0029329C"/>
    <w:rsid w:val="002B0A3D"/>
    <w:rsid w:val="002C4AE7"/>
    <w:rsid w:val="002F26AB"/>
    <w:rsid w:val="003007A7"/>
    <w:rsid w:val="003257E1"/>
    <w:rsid w:val="00325DEC"/>
    <w:rsid w:val="00331838"/>
    <w:rsid w:val="00346955"/>
    <w:rsid w:val="00346FFA"/>
    <w:rsid w:val="003664A0"/>
    <w:rsid w:val="003718E4"/>
    <w:rsid w:val="00385494"/>
    <w:rsid w:val="003A0C3C"/>
    <w:rsid w:val="003A3069"/>
    <w:rsid w:val="003B2099"/>
    <w:rsid w:val="003C20B5"/>
    <w:rsid w:val="003E545F"/>
    <w:rsid w:val="003F03D2"/>
    <w:rsid w:val="003F1E1A"/>
    <w:rsid w:val="004045E5"/>
    <w:rsid w:val="00421496"/>
    <w:rsid w:val="00422C27"/>
    <w:rsid w:val="0044367C"/>
    <w:rsid w:val="0044412C"/>
    <w:rsid w:val="004642F0"/>
    <w:rsid w:val="004E2F00"/>
    <w:rsid w:val="00500564"/>
    <w:rsid w:val="0051102B"/>
    <w:rsid w:val="00516CC0"/>
    <w:rsid w:val="0053300B"/>
    <w:rsid w:val="005475F0"/>
    <w:rsid w:val="00582081"/>
    <w:rsid w:val="005838BC"/>
    <w:rsid w:val="005B57E1"/>
    <w:rsid w:val="005C789D"/>
    <w:rsid w:val="005E03B4"/>
    <w:rsid w:val="005E4AB0"/>
    <w:rsid w:val="005E61E0"/>
    <w:rsid w:val="005F0F31"/>
    <w:rsid w:val="005F7D75"/>
    <w:rsid w:val="0060066B"/>
    <w:rsid w:val="006024ED"/>
    <w:rsid w:val="0061793F"/>
    <w:rsid w:val="0062123A"/>
    <w:rsid w:val="006605F8"/>
    <w:rsid w:val="006676A1"/>
    <w:rsid w:val="006833BD"/>
    <w:rsid w:val="006D2642"/>
    <w:rsid w:val="006E2D42"/>
    <w:rsid w:val="0070741C"/>
    <w:rsid w:val="00720FEE"/>
    <w:rsid w:val="00737490"/>
    <w:rsid w:val="0074477B"/>
    <w:rsid w:val="00764B6F"/>
    <w:rsid w:val="007B3CD3"/>
    <w:rsid w:val="007C50B9"/>
    <w:rsid w:val="007C7319"/>
    <w:rsid w:val="007D0B6C"/>
    <w:rsid w:val="007D43B3"/>
    <w:rsid w:val="007D6C48"/>
    <w:rsid w:val="007F20B4"/>
    <w:rsid w:val="007F525E"/>
    <w:rsid w:val="00802FF1"/>
    <w:rsid w:val="0082695D"/>
    <w:rsid w:val="0083044C"/>
    <w:rsid w:val="00846694"/>
    <w:rsid w:val="0085182D"/>
    <w:rsid w:val="00867E5F"/>
    <w:rsid w:val="008709F5"/>
    <w:rsid w:val="00877A91"/>
    <w:rsid w:val="008825F1"/>
    <w:rsid w:val="00884E86"/>
    <w:rsid w:val="00890534"/>
    <w:rsid w:val="00891124"/>
    <w:rsid w:val="008927FF"/>
    <w:rsid w:val="008B0F18"/>
    <w:rsid w:val="008C1616"/>
    <w:rsid w:val="008D0504"/>
    <w:rsid w:val="008D09DC"/>
    <w:rsid w:val="008D5999"/>
    <w:rsid w:val="008E3921"/>
    <w:rsid w:val="0090027B"/>
    <w:rsid w:val="00905238"/>
    <w:rsid w:val="0094702A"/>
    <w:rsid w:val="00967DAB"/>
    <w:rsid w:val="00990C64"/>
    <w:rsid w:val="00990E76"/>
    <w:rsid w:val="00991A53"/>
    <w:rsid w:val="00996F4E"/>
    <w:rsid w:val="009F71FE"/>
    <w:rsid w:val="009F7637"/>
    <w:rsid w:val="00A24782"/>
    <w:rsid w:val="00A27D8D"/>
    <w:rsid w:val="00A31F33"/>
    <w:rsid w:val="00A70A62"/>
    <w:rsid w:val="00A71DA8"/>
    <w:rsid w:val="00A90A7A"/>
    <w:rsid w:val="00AA0E10"/>
    <w:rsid w:val="00AA464A"/>
    <w:rsid w:val="00AA588A"/>
    <w:rsid w:val="00AB1210"/>
    <w:rsid w:val="00AB4E67"/>
    <w:rsid w:val="00AB5409"/>
    <w:rsid w:val="00AB770D"/>
    <w:rsid w:val="00AC5944"/>
    <w:rsid w:val="00AF2088"/>
    <w:rsid w:val="00AF5FB0"/>
    <w:rsid w:val="00B0080A"/>
    <w:rsid w:val="00B0538C"/>
    <w:rsid w:val="00B376E4"/>
    <w:rsid w:val="00B37AB8"/>
    <w:rsid w:val="00B409E3"/>
    <w:rsid w:val="00B418DE"/>
    <w:rsid w:val="00B47FE7"/>
    <w:rsid w:val="00B67824"/>
    <w:rsid w:val="00BE15BA"/>
    <w:rsid w:val="00BF5E6B"/>
    <w:rsid w:val="00C20ED0"/>
    <w:rsid w:val="00C31D85"/>
    <w:rsid w:val="00C348A8"/>
    <w:rsid w:val="00C34B00"/>
    <w:rsid w:val="00C34FA0"/>
    <w:rsid w:val="00C46111"/>
    <w:rsid w:val="00C47DCC"/>
    <w:rsid w:val="00C53C9D"/>
    <w:rsid w:val="00C63C89"/>
    <w:rsid w:val="00C83288"/>
    <w:rsid w:val="00C83332"/>
    <w:rsid w:val="00C95E04"/>
    <w:rsid w:val="00C96262"/>
    <w:rsid w:val="00CB012A"/>
    <w:rsid w:val="00CC0A8F"/>
    <w:rsid w:val="00CC24B6"/>
    <w:rsid w:val="00CD3A64"/>
    <w:rsid w:val="00CE08CD"/>
    <w:rsid w:val="00D0664A"/>
    <w:rsid w:val="00D06DEF"/>
    <w:rsid w:val="00D210FA"/>
    <w:rsid w:val="00D21C1C"/>
    <w:rsid w:val="00D248E5"/>
    <w:rsid w:val="00D30F1D"/>
    <w:rsid w:val="00D57231"/>
    <w:rsid w:val="00D6792B"/>
    <w:rsid w:val="00D812F8"/>
    <w:rsid w:val="00D87B48"/>
    <w:rsid w:val="00D91203"/>
    <w:rsid w:val="00D9383E"/>
    <w:rsid w:val="00D94FD1"/>
    <w:rsid w:val="00E379CA"/>
    <w:rsid w:val="00E41692"/>
    <w:rsid w:val="00E55D74"/>
    <w:rsid w:val="00E56A65"/>
    <w:rsid w:val="00E6591D"/>
    <w:rsid w:val="00E81234"/>
    <w:rsid w:val="00E9037E"/>
    <w:rsid w:val="00EA120D"/>
    <w:rsid w:val="00EA3A25"/>
    <w:rsid w:val="00EA49C3"/>
    <w:rsid w:val="00EB5E14"/>
    <w:rsid w:val="00EB6F36"/>
    <w:rsid w:val="00EC29F3"/>
    <w:rsid w:val="00ED1049"/>
    <w:rsid w:val="00EE19D9"/>
    <w:rsid w:val="00EF26FC"/>
    <w:rsid w:val="00F230F9"/>
    <w:rsid w:val="00F37523"/>
    <w:rsid w:val="00F50168"/>
    <w:rsid w:val="00F50D34"/>
    <w:rsid w:val="00F52A07"/>
    <w:rsid w:val="00F52F83"/>
    <w:rsid w:val="00F532FC"/>
    <w:rsid w:val="00F61360"/>
    <w:rsid w:val="00F77E67"/>
    <w:rsid w:val="00F87CA3"/>
    <w:rsid w:val="00FC1278"/>
    <w:rsid w:val="00FC538A"/>
    <w:rsid w:val="00FC781A"/>
    <w:rsid w:val="00FD1C33"/>
    <w:rsid w:val="00FD2441"/>
    <w:rsid w:val="00FE2B9F"/>
    <w:rsid w:val="00FF3CF0"/>
    <w:rsid w:val="00FF4076"/>
    <w:rsid w:val="00FF63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Caption">
    <w:name w:val="caption"/>
    <w:basedOn w:val="Normal"/>
    <w:next w:val="Normal"/>
    <w:uiPriority w:val="35"/>
    <w:unhideWhenUsed/>
    <w:qFormat/>
    <w:rsid w:val="001C636A"/>
    <w:pPr>
      <w:spacing w:after="200"/>
    </w:pPr>
    <w:rPr>
      <w:i/>
      <w:iCs/>
      <w:color w:val="44546A" w:themeColor="text2"/>
      <w:sz w:val="18"/>
      <w:szCs w:val="18"/>
    </w:rPr>
  </w:style>
  <w:style w:type="character" w:styleId="Hyperlink">
    <w:name w:val="Hyperlink"/>
    <w:basedOn w:val="DefaultParagraphFont"/>
    <w:uiPriority w:val="99"/>
    <w:unhideWhenUsed/>
    <w:rsid w:val="002326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136/bmjopen-2022-071188" TargetMode="External"/><Relationship Id="rId3" Type="http://schemas.openxmlformats.org/officeDocument/2006/relationships/customXml" Target="../customXml/item3.xml"/><Relationship Id="rId21" Type="http://schemas.openxmlformats.org/officeDocument/2006/relationships/hyperlink" Target="https://doi.org/10.1177/02692163251360115"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oi.org/10.3390/publications11010002" TargetMode="External"/><Relationship Id="rId2" Type="http://schemas.openxmlformats.org/officeDocument/2006/relationships/customXml" Target="../customXml/item2.xml"/><Relationship Id="rId16" Type="http://schemas.openxmlformats.org/officeDocument/2006/relationships/hyperlink" Target="https://doi.org/10.1177/16094069231180160?urlappend=%3Futm_source%3Dresearchgate.net%26utm_medium%3Darticle" TargetMode="External"/><Relationship Id="rId20" Type="http://schemas.openxmlformats.org/officeDocument/2006/relationships/hyperlink" Target="https://doi.org/10.1007/s43465-023-00971-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3390/su1613579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jamanetwork.com/journals/jama/fullarticle/28236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3.xml><?xml version="1.0" encoding="utf-8"?>
<ds:datastoreItem xmlns:ds="http://schemas.openxmlformats.org/officeDocument/2006/customXml" ds:itemID="{277F7F7F-D03A-4465-B0AE-9F8850FEF31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4</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2026-07-11T08:50:00Z</dcterms:created>
  <dcterms:modified xsi:type="dcterms:W3CDTF">2026-07-11T08:50:00Z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