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924550" cy="8684260"/>
            <wp:effectExtent l="0" t="0" r="3810" b="2540"/>
            <wp:docPr id="1" name="图片 1"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封面"/>
                    <pic:cNvPicPr>
                      <a:picLocks noChangeAspect="1"/>
                    </pic:cNvPicPr>
                  </pic:nvPicPr>
                  <pic:blipFill>
                    <a:blip r:embed="rId7"/>
                    <a:stretch>
                      <a:fillRect/>
                    </a:stretch>
                  </pic:blipFill>
                  <pic:spPr>
                    <a:xfrm>
                      <a:off x="0" y="0"/>
                      <a:ext cx="5924550" cy="8684260"/>
                    </a:xfrm>
                    <a:prstGeom prst="rect">
                      <a:avLst/>
                    </a:prstGeom>
                  </pic:spPr>
                </pic:pic>
              </a:graphicData>
            </a:graphic>
          </wp:inline>
        </w:drawing>
      </w:r>
    </w:p>
    <w:p>
      <w:pPr>
        <w:pStyle w:val="2"/>
        <w:bidi w:val="0"/>
        <w:rPr>
          <w:rFonts w:hint="default"/>
          <w:lang w:val="en-US" w:eastAsia="zh-CN"/>
        </w:rPr>
      </w:pPr>
      <w:bookmarkStart w:id="0" w:name="_Toc17044"/>
      <w:r>
        <w:rPr>
          <w:rFonts w:hint="default"/>
          <w:lang w:val="en-US" w:eastAsia="zh-CN"/>
        </w:rPr>
        <w:t>Executive Summary</w:t>
      </w:r>
      <w:bookmarkEnd w:id="0"/>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purpose of this article is to enable the Swansea, UK retailer Rowberry Shoes to successfully expand their brand into the Chinese market. To achieve this, the challenges that the company needs to go through include international business communication, skills requirements, methods of communication, effective communication, international culture, importance of building relationships, how to build trust, and failed relationships. The business is expanding their business to another country for the first time, so they might be inexperienced. This article presents the business with detailed considerations and advice that will help the business to be able to successfully find a clear direction in the Chinese market.</w:t>
      </w:r>
      <w:r>
        <w:rPr>
          <w:rFonts w:hint="eastAsia" w:ascii="Arial" w:hAnsi="Arial" w:cs="Arial"/>
          <w:sz w:val="24"/>
          <w:szCs w:val="24"/>
          <w:lang w:val="en-US" w:eastAsia="zh-CN"/>
        </w:rPr>
        <w:t xml:space="preserve"> </w:t>
      </w:r>
      <w:r>
        <w:rPr>
          <w:rFonts w:hint="default" w:ascii="Arial" w:hAnsi="Arial" w:cs="Arial"/>
          <w:sz w:val="24"/>
          <w:szCs w:val="24"/>
          <w:lang w:val="en-US" w:eastAsia="zh-CN"/>
        </w:rPr>
        <w:t>By reading the articles, companies can learn how to communicate correctly with their partners and use some skills and behaviours to show respect for Chinese culture. Companies will also learn the consequences of wrong communication ways, so it is important to avoid making mistakes.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Content Page</w:t>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"1-3"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_Toc17044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_Toc17044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_Toc656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1.0 </w:t>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_Toc656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_Toc25986 </w:instrText>
      </w:r>
      <w:r>
        <w:rPr>
          <w:rFonts w:hint="default" w:ascii="Arial" w:hAnsi="Arial" w:cs="Arial"/>
          <w:sz w:val="24"/>
          <w:szCs w:val="24"/>
          <w:lang w:val="en-US" w:eastAsia="zh-CN"/>
        </w:rPr>
        <w:fldChar w:fldCharType="separate"/>
      </w:r>
      <w:r>
        <w:rPr>
          <w:rFonts w:hint="default" w:ascii="Arial" w:hAnsi="Arial" w:cs="Arial"/>
          <w:sz w:val="24"/>
          <w:szCs w:val="24"/>
        </w:rPr>
        <w:t>2.0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_Toc25986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_Toc18926 </w:instrText>
      </w:r>
      <w:r>
        <w:rPr>
          <w:rFonts w:hint="default" w:ascii="Arial" w:hAnsi="Arial" w:cs="Arial"/>
          <w:sz w:val="24"/>
          <w:szCs w:val="24"/>
          <w:lang w:val="en-US" w:eastAsia="zh-CN"/>
        </w:rPr>
        <w:fldChar w:fldCharType="separate"/>
      </w:r>
      <w:r>
        <w:rPr>
          <w:rFonts w:hint="default" w:ascii="Arial" w:hAnsi="Arial" w:cs="Arial"/>
          <w:sz w:val="24"/>
          <w:szCs w:val="24"/>
        </w:rPr>
        <w:t>2.1 International Business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_Toc18926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_Toc21268 </w:instrText>
      </w:r>
      <w:r>
        <w:rPr>
          <w:rFonts w:hint="default" w:ascii="Arial" w:hAnsi="Arial" w:cs="Arial"/>
          <w:sz w:val="24"/>
          <w:szCs w:val="24"/>
          <w:lang w:val="en-US" w:eastAsia="zh-CN"/>
        </w:rPr>
        <w:fldChar w:fldCharType="separate"/>
      </w:r>
      <w:r>
        <w:rPr>
          <w:rFonts w:hint="default" w:ascii="Arial" w:hAnsi="Arial" w:cs="Arial"/>
          <w:sz w:val="24"/>
          <w:szCs w:val="24"/>
        </w:rPr>
        <w:t>2.2 Skills Requirements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_Toc21268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_Toc14801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2.2.1 Eye contact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_Toc14801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_Toc20155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2.2.2 Body language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_Toc20155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_Toc1422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2.2.3 Silence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_Toc1422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_Toc19857 </w:instrText>
      </w:r>
      <w:r>
        <w:rPr>
          <w:rFonts w:hint="default" w:ascii="Arial" w:hAnsi="Arial" w:cs="Arial"/>
          <w:sz w:val="24"/>
          <w:szCs w:val="24"/>
          <w:lang w:val="en-US" w:eastAsia="zh-CN"/>
        </w:rPr>
        <w:fldChar w:fldCharType="separate"/>
      </w:r>
      <w:r>
        <w:rPr>
          <w:rFonts w:hint="default" w:ascii="Arial" w:hAnsi="Arial" w:cs="Arial"/>
          <w:sz w:val="24"/>
          <w:szCs w:val="24"/>
        </w:rPr>
        <w:t>2.3 Methods of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_Toc19857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_Toc2182 </w:instrText>
      </w:r>
      <w:r>
        <w:rPr>
          <w:rFonts w:hint="default" w:ascii="Arial" w:hAnsi="Arial" w:cs="Arial"/>
          <w:sz w:val="24"/>
          <w:szCs w:val="24"/>
          <w:lang w:val="en-US" w:eastAsia="zh-CN"/>
        </w:rPr>
        <w:fldChar w:fldCharType="separate"/>
      </w:r>
      <w:r>
        <w:rPr>
          <w:rFonts w:hint="default" w:ascii="Arial" w:hAnsi="Arial" w:cs="Arial"/>
          <w:sz w:val="24"/>
          <w:szCs w:val="24"/>
        </w:rPr>
        <w:t>2.3.1 Halls High Low Context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_Toc21853 </w:instrText>
      </w:r>
      <w:r>
        <w:rPr>
          <w:rFonts w:hint="default" w:ascii="Arial" w:hAnsi="Arial" w:cs="Arial"/>
          <w:sz w:val="24"/>
          <w:szCs w:val="24"/>
          <w:lang w:val="en-US" w:eastAsia="zh-CN"/>
        </w:rPr>
        <w:fldChar w:fldCharType="separate"/>
      </w:r>
      <w:r>
        <w:rPr>
          <w:rFonts w:hint="default" w:ascii="Arial" w:hAnsi="Arial" w:cs="Arial"/>
          <w:sz w:val="24"/>
          <w:szCs w:val="24"/>
        </w:rPr>
        <w:t>2.4 Effective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_Toc21853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_Toc4517 </w:instrText>
      </w:r>
      <w:r>
        <w:rPr>
          <w:rFonts w:hint="default" w:ascii="Arial" w:hAnsi="Arial" w:cs="Arial"/>
          <w:sz w:val="24"/>
          <w:szCs w:val="24"/>
          <w:lang w:val="en-US" w:eastAsia="zh-CN"/>
        </w:rPr>
        <w:fldChar w:fldCharType="separate"/>
      </w:r>
      <w:r>
        <w:rPr>
          <w:rFonts w:hint="default" w:ascii="Arial" w:hAnsi="Arial" w:cs="Arial"/>
          <w:sz w:val="24"/>
          <w:szCs w:val="24"/>
          <w:lang w:val="fr-FR"/>
        </w:rPr>
        <w:t>2.5</w:t>
      </w:r>
      <w:r>
        <w:rPr>
          <w:rFonts w:hint="default" w:ascii="Arial" w:hAnsi="Arial" w:cs="Arial"/>
          <w:sz w:val="24"/>
          <w:szCs w:val="24"/>
          <w:lang w:val="en-US" w:eastAsia="zh-CN"/>
        </w:rPr>
        <w:t xml:space="preserve"> </w:t>
      </w:r>
      <w:r>
        <w:rPr>
          <w:rFonts w:hint="default" w:ascii="Arial" w:hAnsi="Arial" w:cs="Arial"/>
          <w:sz w:val="24"/>
          <w:szCs w:val="24"/>
          <w:lang w:val="fr-FR"/>
        </w:rPr>
        <w:t>International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_Toc4517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5"/>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_Toc24723 </w:instrText>
      </w:r>
      <w:r>
        <w:rPr>
          <w:rFonts w:hint="default" w:ascii="Arial" w:hAnsi="Arial" w:cs="Arial"/>
          <w:sz w:val="24"/>
          <w:szCs w:val="24"/>
          <w:lang w:val="en-US" w:eastAsia="zh-CN"/>
        </w:rPr>
        <w:fldChar w:fldCharType="separate"/>
      </w:r>
      <w:r>
        <w:rPr>
          <w:rFonts w:hint="default" w:ascii="Arial" w:hAnsi="Arial" w:cs="Arial"/>
          <w:sz w:val="24"/>
          <w:szCs w:val="24"/>
          <w:lang w:val="fr-FR"/>
        </w:rPr>
        <w:t>2.5.1</w:t>
      </w:r>
      <w:r>
        <w:rPr>
          <w:rFonts w:hint="default" w:ascii="Arial" w:hAnsi="Arial" w:cs="Arial"/>
          <w:sz w:val="24"/>
          <w:szCs w:val="24"/>
          <w:lang w:val="en-US" w:eastAsia="zh-CN"/>
        </w:rPr>
        <w:t xml:space="preserve"> Trompenaars and Hampden-Turner’s 7 Dimension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_Toc24723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_Toc25569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6</w:t>
      </w:r>
      <w:r>
        <w:rPr>
          <w:rFonts w:hint="default" w:ascii="Arial" w:hAnsi="Arial" w:cs="Arial"/>
          <w:sz w:val="24"/>
          <w:szCs w:val="24"/>
        </w:rPr>
        <w:t xml:space="preserve"> The </w:t>
      </w:r>
      <w:r>
        <w:rPr>
          <w:rFonts w:hint="default" w:ascii="Arial" w:hAnsi="Arial" w:cs="Arial"/>
          <w:sz w:val="24"/>
          <w:szCs w:val="24"/>
          <w:lang w:val="en-US" w:eastAsia="zh-CN"/>
        </w:rPr>
        <w:t>I</w:t>
      </w:r>
      <w:r>
        <w:rPr>
          <w:rFonts w:hint="default" w:ascii="Arial" w:hAnsi="Arial" w:cs="Arial"/>
          <w:sz w:val="24"/>
          <w:szCs w:val="24"/>
        </w:rPr>
        <w:t xml:space="preserve">mportance of </w:t>
      </w:r>
      <w:r>
        <w:rPr>
          <w:rFonts w:hint="default" w:ascii="Arial" w:hAnsi="Arial" w:cs="Arial"/>
          <w:sz w:val="24"/>
          <w:szCs w:val="24"/>
          <w:lang w:val="en-US" w:eastAsia="zh-CN"/>
        </w:rPr>
        <w:t>B</w:t>
      </w:r>
      <w:r>
        <w:rPr>
          <w:rFonts w:hint="default" w:ascii="Arial" w:hAnsi="Arial" w:cs="Arial"/>
          <w:sz w:val="24"/>
          <w:szCs w:val="24"/>
        </w:rPr>
        <w:t xml:space="preserve">uilding </w:t>
      </w:r>
      <w:r>
        <w:rPr>
          <w:rFonts w:hint="default" w:ascii="Arial" w:hAnsi="Arial" w:cs="Arial"/>
          <w:sz w:val="24"/>
          <w:szCs w:val="24"/>
          <w:lang w:val="en-US" w:eastAsia="zh-CN"/>
        </w:rPr>
        <w:t>T</w:t>
      </w:r>
      <w:r>
        <w:rPr>
          <w:rFonts w:hint="default" w:ascii="Arial" w:hAnsi="Arial" w:cs="Arial"/>
          <w:sz w:val="24"/>
          <w:szCs w:val="24"/>
        </w:rPr>
        <w:t>rust</w:t>
      </w:r>
      <w:r>
        <w:rPr>
          <w:rFonts w:hint="default" w:ascii="Arial" w:hAnsi="Arial" w:cs="Arial"/>
          <w:sz w:val="24"/>
          <w:szCs w:val="24"/>
          <w:lang w:val="en-US" w:eastAsia="zh-CN"/>
        </w:rPr>
        <w:t xml:space="preserve"> in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_Toc25569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_Toc22369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7</w:t>
      </w:r>
      <w:r>
        <w:rPr>
          <w:rFonts w:hint="default" w:ascii="Arial" w:hAnsi="Arial" w:cs="Arial"/>
          <w:sz w:val="24"/>
          <w:szCs w:val="24"/>
        </w:rPr>
        <w:t xml:space="preserve"> </w:t>
      </w:r>
      <w:r>
        <w:rPr>
          <w:rFonts w:hint="default" w:ascii="Arial" w:hAnsi="Arial" w:cs="Arial"/>
          <w:sz w:val="24"/>
          <w:szCs w:val="24"/>
          <w:lang w:val="en-US" w:eastAsia="zh-CN"/>
        </w:rPr>
        <w:t xml:space="preserve">The </w:t>
      </w:r>
      <w:r>
        <w:rPr>
          <w:rFonts w:hint="default" w:ascii="Arial" w:hAnsi="Arial" w:cs="Arial"/>
          <w:sz w:val="24"/>
          <w:szCs w:val="24"/>
        </w:rPr>
        <w:t>Importance of Build</w:t>
      </w:r>
      <w:r>
        <w:rPr>
          <w:rFonts w:hint="default" w:ascii="Arial" w:hAnsi="Arial" w:cs="Arial"/>
          <w:sz w:val="24"/>
          <w:szCs w:val="24"/>
          <w:lang w:val="en-US" w:eastAsia="zh-CN"/>
        </w:rPr>
        <w:t xml:space="preserve"> Successful</w:t>
      </w:r>
      <w:r>
        <w:rPr>
          <w:rFonts w:hint="default" w:ascii="Arial" w:hAnsi="Arial" w:cs="Arial"/>
          <w:sz w:val="24"/>
          <w:szCs w:val="24"/>
        </w:rPr>
        <w:t xml:space="preserve"> </w:t>
      </w:r>
      <w:r>
        <w:rPr>
          <w:rFonts w:hint="default" w:ascii="Arial" w:hAnsi="Arial" w:cs="Arial"/>
          <w:sz w:val="24"/>
          <w:szCs w:val="24"/>
          <w:lang w:val="en-US" w:eastAsia="zh-CN"/>
        </w:rPr>
        <w:t xml:space="preserve">Business </w:t>
      </w:r>
      <w:r>
        <w:rPr>
          <w:rFonts w:hint="default" w:ascii="Arial" w:hAnsi="Arial" w:cs="Arial"/>
          <w:sz w:val="24"/>
          <w:szCs w:val="24"/>
        </w:rPr>
        <w:t>Relationships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_Toc22369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_Toc23448 </w:instrText>
      </w:r>
      <w:r>
        <w:rPr>
          <w:rFonts w:hint="default" w:ascii="Arial" w:hAnsi="Arial" w:cs="Arial"/>
          <w:sz w:val="24"/>
          <w:szCs w:val="24"/>
          <w:lang w:val="en-US" w:eastAsia="zh-CN"/>
        </w:rPr>
        <w:fldChar w:fldCharType="separate"/>
      </w:r>
      <w:r>
        <w:rPr>
          <w:rFonts w:hint="default" w:ascii="Arial" w:hAnsi="Arial" w:cs="Arial"/>
          <w:sz w:val="24"/>
          <w:szCs w:val="24"/>
        </w:rPr>
        <w:t>2.8 Failed Relationships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_Toc23448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_Toc28162 </w:instrText>
      </w:r>
      <w:r>
        <w:rPr>
          <w:rFonts w:hint="default" w:ascii="Arial" w:hAnsi="Arial" w:cs="Arial"/>
          <w:sz w:val="24"/>
          <w:szCs w:val="24"/>
          <w:lang w:val="en-US" w:eastAsia="zh-CN"/>
        </w:rPr>
        <w:fldChar w:fldCharType="separate"/>
      </w:r>
      <w:r>
        <w:rPr>
          <w:rFonts w:hint="default" w:ascii="Arial" w:hAnsi="Arial" w:cs="Arial"/>
          <w:sz w:val="24"/>
          <w:szCs w:val="24"/>
        </w:rPr>
        <w:t>3.0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_Toc28162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_Toc26624 </w:instrText>
      </w:r>
      <w:r>
        <w:rPr>
          <w:rFonts w:hint="default" w:ascii="Arial" w:hAnsi="Arial" w:cs="Arial"/>
          <w:sz w:val="24"/>
          <w:szCs w:val="24"/>
          <w:lang w:val="en-US" w:eastAsia="zh-CN"/>
        </w:rPr>
        <w:fldChar w:fldCharType="separate"/>
      </w:r>
      <w:r>
        <w:rPr>
          <w:rFonts w:hint="default" w:ascii="Arial" w:hAnsi="Arial" w:cs="Arial"/>
          <w:sz w:val="24"/>
          <w:szCs w:val="24"/>
        </w:rPr>
        <w:t>4.0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_Toc26624 \h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_Toc31486 </w:instrText>
      </w:r>
      <w:r>
        <w:rPr>
          <w:rFonts w:hint="default" w:ascii="Arial" w:hAnsi="Arial" w:cs="Arial"/>
          <w:sz w:val="24"/>
          <w:szCs w:val="24"/>
          <w:lang w:val="en-US" w:eastAsia="zh-CN"/>
        </w:rPr>
        <w:fldChar w:fldCharType="separate"/>
      </w:r>
      <w:r>
        <w:rPr>
          <w:rFonts w:hint="default" w:ascii="Arial" w:hAnsi="Arial" w:cs="Arial"/>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_Toc31486 \h </w:instrText>
      </w:r>
      <w:r>
        <w:rPr>
          <w:rFonts w:hint="default" w:ascii="Arial" w:hAnsi="Arial" w:cs="Arial"/>
          <w:sz w:val="24"/>
          <w:szCs w:val="24"/>
        </w:rPr>
        <w:fldChar w:fldCharType="separate"/>
      </w:r>
      <w:r>
        <w:rPr>
          <w:rFonts w:hint="default" w:ascii="Arial" w:hAnsi="Arial" w:cs="Arial"/>
          <w:sz w:val="24"/>
          <w:szCs w:val="24"/>
        </w:rPr>
        <w:t>22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_Toc16654 </w:instrText>
      </w:r>
      <w:r>
        <w:rPr>
          <w:rFonts w:hint="default" w:ascii="Arial" w:hAnsi="Arial" w:cs="Arial"/>
          <w:sz w:val="24"/>
          <w:szCs w:val="24"/>
          <w:lang w:val="en-US" w:eastAsia="zh-CN"/>
        </w:rPr>
        <w:fldChar w:fldCharType="separate"/>
      </w:r>
      <w:r>
        <w:rPr>
          <w:rFonts w:hint="default" w:ascii="Arial" w:hAnsi="Arial" w:cs="Arial"/>
          <w:sz w:val="24"/>
          <w:szCs w:val="24"/>
        </w:rPr>
        <w:t>Appendices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_Toc16654 \h </w:instrText>
      </w:r>
      <w:r>
        <w:rPr>
          <w:rFonts w:hint="default" w:ascii="Arial" w:hAnsi="Arial" w:cs="Arial"/>
          <w:sz w:val="24"/>
          <w:szCs w:val="24"/>
        </w:rPr>
        <w:fldChar w:fldCharType="separate"/>
      </w:r>
      <w:r>
        <w:rPr>
          <w:rFonts w:hint="default" w:ascii="Arial" w:hAnsi="Arial" w:cs="Arial"/>
          <w:sz w:val="24"/>
          <w:szCs w:val="24"/>
        </w:rPr>
        <w:t>30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fldChar w:fldCharType="end"/>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 w:name="_Toc656"/>
      <w:r>
        <w:rPr>
          <w:rFonts w:hint="default" w:ascii="Arial" w:hAnsi="Arial" w:cs="Arial"/>
          <w:sz w:val="32"/>
          <w:szCs w:val="32"/>
          <w:lang w:val="en-US" w:eastAsia="zh-CN"/>
        </w:rPr>
        <w:t xml:space="preserve">1.0 </w:t>
      </w:r>
      <w:r>
        <w:rPr>
          <w:rFonts w:hint="default" w:ascii="Arial" w:hAnsi="Arial" w:cs="Arial"/>
          <w:sz w:val="32"/>
          <w:szCs w:val="32"/>
        </w:rPr>
        <w:t>Introduction</w:t>
      </w:r>
      <w:bookmarkEnd w:id="1"/>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purpose of this article is to enable Swansea UK retail Rowberry Shoes to expand into the Chinese market. Before this project is implemented, the company needs to have some knowledge of the traditional culture and business culture of this country to avoid misunderstanding and ineffective communication. As the business has no experience of globalisation, the business needs to be aware of the considerations for market expansion.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research, the origin of the Rowberry Shoes brand is that Mr Aueurin Rowberry relocated his footwear and cobblers business from Llandilo to the Port Tennant area of Swansea in 1898 ( Shops.Wales, 2023). In 1965, the business was officially managed by Aueurins' granddaughter, and the business address for their current multiple shops is local to Swansea (Shops.Wales, 2023). Their products are shoes of various styles made by designers from England, Spain and Italy (Rowberry, 2023). The number of years that the business has been in operation is enough to show that the brand's reputation has remained consistently good and that local customers in the UK love the design style of their products.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2022, China was the second-largest personal luxury goods market worldwide and the most prominent luxury goods market in APAC (Ma, 2023). This shows that China has a bigger market, so it is good option that Rowberry Shoes can try to import their products to China. Currently, there is a demand for high quality footwear for Chinese business people because the imported material can match their taste. For Chinese female customers, they are looking for shoes that look beautiful on the outside and are comfortable on the inside, and Rowberry Shoes' products meet the needs of Chinese customers (Chevalier and Lu, 2010, p. 251).</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the pictures of Rowberry Shoes' products displayed on Facebook, the advantages of the products are the independent design style, especially the french fashion women's boots make a lot of local female customers stop and take their time to appreciate the products, see Appendix (Rowberry Shoes , 2023). The design of these high heeled boots has a classical style which is very rare in China, so this will be a bold attempt. If companies want to expand their shoe business into the Chinese market with these exquisite and unique design styles, the challenges they must face include international business communication, skills requirements, methods of communication, effective communication, and international business communication. At the same time, companies need to learn the importance of building relationships, how to build trust, and the consequences of failed relationships.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2" w:name="_Toc25986"/>
      <w:r>
        <w:rPr>
          <w:rFonts w:hint="default" w:ascii="Arial" w:hAnsi="Arial" w:cs="Arial"/>
          <w:sz w:val="32"/>
          <w:szCs w:val="32"/>
        </w:rPr>
        <w:t>2.0 Main Findings</w:t>
      </w:r>
      <w:bookmarkEnd w:id="2"/>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rPr>
      </w:pPr>
      <w:bookmarkStart w:id="3" w:name="_Toc18926"/>
      <w:r>
        <w:rPr>
          <w:rFonts w:hint="default" w:ascii="Arial" w:hAnsi="Arial" w:cs="Arial"/>
          <w:sz w:val="28"/>
          <w:szCs w:val="28"/>
        </w:rPr>
        <w:t>2.1 International Business Communication</w:t>
      </w:r>
      <w:bookmarkEnd w:id="3"/>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purpose of international business communication is to enable effective communication and relationship building between international business partners. Businesses can also use some communication techniques to reduce potential cultural differences within the organisation and enhance teamwork (Griffith, 2002).</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Rowberry Shoes has been a Swansea, UK retailer, so their first challenge in entering the Chinese market was language communication. Most of the customers in China do not communicate in English, so the company should find out where the international market in China congregates to pick a partner, such as working with the business team in Shanghai or Beijing. These large cities have a certain international profile because China held the 2008 Beijing Summer Olympics, 2010 Shanghai World Expo, and 2010 Guangzhou Asian Games in these cities (Chen, 2012). This means that these cities are places where a lot of business talent and entrepreneurs gather, so Rowberry Shoes is in a better position to find good partners to work with to solve language differences.</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rPr>
      </w:pPr>
      <w:bookmarkStart w:id="4" w:name="_Toc21268"/>
      <w:r>
        <w:rPr>
          <w:rFonts w:hint="default" w:ascii="Arial" w:hAnsi="Arial" w:cs="Arial"/>
          <w:sz w:val="28"/>
          <w:szCs w:val="28"/>
        </w:rPr>
        <w:t>2.2 Skills Requirements</w:t>
      </w:r>
      <w:bookmarkEnd w:id="4"/>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Effective Communication skills refer to the ability to make the other person clearly understand the meaning of surface and hidden messages, and to use good dynamic or static behaviours to make the other person feel listened to and understood. These dynamic behaviours include eye contact, visible mouth, body language, silence, checking for understanding, smiling face, summarising statements, encouraging others, and asking questions (Schuller, 2020).</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5" w:name="_Toc14801"/>
      <w:r>
        <w:rPr>
          <w:rFonts w:hint="default" w:ascii="Arial" w:hAnsi="Arial" w:cs="Arial"/>
          <w:sz w:val="24"/>
          <w:szCs w:val="24"/>
          <w:lang w:val="en-US" w:eastAsia="zh-CN"/>
        </w:rPr>
        <w:t>2.2.1 Eye contact</w:t>
      </w:r>
      <w:bookmarkEnd w:id="5"/>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Eye contact is helpful for individuals to accurately gather information and understand the mood changes of others (Hietanen, 2018). Western European cultures believe that maintaining eye contact is a sign of respect for others, but a small percentage of Middle East cultures with religious beliefs suggest that men and women should avoid prolonged eye contact in order to be polite (Ulrike, 2008). This suggests that different cultures do have a different understanding of eye contact and that companies should pay attention to this behaviour when communicating with their partners. For example, Rowberry Shoes should have investigated whether China would be offended by eye contact and politely suggested to the partner the tolerance level of eye contact that would be acceptable. If both sides are very supportive of eye contact, the flow of the meeting will be smoother because both of them can seriously read from each other's eyes the correct focus of the information to improve the organisation's internal collaboration.</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6" w:name="_Toc20155"/>
      <w:r>
        <w:rPr>
          <w:rFonts w:hint="default" w:ascii="Arial" w:hAnsi="Arial" w:cs="Arial"/>
          <w:sz w:val="24"/>
          <w:szCs w:val="24"/>
          <w:lang w:val="en-US" w:eastAsia="zh-CN"/>
        </w:rPr>
        <w:t>2.2.2 Body language</w:t>
      </w:r>
      <w:bookmarkEnd w:id="6"/>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Body language is dynamic behaviour, which is used to communicate personal feelings and intentions. For example, nodding has many meanings, this includes greeting, acknowledging the other person, and being interested in the topic (Pease, 1981). During a meeting, Rowberry Shoes more nodding can be used to show approval of what the Chinese partner is saying, which can encourage others' self-confidence to continue to tell more. This suggests that using more dynamic body language can give encouragement without disturbing others, which is a subconscious indication of agreeing with others' ideas.</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bookmarkStart w:id="7" w:name="_Toc1422"/>
      <w:r>
        <w:rPr>
          <w:rFonts w:hint="default" w:ascii="Arial" w:hAnsi="Arial" w:cs="Arial"/>
          <w:sz w:val="24"/>
          <w:szCs w:val="24"/>
          <w:lang w:val="en-US" w:eastAsia="zh-CN"/>
        </w:rPr>
        <w:t>2.2.3 Silence</w:t>
      </w:r>
      <w:bookmarkEnd w:id="7"/>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Silence is associated with being a listener and the duty of being a listener is to be quiet and listen to what the speaker is saying (Ephratt, 2008). It is important to remain silent and attentive while others are speaking and should not interrupt others' thoughts. For example, the agent of Rowberry Shoes should be a good listener when listening to the Chinese partner's speech and he can record the key points and questions for the questioning session at the end. This shows that it is respectful to let others finish their sentences before presenting their ideas, and it also ensures that others speak fluently.</w:t>
      </w: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lang w:val="en-US" w:eastAsia="zh-CN"/>
        </w:rPr>
      </w:pPr>
      <w:bookmarkStart w:id="8" w:name="_Toc19857"/>
      <w:r>
        <w:rPr>
          <w:rFonts w:hint="default" w:ascii="Arial" w:hAnsi="Arial" w:cs="Arial"/>
          <w:sz w:val="28"/>
          <w:szCs w:val="28"/>
        </w:rPr>
        <w:t>2.3 Methods of Communication</w:t>
      </w:r>
      <w:bookmarkEnd w:id="8"/>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9" w:name="_Toc2182"/>
      <w:r>
        <w:rPr>
          <w:rFonts w:hint="default" w:ascii="Arial" w:hAnsi="Arial" w:cs="Arial"/>
          <w:sz w:val="24"/>
          <w:szCs w:val="24"/>
        </w:rPr>
        <w:t>2.3.1 Halls High Low Context</w:t>
      </w:r>
      <w:bookmarkEnd w:id="9"/>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High context cultures prefer to keep key messages subtle, whereas low context cultures want to be explicit (Hall, de Jong and Michaël, 2004).</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People in high context cultures pay more attention to the emotional language used by others to express information, and they also focus on subjects not related to business topics. For example, leaders will ask staff about their personal life situation rather than starting the meeting straight away, which is often the case in China, France and Spain (United Language Group, 2022).</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People in Low context cultures will tell others what they think directly. Their way of speaking is direct and short, which helps them to share ideas efficiently to the team, this is often seen in the UK, Australia and the USA (United Language Group, 2022).</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rPr>
        <w:t>Since the British company Rowberry Shoes is used to using Low context cultures, it will be a challenge for them to match the High context cultures of their Chinese partner. The truth is that the best way to communicate in business is in low context, because teams need to convey a lot of information in short phrases. Rowberry Shoes can match the Chinese partner's High context cultures before the meeting and give them a polite greeting. During the formal meeting, the company can directly and clearly talk about the brand plan and terms of the important information.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rPr>
      </w:pPr>
      <w:bookmarkStart w:id="10" w:name="_Toc21853"/>
      <w:r>
        <w:rPr>
          <w:rFonts w:hint="default" w:ascii="Arial" w:hAnsi="Arial" w:cs="Arial"/>
          <w:sz w:val="28"/>
          <w:szCs w:val="28"/>
        </w:rPr>
        <w:t>2.4 Effective Communication</w:t>
      </w:r>
      <w:bookmarkEnd w:id="10"/>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purpose of communication is the process of passing information from one person or group of people to another. The most common forms of communication include verbal, non-verbal, written, listening, visual, aural, and external communication (Team Leverage EDU,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Effective communication involves the exchange of ideas, opinions, knowledge, and data, which allows the receiver of the message to more clearly understand what is important. The person sending the message needs to use clear, complete, and concise statements because this will speed up the receiver's comprehension (Coursera,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most suitable methods of communication between Rowberry Shoes and their Chinese partners would be emails and video calls, of course face-to-face communication would be the most effective. Due to the time difference between countries, anything important could not be known to the other party at the very first time, which could lead to a decrease in internal efficiency. The most effective communication is definitely face-to-face problem solving, so that the dialogue is more emotional and the level of understanding can be increased through body language.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lang w:val="fr-FR"/>
        </w:rPr>
      </w:pPr>
      <w:bookmarkStart w:id="11" w:name="_Toc4517"/>
      <w:r>
        <w:rPr>
          <w:rFonts w:hint="default" w:ascii="Arial" w:hAnsi="Arial" w:cs="Arial"/>
          <w:sz w:val="28"/>
          <w:szCs w:val="28"/>
          <w:lang w:val="fr-FR"/>
        </w:rPr>
        <w:t>2.5</w:t>
      </w:r>
      <w:r>
        <w:rPr>
          <w:rFonts w:hint="default" w:ascii="Arial" w:hAnsi="Arial" w:cs="Arial"/>
          <w:sz w:val="28"/>
          <w:szCs w:val="28"/>
          <w:lang w:val="en-US" w:eastAsia="zh-CN"/>
        </w:rPr>
        <w:t xml:space="preserve"> </w:t>
      </w:r>
      <w:r>
        <w:rPr>
          <w:rFonts w:hint="default" w:ascii="Arial" w:hAnsi="Arial" w:cs="Arial"/>
          <w:sz w:val="28"/>
          <w:szCs w:val="28"/>
          <w:lang w:val="fr-FR"/>
        </w:rPr>
        <w:t>International Culture</w:t>
      </w:r>
      <w:bookmarkEnd w:id="11"/>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eastAsiaTheme="minorEastAsia"/>
          <w:sz w:val="24"/>
          <w:szCs w:val="24"/>
          <w:lang w:val="en-US" w:eastAsia="zh-CN"/>
        </w:rPr>
      </w:pPr>
      <w:r>
        <w:rPr>
          <w:rFonts w:hint="default" w:ascii="Arial" w:hAnsi="Arial" w:cs="Arial"/>
          <w:sz w:val="24"/>
          <w:szCs w:val="24"/>
          <w:lang w:val="en-US" w:eastAsia="zh-CN"/>
        </w:rPr>
        <w:t>International cultures mean cultural identities that transcend national borders. These cultures are spread through immigration, colonisation and globalisation, such as a common language culture. This knowledge can be applied to international co-operative ventures to effectively improve national skills and capabilities (Morden, 1995). This suggests that culture allows for a wider adaptation of business to different operating environments.</w:t>
      </w:r>
    </w:p>
    <w:p>
      <w:pPr>
        <w:pStyle w:val="4"/>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fr-FR"/>
        </w:rPr>
      </w:pPr>
      <w:bookmarkStart w:id="12" w:name="_Toc24723"/>
      <w:r>
        <w:rPr>
          <w:rFonts w:hint="default" w:ascii="Arial" w:hAnsi="Arial" w:cs="Arial"/>
          <w:sz w:val="24"/>
          <w:szCs w:val="24"/>
          <w:lang w:val="fr-FR"/>
        </w:rPr>
        <w:t>2.5.1</w:t>
      </w:r>
      <w:r>
        <w:rPr>
          <w:rFonts w:hint="default" w:ascii="Arial" w:hAnsi="Arial" w:cs="Arial"/>
          <w:sz w:val="24"/>
          <w:szCs w:val="24"/>
          <w:lang w:val="en-US" w:eastAsia="zh-CN"/>
        </w:rPr>
        <w:t xml:space="preserve"> Trompenaars and Hampden-Turner’s 7 Dimension of Culture</w:t>
      </w:r>
      <w:bookmarkEnd w:id="12"/>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Trompenaars and Hampden-Turner’s 7 Dimension of Culture consists of universalism versus particularism, individualism versus collectivism, achievement versus ascription, neutral versus affective, specific versus diffuse, internal versus external, and time orientation (Pirlog, 2021).</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Specific means that people should separate their work from their personal life. People can have a wide range of relationships at work, but this should be kept separate from their personal lives because specific believes that people should be more focused on their own objectives and that they can work together even without good relationships. Countries that often use specific include the United States and Switzerland (Dudovskiy, 2013).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Diffuse refers to the idea that people should overlap work and life because they believe that relationships are the focus for achieving business objectives. They will be willing to spend personal time with customers, which is more likely to contribute to the success of a business project. Countries that often use diffuse include Switzerland, China and Spain (Dudovskiy, 2013).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Country comparison tool, Chinese companies make a clear distinction between subordinates and superiors and the employees are sure to respect their leaders. They usually give up their personal interests for the benefit of the group, and they are also able to control their desires well (Hofstede Insights, 2023). British companies seek equal competition and treatment and they focus on achieving personal fulfilment while enjoying life (Hofstede Insights,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For example, when an Rowberry Shoes agent or team arrives in China, the Chinese partner will surely greet and take care of them. Traditional Chinese culture includes friendly and treating guests well, so they are likely to offer to take the Rowberry Shoes team to visit local attractions and experience the food culture on their behalf. The British business should adapt to their warmth and helpfulness because Chinese culture includes accepting the good intentions of others as courteous behaviour.</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黑体" w:cs="Arial"/>
          <w:sz w:val="28"/>
          <w:szCs w:val="28"/>
          <w:lang w:val="en-US" w:eastAsia="zh-CN"/>
        </w:rPr>
      </w:pPr>
      <w:bookmarkStart w:id="13" w:name="_Toc25569"/>
      <w:r>
        <w:rPr>
          <w:rFonts w:hint="default" w:ascii="Arial" w:hAnsi="Arial" w:cs="Arial"/>
          <w:sz w:val="28"/>
          <w:szCs w:val="28"/>
        </w:rPr>
        <w:t>2.</w:t>
      </w:r>
      <w:r>
        <w:rPr>
          <w:rFonts w:hint="default" w:ascii="Arial" w:hAnsi="Arial" w:cs="Arial"/>
          <w:sz w:val="28"/>
          <w:szCs w:val="28"/>
          <w:lang w:val="en-US" w:eastAsia="zh-CN"/>
        </w:rPr>
        <w:t>6</w:t>
      </w:r>
      <w:r>
        <w:rPr>
          <w:rFonts w:hint="default" w:ascii="Arial" w:hAnsi="Arial" w:cs="Arial"/>
          <w:sz w:val="28"/>
          <w:szCs w:val="28"/>
        </w:rPr>
        <w:t xml:space="preserve"> The </w:t>
      </w:r>
      <w:r>
        <w:rPr>
          <w:rFonts w:hint="default" w:ascii="Arial" w:hAnsi="Arial" w:cs="Arial"/>
          <w:sz w:val="28"/>
          <w:szCs w:val="28"/>
          <w:lang w:val="en-US" w:eastAsia="zh-CN"/>
        </w:rPr>
        <w:t>I</w:t>
      </w:r>
      <w:r>
        <w:rPr>
          <w:rFonts w:hint="default" w:ascii="Arial" w:hAnsi="Arial" w:cs="Arial"/>
          <w:sz w:val="28"/>
          <w:szCs w:val="28"/>
        </w:rPr>
        <w:t xml:space="preserve">mportance of </w:t>
      </w:r>
      <w:r>
        <w:rPr>
          <w:rFonts w:hint="default" w:ascii="Arial" w:hAnsi="Arial" w:cs="Arial"/>
          <w:sz w:val="28"/>
          <w:szCs w:val="28"/>
          <w:lang w:val="en-US" w:eastAsia="zh-CN"/>
        </w:rPr>
        <w:t>B</w:t>
      </w:r>
      <w:r>
        <w:rPr>
          <w:rFonts w:hint="default" w:ascii="Arial" w:hAnsi="Arial" w:cs="Arial"/>
          <w:sz w:val="28"/>
          <w:szCs w:val="28"/>
        </w:rPr>
        <w:t xml:space="preserve">uilding </w:t>
      </w:r>
      <w:r>
        <w:rPr>
          <w:rFonts w:hint="default" w:ascii="Arial" w:hAnsi="Arial" w:cs="Arial"/>
          <w:sz w:val="28"/>
          <w:szCs w:val="28"/>
          <w:lang w:val="en-US" w:eastAsia="zh-CN"/>
        </w:rPr>
        <w:t>T</w:t>
      </w:r>
      <w:r>
        <w:rPr>
          <w:rFonts w:hint="default" w:ascii="Arial" w:hAnsi="Arial" w:cs="Arial"/>
          <w:sz w:val="28"/>
          <w:szCs w:val="28"/>
        </w:rPr>
        <w:t>rust</w:t>
      </w:r>
      <w:r>
        <w:rPr>
          <w:rFonts w:hint="default" w:ascii="Arial" w:hAnsi="Arial" w:cs="Arial"/>
          <w:sz w:val="28"/>
          <w:szCs w:val="28"/>
          <w:lang w:val="en-US" w:eastAsia="zh-CN"/>
        </w:rPr>
        <w:t xml:space="preserve"> in Business</w:t>
      </w:r>
      <w:bookmarkEnd w:id="13"/>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Organisations exist when they have trust, and accumulating trust requires building long-term collaborative relationships. This also relates to the leader of the business, where the knowledge and competence of the individual has to be recognised by others so that they will entrust important collaborative projects to the organisation (Brenkert, 1998).</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western cultures, they believe that building trusting relationships presupposes standing above the rules and terms. They expect the trust to be backed up by a detailed contract in a formal relationship of interest because the legal system has the mandate to enforce the terms of the contract (Lyon, M "llering and Saunders, 2011, p. 320). This shows that businesses in Western cultures are prone to worrying about wrongdoing by their partners, so they can only be assured that others are trustworthy through the terms of a valid contract or other evidence-based content.</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Chinese culture, they believe that the foundation of business is building good relationships. They focus a lot on individuals and teams being cordial and respectful to each other, and they are the ones who want to know the personal habits and lives of their partners to judge whether others are trustworthy for the relationship (Meyer, 2015). This shows that the way to build trust with the Chinese culture is to treat others like a friend. The way they feel comfortable is to put aside their relationships of interest, and explore interesting experiences in their lives as friends instead.</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Rowberry Shoes want to get the trust of their partners can approach each other through food culture. Chinese companies like to do business in restaurants because it brings them closer to each other. This also allows the other partner to forget about the relationship of interest for a while and ask for dinner as a normal friend. This is a very effective way to build trust because Chinese teams like to speak their minds in a relaxed atmosphere. Rowberry Shoes can also prepare a contractual agreement that maps out the responsibilities of both parties, so that if there is a loss of interest, they will not lose their trust in each other.</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rPr>
      </w:pPr>
      <w:bookmarkStart w:id="14" w:name="_Toc22369"/>
      <w:r>
        <w:rPr>
          <w:rFonts w:hint="default" w:ascii="Arial" w:hAnsi="Arial" w:cs="Arial"/>
          <w:sz w:val="28"/>
          <w:szCs w:val="28"/>
        </w:rPr>
        <w:t>2.</w:t>
      </w:r>
      <w:r>
        <w:rPr>
          <w:rFonts w:hint="default" w:ascii="Arial" w:hAnsi="Arial" w:cs="Arial"/>
          <w:sz w:val="28"/>
          <w:szCs w:val="28"/>
          <w:lang w:val="en-US" w:eastAsia="zh-CN"/>
        </w:rPr>
        <w:t>7</w:t>
      </w:r>
      <w:r>
        <w:rPr>
          <w:rFonts w:hint="default" w:ascii="Arial" w:hAnsi="Arial" w:cs="Arial"/>
          <w:sz w:val="28"/>
          <w:szCs w:val="28"/>
        </w:rPr>
        <w:t xml:space="preserve"> </w:t>
      </w:r>
      <w:r>
        <w:rPr>
          <w:rFonts w:hint="default" w:ascii="Arial" w:hAnsi="Arial" w:cs="Arial"/>
          <w:sz w:val="28"/>
          <w:szCs w:val="28"/>
          <w:lang w:val="en-US" w:eastAsia="zh-CN"/>
        </w:rPr>
        <w:t xml:space="preserve">The </w:t>
      </w:r>
      <w:r>
        <w:rPr>
          <w:rFonts w:hint="default" w:ascii="Arial" w:hAnsi="Arial" w:cs="Arial"/>
          <w:sz w:val="28"/>
          <w:szCs w:val="28"/>
        </w:rPr>
        <w:t>Importance of Build</w:t>
      </w:r>
      <w:r>
        <w:rPr>
          <w:rFonts w:hint="default" w:ascii="Arial" w:hAnsi="Arial" w:cs="Arial"/>
          <w:sz w:val="28"/>
          <w:szCs w:val="28"/>
          <w:lang w:val="en-US" w:eastAsia="zh-CN"/>
        </w:rPr>
        <w:t xml:space="preserve"> Successful</w:t>
      </w:r>
      <w:r>
        <w:rPr>
          <w:rFonts w:hint="default" w:ascii="Arial" w:hAnsi="Arial" w:cs="Arial"/>
          <w:sz w:val="28"/>
          <w:szCs w:val="28"/>
        </w:rPr>
        <w:t xml:space="preserve"> </w:t>
      </w:r>
      <w:r>
        <w:rPr>
          <w:rFonts w:hint="default" w:ascii="Arial" w:hAnsi="Arial" w:cs="Arial"/>
          <w:sz w:val="28"/>
          <w:szCs w:val="28"/>
          <w:lang w:val="en-US" w:eastAsia="zh-CN"/>
        </w:rPr>
        <w:t xml:space="preserve">Business </w:t>
      </w:r>
      <w:r>
        <w:rPr>
          <w:rFonts w:hint="default" w:ascii="Arial" w:hAnsi="Arial" w:cs="Arial"/>
          <w:sz w:val="28"/>
          <w:szCs w:val="28"/>
        </w:rPr>
        <w:t>Relationships</w:t>
      </w:r>
      <w:bookmarkEnd w:id="14"/>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Being able to successfully build business relationships has a great correlation to the growth of a business. Businesses can get partners who can trust the business to recommend the business to a larger market, which is conducive to building more relationships and accessing better resources. Having stable business relationships also reduces stress in the work environment (Cooper and Gardner, 1993). This suggests that the more relationships a business can build, the better resources it can acquire, which helps the business to grow towards success in the future.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Once Rowberry Shoes has gained the trust of their Chinese partners, they can politely offer to let the Chinese team recommend their brand to more major cities. This helps them to build more relationships because their brand has been recognised and trusted. This helps them to scale up their business and they can create more shops in more cities in China to make their business more recognisable. If the company is able to achieve this expansion plan in China, this will help them to target different countries in the future.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rPr>
      </w:pPr>
      <w:bookmarkStart w:id="15" w:name="_Toc23448"/>
      <w:r>
        <w:rPr>
          <w:rFonts w:hint="default" w:ascii="Arial" w:hAnsi="Arial" w:cs="Arial"/>
          <w:sz w:val="28"/>
          <w:szCs w:val="28"/>
        </w:rPr>
        <w:t>2.8 Failed Relationships</w:t>
      </w:r>
      <w:bookmarkEnd w:id="15"/>
      <w:r>
        <w:rPr>
          <w:rFonts w:hint="default" w:ascii="Arial" w:hAnsi="Arial" w:cs="Arial"/>
          <w:sz w:val="28"/>
          <w:szCs w:val="28"/>
        </w:rPr>
        <w:t xml:space="preserve"> </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Gift giving and hospitality to partners play an important role in facilitating business relationships and practices when firms build relationships. However, the timing of the gift and the meaning of the gift itself can easily be interpreted as a bribe, which creates the wrong approach to relationship building (IBE, 2012). This shows that companies should pay attention to whether there are some prohibited behaviours in the other country's culture, such as male leaders giving gifts to female workers.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In Chinese culture, bad business gifts include giving cash, which can be taken as a bribe. There are also taboos against giving overly expensive luxury goods or giving gifts alone in private (Qin, 2016). Rowberry Shoes should be especially careful not to make inappropriate gifts directly because sometimes the good intentions of a gift can be turned into the opposite because of inappropriate timing. For example, giving a house or a car to a Chinese partner's worker or leader in private can cause fears among most of the workers. This behaviour may lead to the termination of the cooperation because it is a common form of gifting that is not compatible with the Chinese culture. This shows that gift-giving in business relationships is likely to mean favouritism and that it is unethical to tempt and influence the judgement of the other person.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6" w:name="_Toc28162"/>
      <w:r>
        <w:rPr>
          <w:rFonts w:hint="default" w:ascii="Arial" w:hAnsi="Arial" w:cs="Arial"/>
          <w:sz w:val="32"/>
          <w:szCs w:val="32"/>
        </w:rPr>
        <w:t>3.0 Conclusions</w:t>
      </w:r>
      <w:bookmarkEnd w:id="16"/>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The whole article is about the challenges that the British business Rowberry Shoes will encounter when expanding their brand into the Chinese market. It is the first time that the business is challenged to join a new environment so the first thing that they will face is the language communication problem. The company can try to work with a major city with an international presence as most of their business team have basic English communication skills. Effective communication skills that companies need to master include the use of eye contact, body language and silence. These dynamic and static behaviours are part of a business culture that shows respect for the other person's speech. The best way for a company and their Chinese partner to communicate is face-to-face to convey things clearly to each other. Since both parties belong to the High Context and Low Context, what they need to do is to negotiate a dialogue that is inclusive and balances the needs of both parties. For example, in a business meeting, Low Context is more important to keep information concise, while in a private conversation, High context cultures can be used to show respect for others.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Chinese culture belongs to diffuse and their culture says that it is basic courtesy to treat others with hospitality and caring. When they want to take the initiative to look after the Rowberry Shoes team of delegates, companies should accept their good intentions rather than refusing to participate in activities outside of business meetings. Another challenge is that Rowberry Shoes needs to gain the trust of their Chinese partners, for example, by using the food culture to build camaraderie with their partners. The benefit of gaining trust is that the Chinese partner may share their marketing resources or other business relationships with the British company, which could allow the brand to expand into more different cities in the future. Finally, businesses are reminded that they must be absolutely mindful of the wrong way to give gifts, otherwise they could be seen as bribery by others. British businesses should choose to give their Chinese partners some British speciality tea or snack packs to show their appreciation during the Chinese New Year holidays. This gift-giving culture is warm and memorable.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7" w:name="_Toc26624"/>
      <w:r>
        <w:rPr>
          <w:rFonts w:hint="default" w:ascii="Arial" w:hAnsi="Arial" w:cs="Arial"/>
          <w:sz w:val="32"/>
          <w:szCs w:val="32"/>
        </w:rPr>
        <w:t>4.0 Recommendations</w:t>
      </w:r>
      <w:bookmarkEnd w:id="17"/>
      <w:bookmarkStart w:id="20" w:name="_GoBack"/>
      <w:bookmarkEnd w:id="20"/>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Companies should find partners in China where the international market is concentrated, such as working with business teams in Shanghai, Beijing and Guangdong. What companies can ask for from their partners is an English speaking team that understands the terms of the fashion brand's business. Rowberry Shoes can also send their agents or teams to China at any time to check on their operations, this solution can successfully solve the problem of international communication and business management.</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Rowberry Shoes can learn to use High and Low Context in different situations, for example in meetings, which helps the Chinese partner to clearly understand the objectives and terms of the British business.</w:t>
      </w:r>
      <w:r>
        <w:rPr>
          <w:rFonts w:hint="eastAsia" w:ascii="Arial" w:hAnsi="Arial" w:cs="Arial"/>
          <w:sz w:val="24"/>
          <w:szCs w:val="24"/>
          <w:lang w:val="en-US" w:eastAsia="zh-CN"/>
        </w:rPr>
        <w:t xml:space="preserve"> </w:t>
      </w:r>
      <w:r>
        <w:rPr>
          <w:rFonts w:hint="default" w:ascii="Arial" w:hAnsi="Arial" w:cs="Arial"/>
          <w:sz w:val="24"/>
          <w:szCs w:val="24"/>
          <w:lang w:val="en-US" w:eastAsia="zh-CN"/>
        </w:rPr>
        <w:t>The Rowberry Shoes agency team or individuals can use High Context in private communications with the Chinese partner to make polite greetings. This shows that it is important for the business and the team to reach a mutual understanding so that they can work together to maintain a comfortable balance in communication. Businesses should not take offence to other people's cultures, but what they should do is to show understanding and tolerance for diversity in other countries' traditional cultures.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The best way Rowberry Shoes to achieve effective communication is to sort things out face to face. British companies can also work with their Chinese partners to reduce their language level so that they can understand the meaning of words more quickly. There are also communication skills that British companies need to use such as eye contact, body language and keeping silence. These dynamic and static behaviours make others feel respected and trusted so that communication between the two parties can be at its most effective.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When Rowberry Shoes first come to China, they should accept the good intentions of others rather than deliberately alienate them. If they indicate that they do not participate in activities other than work, this will fail the Chinese partner's preparation and help. Chinese culture is all about treating guests with warmth and friendliness, because they also want to make a good impression on the team representing the British business in China. The Chinese culture is used to combining life and work as they simply want to be more helpful to others. They also want to take the time to communicate with others privately and learn about personal preferences, which is more beneficial for mutual understanding and collaborative projects.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Rowberry Shoes and Chinese partners can draw up a transparency contract for both parties to sign before working together, which ensures that both parties clearly understand their responsibilities. When compensation is required, they can share the responsibility in a reasonable way through the terms of the contract. This way, both parties will not get into unnecessary fights when their interests are compromised, which can lead to a loss of trust.</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Companies should also focus on building relationships and building more market resources through trustworthy partners, which will enable the Rowberry Shoes brand to achieve scale expansion.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lang w:val="en-US" w:eastAsia="zh-CN"/>
        </w:rPr>
        <w:t>In order to avoid the wrong ways of gift giving, companies should use the right way of gift giving to show the meaning of appreciation. For example, Rowberry Shoes can buy some British native tea to bring to the Chinese partners. The traditional Chinese culture focuses a lot on tea-drinking culture, so this is a great gift (OLN Marketing , 2018). For the timing of the gift it is best to give the gift during the Chinese New Year or festivals to show appreciation for the long term trust of the partner.</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8" w:name="_Toc31486"/>
      <w:r>
        <w:rPr>
          <w:rFonts w:hint="default" w:ascii="Arial" w:hAnsi="Arial" w:cs="Arial"/>
          <w:sz w:val="32"/>
          <w:szCs w:val="32"/>
        </w:rPr>
        <w:t>References</w:t>
      </w:r>
      <w:bookmarkEnd w:id="18"/>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Brenkert, G.G. (1998). Trust, Business and Business Ethics. Business Ethics Quarterly, 8(2), pp.195–203.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"https://doi.org/10.5840/beq19988219" </w:instrText>
      </w:r>
      <w:r>
        <w:rPr>
          <w:rFonts w:hint="default" w:ascii="Arial" w:hAnsi="Arial" w:cs="Arial"/>
          <w:sz w:val="24"/>
          <w:szCs w:val="24"/>
        </w:rPr>
        <w:fldChar w:fldCharType="separate"/>
      </w:r>
      <w:r>
        <w:rPr>
          <w:rStyle w:val="13"/>
          <w:rFonts w:hint="default" w:ascii="Arial" w:hAnsi="Arial" w:cs="Arial"/>
          <w:sz w:val="24"/>
          <w:szCs w:val="24"/>
        </w:rPr>
        <w:t>https://doi.org/10.5840/beq19988219</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Chen, N. (2012). Branding National images: the 2008 Beijing Summer Olympics, 2010 Shanghai World Expo, and 2010 Guangzhou Asian Games. Public Relations Review, 38(5), pp.731–745.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"https://doi.org/10.1016/j.pubrev.2012.04.003" </w:instrText>
      </w:r>
      <w:r>
        <w:rPr>
          <w:rFonts w:hint="default" w:ascii="Arial" w:hAnsi="Arial" w:cs="Arial"/>
          <w:sz w:val="24"/>
          <w:szCs w:val="24"/>
        </w:rPr>
        <w:fldChar w:fldCharType="separate"/>
      </w:r>
      <w:r>
        <w:rPr>
          <w:rStyle w:val="13"/>
          <w:rFonts w:hint="default" w:ascii="Arial" w:hAnsi="Arial" w:cs="Arial"/>
          <w:sz w:val="24"/>
          <w:szCs w:val="24"/>
        </w:rPr>
        <w:t>https://doi.org/10.1016/j.pubrev.2012.04.003</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Chevalier, M. and Lu, P.X. (2010). Luxury China: Market Opportunities and Potential. [online] Google Books, John Wiley &amp; Sons, p.251.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"https://books.google.co.uk/books?hl=zh-CN&amp;lr=&amp;id=KUymiv50tpQC&amp;oi=fnd&amp;pg=PR9&amp;dq=China+pursues+demand+for+shoe+products&amp;ots=oeolmYu0IN&amp;sig=I2XaXFQG4pu6sHuzpCK3Fs0OV78&amp;redir_esc=y#v=onepage&amp;q&amp;f=false"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https://books.google.co.uk/books?hl=zh-CN&amp;lr=&amp;id=KUymiv50tpQC&amp;oi=fnd&amp;pg=PR9&amp;dq=China+pursues+demand+for+shoe+products&amp;ots=oeolmYu0IN&amp;sig=I2XaXFQG4pu6sHuzpCK3Fs0OV78&amp;redir_esc=y#v=onepage&amp;q&amp;f=false</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Cooper, M.C. and Gardner, J.T. (1993). Building Good Business Relationships: More than Just Partnering or Strategic Alliances? International Journal of Physical Distribution &amp; Logistics Management, 23(6), pp.14–26.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"https://doi.org/10.1108/09600039310044876" </w:instrText>
      </w:r>
      <w:r>
        <w:rPr>
          <w:rFonts w:hint="default" w:ascii="Arial" w:hAnsi="Arial" w:cs="Arial"/>
          <w:sz w:val="24"/>
          <w:szCs w:val="24"/>
        </w:rPr>
        <w:fldChar w:fldCharType="separate"/>
      </w:r>
      <w:r>
        <w:rPr>
          <w:rStyle w:val="13"/>
          <w:rFonts w:hint="default" w:ascii="Arial" w:hAnsi="Arial" w:cs="Arial"/>
          <w:sz w:val="24"/>
          <w:szCs w:val="24"/>
        </w:rPr>
        <w:t>https://doi.org/10.1108/09600039310044876</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Coursera (2023). What Is Effective Communication? Skills for work, school, and Life. [online] Coursera.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"https://www.coursera.org/articles/communication-effectiveness" </w:instrText>
      </w:r>
      <w:r>
        <w:rPr>
          <w:rFonts w:hint="default" w:ascii="Arial" w:hAnsi="Arial" w:cs="Arial"/>
          <w:sz w:val="24"/>
          <w:szCs w:val="24"/>
        </w:rPr>
        <w:fldChar w:fldCharType="separate"/>
      </w:r>
      <w:r>
        <w:rPr>
          <w:rStyle w:val="13"/>
          <w:rFonts w:hint="default" w:ascii="Arial" w:hAnsi="Arial" w:cs="Arial"/>
          <w:sz w:val="24"/>
          <w:szCs w:val="24"/>
        </w:rPr>
        <w:t>https://www.coursera.org/articles/communication-effectiveness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Dudovskiy, J. (2013). Trompenaars and Hampden-Turner Cultural Dimensions - Research-Methodology. [online] Business Research Methodology. Available at: </w:t>
      </w:r>
      <w:r>
        <w:rPr>
          <w:rFonts w:hint="default" w:ascii="Arial" w:hAnsi="Arial" w:cs="Arial"/>
          <w:sz w:val="24"/>
          <w:szCs w:val="24"/>
        </w:rPr>
        <w:fldChar w:fldCharType="begin"/>
      </w:r>
      <w:r>
        <w:rPr>
          <w:rFonts w:hint="default" w:ascii="Arial" w:hAnsi="Arial" w:cs="Arial"/>
          <w:sz w:val="24"/>
          <w:szCs w:val="24"/>
        </w:rPr>
        <w:instrText xml:space="preserve"> HYPERLINK "https://research-methodology.net/trompenaars-and-hampden-turner-cultural-dimensions/" </w:instrText>
      </w:r>
      <w:r>
        <w:rPr>
          <w:rFonts w:hint="default" w:ascii="Arial" w:hAnsi="Arial" w:cs="Arial"/>
          <w:sz w:val="24"/>
          <w:szCs w:val="24"/>
        </w:rPr>
        <w:fldChar w:fldCharType="separate"/>
      </w:r>
      <w:r>
        <w:rPr>
          <w:rStyle w:val="13"/>
          <w:rFonts w:hint="default" w:ascii="Arial" w:hAnsi="Arial" w:cs="Arial"/>
          <w:sz w:val="24"/>
          <w:szCs w:val="24"/>
        </w:rPr>
        <w:t>https://research-methodology.net/trompenaars-and-hampden-turner-cultural-dimensions/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Ephratt, M. (2008). The Functions of Silence. Journal of Pragmatics, [online] 40(11), pp.1909–1938.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"https://doi.org/10.1016/j.pragma.2008.03.009" </w:instrText>
      </w:r>
      <w:r>
        <w:rPr>
          <w:rFonts w:hint="default" w:ascii="Arial" w:hAnsi="Arial" w:cs="Arial"/>
          <w:sz w:val="24"/>
          <w:szCs w:val="24"/>
        </w:rPr>
        <w:fldChar w:fldCharType="separate"/>
      </w:r>
      <w:r>
        <w:rPr>
          <w:rStyle w:val="13"/>
          <w:rFonts w:hint="default" w:ascii="Arial" w:hAnsi="Arial" w:cs="Arial"/>
          <w:sz w:val="24"/>
          <w:szCs w:val="24"/>
        </w:rPr>
        <w:t>https://doi.org/10.1016/j.pragma.2008.03.009</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Griffith, D.A. (2002). The Role of Communication Competencies in International Business Relationship Development. Journal of World Business, 37(4), pp.256–265.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"https://doi.org/10.1016/s1090-9516(02)00092-5" </w:instrText>
      </w:r>
      <w:r>
        <w:rPr>
          <w:rFonts w:hint="default" w:ascii="Arial" w:hAnsi="Arial" w:cs="Arial"/>
          <w:sz w:val="24"/>
          <w:szCs w:val="24"/>
        </w:rPr>
        <w:fldChar w:fldCharType="separate"/>
      </w:r>
      <w:r>
        <w:rPr>
          <w:rStyle w:val="13"/>
          <w:rFonts w:hint="default" w:ascii="Arial" w:hAnsi="Arial" w:cs="Arial"/>
          <w:sz w:val="24"/>
          <w:szCs w:val="24"/>
        </w:rPr>
        <w:t>https://doi.org/10.1016/s1090-9516(02)00092-5</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Hall, M., de Jong, M. and Michaël, S. (2004). Cultural Differences and Usability Evaluation: Individualistic and Collectivistic Participants Compared. Technical Communication, [online] 51(4), pp.489–503. Available at: </w:t>
      </w:r>
      <w:r>
        <w:rPr>
          <w:rFonts w:hint="default" w:ascii="Arial" w:hAnsi="Arial" w:cs="Arial"/>
          <w:sz w:val="24"/>
          <w:szCs w:val="24"/>
        </w:rPr>
        <w:fldChar w:fldCharType="begin"/>
      </w:r>
      <w:r>
        <w:rPr>
          <w:rFonts w:hint="default" w:ascii="Arial" w:hAnsi="Arial" w:cs="Arial"/>
          <w:sz w:val="24"/>
          <w:szCs w:val="24"/>
        </w:rPr>
        <w:instrText xml:space="preserve"> HYPERLINK "https://www.ingentaconnect.com/content/stc/tc/2004/00000051/00000004/art00003" </w:instrText>
      </w:r>
      <w:r>
        <w:rPr>
          <w:rFonts w:hint="default" w:ascii="Arial" w:hAnsi="Arial" w:cs="Arial"/>
          <w:sz w:val="24"/>
          <w:szCs w:val="24"/>
        </w:rPr>
        <w:fldChar w:fldCharType="separate"/>
      </w:r>
      <w:r>
        <w:rPr>
          <w:rStyle w:val="13"/>
          <w:rFonts w:hint="default" w:ascii="Arial" w:hAnsi="Arial" w:cs="Arial"/>
          <w:sz w:val="24"/>
          <w:szCs w:val="24"/>
        </w:rPr>
        <w:t>https://www.ingentaconnect.com/content/stc/tc/2004/00000051/00000004/art00003</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Hietanen, J.K. (2018). Affective Eye Contact: an Integrative Review. Perception Science, 9(1), p.1.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"https://doi.org/10.3389/fpsyg.2018.01587" </w:instrText>
      </w:r>
      <w:r>
        <w:rPr>
          <w:rFonts w:hint="default" w:ascii="Arial" w:hAnsi="Arial" w:cs="Arial"/>
          <w:sz w:val="24"/>
          <w:szCs w:val="24"/>
        </w:rPr>
        <w:fldChar w:fldCharType="separate"/>
      </w:r>
      <w:r>
        <w:rPr>
          <w:rStyle w:val="13"/>
          <w:rFonts w:hint="default" w:ascii="Arial" w:hAnsi="Arial" w:cs="Arial"/>
          <w:sz w:val="24"/>
          <w:szCs w:val="24"/>
        </w:rPr>
        <w:t>https://doi.org/10.3389/fpsyg.2018.01587</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Hofstede Insights (2023). Country Comparison Tool. [online] The Culture Factor. Available at: </w:t>
      </w:r>
      <w:r>
        <w:rPr>
          <w:rFonts w:hint="default" w:ascii="Arial" w:hAnsi="Arial" w:cs="Arial"/>
          <w:sz w:val="24"/>
          <w:szCs w:val="24"/>
        </w:rPr>
        <w:fldChar w:fldCharType="begin"/>
      </w:r>
      <w:r>
        <w:rPr>
          <w:rFonts w:hint="default" w:ascii="Arial" w:hAnsi="Arial" w:cs="Arial"/>
          <w:sz w:val="24"/>
          <w:szCs w:val="24"/>
        </w:rPr>
        <w:instrText xml:space="preserve"> HYPERLINK "https://www.hofstede-insights.com/country-comparison-tool?countries=china%2Cunited+kingdom" </w:instrText>
      </w:r>
      <w:r>
        <w:rPr>
          <w:rFonts w:hint="default" w:ascii="Arial" w:hAnsi="Arial" w:cs="Arial"/>
          <w:sz w:val="24"/>
          <w:szCs w:val="24"/>
        </w:rPr>
        <w:fldChar w:fldCharType="separate"/>
      </w:r>
      <w:r>
        <w:rPr>
          <w:rStyle w:val="13"/>
          <w:rFonts w:hint="default" w:ascii="Arial" w:hAnsi="Arial" w:cs="Arial"/>
          <w:sz w:val="24"/>
          <w:szCs w:val="24"/>
        </w:rPr>
        <w:t>https://www.hofstede-insights.com/country-comparison-tool?countries=china%2Cunited+kingdom</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IBE (2012). The Ethics of Gifts &amp; Hospitality. [online] Institute of Business Ethics. Available at: </w:t>
      </w:r>
      <w:r>
        <w:rPr>
          <w:rFonts w:hint="default" w:ascii="Arial" w:hAnsi="Arial" w:cs="Arial"/>
          <w:sz w:val="24"/>
          <w:szCs w:val="24"/>
        </w:rPr>
        <w:fldChar w:fldCharType="begin"/>
      </w:r>
      <w:r>
        <w:rPr>
          <w:rFonts w:hint="default" w:ascii="Arial" w:hAnsi="Arial" w:cs="Arial"/>
          <w:sz w:val="24"/>
          <w:szCs w:val="24"/>
        </w:rPr>
        <w:instrText xml:space="preserve"> HYPERLINK "https://www.ibe.org.uk/resource/the-ethics-of-gifts-hospitality.html" </w:instrText>
      </w:r>
      <w:r>
        <w:rPr>
          <w:rFonts w:hint="default" w:ascii="Arial" w:hAnsi="Arial" w:cs="Arial"/>
          <w:sz w:val="24"/>
          <w:szCs w:val="24"/>
        </w:rPr>
        <w:fldChar w:fldCharType="separate"/>
      </w:r>
      <w:r>
        <w:rPr>
          <w:rStyle w:val="13"/>
          <w:rFonts w:hint="default" w:ascii="Arial" w:hAnsi="Arial" w:cs="Arial"/>
          <w:sz w:val="24"/>
          <w:szCs w:val="24"/>
        </w:rPr>
        <w:t>https://www.ibe.org.uk/resource/the-ethics-of-gifts-hospitality.html</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Lyon, F., M”llering, G. and Saunders, M. (2011). Handbook of Research Methods on Trust. [online] Google Books, Edward Elgar Publishing, p.320.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"https://books.google.co.uk/books?hl=zh-CN&amp;lr=&amp;id=NoAouYIOr7UC&amp;oi=fnd&amp;pg=PA50&amp;dq=How+different+cultures+build+trust&amp;ots=CetDBtPwHM&amp;sig=AC6-_9bSdBPlP6y2GzcEnEdD-eg&amp;redir_esc=y#v=onepage&amp;q=How%20different%20cultures%20build%20trust&amp;f=false" </w:instrText>
      </w:r>
      <w:r>
        <w:rPr>
          <w:rFonts w:hint="default" w:ascii="Arial" w:hAnsi="Arial" w:cs="Arial"/>
          <w:sz w:val="24"/>
          <w:szCs w:val="24"/>
        </w:rPr>
        <w:fldChar w:fldCharType="separate"/>
      </w:r>
      <w:r>
        <w:rPr>
          <w:rStyle w:val="13"/>
          <w:rFonts w:hint="default" w:ascii="Arial" w:hAnsi="Arial" w:cs="Arial"/>
          <w:sz w:val="24"/>
          <w:szCs w:val="24"/>
        </w:rPr>
        <w:t>https://books.google.co.uk/books?hl=zh-CN&amp;lr=&amp;id=NoAouYIOr7UC&amp;oi=fnd&amp;pg=PA50&amp;dq=How+different+cultures+build+trust&amp;ots=CetDBtPwHM&amp;sig=AC6-_9bSdBPlP6y2GzcEnEdD-eg&amp;redir_esc=y#v=onepage&amp;q=How%20different%20cultures%20build%20trust&amp;f=false</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Ma, Y. (2023). Luxury goods market in China - statistics &amp; facts. [online] Statista. Available at: </w:t>
      </w:r>
      <w:r>
        <w:rPr>
          <w:rFonts w:hint="default" w:ascii="Arial" w:hAnsi="Arial" w:cs="Arial"/>
          <w:sz w:val="24"/>
          <w:szCs w:val="24"/>
        </w:rPr>
        <w:fldChar w:fldCharType="begin"/>
      </w:r>
      <w:r>
        <w:rPr>
          <w:rFonts w:hint="default" w:ascii="Arial" w:hAnsi="Arial" w:cs="Arial"/>
          <w:sz w:val="24"/>
          <w:szCs w:val="24"/>
        </w:rPr>
        <w:instrText xml:space="preserve"> HYPERLINK "https://www.statista.com/topics/1186/luxury-goods-market-in-china/" </w:instrText>
      </w:r>
      <w:r>
        <w:rPr>
          <w:rFonts w:hint="default" w:ascii="Arial" w:hAnsi="Arial" w:cs="Arial"/>
          <w:sz w:val="24"/>
          <w:szCs w:val="24"/>
        </w:rPr>
        <w:fldChar w:fldCharType="separate"/>
      </w:r>
      <w:r>
        <w:rPr>
          <w:rStyle w:val="13"/>
          <w:rFonts w:hint="default" w:ascii="Arial" w:hAnsi="Arial" w:cs="Arial"/>
          <w:sz w:val="24"/>
          <w:szCs w:val="24"/>
        </w:rPr>
        <w:t>https://www.statista.com/topics/1186/luxury-goods-market-in-china/</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Meyer, E. (2015). Building Trust Across Cultures. [online] INSEAD Knowledge. Available at: </w:t>
      </w:r>
      <w:r>
        <w:rPr>
          <w:rFonts w:hint="default" w:ascii="Arial" w:hAnsi="Arial" w:cs="Arial"/>
          <w:sz w:val="24"/>
          <w:szCs w:val="24"/>
        </w:rPr>
        <w:fldChar w:fldCharType="begin"/>
      </w:r>
      <w:r>
        <w:rPr>
          <w:rFonts w:hint="default" w:ascii="Arial" w:hAnsi="Arial" w:cs="Arial"/>
          <w:sz w:val="24"/>
          <w:szCs w:val="24"/>
        </w:rPr>
        <w:instrText xml:space="preserve"> HYPERLINK "https://knowledge.insead.edu/leadership-organisations/building-trust-across-cultures" </w:instrText>
      </w:r>
      <w:r>
        <w:rPr>
          <w:rFonts w:hint="default" w:ascii="Arial" w:hAnsi="Arial" w:cs="Arial"/>
          <w:sz w:val="24"/>
          <w:szCs w:val="24"/>
        </w:rPr>
        <w:fldChar w:fldCharType="separate"/>
      </w:r>
      <w:r>
        <w:rPr>
          <w:rStyle w:val="13"/>
          <w:rFonts w:hint="default" w:ascii="Arial" w:hAnsi="Arial" w:cs="Arial"/>
          <w:sz w:val="24"/>
          <w:szCs w:val="24"/>
        </w:rPr>
        <w:t>https://knowledge.insead.edu/leadership-organisations/building-trust-across-cultures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eastAsiaTheme="minorEastAsia"/>
          <w:sz w:val="24"/>
          <w:szCs w:val="24"/>
          <w:lang w:val="en-US" w:eastAsia="zh-CN"/>
        </w:rPr>
      </w:pPr>
      <w:r>
        <w:rPr>
          <w:rFonts w:hint="default" w:ascii="Arial" w:hAnsi="Arial" w:cs="Arial"/>
          <w:sz w:val="24"/>
          <w:szCs w:val="24"/>
        </w:rPr>
        <w:t>Morden, T. (1995). International Culture and Management. Management Decision, 33(2), pp.16–21. doi:</w:t>
      </w:r>
      <w:r>
        <w:rPr>
          <w:rFonts w:hint="eastAsia" w:ascii="Arial" w:hAnsi="Arial"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"https://doi.org/10.1108/00251749510081674" </w:instrText>
      </w:r>
      <w:r>
        <w:rPr>
          <w:rFonts w:hint="default" w:ascii="Arial" w:hAnsi="Arial" w:cs="Arial"/>
          <w:sz w:val="24"/>
          <w:szCs w:val="24"/>
        </w:rPr>
        <w:fldChar w:fldCharType="separate"/>
      </w:r>
      <w:r>
        <w:rPr>
          <w:rStyle w:val="13"/>
          <w:rFonts w:hint="default" w:ascii="Arial" w:hAnsi="Arial" w:cs="Arial"/>
          <w:sz w:val="24"/>
          <w:szCs w:val="24"/>
        </w:rPr>
        <w:t>https://doi.org/10.1108/00251749510081674</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OLN Marketing (2018). Business Gift-giving Etiquette in China. [online] Oldham, Li &amp; Nie. Available at: </w:t>
      </w:r>
      <w:r>
        <w:rPr>
          <w:rFonts w:hint="default" w:ascii="Arial" w:hAnsi="Arial" w:cs="Arial"/>
          <w:sz w:val="24"/>
          <w:szCs w:val="24"/>
        </w:rPr>
        <w:fldChar w:fldCharType="begin"/>
      </w:r>
      <w:r>
        <w:rPr>
          <w:rFonts w:hint="default" w:ascii="Arial" w:hAnsi="Arial" w:cs="Arial"/>
          <w:sz w:val="24"/>
          <w:szCs w:val="24"/>
        </w:rPr>
        <w:instrText xml:space="preserve"> HYPERLINK "https://oln-law.com/business-gift-giving-etiquette-in-china/" </w:instrText>
      </w:r>
      <w:r>
        <w:rPr>
          <w:rFonts w:hint="default" w:ascii="Arial" w:hAnsi="Arial" w:cs="Arial"/>
          <w:sz w:val="24"/>
          <w:szCs w:val="24"/>
        </w:rPr>
        <w:fldChar w:fldCharType="separate"/>
      </w:r>
      <w:r>
        <w:rPr>
          <w:rStyle w:val="13"/>
          <w:rFonts w:hint="default" w:ascii="Arial" w:hAnsi="Arial" w:cs="Arial"/>
          <w:sz w:val="24"/>
          <w:szCs w:val="24"/>
        </w:rPr>
        <w:t>https://oln-law.com/business-gift-giving-etiquette-in-china/</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eastAsia" w:ascii="Arial" w:hAnsi="Arial" w:cs="Arial"/>
          <w:sz w:val="24"/>
          <w:szCs w:val="24"/>
          <w:lang w:val="en-US" w:eastAsia="zh-CN"/>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Pease, A. (1981). Body Language. [online] Elibrary Mukuba Education, pp.75–76. Available at: </w:t>
      </w:r>
      <w:r>
        <w:rPr>
          <w:rFonts w:hint="default" w:ascii="Arial" w:hAnsi="Arial" w:cs="Arial"/>
          <w:sz w:val="24"/>
          <w:szCs w:val="24"/>
        </w:rPr>
        <w:fldChar w:fldCharType="begin"/>
      </w:r>
      <w:r>
        <w:rPr>
          <w:rFonts w:hint="default" w:ascii="Arial" w:hAnsi="Arial" w:cs="Arial"/>
          <w:sz w:val="24"/>
          <w:szCs w:val="24"/>
        </w:rPr>
        <w:instrText xml:space="preserve"> HYPERLINK "http://elibrary.mukuba.edu.zm:8080/jspui/bitstream/123456789/550/1/Psychology%20-%20Body%20Language%20How%20to%20read%20others%20thoughts%20by%20th.pdf" </w:instrText>
      </w:r>
      <w:r>
        <w:rPr>
          <w:rFonts w:hint="default" w:ascii="Arial" w:hAnsi="Arial" w:cs="Arial"/>
          <w:sz w:val="24"/>
          <w:szCs w:val="24"/>
        </w:rPr>
        <w:fldChar w:fldCharType="separate"/>
      </w:r>
      <w:r>
        <w:rPr>
          <w:rStyle w:val="13"/>
          <w:rFonts w:hint="default" w:ascii="Arial" w:hAnsi="Arial" w:cs="Arial"/>
          <w:sz w:val="24"/>
          <w:szCs w:val="24"/>
        </w:rPr>
        <w:t>http://elibrary.mukuba.edu.zm:8080/jspui/bitstream/123456789/550/1/Psychology%20-%20Body%20Language%20How%20to%20read%20others%20thoughts%20by%20th.pdf</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21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Pirlog, A. (2021). National Cultural Profile in the Republic of Moldova According Hofstede and Trompenaars-Hampden-Turner Models. Revista de Management Comparat Internațional, [online] 22(4), pp.450–457. Available at: </w:t>
      </w:r>
      <w:r>
        <w:rPr>
          <w:rFonts w:hint="default" w:ascii="Arial" w:hAnsi="Arial" w:cs="Arial"/>
          <w:sz w:val="24"/>
          <w:szCs w:val="24"/>
        </w:rPr>
        <w:fldChar w:fldCharType="begin"/>
      </w:r>
      <w:r>
        <w:rPr>
          <w:rFonts w:hint="default" w:ascii="Arial" w:hAnsi="Arial" w:cs="Arial"/>
          <w:sz w:val="24"/>
          <w:szCs w:val="24"/>
        </w:rPr>
        <w:instrText xml:space="preserve"> HYPERLINK "https://www.ceeol.com/search/article-detail?id=1047373" </w:instrText>
      </w:r>
      <w:r>
        <w:rPr>
          <w:rFonts w:hint="default" w:ascii="Arial" w:hAnsi="Arial" w:cs="Arial"/>
          <w:sz w:val="24"/>
          <w:szCs w:val="24"/>
        </w:rPr>
        <w:fldChar w:fldCharType="separate"/>
      </w:r>
      <w:r>
        <w:rPr>
          <w:rStyle w:val="13"/>
          <w:rFonts w:hint="default" w:ascii="Arial" w:hAnsi="Arial" w:cs="Arial"/>
          <w:sz w:val="24"/>
          <w:szCs w:val="24"/>
        </w:rPr>
        <w:t>https://www.ceeol.com/search/article-detail?id=1047373</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Qin, C. (2016). Giving Gifts to Chinese People: Beware of Certain Taboos. [online] Dig Mandarin. Available at: </w:t>
      </w:r>
      <w:r>
        <w:rPr>
          <w:rFonts w:hint="default" w:ascii="Arial" w:hAnsi="Arial" w:cs="Arial"/>
          <w:sz w:val="24"/>
          <w:szCs w:val="24"/>
        </w:rPr>
        <w:fldChar w:fldCharType="begin"/>
      </w:r>
      <w:r>
        <w:rPr>
          <w:rFonts w:hint="default" w:ascii="Arial" w:hAnsi="Arial" w:cs="Arial"/>
          <w:sz w:val="24"/>
          <w:szCs w:val="24"/>
        </w:rPr>
        <w:instrText xml:space="preserve"> HYPERLINK "https://www.digmandarin.com/chinese-taboos-gifts.html" </w:instrText>
      </w:r>
      <w:r>
        <w:rPr>
          <w:rFonts w:hint="default" w:ascii="Arial" w:hAnsi="Arial" w:cs="Arial"/>
          <w:sz w:val="24"/>
          <w:szCs w:val="24"/>
        </w:rPr>
        <w:fldChar w:fldCharType="separate"/>
      </w:r>
      <w:r>
        <w:rPr>
          <w:rStyle w:val="13"/>
          <w:rFonts w:hint="default" w:ascii="Arial" w:hAnsi="Arial" w:cs="Arial"/>
          <w:sz w:val="24"/>
          <w:szCs w:val="24"/>
        </w:rPr>
        <w:t>https://www.digmandarin.com/chinese-taboos-gifts.html</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Rowberry (2023). Rowberry Shoes &amp; Bags. [online] Rowberry Bridal &amp; Fashion. Available at: </w:t>
      </w:r>
      <w:r>
        <w:rPr>
          <w:rFonts w:hint="default" w:ascii="Arial" w:hAnsi="Arial" w:cs="Arial"/>
          <w:sz w:val="24"/>
          <w:szCs w:val="24"/>
        </w:rPr>
        <w:fldChar w:fldCharType="begin"/>
      </w:r>
      <w:r>
        <w:rPr>
          <w:rFonts w:hint="default" w:ascii="Arial" w:hAnsi="Arial" w:cs="Arial"/>
          <w:sz w:val="24"/>
          <w:szCs w:val="24"/>
        </w:rPr>
        <w:instrText xml:space="preserve"> HYPERLINK "https://www.rowberrybridalandfashion.com/accessories/bags-and-shoes/" </w:instrText>
      </w:r>
      <w:r>
        <w:rPr>
          <w:rFonts w:hint="default" w:ascii="Arial" w:hAnsi="Arial" w:cs="Arial"/>
          <w:sz w:val="24"/>
          <w:szCs w:val="24"/>
        </w:rPr>
        <w:fldChar w:fldCharType="separate"/>
      </w:r>
      <w:r>
        <w:rPr>
          <w:rStyle w:val="13"/>
          <w:rFonts w:hint="default" w:ascii="Arial" w:hAnsi="Arial" w:cs="Arial"/>
          <w:sz w:val="24"/>
          <w:szCs w:val="24"/>
        </w:rPr>
        <w:t>https://www.rowberrybridalandfashion.com/accessories/bags-and-shoes/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21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Rowberry Shoes (2023). Rowberry Shoes . [online] Facebook. Available at: </w:t>
      </w:r>
      <w:r>
        <w:rPr>
          <w:rFonts w:hint="default" w:ascii="Arial" w:hAnsi="Arial" w:cs="Arial"/>
          <w:sz w:val="24"/>
          <w:szCs w:val="24"/>
        </w:rPr>
        <w:fldChar w:fldCharType="begin"/>
      </w:r>
      <w:r>
        <w:rPr>
          <w:rFonts w:hint="default" w:ascii="Arial" w:hAnsi="Arial" w:cs="Arial"/>
          <w:sz w:val="24"/>
          <w:szCs w:val="24"/>
        </w:rPr>
        <w:instrText xml:space="preserve"> HYPERLINK "https://www.facebook.com/rowberryshoes" </w:instrText>
      </w:r>
      <w:r>
        <w:rPr>
          <w:rFonts w:hint="default" w:ascii="Arial" w:hAnsi="Arial" w:cs="Arial"/>
          <w:sz w:val="24"/>
          <w:szCs w:val="24"/>
        </w:rPr>
        <w:fldChar w:fldCharType="separate"/>
      </w:r>
      <w:r>
        <w:rPr>
          <w:rStyle w:val="13"/>
          <w:rFonts w:hint="default" w:ascii="Arial" w:hAnsi="Arial" w:cs="Arial"/>
          <w:sz w:val="24"/>
          <w:szCs w:val="24"/>
        </w:rPr>
        <w:t>https://www.facebook.com/rowberryshoes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Schuller, M.L. (2020). Chapter 1: Defining Effective Communication. In: CoachMotivation: Developing Transformational Leadership by Increasing Effective Communication Skills in the Workplace - ProQuest. [online] Seattle Pacific University: ProQuest LLC, pp.2–3. Available at: </w:t>
      </w:r>
      <w:r>
        <w:rPr>
          <w:rFonts w:hint="default" w:ascii="Arial" w:hAnsi="Arial" w:cs="Arial"/>
          <w:sz w:val="24"/>
          <w:szCs w:val="24"/>
        </w:rPr>
        <w:fldChar w:fldCharType="begin"/>
      </w:r>
      <w:r>
        <w:rPr>
          <w:rFonts w:hint="default" w:ascii="Arial" w:hAnsi="Arial" w:cs="Arial"/>
          <w:sz w:val="24"/>
          <w:szCs w:val="24"/>
        </w:rPr>
        <w:instrText xml:space="preserve"> HYPERLINK "https://www.proquest.com/docview/2476566063?pq-origsite=gscholar&amp;fromopenview=true" </w:instrText>
      </w:r>
      <w:r>
        <w:rPr>
          <w:rFonts w:hint="default" w:ascii="Arial" w:hAnsi="Arial" w:cs="Arial"/>
          <w:sz w:val="24"/>
          <w:szCs w:val="24"/>
        </w:rPr>
        <w:fldChar w:fldCharType="separate"/>
      </w:r>
      <w:r>
        <w:rPr>
          <w:rStyle w:val="13"/>
          <w:rFonts w:hint="default" w:ascii="Arial" w:hAnsi="Arial" w:cs="Arial"/>
          <w:sz w:val="24"/>
          <w:szCs w:val="24"/>
        </w:rPr>
        <w:t>https://www.proquest.com/docview/2476566063?pq-origsite=gscholar&amp;fromopenview=true</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21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Shops.Wales (2023). Rowberry Shoes - Mumbles. [online] Shop.Wales. Available at: </w:t>
      </w:r>
      <w:r>
        <w:rPr>
          <w:rFonts w:hint="default" w:ascii="Arial" w:hAnsi="Arial" w:cs="Arial"/>
          <w:sz w:val="24"/>
          <w:szCs w:val="24"/>
        </w:rPr>
        <w:fldChar w:fldCharType="begin"/>
      </w:r>
      <w:r>
        <w:rPr>
          <w:rFonts w:hint="default" w:ascii="Arial" w:hAnsi="Arial" w:cs="Arial"/>
          <w:sz w:val="24"/>
          <w:szCs w:val="24"/>
        </w:rPr>
        <w:instrText xml:space="preserve"> HYPERLINK "https://shop.wales/item/rowberry-shoes/" </w:instrText>
      </w:r>
      <w:r>
        <w:rPr>
          <w:rFonts w:hint="default" w:ascii="Arial" w:hAnsi="Arial" w:cs="Arial"/>
          <w:sz w:val="24"/>
          <w:szCs w:val="24"/>
        </w:rPr>
        <w:fldChar w:fldCharType="separate"/>
      </w:r>
      <w:r>
        <w:rPr>
          <w:rStyle w:val="13"/>
          <w:rFonts w:hint="default" w:ascii="Arial" w:hAnsi="Arial" w:cs="Arial"/>
          <w:sz w:val="24"/>
          <w:szCs w:val="24"/>
        </w:rPr>
        <w:t>https://shop.wales/item/rowberry-shoes/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21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Team Leverage EDU (2023). Types, Methods and Modes of Communication. [online] Leverage Edu. Available at: </w:t>
      </w:r>
      <w:r>
        <w:rPr>
          <w:rFonts w:hint="default" w:ascii="Arial" w:hAnsi="Arial" w:cs="Arial"/>
          <w:sz w:val="24"/>
          <w:szCs w:val="24"/>
        </w:rPr>
        <w:fldChar w:fldCharType="begin"/>
      </w:r>
      <w:r>
        <w:rPr>
          <w:rFonts w:hint="default" w:ascii="Arial" w:hAnsi="Arial" w:cs="Arial"/>
          <w:sz w:val="24"/>
          <w:szCs w:val="24"/>
        </w:rPr>
        <w:instrText xml:space="preserve"> HYPERLINK "https://leverageedu.com/blog/modes-of-communication/" </w:instrText>
      </w:r>
      <w:r>
        <w:rPr>
          <w:rFonts w:hint="default" w:ascii="Arial" w:hAnsi="Arial" w:cs="Arial"/>
          <w:sz w:val="24"/>
          <w:szCs w:val="24"/>
        </w:rPr>
        <w:fldChar w:fldCharType="separate"/>
      </w:r>
      <w:r>
        <w:rPr>
          <w:rStyle w:val="13"/>
          <w:rFonts w:hint="default" w:ascii="Arial" w:hAnsi="Arial" w:cs="Arial"/>
          <w:sz w:val="24"/>
          <w:szCs w:val="24"/>
        </w:rPr>
        <w:t>https://leverageedu.com/blog/modes-of-communication/</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Ulrike, W. (2008). Making Eye Contact: What Are You Saying in Various Cultures? [online] Bright Hub Education. Available at: </w:t>
      </w:r>
      <w:r>
        <w:rPr>
          <w:rFonts w:hint="default" w:ascii="Arial" w:hAnsi="Arial" w:cs="Arial"/>
          <w:sz w:val="24"/>
          <w:szCs w:val="24"/>
        </w:rPr>
        <w:fldChar w:fldCharType="begin"/>
      </w:r>
      <w:r>
        <w:rPr>
          <w:rFonts w:hint="default" w:ascii="Arial" w:hAnsi="Arial" w:cs="Arial"/>
          <w:sz w:val="24"/>
          <w:szCs w:val="24"/>
        </w:rPr>
        <w:instrText xml:space="preserve"> HYPERLINK "https://www.brighthubeducation.com/social-studies-help/9626-learning-about-eye-contact-in-other-cultures/" </w:instrText>
      </w:r>
      <w:r>
        <w:rPr>
          <w:rFonts w:hint="default" w:ascii="Arial" w:hAnsi="Arial" w:cs="Arial"/>
          <w:sz w:val="24"/>
          <w:szCs w:val="24"/>
        </w:rPr>
        <w:fldChar w:fldCharType="separate"/>
      </w:r>
      <w:r>
        <w:rPr>
          <w:rStyle w:val="13"/>
          <w:rFonts w:hint="default" w:ascii="Arial" w:hAnsi="Arial" w:cs="Arial"/>
          <w:sz w:val="24"/>
          <w:szCs w:val="24"/>
        </w:rPr>
        <w:t>https://www.brighthubeducation.com/social-studies-help/9626-learning-about-eye-contact-in-other-cultures/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21 Nov.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United Language Group (2022). Communicating in High Context vs. Low Context Cultures. [online] United Language Group. Available at: </w:t>
      </w:r>
      <w:r>
        <w:rPr>
          <w:rFonts w:hint="default" w:ascii="Arial" w:hAnsi="Arial" w:cs="Arial"/>
          <w:sz w:val="24"/>
          <w:szCs w:val="24"/>
        </w:rPr>
        <w:fldChar w:fldCharType="begin"/>
      </w:r>
      <w:r>
        <w:rPr>
          <w:rFonts w:hint="default" w:ascii="Arial" w:hAnsi="Arial" w:cs="Arial"/>
          <w:sz w:val="24"/>
          <w:szCs w:val="24"/>
        </w:rPr>
        <w:instrText xml:space="preserve"> HYPERLINK "https://www.unitedlanguagegroup.com/learn/communicating-high-context-vs-low-context-cultures" </w:instrText>
      </w:r>
      <w:r>
        <w:rPr>
          <w:rFonts w:hint="default" w:ascii="Arial" w:hAnsi="Arial" w:cs="Arial"/>
          <w:sz w:val="24"/>
          <w:szCs w:val="24"/>
        </w:rPr>
        <w:fldChar w:fldCharType="separate"/>
      </w:r>
      <w:r>
        <w:rPr>
          <w:rStyle w:val="13"/>
          <w:rFonts w:hint="default" w:ascii="Arial" w:hAnsi="Arial" w:cs="Arial"/>
          <w:sz w:val="24"/>
          <w:szCs w:val="24"/>
        </w:rPr>
        <w:t>https://www.unitedlanguagegroup.com/learn/communicating-high-context-vs-low-context-cultures</w:t>
      </w:r>
      <w:r>
        <w:rPr>
          <w:rFonts w:hint="default" w:ascii="Arial" w:hAnsi="Arial" w:cs="Arial"/>
          <w:sz w:val="24"/>
          <w:szCs w:val="24"/>
        </w:rPr>
        <w:fldChar w:fldCharType="end"/>
      </w:r>
      <w:r>
        <w:rPr>
          <w:rFonts w:hint="eastAsia" w:ascii="Arial" w:hAnsi="Arial" w:cs="Arial"/>
          <w:sz w:val="24"/>
          <w:szCs w:val="24"/>
          <w:lang w:val="en-US" w:eastAsia="zh-CN"/>
        </w:rPr>
        <w:t xml:space="preserve"> </w:t>
      </w:r>
      <w:r>
        <w:rPr>
          <w:rFonts w:hint="default" w:ascii="Arial" w:hAnsi="Arial" w:cs="Arial"/>
          <w:sz w:val="24"/>
          <w:szCs w:val="24"/>
        </w:rPr>
        <w:t>[Accessed 22 Nov. 2023].</w:t>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bookmarkStart w:id="19" w:name="_Toc16654"/>
      <w:r>
        <w:rPr>
          <w:rFonts w:hint="default" w:ascii="Arial" w:hAnsi="Arial" w:cs="Arial"/>
          <w:sz w:val="32"/>
          <w:szCs w:val="32"/>
        </w:rPr>
        <w:t>Appendices</w:t>
      </w:r>
      <w:bookmarkEnd w:id="19"/>
    </w:p>
    <w:p>
      <w:pPr>
        <w:rPr>
          <w:rFonts w:ascii="宋体" w:hAnsi="宋体" w:eastAsia="宋体" w:cs="宋体"/>
          <w:sz w:val="24"/>
          <w:szCs w:val="24"/>
        </w:rPr>
      </w:pPr>
      <w:r>
        <w:rPr>
          <w:rFonts w:ascii="宋体" w:hAnsi="宋体" w:eastAsia="宋体" w:cs="宋体"/>
          <w:sz w:val="24"/>
          <w:szCs w:val="24"/>
        </w:rPr>
        <w:drawing>
          <wp:inline distT="0" distB="0" distL="114300" distR="114300">
            <wp:extent cx="963295" cy="894715"/>
            <wp:effectExtent l="0" t="0" r="12065" b="444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8"/>
                    <a:stretch>
                      <a:fillRect/>
                    </a:stretch>
                  </pic:blipFill>
                  <pic:spPr>
                    <a:xfrm>
                      <a:off x="0" y="0"/>
                      <a:ext cx="963295" cy="894715"/>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708660" cy="1096645"/>
            <wp:effectExtent l="0" t="0" r="7620" b="635"/>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9"/>
                    <a:stretch>
                      <a:fillRect/>
                    </a:stretch>
                  </pic:blipFill>
                  <pic:spPr>
                    <a:xfrm>
                      <a:off x="0" y="0"/>
                      <a:ext cx="708660" cy="1096645"/>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1080770" cy="1007110"/>
            <wp:effectExtent l="0" t="0" r="1270" b="13970"/>
            <wp:docPr id="4"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56"/>
                    <pic:cNvPicPr>
                      <a:picLocks noChangeAspect="1"/>
                    </pic:cNvPicPr>
                  </pic:nvPicPr>
                  <pic:blipFill>
                    <a:blip r:embed="rId10"/>
                    <a:stretch>
                      <a:fillRect/>
                    </a:stretch>
                  </pic:blipFill>
                  <pic:spPr>
                    <a:xfrm>
                      <a:off x="0" y="0"/>
                      <a:ext cx="1080770" cy="1007110"/>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1085850" cy="1116965"/>
            <wp:effectExtent l="0" t="0" r="11430" b="10795"/>
            <wp:docPr id="9"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MG_256"/>
                    <pic:cNvPicPr>
                      <a:picLocks noChangeAspect="1"/>
                    </pic:cNvPicPr>
                  </pic:nvPicPr>
                  <pic:blipFill>
                    <a:blip r:embed="rId11"/>
                    <a:stretch>
                      <a:fillRect/>
                    </a:stretch>
                  </pic:blipFill>
                  <pic:spPr>
                    <a:xfrm>
                      <a:off x="0" y="0"/>
                      <a:ext cx="1085850" cy="1116965"/>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1050925" cy="982345"/>
            <wp:effectExtent l="0" t="0" r="635" b="8255"/>
            <wp:docPr id="10"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MG_256"/>
                    <pic:cNvPicPr>
                      <a:picLocks noChangeAspect="1"/>
                    </pic:cNvPicPr>
                  </pic:nvPicPr>
                  <pic:blipFill>
                    <a:blip r:embed="rId12"/>
                    <a:stretch>
                      <a:fillRect/>
                    </a:stretch>
                  </pic:blipFill>
                  <pic:spPr>
                    <a:xfrm>
                      <a:off x="0" y="0"/>
                      <a:ext cx="1050925" cy="982345"/>
                    </a:xfrm>
                    <a:prstGeom prst="rect">
                      <a:avLst/>
                    </a:prstGeom>
                    <a:noFill/>
                    <a:ln w="9525">
                      <a:noFill/>
                    </a:ln>
                  </pic:spPr>
                </pic:pic>
              </a:graphicData>
            </a:graphic>
          </wp:inline>
        </w:drawing>
      </w:r>
    </w:p>
    <w:p>
      <w:pPr>
        <w:rPr>
          <w:rFonts w:ascii="宋体" w:hAnsi="宋体" w:eastAsia="宋体" w:cs="宋体"/>
          <w:sz w:val="24"/>
          <w:szCs w:val="24"/>
        </w:rPr>
      </w:pPr>
      <w:r>
        <w:rPr>
          <w:rFonts w:ascii="宋体" w:hAnsi="宋体" w:eastAsia="宋体" w:cs="宋体"/>
          <w:sz w:val="24"/>
          <w:szCs w:val="24"/>
        </w:rPr>
        <w:drawing>
          <wp:inline distT="0" distB="0" distL="114300" distR="114300">
            <wp:extent cx="1228725" cy="1327150"/>
            <wp:effectExtent l="0" t="0" r="5715" b="13970"/>
            <wp:docPr id="5"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256"/>
                    <pic:cNvPicPr>
                      <a:picLocks noChangeAspect="1"/>
                    </pic:cNvPicPr>
                  </pic:nvPicPr>
                  <pic:blipFill>
                    <a:blip r:embed="rId13"/>
                    <a:stretch>
                      <a:fillRect/>
                    </a:stretch>
                  </pic:blipFill>
                  <pic:spPr>
                    <a:xfrm>
                      <a:off x="0" y="0"/>
                      <a:ext cx="1228725" cy="1327150"/>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995045" cy="1144270"/>
            <wp:effectExtent l="0" t="0" r="10795" b="13970"/>
            <wp:docPr id="6"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MG_256"/>
                    <pic:cNvPicPr>
                      <a:picLocks noChangeAspect="1"/>
                    </pic:cNvPicPr>
                  </pic:nvPicPr>
                  <pic:blipFill>
                    <a:blip r:embed="rId14"/>
                    <a:stretch>
                      <a:fillRect/>
                    </a:stretch>
                  </pic:blipFill>
                  <pic:spPr>
                    <a:xfrm>
                      <a:off x="0" y="0"/>
                      <a:ext cx="995045" cy="1144270"/>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1124585" cy="1099185"/>
            <wp:effectExtent l="0" t="0" r="3175" b="13335"/>
            <wp:docPr id="7"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IMG_256"/>
                    <pic:cNvPicPr>
                      <a:picLocks noChangeAspect="1"/>
                    </pic:cNvPicPr>
                  </pic:nvPicPr>
                  <pic:blipFill>
                    <a:blip r:embed="rId15"/>
                    <a:stretch>
                      <a:fillRect/>
                    </a:stretch>
                  </pic:blipFill>
                  <pic:spPr>
                    <a:xfrm>
                      <a:off x="0" y="0"/>
                      <a:ext cx="1124585" cy="1099185"/>
                    </a:xfrm>
                    <a:prstGeom prst="rect">
                      <a:avLst/>
                    </a:prstGeom>
                    <a:noFill/>
                    <a:ln w="9525">
                      <a:noFill/>
                    </a:ln>
                  </pic:spPr>
                </pic:pic>
              </a:graphicData>
            </a:graphic>
          </wp:inline>
        </w:drawing>
      </w:r>
      <w:r>
        <w:rPr>
          <w:rFonts w:ascii="宋体" w:hAnsi="宋体" w:eastAsia="宋体" w:cs="宋体"/>
          <w:sz w:val="24"/>
          <w:szCs w:val="24"/>
        </w:rPr>
        <w:drawing>
          <wp:inline distT="0" distB="0" distL="114300" distR="114300">
            <wp:extent cx="1313815" cy="1304290"/>
            <wp:effectExtent l="0" t="0" r="12065" b="6350"/>
            <wp:docPr id="8"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256"/>
                    <pic:cNvPicPr>
                      <a:picLocks noChangeAspect="1"/>
                    </pic:cNvPicPr>
                  </pic:nvPicPr>
                  <pic:blipFill>
                    <a:blip r:embed="rId16"/>
                    <a:stretch>
                      <a:fillRect/>
                    </a:stretch>
                  </pic:blipFill>
                  <pic:spPr>
                    <a:xfrm>
                      <a:off x="0" y="0"/>
                      <a:ext cx="1313815" cy="1304290"/>
                    </a:xfrm>
                    <a:prstGeom prst="rect">
                      <a:avLst/>
                    </a:prstGeom>
                    <a:noFill/>
                    <a:ln w="9525">
                      <a:noFill/>
                    </a:ln>
                  </pic:spPr>
                </pic:pic>
              </a:graphicData>
            </a:graphic>
          </wp:inline>
        </w:drawing>
      </w:r>
    </w:p>
    <w:p>
      <w:pPr>
        <w:rPr>
          <w:rFonts w:ascii="宋体" w:hAnsi="宋体" w:eastAsia="宋体" w:cs="宋体"/>
          <w:sz w:val="24"/>
          <w:szCs w:val="24"/>
        </w:rPr>
      </w:pPr>
      <w:r>
        <w:drawing>
          <wp:inline distT="0" distB="0" distL="114300" distR="114300">
            <wp:extent cx="5407660" cy="2678430"/>
            <wp:effectExtent l="0" t="0" r="254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17"/>
                    <a:srcRect l="9790" t="16502" r="14107" b="16502"/>
                    <a:stretch>
                      <a:fillRect/>
                    </a:stretch>
                  </pic:blipFill>
                  <pic:spPr>
                    <a:xfrm>
                      <a:off x="0" y="0"/>
                      <a:ext cx="5407660" cy="2678430"/>
                    </a:xfrm>
                    <a:prstGeom prst="rect">
                      <a:avLst/>
                    </a:prstGeom>
                    <a:noFill/>
                    <a:ln>
                      <a:noFill/>
                    </a:ln>
                  </pic:spPr>
                </pic:pic>
              </a:graphicData>
            </a:graphic>
          </wp:inline>
        </w:drawing>
      </w:r>
    </w:p>
    <w:sectPr>
      <w:footerReference r:id="rId5" w:type="default"/>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LlZmfjICAABjBAAADgAAAAAAAAABACAAAAAfAQAAZHJzL2Uyb0RvYy54bWxQSwUG&#10;AAAAAAYABgBZAQAAwwUAAAAA&#10;">
              <v:fill on="f" focussize="0,0"/>
              <v:stroke on="f" weight="0.5pt"/>
              <v:imagedata o:title=""/>
              <o:lock v:ext="edit" aspectratio="f"/>
              <v:textbox inset="0mm,0mm,0mm,0mm" style="mso-fit-shape-to-text:t;">
                <w:txbxContent>
                  <w:p>
                    <w:pPr>
                      <w:pStyle w:val="6"/>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1537938"/>
    <w:rsid w:val="01782C45"/>
    <w:rsid w:val="02A4476B"/>
    <w:rsid w:val="02DA1F3A"/>
    <w:rsid w:val="02E70482"/>
    <w:rsid w:val="03045209"/>
    <w:rsid w:val="036F2E65"/>
    <w:rsid w:val="05447809"/>
    <w:rsid w:val="05A45AF1"/>
    <w:rsid w:val="07B64679"/>
    <w:rsid w:val="091E5277"/>
    <w:rsid w:val="09595E0D"/>
    <w:rsid w:val="0A00672A"/>
    <w:rsid w:val="0A6F1B02"/>
    <w:rsid w:val="0AD43CB7"/>
    <w:rsid w:val="0B311D9B"/>
    <w:rsid w:val="0D3B5CCB"/>
    <w:rsid w:val="0E307279"/>
    <w:rsid w:val="106A6FF4"/>
    <w:rsid w:val="10961B97"/>
    <w:rsid w:val="117150DF"/>
    <w:rsid w:val="122C5950"/>
    <w:rsid w:val="12331667"/>
    <w:rsid w:val="133165A4"/>
    <w:rsid w:val="14912FC2"/>
    <w:rsid w:val="149E2B37"/>
    <w:rsid w:val="15197EAA"/>
    <w:rsid w:val="15475B55"/>
    <w:rsid w:val="15B12FCF"/>
    <w:rsid w:val="178445C3"/>
    <w:rsid w:val="19BB08C0"/>
    <w:rsid w:val="1A820ECC"/>
    <w:rsid w:val="1AC45552"/>
    <w:rsid w:val="1C715266"/>
    <w:rsid w:val="1EE73F05"/>
    <w:rsid w:val="1FE11415"/>
    <w:rsid w:val="201C373B"/>
    <w:rsid w:val="204809D3"/>
    <w:rsid w:val="21415603"/>
    <w:rsid w:val="222A7662"/>
    <w:rsid w:val="22F77B19"/>
    <w:rsid w:val="24281C07"/>
    <w:rsid w:val="242B219E"/>
    <w:rsid w:val="248C70E1"/>
    <w:rsid w:val="250B39C4"/>
    <w:rsid w:val="251B2213"/>
    <w:rsid w:val="254B6F9C"/>
    <w:rsid w:val="25F807A6"/>
    <w:rsid w:val="25FC502E"/>
    <w:rsid w:val="2729330D"/>
    <w:rsid w:val="274A490C"/>
    <w:rsid w:val="276854B7"/>
    <w:rsid w:val="28352E4D"/>
    <w:rsid w:val="28C11017"/>
    <w:rsid w:val="28C64B8B"/>
    <w:rsid w:val="294A57BC"/>
    <w:rsid w:val="2AAD7DB1"/>
    <w:rsid w:val="2C5F0DD5"/>
    <w:rsid w:val="2CBA0563"/>
    <w:rsid w:val="2D2A1003"/>
    <w:rsid w:val="2D4542D1"/>
    <w:rsid w:val="2D99286E"/>
    <w:rsid w:val="2E0C3040"/>
    <w:rsid w:val="2ED27DE6"/>
    <w:rsid w:val="2EEC3775"/>
    <w:rsid w:val="2F2B74F6"/>
    <w:rsid w:val="2FA572A9"/>
    <w:rsid w:val="2FE53B49"/>
    <w:rsid w:val="302428C3"/>
    <w:rsid w:val="30733E62"/>
    <w:rsid w:val="30AC4667"/>
    <w:rsid w:val="32747406"/>
    <w:rsid w:val="3293788C"/>
    <w:rsid w:val="32E4458C"/>
    <w:rsid w:val="33C63C91"/>
    <w:rsid w:val="343B642D"/>
    <w:rsid w:val="34A42225"/>
    <w:rsid w:val="34A851DA"/>
    <w:rsid w:val="351F2BDC"/>
    <w:rsid w:val="35637A13"/>
    <w:rsid w:val="35B126A0"/>
    <w:rsid w:val="36806379"/>
    <w:rsid w:val="379A4A63"/>
    <w:rsid w:val="379C5435"/>
    <w:rsid w:val="38404012"/>
    <w:rsid w:val="39081A34"/>
    <w:rsid w:val="39547F51"/>
    <w:rsid w:val="399F1025"/>
    <w:rsid w:val="39E210F9"/>
    <w:rsid w:val="3A29435C"/>
    <w:rsid w:val="3A95616C"/>
    <w:rsid w:val="3ABC7B9C"/>
    <w:rsid w:val="3ACA4067"/>
    <w:rsid w:val="3C7921E9"/>
    <w:rsid w:val="3CF46D1B"/>
    <w:rsid w:val="3D2E2FD3"/>
    <w:rsid w:val="3E371A14"/>
    <w:rsid w:val="3E704F26"/>
    <w:rsid w:val="3F4F0FDF"/>
    <w:rsid w:val="3FE91433"/>
    <w:rsid w:val="3FF102E8"/>
    <w:rsid w:val="40330901"/>
    <w:rsid w:val="419E64E5"/>
    <w:rsid w:val="42213106"/>
    <w:rsid w:val="430A3B9B"/>
    <w:rsid w:val="43FF1225"/>
    <w:rsid w:val="440315CC"/>
    <w:rsid w:val="462211FB"/>
    <w:rsid w:val="46695B07"/>
    <w:rsid w:val="474D674C"/>
    <w:rsid w:val="478B7D5D"/>
    <w:rsid w:val="483A5DB9"/>
    <w:rsid w:val="48587156"/>
    <w:rsid w:val="488825F5"/>
    <w:rsid w:val="49BE56DF"/>
    <w:rsid w:val="4AEB2504"/>
    <w:rsid w:val="4B412124"/>
    <w:rsid w:val="4C20442F"/>
    <w:rsid w:val="4D7560B4"/>
    <w:rsid w:val="4E21448E"/>
    <w:rsid w:val="4F166EC5"/>
    <w:rsid w:val="4F714FA1"/>
    <w:rsid w:val="4FBE4CC6"/>
    <w:rsid w:val="50447FC0"/>
    <w:rsid w:val="51A52CE0"/>
    <w:rsid w:val="51A72EFC"/>
    <w:rsid w:val="52903990"/>
    <w:rsid w:val="56B54F7B"/>
    <w:rsid w:val="56DA167E"/>
    <w:rsid w:val="57601B83"/>
    <w:rsid w:val="58C742E6"/>
    <w:rsid w:val="5961256E"/>
    <w:rsid w:val="59FD49CA"/>
    <w:rsid w:val="5A1F51DD"/>
    <w:rsid w:val="5ABA15AB"/>
    <w:rsid w:val="5AD05272"/>
    <w:rsid w:val="5B022F52"/>
    <w:rsid w:val="5C62639E"/>
    <w:rsid w:val="5CB87D6C"/>
    <w:rsid w:val="5D3C099D"/>
    <w:rsid w:val="5D810AA5"/>
    <w:rsid w:val="5E2470C3"/>
    <w:rsid w:val="5E7B72A3"/>
    <w:rsid w:val="5E9B5B97"/>
    <w:rsid w:val="5F6D308F"/>
    <w:rsid w:val="5F7206A6"/>
    <w:rsid w:val="62045801"/>
    <w:rsid w:val="65624D19"/>
    <w:rsid w:val="67515045"/>
    <w:rsid w:val="67C7149B"/>
    <w:rsid w:val="68516A88"/>
    <w:rsid w:val="686139AD"/>
    <w:rsid w:val="68C87559"/>
    <w:rsid w:val="68D777CC"/>
    <w:rsid w:val="69434E61"/>
    <w:rsid w:val="695B664F"/>
    <w:rsid w:val="69706188"/>
    <w:rsid w:val="6B23319C"/>
    <w:rsid w:val="6BD3071E"/>
    <w:rsid w:val="6BE854BD"/>
    <w:rsid w:val="6BFF59B7"/>
    <w:rsid w:val="6C4909E0"/>
    <w:rsid w:val="6C9331D3"/>
    <w:rsid w:val="6D7D4DE5"/>
    <w:rsid w:val="6EB32A89"/>
    <w:rsid w:val="6EEA46FD"/>
    <w:rsid w:val="6EF8407C"/>
    <w:rsid w:val="6F7A613D"/>
    <w:rsid w:val="6FA5400F"/>
    <w:rsid w:val="6FE764EF"/>
    <w:rsid w:val="70983CE4"/>
    <w:rsid w:val="710B6BAC"/>
    <w:rsid w:val="71AB1ECB"/>
    <w:rsid w:val="73A43C9A"/>
    <w:rsid w:val="73D70FC8"/>
    <w:rsid w:val="7645632C"/>
    <w:rsid w:val="7647580B"/>
    <w:rsid w:val="76E77774"/>
    <w:rsid w:val="76F0487A"/>
    <w:rsid w:val="775D3592"/>
    <w:rsid w:val="781D3294"/>
    <w:rsid w:val="78EE6B97"/>
    <w:rsid w:val="79BC0A44"/>
    <w:rsid w:val="79D42231"/>
    <w:rsid w:val="79FA77BE"/>
    <w:rsid w:val="7AA339B1"/>
    <w:rsid w:val="7BD60A9B"/>
    <w:rsid w:val="7DC06CA6"/>
    <w:rsid w:val="7EBC14E6"/>
    <w:rsid w:val="7EBC7738"/>
    <w:rsid w:val="7F2257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Hyperlink"/>
    <w:basedOn w:val="12"/>
    <w:qFormat/>
    <w:uiPriority w:val="0"/>
    <w:rPr>
      <w:color w:val="0000FF"/>
      <w:u w:val="single"/>
    </w:rPr>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image" Target="media/image11.png"/><Relationship Id="rId16" Type="http://schemas.openxmlformats.org/officeDocument/2006/relationships/image" Target="media/image10.jpeg"/><Relationship Id="rId15" Type="http://schemas.openxmlformats.org/officeDocument/2006/relationships/image" Target="media/image9.jpeg"/><Relationship Id="rId14" Type="http://schemas.openxmlformats.org/officeDocument/2006/relationships/image" Target="media/image8.jpeg"/><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136</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2023-11-21T11:36:00Z</dcterms:created>
  <dc:creator>MeiFeng</dc:creator>
  <cp:lastModifiedBy>凤</cp:lastModifiedBy>
  <dcterms:modified xsi:type="dcterms:W3CDTF">2023-11-24T11:22:43Z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015A5DA33DC44E18976F11F46C755F0E_12</vt:lpwstr>
  </property>
</Properties>
</file>