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b w:val="1"/>
          <w:bCs w:val="1"/>
          <w:sz w:val="32"/>
          <w:szCs w:val="32"/>
        </w:rPr>
      </w:pPr>
      <w:r w:rsidDel="00000000" w:rsidR="00000000" w:rsidRPr="00000000">
        <w:rPr>
          <w:rtl w:val="0"/>
        </w:rPr>
      </w:r>
      <w:r w:rsidDel="00000000" w:rsidR="00000000" w:rsidRPr="00000000">
        <w:drawing>
          <wp:anchor allowOverlap="1" behindDoc="0" distB="101600" distT="0" distL="0" distR="0" hidden="0" layoutInCell="1" locked="0" relativeHeight="0" simplePos="0">
            <wp:simplePos x="0" y="0"/>
            <wp:positionH relativeFrom="column">
              <wp:posOffset>0</wp:posOffset>
            </wp:positionH>
            <wp:positionV relativeFrom="paragraph">
              <wp:posOffset>0</wp:posOffset>
            </wp:positionV>
            <wp:extent cx="1809750" cy="723900"/>
            <wp:effectExtent b="0" l="0" r="0" t="0"/>
            <wp:wrapSquare wrapText="bothSides" distB="101600" distT="0" distL="0" distR="0"/>
            <wp:docPr descr="Discover University of Wales Trinity Saint David" id="1" name="image1.png"/>
            <a:graphic>
              <a:graphicData uri="http://schemas.openxmlformats.org/drawingml/2006/picture">
                <pic:pic>
                  <pic:nvPicPr>
                    <pic:cNvPr descr="Discover University of Wales Trinity Saint David" id="0" name="image1.png"/>
                    <pic:cNvPicPr preferRelativeResize="0"/>
                  </pic:nvPicPr>
                  <pic:blipFill>
                    <a:blip r:embed="rId6"/>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2">
      <w:pPr>
        <w:jc w:val="both"/>
        <w:rPr>
          <w:b w:val="1"/>
          <w:bCs w:val="1"/>
          <w:sz w:val="32"/>
          <w:szCs w:val="32"/>
        </w:rPr>
      </w:pPr>
      <w:r w:rsidDel="00000000" w:rsidR="00000000" w:rsidRPr="00000000">
        <w:rPr>
          <w:rtl w:val="0"/>
        </w:rPr>
      </w:r>
    </w:p>
    <w:p w:rsidR="00000000" w:rsidDel="00000000" w:rsidP="00000000" w:rsidRDefault="00000000" w:rsidRPr="00000000" w14:paraId="00000003">
      <w:pPr>
        <w:jc w:val="both"/>
        <w:rPr>
          <w:b w:val="1"/>
          <w:bCs w:val="1"/>
          <w:sz w:val="32"/>
          <w:szCs w:val="32"/>
        </w:rPr>
      </w:pPr>
      <w:r w:rsidDel="00000000" w:rsidR="00000000" w:rsidRPr="00000000">
        <w:rPr>
          <w:rtl w:val="0"/>
        </w:rPr>
      </w:r>
    </w:p>
    <w:p w:rsidR="00000000" w:rsidDel="00000000" w:rsidP="00000000" w:rsidRDefault="00000000" w:rsidRPr="00000000" w14:paraId="00000004">
      <w:pPr>
        <w:jc w:val="both"/>
        <w:rPr>
          <w:b w:val="1"/>
          <w:bCs w:val="1"/>
          <w:sz w:val="32"/>
          <w:szCs w:val="32"/>
        </w:rPr>
      </w:pPr>
      <w:r w:rsidDel="00000000" w:rsidR="00000000" w:rsidRPr="00000000">
        <w:rPr>
          <w:rtl w:val="0"/>
        </w:rPr>
      </w:r>
    </w:p>
    <w:p w:rsidR="00000000" w:rsidDel="00000000" w:rsidP="00000000" w:rsidRDefault="00000000" w:rsidRPr="00000000" w14:paraId="00000005">
      <w:pPr>
        <w:jc w:val="both"/>
        <w:rPr>
          <w:b w:val="1"/>
          <w:bCs w:val="1"/>
          <w:sz w:val="32"/>
          <w:szCs w:val="32"/>
        </w:rPr>
      </w:pPr>
      <w:r w:rsidDel="00000000" w:rsidR="00000000" w:rsidRPr="00000000">
        <w:rPr>
          <w:rtl w:val="0"/>
        </w:rPr>
      </w:r>
    </w:p>
    <w:p w:rsidR="00000000" w:rsidDel="00000000" w:rsidP="00000000" w:rsidRDefault="00000000" w:rsidRPr="00000000" w14:paraId="00000006">
      <w:pPr>
        <w:spacing w:after="160" w:line="276" w:lineRule="auto"/>
        <w:rPr>
          <w:rFonts w:ascii="Aptos" w:cs="Aptos" w:eastAsia="Aptos" w:hAnsi="Aptos"/>
          <w:b w:val="1"/>
          <w:bCs w:val="1"/>
          <w:sz w:val="24"/>
          <w:szCs w:val="24"/>
        </w:rPr>
      </w:pPr>
      <w:r w:rsidDel="00000000" w:rsidR="00000000" w:rsidRPr="00000000">
        <w:rPr>
          <w:rFonts w:ascii="Aptos" w:cs="Aptos" w:eastAsia="Aptos" w:hAnsi="Aptos"/>
          <w:b w:val="1"/>
          <w:bCs w:val="1"/>
          <w:sz w:val="24"/>
          <w:szCs w:val="24"/>
          <w:rtl w:val="0"/>
        </w:rPr>
        <w:t xml:space="preserve">Module Name:       Introduction to Public Health</w:t>
      </w:r>
    </w:p>
    <w:p w:rsidR="00000000" w:rsidDel="00000000" w:rsidP="00000000" w:rsidRDefault="00000000" w:rsidRPr="00000000" w14:paraId="00000007">
      <w:pPr>
        <w:spacing w:after="160" w:line="276" w:lineRule="auto"/>
        <w:rPr>
          <w:rFonts w:ascii="Aptos" w:cs="Aptos" w:eastAsia="Aptos" w:hAnsi="Aptos"/>
          <w:b w:val="1"/>
          <w:bCs w:val="1"/>
          <w:sz w:val="24"/>
          <w:szCs w:val="24"/>
        </w:rPr>
      </w:pPr>
      <w:r w:rsidDel="00000000" w:rsidR="00000000" w:rsidRPr="00000000">
        <w:rPr>
          <w:rFonts w:ascii="Aptos" w:cs="Aptos" w:eastAsia="Aptos" w:hAnsi="Aptos"/>
          <w:b w:val="1"/>
          <w:bCs w:val="1"/>
          <w:sz w:val="24"/>
          <w:szCs w:val="24"/>
          <w:rtl w:val="0"/>
        </w:rPr>
        <w:t xml:space="preserve">Module code:       (LCHS4008_ LON)</w:t>
      </w:r>
    </w:p>
    <w:p w:rsidR="00000000" w:rsidDel="00000000" w:rsidP="00000000" w:rsidRDefault="00000000" w:rsidRPr="00000000" w14:paraId="00000008">
      <w:pPr>
        <w:spacing w:after="160" w:line="276" w:lineRule="auto"/>
        <w:rPr>
          <w:rFonts w:ascii="Aptos" w:cs="Aptos" w:eastAsia="Aptos" w:hAnsi="Aptos"/>
          <w:b w:val="1"/>
          <w:bCs w:val="1"/>
          <w:sz w:val="24"/>
          <w:szCs w:val="24"/>
        </w:rPr>
      </w:pPr>
      <w:r w:rsidDel="00000000" w:rsidR="00000000" w:rsidRPr="00000000">
        <w:rPr>
          <w:rFonts w:ascii="Aptos" w:cs="Aptos" w:eastAsia="Aptos" w:hAnsi="Aptos"/>
          <w:b w:val="1"/>
          <w:bCs w:val="1"/>
          <w:sz w:val="24"/>
          <w:szCs w:val="24"/>
          <w:rtl w:val="0"/>
        </w:rPr>
        <w:t xml:space="preserve">Student Name:      Valinya Da costa</w:t>
      </w:r>
    </w:p>
    <w:p w:rsidR="00000000" w:rsidDel="00000000" w:rsidP="00000000" w:rsidRDefault="00000000" w:rsidRPr="00000000" w14:paraId="00000009">
      <w:pPr>
        <w:spacing w:after="160" w:line="276" w:lineRule="auto"/>
        <w:rPr>
          <w:rFonts w:ascii="Aptos" w:cs="Aptos" w:eastAsia="Aptos" w:hAnsi="Aptos"/>
          <w:b w:val="1"/>
          <w:bCs w:val="1"/>
          <w:sz w:val="24"/>
          <w:szCs w:val="24"/>
        </w:rPr>
      </w:pPr>
      <w:r w:rsidDel="00000000" w:rsidR="00000000" w:rsidRPr="00000000">
        <w:rPr>
          <w:rFonts w:ascii="Aptos" w:cs="Aptos" w:eastAsia="Aptos" w:hAnsi="Aptos"/>
          <w:b w:val="1"/>
          <w:bCs w:val="1"/>
          <w:sz w:val="24"/>
          <w:szCs w:val="24"/>
          <w:rtl w:val="0"/>
        </w:rPr>
        <w:t xml:space="preserve">Student ID:            2512507</w:t>
      </w:r>
    </w:p>
    <w:p w:rsidR="00000000" w:rsidDel="00000000" w:rsidP="00000000" w:rsidRDefault="00000000" w:rsidRPr="00000000" w14:paraId="0000000A">
      <w:pPr>
        <w:spacing w:after="160" w:line="276" w:lineRule="auto"/>
        <w:rPr>
          <w:rFonts w:ascii="Aptos" w:cs="Aptos" w:eastAsia="Aptos" w:hAnsi="Aptos"/>
          <w:b w:val="1"/>
          <w:bCs w:val="1"/>
          <w:sz w:val="24"/>
          <w:szCs w:val="24"/>
        </w:rPr>
      </w:pPr>
      <w:r w:rsidDel="00000000" w:rsidR="00000000" w:rsidRPr="00000000">
        <w:rPr>
          <w:rFonts w:ascii="Aptos" w:cs="Aptos" w:eastAsia="Aptos" w:hAnsi="Aptos"/>
          <w:b w:val="1"/>
          <w:bCs w:val="1"/>
          <w:sz w:val="24"/>
          <w:szCs w:val="24"/>
          <w:rtl w:val="0"/>
        </w:rPr>
        <w:t xml:space="preserve">Lecturer’s Name:  Mrs.Caroline Salami  </w:t>
      </w:r>
    </w:p>
    <w:p w:rsidR="00000000" w:rsidDel="00000000" w:rsidP="00000000" w:rsidRDefault="00000000" w:rsidRPr="00000000" w14:paraId="0000000B">
      <w:pPr>
        <w:jc w:val="both"/>
        <w:rPr>
          <w:b w:val="1"/>
          <w:bCs w:val="1"/>
          <w:sz w:val="32"/>
          <w:szCs w:val="32"/>
        </w:rPr>
      </w:pPr>
      <w:r w:rsidDel="00000000" w:rsidR="00000000" w:rsidRPr="00000000">
        <w:rPr>
          <w:rtl w:val="0"/>
        </w:rPr>
      </w:r>
    </w:p>
    <w:p w:rsidR="00000000" w:rsidDel="00000000" w:rsidP="00000000" w:rsidRDefault="00000000" w:rsidRPr="00000000" w14:paraId="0000000C">
      <w:pPr>
        <w:jc w:val="both"/>
        <w:rPr>
          <w:b w:val="1"/>
          <w:bCs w:val="1"/>
          <w:sz w:val="32"/>
          <w:szCs w:val="32"/>
        </w:rPr>
      </w:pPr>
      <w:r w:rsidDel="00000000" w:rsidR="00000000" w:rsidRPr="00000000">
        <w:rPr>
          <w:rtl w:val="0"/>
        </w:rPr>
      </w:r>
    </w:p>
    <w:p w:rsidR="00000000" w:rsidDel="00000000" w:rsidP="00000000" w:rsidRDefault="00000000" w:rsidRPr="00000000" w14:paraId="0000000D">
      <w:pPr>
        <w:jc w:val="both"/>
        <w:rPr>
          <w:b w:val="1"/>
          <w:bCs w:val="1"/>
          <w:sz w:val="32"/>
          <w:szCs w:val="32"/>
        </w:rPr>
      </w:pPr>
      <w:r w:rsidDel="00000000" w:rsidR="00000000" w:rsidRPr="00000000">
        <w:rPr>
          <w:rtl w:val="0"/>
        </w:rPr>
      </w:r>
    </w:p>
    <w:p w:rsidR="00000000" w:rsidDel="00000000" w:rsidP="00000000" w:rsidRDefault="00000000" w:rsidRPr="00000000" w14:paraId="0000000E">
      <w:pPr>
        <w:jc w:val="both"/>
        <w:rPr>
          <w:b w:val="1"/>
          <w:bCs w:val="1"/>
          <w:sz w:val="32"/>
          <w:szCs w:val="32"/>
        </w:rPr>
      </w:pPr>
      <w:r w:rsidDel="00000000" w:rsidR="00000000" w:rsidRPr="00000000">
        <w:rPr>
          <w:rtl w:val="0"/>
        </w:rPr>
      </w:r>
    </w:p>
    <w:p w:rsidR="00000000" w:rsidDel="00000000" w:rsidP="00000000" w:rsidRDefault="00000000" w:rsidRPr="00000000" w14:paraId="0000000F">
      <w:pPr>
        <w:jc w:val="both"/>
        <w:rPr>
          <w:b w:val="1"/>
          <w:bCs w:val="1"/>
          <w:sz w:val="32"/>
          <w:szCs w:val="32"/>
        </w:rPr>
      </w:pPr>
      <w:r w:rsidDel="00000000" w:rsidR="00000000" w:rsidRPr="00000000">
        <w:rPr>
          <w:rtl w:val="0"/>
        </w:rPr>
      </w:r>
    </w:p>
    <w:p w:rsidR="00000000" w:rsidDel="00000000" w:rsidP="00000000" w:rsidRDefault="00000000" w:rsidRPr="00000000" w14:paraId="00000010">
      <w:pPr>
        <w:jc w:val="both"/>
        <w:rPr>
          <w:b w:val="1"/>
          <w:bCs w:val="1"/>
          <w:sz w:val="32"/>
          <w:szCs w:val="32"/>
        </w:rPr>
      </w:pPr>
      <w:r w:rsidDel="00000000" w:rsidR="00000000" w:rsidRPr="00000000">
        <w:rPr>
          <w:rtl w:val="0"/>
        </w:rPr>
      </w:r>
    </w:p>
    <w:p w:rsidR="00000000" w:rsidDel="00000000" w:rsidP="00000000" w:rsidRDefault="00000000" w:rsidRPr="00000000" w14:paraId="00000011">
      <w:pPr>
        <w:jc w:val="both"/>
        <w:rPr>
          <w:b w:val="1"/>
          <w:bCs w:val="1"/>
          <w:sz w:val="32"/>
          <w:szCs w:val="32"/>
        </w:rPr>
      </w:pPr>
      <w:r w:rsidDel="00000000" w:rsidR="00000000" w:rsidRPr="00000000">
        <w:rPr>
          <w:rtl w:val="0"/>
        </w:rPr>
      </w:r>
    </w:p>
    <w:p w:rsidR="00000000" w:rsidDel="00000000" w:rsidP="00000000" w:rsidRDefault="00000000" w:rsidRPr="00000000" w14:paraId="00000012">
      <w:pPr>
        <w:jc w:val="both"/>
        <w:rPr>
          <w:b w:val="1"/>
          <w:bCs w:val="1"/>
          <w:sz w:val="32"/>
          <w:szCs w:val="32"/>
        </w:rPr>
      </w:pPr>
      <w:r w:rsidDel="00000000" w:rsidR="00000000" w:rsidRPr="00000000">
        <w:rPr>
          <w:rtl w:val="0"/>
        </w:rPr>
      </w:r>
    </w:p>
    <w:p w:rsidR="00000000" w:rsidDel="00000000" w:rsidP="00000000" w:rsidRDefault="00000000" w:rsidRPr="00000000" w14:paraId="00000013">
      <w:pPr>
        <w:jc w:val="both"/>
        <w:rPr>
          <w:b w:val="1"/>
          <w:bCs w:val="1"/>
          <w:sz w:val="32"/>
          <w:szCs w:val="32"/>
        </w:rPr>
      </w:pPr>
      <w:r w:rsidDel="00000000" w:rsidR="00000000" w:rsidRPr="00000000">
        <w:rPr>
          <w:rtl w:val="0"/>
        </w:rPr>
      </w:r>
    </w:p>
    <w:p w:rsidR="00000000" w:rsidDel="00000000" w:rsidP="00000000" w:rsidRDefault="00000000" w:rsidRPr="00000000" w14:paraId="00000014">
      <w:pPr>
        <w:jc w:val="both"/>
        <w:rPr>
          <w:b w:val="1"/>
          <w:bCs w:val="1"/>
          <w:sz w:val="32"/>
          <w:szCs w:val="32"/>
        </w:rPr>
      </w:pPr>
      <w:r w:rsidDel="00000000" w:rsidR="00000000" w:rsidRPr="00000000">
        <w:rPr>
          <w:rtl w:val="0"/>
        </w:rPr>
      </w:r>
    </w:p>
    <w:p w:rsidR="00000000" w:rsidDel="00000000" w:rsidP="00000000" w:rsidRDefault="00000000" w:rsidRPr="00000000" w14:paraId="00000015">
      <w:pPr>
        <w:jc w:val="both"/>
        <w:rPr>
          <w:b w:val="1"/>
          <w:bCs w:val="1"/>
          <w:sz w:val="32"/>
          <w:szCs w:val="32"/>
        </w:rPr>
      </w:pPr>
      <w:r w:rsidDel="00000000" w:rsidR="00000000" w:rsidRPr="00000000">
        <w:rPr>
          <w:rtl w:val="0"/>
        </w:rPr>
      </w:r>
    </w:p>
    <w:p w:rsidR="00000000" w:rsidDel="00000000" w:rsidP="00000000" w:rsidRDefault="00000000" w:rsidRPr="00000000" w14:paraId="00000016">
      <w:pPr>
        <w:jc w:val="both"/>
        <w:rPr>
          <w:b w:val="1"/>
          <w:bCs w:val="1"/>
          <w:sz w:val="32"/>
          <w:szCs w:val="32"/>
        </w:rPr>
      </w:pPr>
      <w:r w:rsidDel="00000000" w:rsidR="00000000" w:rsidRPr="00000000">
        <w:rPr>
          <w:rtl w:val="0"/>
        </w:rPr>
      </w:r>
    </w:p>
    <w:p w:rsidR="00000000" w:rsidDel="00000000" w:rsidP="00000000" w:rsidRDefault="00000000" w:rsidRPr="00000000" w14:paraId="00000017">
      <w:pPr>
        <w:jc w:val="both"/>
        <w:rPr>
          <w:b w:val="1"/>
          <w:bCs w:val="1"/>
          <w:sz w:val="32"/>
          <w:szCs w:val="32"/>
        </w:rPr>
      </w:pPr>
      <w:r w:rsidDel="00000000" w:rsidR="00000000" w:rsidRPr="00000000">
        <w:rPr>
          <w:rtl w:val="0"/>
        </w:rPr>
      </w:r>
    </w:p>
    <w:p w:rsidR="00000000" w:rsidDel="00000000" w:rsidP="00000000" w:rsidRDefault="00000000" w:rsidRPr="00000000" w14:paraId="00000018">
      <w:pPr>
        <w:jc w:val="both"/>
        <w:rPr>
          <w:b w:val="1"/>
          <w:bCs w:val="1"/>
          <w:sz w:val="32"/>
          <w:szCs w:val="32"/>
        </w:rPr>
      </w:pPr>
      <w:r w:rsidDel="00000000" w:rsidR="00000000" w:rsidRPr="00000000">
        <w:rPr>
          <w:rtl w:val="0"/>
        </w:rPr>
      </w:r>
    </w:p>
    <w:p w:rsidR="00000000" w:rsidDel="00000000" w:rsidP="00000000" w:rsidRDefault="00000000" w:rsidRPr="00000000" w14:paraId="00000019">
      <w:pPr>
        <w:jc w:val="both"/>
        <w:rPr>
          <w:b w:val="1"/>
          <w:bCs w:val="1"/>
          <w:sz w:val="32"/>
          <w:szCs w:val="32"/>
        </w:rPr>
      </w:pPr>
      <w:r w:rsidDel="00000000" w:rsidR="00000000" w:rsidRPr="00000000">
        <w:rPr>
          <w:rtl w:val="0"/>
        </w:rPr>
      </w:r>
    </w:p>
    <w:p w:rsidR="00000000" w:rsidDel="00000000" w:rsidP="00000000" w:rsidRDefault="00000000" w:rsidRPr="00000000" w14:paraId="0000001A">
      <w:pPr>
        <w:jc w:val="both"/>
        <w:rPr>
          <w:b w:val="1"/>
          <w:bCs w:val="1"/>
          <w:sz w:val="32"/>
          <w:szCs w:val="32"/>
        </w:rPr>
      </w:pPr>
      <w:r w:rsidDel="00000000" w:rsidR="00000000" w:rsidRPr="00000000">
        <w:rPr>
          <w:rtl w:val="0"/>
        </w:rPr>
      </w:r>
    </w:p>
    <w:p w:rsidR="00000000" w:rsidDel="00000000" w:rsidP="00000000" w:rsidRDefault="00000000" w:rsidRPr="00000000" w14:paraId="0000001B">
      <w:pPr>
        <w:jc w:val="both"/>
        <w:rPr>
          <w:b w:val="1"/>
          <w:bCs w:val="1"/>
          <w:sz w:val="32"/>
          <w:szCs w:val="32"/>
        </w:rPr>
      </w:pPr>
      <w:r w:rsidDel="00000000" w:rsidR="00000000" w:rsidRPr="00000000">
        <w:rPr>
          <w:rtl w:val="0"/>
        </w:rPr>
      </w:r>
    </w:p>
    <w:p w:rsidR="00000000" w:rsidDel="00000000" w:rsidP="00000000" w:rsidRDefault="00000000" w:rsidRPr="00000000" w14:paraId="0000001C">
      <w:pPr>
        <w:jc w:val="both"/>
        <w:rPr>
          <w:b w:val="1"/>
          <w:bCs w:val="1"/>
          <w:sz w:val="32"/>
          <w:szCs w:val="32"/>
        </w:rPr>
      </w:pPr>
      <w:r w:rsidDel="00000000" w:rsidR="00000000" w:rsidRPr="00000000">
        <w:rPr>
          <w:rtl w:val="0"/>
        </w:rPr>
      </w:r>
    </w:p>
    <w:p w:rsidR="00000000" w:rsidDel="00000000" w:rsidP="00000000" w:rsidRDefault="00000000" w:rsidRPr="00000000" w14:paraId="0000001D">
      <w:pPr>
        <w:jc w:val="both"/>
        <w:rPr>
          <w:b w:val="1"/>
          <w:bCs w:val="1"/>
          <w:sz w:val="32"/>
          <w:szCs w:val="32"/>
        </w:rPr>
      </w:pPr>
      <w:r w:rsidDel="00000000" w:rsidR="00000000" w:rsidRPr="00000000">
        <w:rPr>
          <w:rtl w:val="0"/>
        </w:rPr>
      </w:r>
    </w:p>
    <w:p w:rsidR="00000000" w:rsidDel="00000000" w:rsidP="00000000" w:rsidRDefault="00000000" w:rsidRPr="00000000" w14:paraId="0000001E">
      <w:pPr>
        <w:jc w:val="both"/>
        <w:rPr>
          <w:b w:val="1"/>
          <w:bCs w:val="1"/>
          <w:sz w:val="32"/>
          <w:szCs w:val="32"/>
        </w:rPr>
      </w:pPr>
      <w:r w:rsidDel="00000000" w:rsidR="00000000" w:rsidRPr="00000000">
        <w:rPr>
          <w:rtl w:val="0"/>
        </w:rPr>
      </w:r>
    </w:p>
    <w:p w:rsidR="00000000" w:rsidDel="00000000" w:rsidP="00000000" w:rsidRDefault="00000000" w:rsidRPr="00000000" w14:paraId="0000001F">
      <w:pPr>
        <w:jc w:val="both"/>
        <w:rPr>
          <w:b w:val="1"/>
          <w:bCs w:val="1"/>
          <w:sz w:val="32"/>
          <w:szCs w:val="32"/>
        </w:rPr>
      </w:pPr>
      <w:r w:rsidDel="00000000" w:rsidR="00000000" w:rsidRPr="00000000">
        <w:rPr>
          <w:b w:val="1"/>
          <w:bCs w:val="1"/>
          <w:sz w:val="32"/>
          <w:szCs w:val="32"/>
          <w:rtl w:val="0"/>
        </w:rPr>
        <w:t xml:space="preserve">Content Page</w:t>
      </w:r>
    </w:p>
    <w:p w:rsidR="00000000" w:rsidDel="00000000" w:rsidP="00000000" w:rsidRDefault="00000000" w:rsidRPr="00000000" w14:paraId="00000020">
      <w:pPr>
        <w:jc w:val="both"/>
        <w:rPr>
          <w:b w:val="1"/>
          <w:bCs w:val="1"/>
          <w:sz w:val="32"/>
          <w:szCs w:val="32"/>
        </w:rPr>
      </w:pPr>
      <w:r w:rsidDel="00000000" w:rsidR="00000000" w:rsidRPr="00000000">
        <w:rPr>
          <w:rtl w:val="0"/>
        </w:rPr>
      </w:r>
    </w:p>
    <w:p w:rsidR="00000000" w:rsidDel="00000000" w:rsidP="00000000" w:rsidRDefault="00000000" w:rsidRPr="00000000" w14:paraId="00000021">
      <w:pPr>
        <w:spacing w:line="360" w:lineRule="auto"/>
        <w:jc w:val="both"/>
        <w:rPr/>
      </w:pPr>
      <w:r w:rsidDel="00000000" w:rsidR="00000000" w:rsidRPr="00000000">
        <w:rPr>
          <w:rtl w:val="0"/>
        </w:rPr>
        <w:t xml:space="preserve">Introduction         —--------    3</w:t>
      </w:r>
    </w:p>
    <w:p w:rsidR="00000000" w:rsidDel="00000000" w:rsidP="00000000" w:rsidRDefault="00000000" w:rsidRPr="00000000" w14:paraId="00000022">
      <w:pPr>
        <w:spacing w:line="360" w:lineRule="auto"/>
        <w:jc w:val="both"/>
        <w:rPr>
          <w:color w:val="222222"/>
          <w:highlight w:val="white"/>
        </w:rPr>
      </w:pPr>
      <w:r w:rsidDel="00000000" w:rsidR="00000000" w:rsidRPr="00000000">
        <w:rPr>
          <w:color w:val="222222"/>
          <w:highlight w:val="white"/>
          <w:rtl w:val="0"/>
        </w:rPr>
        <w:t xml:space="preserve">Approaches to Measure and Monitor Dementia   —------  4</w:t>
      </w:r>
    </w:p>
    <w:p w:rsidR="00000000" w:rsidDel="00000000" w:rsidP="00000000" w:rsidRDefault="00000000" w:rsidRPr="00000000" w14:paraId="00000023">
      <w:pPr>
        <w:spacing w:line="360" w:lineRule="auto"/>
        <w:jc w:val="both"/>
        <w:rPr>
          <w:color w:val="222222"/>
          <w:highlight w:val="white"/>
        </w:rPr>
      </w:pPr>
      <w:r w:rsidDel="00000000" w:rsidR="00000000" w:rsidRPr="00000000">
        <w:rPr>
          <w:color w:val="222222"/>
          <w:highlight w:val="white"/>
          <w:rtl w:val="0"/>
        </w:rPr>
        <w:t xml:space="preserve">Control and Management of Dementia     —----- 4</w:t>
      </w:r>
    </w:p>
    <w:p w:rsidR="00000000" w:rsidDel="00000000" w:rsidP="00000000" w:rsidRDefault="00000000" w:rsidRPr="00000000" w14:paraId="00000024">
      <w:pPr>
        <w:spacing w:line="360" w:lineRule="auto"/>
        <w:jc w:val="both"/>
        <w:rPr>
          <w:color w:val="222222"/>
          <w:highlight w:val="white"/>
        </w:rPr>
      </w:pPr>
      <w:r w:rsidDel="00000000" w:rsidR="00000000" w:rsidRPr="00000000">
        <w:rPr>
          <w:color w:val="222222"/>
          <w:highlight w:val="white"/>
          <w:rtl w:val="0"/>
        </w:rPr>
        <w:t xml:space="preserve">Consequences of Dementia on Individuals and the Community —-----  5</w:t>
      </w:r>
    </w:p>
    <w:p w:rsidR="00000000" w:rsidDel="00000000" w:rsidP="00000000" w:rsidRDefault="00000000" w:rsidRPr="00000000" w14:paraId="00000025">
      <w:pPr>
        <w:spacing w:line="360" w:lineRule="auto"/>
        <w:jc w:val="both"/>
        <w:rPr>
          <w:color w:val="222222"/>
          <w:highlight w:val="white"/>
        </w:rPr>
      </w:pPr>
      <w:r w:rsidDel="00000000" w:rsidR="00000000" w:rsidRPr="00000000">
        <w:rPr>
          <w:color w:val="222222"/>
          <w:highlight w:val="white"/>
          <w:rtl w:val="0"/>
        </w:rPr>
        <w:t xml:space="preserve">Health and Social Care Support Services   —----- 5</w:t>
      </w:r>
    </w:p>
    <w:p w:rsidR="00000000" w:rsidDel="00000000" w:rsidP="00000000" w:rsidRDefault="00000000" w:rsidRPr="00000000" w14:paraId="00000026">
      <w:pPr>
        <w:spacing w:line="360" w:lineRule="auto"/>
        <w:jc w:val="both"/>
        <w:rPr>
          <w:color w:val="222222"/>
          <w:highlight w:val="white"/>
        </w:rPr>
      </w:pPr>
      <w:r w:rsidDel="00000000" w:rsidR="00000000" w:rsidRPr="00000000">
        <w:rPr>
          <w:color w:val="222222"/>
          <w:highlight w:val="white"/>
          <w:rtl w:val="0"/>
        </w:rPr>
        <w:t xml:space="preserve">Conclusion    —----- 6</w:t>
      </w:r>
    </w:p>
    <w:p w:rsidR="00000000" w:rsidDel="00000000" w:rsidP="00000000" w:rsidRDefault="00000000" w:rsidRPr="00000000" w14:paraId="00000027">
      <w:pPr>
        <w:spacing w:line="360" w:lineRule="auto"/>
        <w:jc w:val="both"/>
        <w:rPr>
          <w:color w:val="222222"/>
          <w:highlight w:val="white"/>
        </w:rPr>
      </w:pPr>
      <w:r w:rsidDel="00000000" w:rsidR="00000000" w:rsidRPr="00000000">
        <w:rPr>
          <w:color w:val="222222"/>
          <w:highlight w:val="white"/>
          <w:rtl w:val="0"/>
        </w:rPr>
        <w:t xml:space="preserve">References —-----  7</w:t>
      </w:r>
    </w:p>
    <w:p w:rsidR="00000000" w:rsidDel="00000000" w:rsidP="00000000" w:rsidRDefault="00000000" w:rsidRPr="00000000" w14:paraId="00000028">
      <w:pPr>
        <w:spacing w:line="360" w:lineRule="auto"/>
        <w:jc w:val="both"/>
        <w:rPr>
          <w:b w:val="1"/>
          <w:bCs w:val="1"/>
          <w:color w:val="222222"/>
          <w:sz w:val="32"/>
          <w:szCs w:val="32"/>
          <w:highlight w:val="white"/>
        </w:rPr>
      </w:pPr>
      <w:r w:rsidDel="00000000" w:rsidR="00000000" w:rsidRPr="00000000">
        <w:rPr>
          <w:rtl w:val="0"/>
        </w:rPr>
      </w:r>
    </w:p>
    <w:p w:rsidR="00000000" w:rsidDel="00000000" w:rsidP="00000000" w:rsidRDefault="00000000" w:rsidRPr="00000000" w14:paraId="00000029">
      <w:pPr>
        <w:jc w:val="both"/>
        <w:rPr>
          <w:color w:val="222222"/>
          <w:highlight w:val="white"/>
        </w:rPr>
      </w:pPr>
      <w:r w:rsidDel="00000000" w:rsidR="00000000" w:rsidRPr="00000000">
        <w:rPr>
          <w:rtl w:val="0"/>
        </w:rPr>
      </w:r>
    </w:p>
    <w:p w:rsidR="00000000" w:rsidDel="00000000" w:rsidP="00000000" w:rsidRDefault="00000000" w:rsidRPr="00000000" w14:paraId="0000002A">
      <w:pPr>
        <w:jc w:val="both"/>
        <w:rPr>
          <w:b w:val="1"/>
          <w:bCs w:val="1"/>
          <w:color w:val="222222"/>
          <w:sz w:val="32"/>
          <w:szCs w:val="32"/>
          <w:highlight w:val="white"/>
        </w:rPr>
      </w:pPr>
      <w:r w:rsidDel="00000000" w:rsidR="00000000" w:rsidRPr="00000000">
        <w:rPr>
          <w:rtl w:val="0"/>
        </w:rPr>
      </w:r>
    </w:p>
    <w:p w:rsidR="00000000" w:rsidDel="00000000" w:rsidP="00000000" w:rsidRDefault="00000000" w:rsidRPr="00000000" w14:paraId="0000002B">
      <w:pPr>
        <w:jc w:val="both"/>
        <w:rPr>
          <w:b w:val="1"/>
          <w:bCs w:val="1"/>
          <w:color w:val="222222"/>
          <w:sz w:val="32"/>
          <w:szCs w:val="32"/>
          <w:highlight w:val="white"/>
        </w:rPr>
      </w:pPr>
      <w:r w:rsidDel="00000000" w:rsidR="00000000" w:rsidRPr="00000000">
        <w:rPr>
          <w:rtl w:val="0"/>
        </w:rPr>
      </w:r>
    </w:p>
    <w:p w:rsidR="00000000" w:rsidDel="00000000" w:rsidP="00000000" w:rsidRDefault="00000000" w:rsidRPr="00000000" w14:paraId="0000002C">
      <w:pPr>
        <w:jc w:val="both"/>
        <w:rPr>
          <w:b w:val="1"/>
          <w:bCs w:val="1"/>
          <w:color w:val="222222"/>
          <w:sz w:val="32"/>
          <w:szCs w:val="32"/>
          <w:highlight w:val="white"/>
        </w:rPr>
      </w:pPr>
      <w:r w:rsidDel="00000000" w:rsidR="00000000" w:rsidRPr="00000000">
        <w:rPr>
          <w:rtl w:val="0"/>
        </w:rPr>
      </w:r>
    </w:p>
    <w:p w:rsidR="00000000" w:rsidDel="00000000" w:rsidP="00000000" w:rsidRDefault="00000000" w:rsidRPr="00000000" w14:paraId="0000002D">
      <w:pPr>
        <w:jc w:val="both"/>
        <w:rPr/>
      </w:pPr>
      <w:r w:rsidDel="00000000" w:rsidR="00000000" w:rsidRPr="00000000">
        <w:rPr>
          <w:rtl w:val="0"/>
        </w:rPr>
      </w:r>
    </w:p>
    <w:p w:rsidR="00000000" w:rsidDel="00000000" w:rsidP="00000000" w:rsidRDefault="00000000" w:rsidRPr="00000000" w14:paraId="0000002E">
      <w:pPr>
        <w:jc w:val="both"/>
        <w:rPr>
          <w:b w:val="1"/>
          <w:bCs w:val="1"/>
          <w:sz w:val="32"/>
          <w:szCs w:val="32"/>
        </w:rPr>
      </w:pPr>
      <w:r w:rsidDel="00000000" w:rsidR="00000000" w:rsidRPr="00000000">
        <w:rPr>
          <w:rtl w:val="0"/>
        </w:rPr>
      </w:r>
    </w:p>
    <w:p w:rsidR="00000000" w:rsidDel="00000000" w:rsidP="00000000" w:rsidRDefault="00000000" w:rsidRPr="00000000" w14:paraId="0000002F">
      <w:pPr>
        <w:jc w:val="both"/>
        <w:rPr>
          <w:b w:val="1"/>
          <w:bCs w:val="1"/>
          <w:sz w:val="32"/>
          <w:szCs w:val="32"/>
        </w:rPr>
      </w:pPr>
      <w:r w:rsidDel="00000000" w:rsidR="00000000" w:rsidRPr="00000000">
        <w:rPr>
          <w:rtl w:val="0"/>
        </w:rPr>
      </w:r>
    </w:p>
    <w:p w:rsidR="00000000" w:rsidDel="00000000" w:rsidP="00000000" w:rsidRDefault="00000000" w:rsidRPr="00000000" w14:paraId="00000030">
      <w:pPr>
        <w:jc w:val="both"/>
        <w:rPr>
          <w:b w:val="1"/>
          <w:bCs w:val="1"/>
          <w:sz w:val="32"/>
          <w:szCs w:val="32"/>
        </w:rPr>
      </w:pPr>
      <w:r w:rsidDel="00000000" w:rsidR="00000000" w:rsidRPr="00000000">
        <w:rPr>
          <w:rtl w:val="0"/>
        </w:rPr>
      </w:r>
    </w:p>
    <w:p w:rsidR="00000000" w:rsidDel="00000000" w:rsidP="00000000" w:rsidRDefault="00000000" w:rsidRPr="00000000" w14:paraId="00000031">
      <w:pPr>
        <w:jc w:val="both"/>
        <w:rPr>
          <w:b w:val="1"/>
          <w:bCs w:val="1"/>
          <w:sz w:val="32"/>
          <w:szCs w:val="32"/>
        </w:rPr>
      </w:pPr>
      <w:r w:rsidDel="00000000" w:rsidR="00000000" w:rsidRPr="00000000">
        <w:rPr>
          <w:rtl w:val="0"/>
        </w:rPr>
      </w:r>
    </w:p>
    <w:p w:rsidR="00000000" w:rsidDel="00000000" w:rsidP="00000000" w:rsidRDefault="00000000" w:rsidRPr="00000000" w14:paraId="00000032">
      <w:pPr>
        <w:jc w:val="both"/>
        <w:rPr>
          <w:b w:val="1"/>
          <w:bCs w:val="1"/>
          <w:sz w:val="32"/>
          <w:szCs w:val="32"/>
        </w:rPr>
      </w:pPr>
      <w:r w:rsidDel="00000000" w:rsidR="00000000" w:rsidRPr="00000000">
        <w:rPr>
          <w:rtl w:val="0"/>
        </w:rPr>
      </w:r>
    </w:p>
    <w:p w:rsidR="00000000" w:rsidDel="00000000" w:rsidP="00000000" w:rsidRDefault="00000000" w:rsidRPr="00000000" w14:paraId="00000033">
      <w:pPr>
        <w:jc w:val="both"/>
        <w:rPr>
          <w:b w:val="1"/>
          <w:bCs w:val="1"/>
          <w:sz w:val="32"/>
          <w:szCs w:val="32"/>
        </w:rPr>
      </w:pPr>
      <w:r w:rsidDel="00000000" w:rsidR="00000000" w:rsidRPr="00000000">
        <w:rPr>
          <w:rtl w:val="0"/>
        </w:rPr>
      </w:r>
    </w:p>
    <w:p w:rsidR="00000000" w:rsidDel="00000000" w:rsidP="00000000" w:rsidRDefault="00000000" w:rsidRPr="00000000" w14:paraId="00000034">
      <w:pPr>
        <w:jc w:val="both"/>
        <w:rPr>
          <w:b w:val="1"/>
          <w:bCs w:val="1"/>
          <w:sz w:val="32"/>
          <w:szCs w:val="32"/>
        </w:rPr>
      </w:pPr>
      <w:r w:rsidDel="00000000" w:rsidR="00000000" w:rsidRPr="00000000">
        <w:rPr>
          <w:rtl w:val="0"/>
        </w:rPr>
      </w:r>
    </w:p>
    <w:p w:rsidR="00000000" w:rsidDel="00000000" w:rsidP="00000000" w:rsidRDefault="00000000" w:rsidRPr="00000000" w14:paraId="00000035">
      <w:pPr>
        <w:jc w:val="both"/>
        <w:rPr>
          <w:b w:val="1"/>
          <w:bCs w:val="1"/>
          <w:sz w:val="32"/>
          <w:szCs w:val="32"/>
        </w:rPr>
      </w:pPr>
      <w:r w:rsidDel="00000000" w:rsidR="00000000" w:rsidRPr="00000000">
        <w:rPr>
          <w:rtl w:val="0"/>
        </w:rPr>
      </w:r>
    </w:p>
    <w:p w:rsidR="00000000" w:rsidDel="00000000" w:rsidP="00000000" w:rsidRDefault="00000000" w:rsidRPr="00000000" w14:paraId="00000036">
      <w:pPr>
        <w:jc w:val="both"/>
        <w:rPr>
          <w:b w:val="1"/>
          <w:bCs w:val="1"/>
          <w:sz w:val="32"/>
          <w:szCs w:val="32"/>
        </w:rPr>
      </w:pPr>
      <w:r w:rsidDel="00000000" w:rsidR="00000000" w:rsidRPr="00000000">
        <w:rPr>
          <w:rtl w:val="0"/>
        </w:rPr>
      </w:r>
    </w:p>
    <w:p w:rsidR="00000000" w:rsidDel="00000000" w:rsidP="00000000" w:rsidRDefault="00000000" w:rsidRPr="00000000" w14:paraId="00000037">
      <w:pPr>
        <w:jc w:val="both"/>
        <w:rPr>
          <w:b w:val="1"/>
          <w:bCs w:val="1"/>
          <w:sz w:val="32"/>
          <w:szCs w:val="32"/>
        </w:rPr>
      </w:pPr>
      <w:r w:rsidDel="00000000" w:rsidR="00000000" w:rsidRPr="00000000">
        <w:rPr>
          <w:rtl w:val="0"/>
        </w:rPr>
      </w:r>
    </w:p>
    <w:p w:rsidR="00000000" w:rsidDel="00000000" w:rsidP="00000000" w:rsidRDefault="00000000" w:rsidRPr="00000000" w14:paraId="00000038">
      <w:pPr>
        <w:jc w:val="both"/>
        <w:rPr>
          <w:b w:val="1"/>
          <w:bCs w:val="1"/>
          <w:sz w:val="32"/>
          <w:szCs w:val="32"/>
        </w:rPr>
      </w:pPr>
      <w:r w:rsidDel="00000000" w:rsidR="00000000" w:rsidRPr="00000000">
        <w:rPr>
          <w:rtl w:val="0"/>
        </w:rPr>
      </w:r>
    </w:p>
    <w:p w:rsidR="00000000" w:rsidDel="00000000" w:rsidP="00000000" w:rsidRDefault="00000000" w:rsidRPr="00000000" w14:paraId="00000039">
      <w:pPr>
        <w:jc w:val="both"/>
        <w:rPr>
          <w:b w:val="1"/>
          <w:bCs w:val="1"/>
          <w:sz w:val="32"/>
          <w:szCs w:val="32"/>
        </w:rPr>
      </w:pPr>
      <w:r w:rsidDel="00000000" w:rsidR="00000000" w:rsidRPr="00000000">
        <w:rPr>
          <w:rtl w:val="0"/>
        </w:rPr>
      </w:r>
    </w:p>
    <w:p w:rsidR="00000000" w:rsidDel="00000000" w:rsidP="00000000" w:rsidRDefault="00000000" w:rsidRPr="00000000" w14:paraId="0000003A">
      <w:pPr>
        <w:jc w:val="both"/>
        <w:rPr>
          <w:b w:val="1"/>
          <w:bCs w:val="1"/>
          <w:sz w:val="32"/>
          <w:szCs w:val="32"/>
        </w:rPr>
      </w:pPr>
      <w:r w:rsidDel="00000000" w:rsidR="00000000" w:rsidRPr="00000000">
        <w:rPr>
          <w:rtl w:val="0"/>
        </w:rPr>
      </w:r>
    </w:p>
    <w:p w:rsidR="00000000" w:rsidDel="00000000" w:rsidP="00000000" w:rsidRDefault="00000000" w:rsidRPr="00000000" w14:paraId="0000003B">
      <w:pPr>
        <w:jc w:val="both"/>
        <w:rPr>
          <w:b w:val="1"/>
          <w:bCs w:val="1"/>
          <w:sz w:val="32"/>
          <w:szCs w:val="32"/>
        </w:rPr>
      </w:pPr>
      <w:r w:rsidDel="00000000" w:rsidR="00000000" w:rsidRPr="00000000">
        <w:rPr>
          <w:rtl w:val="0"/>
        </w:rPr>
      </w:r>
    </w:p>
    <w:p w:rsidR="00000000" w:rsidDel="00000000" w:rsidP="00000000" w:rsidRDefault="00000000" w:rsidRPr="00000000" w14:paraId="0000003C">
      <w:pPr>
        <w:jc w:val="both"/>
        <w:rPr>
          <w:b w:val="1"/>
          <w:bCs w:val="1"/>
          <w:sz w:val="32"/>
          <w:szCs w:val="32"/>
        </w:rPr>
      </w:pPr>
      <w:r w:rsidDel="00000000" w:rsidR="00000000" w:rsidRPr="00000000">
        <w:rPr>
          <w:rtl w:val="0"/>
        </w:rPr>
      </w:r>
    </w:p>
    <w:p w:rsidR="00000000" w:rsidDel="00000000" w:rsidP="00000000" w:rsidRDefault="00000000" w:rsidRPr="00000000" w14:paraId="0000003D">
      <w:pPr>
        <w:jc w:val="both"/>
        <w:rPr>
          <w:b w:val="1"/>
          <w:bCs w:val="1"/>
          <w:sz w:val="32"/>
          <w:szCs w:val="32"/>
        </w:rPr>
      </w:pPr>
      <w:r w:rsidDel="00000000" w:rsidR="00000000" w:rsidRPr="00000000">
        <w:rPr>
          <w:rtl w:val="0"/>
        </w:rPr>
      </w:r>
    </w:p>
    <w:p w:rsidR="00000000" w:rsidDel="00000000" w:rsidP="00000000" w:rsidRDefault="00000000" w:rsidRPr="00000000" w14:paraId="0000003E">
      <w:pPr>
        <w:jc w:val="both"/>
        <w:rPr>
          <w:b w:val="1"/>
          <w:bCs w:val="1"/>
          <w:sz w:val="32"/>
          <w:szCs w:val="32"/>
        </w:rPr>
      </w:pPr>
      <w:r w:rsidDel="00000000" w:rsidR="00000000" w:rsidRPr="00000000">
        <w:rPr>
          <w:b w:val="1"/>
          <w:bCs w:val="1"/>
          <w:sz w:val="32"/>
          <w:szCs w:val="32"/>
          <w:rtl w:val="0"/>
        </w:rPr>
        <w:t xml:space="preserve">Introduction </w:t>
      </w:r>
    </w:p>
    <w:p w:rsidR="00000000" w:rsidDel="00000000" w:rsidP="00000000" w:rsidRDefault="00000000" w:rsidRPr="00000000" w14:paraId="0000003F">
      <w:pPr>
        <w:jc w:val="both"/>
        <w:rPr>
          <w:b w:val="1"/>
          <w:bCs w:val="1"/>
        </w:rPr>
      </w:pPr>
      <w:r w:rsidDel="00000000" w:rsidR="00000000" w:rsidRPr="00000000">
        <w:rPr>
          <w:rtl w:val="0"/>
        </w:rPr>
      </w:r>
    </w:p>
    <w:p w:rsidR="00000000" w:rsidDel="00000000" w:rsidP="00000000" w:rsidRDefault="00000000" w:rsidRPr="00000000" w14:paraId="00000040">
      <w:pPr>
        <w:jc w:val="both"/>
        <w:rPr/>
      </w:pPr>
      <w:r w:rsidDel="00000000" w:rsidR="00000000" w:rsidRPr="00000000">
        <w:rPr>
          <w:b w:val="1"/>
          <w:bCs w:val="1"/>
          <w:rtl w:val="0"/>
        </w:rPr>
        <w:t xml:space="preserve">Definition</w:t>
      </w:r>
      <w:r w:rsidDel="00000000" w:rsidR="00000000" w:rsidRPr="00000000">
        <w:rPr>
          <w:rtl w:val="0"/>
        </w:rPr>
        <w:t xml:space="preserve"> Dementia is described as a condition brought on by illnesses that harm the brain and cause cognitive ability to deteriorate beyond normal ageing. Memory, logic, orientation, comprehension, and language are all impacted (WHO, 2025). About 60–70% of dementia cases are caused by Alzheimer's disease, which is followed by vascular dementia and other types (WHO, 2025).</w:t>
      </w:r>
    </w:p>
    <w:p w:rsidR="00000000" w:rsidDel="00000000" w:rsidP="00000000" w:rsidRDefault="00000000" w:rsidRPr="00000000" w14:paraId="00000041">
      <w:pPr>
        <w:jc w:val="both"/>
        <w:rPr/>
      </w:pPr>
      <w:r w:rsidDel="00000000" w:rsidR="00000000" w:rsidRPr="00000000">
        <w:rPr>
          <w:rtl w:val="0"/>
        </w:rPr>
      </w:r>
    </w:p>
    <w:p w:rsidR="00000000" w:rsidDel="00000000" w:rsidP="00000000" w:rsidRDefault="00000000" w:rsidRPr="00000000" w14:paraId="00000042">
      <w:pPr>
        <w:jc w:val="both"/>
        <w:rPr/>
      </w:pPr>
      <w:r w:rsidDel="00000000" w:rsidR="00000000" w:rsidRPr="00000000">
        <w:rPr>
          <w:rtl w:val="0"/>
        </w:rPr>
        <w:t xml:space="preserve">Crucially, dementia is progressive, which means that symptoms get worse over time and finally result in total dependence. It is a complicated disorder that calls for multidisciplinary care because it is linked to emotional, behavioural, and psychological changes.</w:t>
      </w:r>
    </w:p>
    <w:p w:rsidR="00000000" w:rsidDel="00000000" w:rsidP="00000000" w:rsidRDefault="00000000" w:rsidRPr="00000000" w14:paraId="00000043">
      <w:pPr>
        <w:jc w:val="both"/>
        <w:rPr>
          <w:b w:val="1"/>
          <w:bCs w:val="1"/>
        </w:rPr>
      </w:pPr>
      <w:r w:rsidDel="00000000" w:rsidR="00000000" w:rsidRPr="00000000">
        <w:rPr>
          <w:rtl w:val="0"/>
        </w:rPr>
      </w:r>
    </w:p>
    <w:p w:rsidR="00000000" w:rsidDel="00000000" w:rsidP="00000000" w:rsidRDefault="00000000" w:rsidRPr="00000000" w14:paraId="00000044">
      <w:pPr>
        <w:jc w:val="both"/>
        <w:rPr>
          <w:b w:val="1"/>
          <w:bCs w:val="1"/>
        </w:rPr>
      </w:pPr>
      <w:r w:rsidDel="00000000" w:rsidR="00000000" w:rsidRPr="00000000">
        <w:rPr>
          <w:b w:val="1"/>
          <w:bCs w:val="1"/>
          <w:rtl w:val="0"/>
        </w:rPr>
        <w:t xml:space="preserve">Sign and Symptoms</w:t>
      </w:r>
    </w:p>
    <w:p w:rsidR="00000000" w:rsidDel="00000000" w:rsidP="00000000" w:rsidRDefault="00000000" w:rsidRPr="00000000" w14:paraId="00000045">
      <w:pPr>
        <w:jc w:val="both"/>
        <w:rPr>
          <w:b w:val="1"/>
          <w:bCs w:val="1"/>
        </w:rPr>
      </w:pPr>
      <w:r w:rsidDel="00000000" w:rsidR="00000000" w:rsidRPr="00000000">
        <w:rPr>
          <w:rtl w:val="0"/>
        </w:rPr>
      </w:r>
    </w:p>
    <w:p w:rsidR="00000000" w:rsidDel="00000000" w:rsidP="00000000" w:rsidRDefault="00000000" w:rsidRPr="00000000" w14:paraId="00000046">
      <w:pPr>
        <w:jc w:val="both"/>
        <w:rPr/>
      </w:pPr>
      <w:r w:rsidDel="00000000" w:rsidR="00000000" w:rsidRPr="00000000">
        <w:rPr>
          <w:rtl w:val="0"/>
        </w:rPr>
        <w:t xml:space="preserve">Dementia symptoms often appear gradually and get worse over time, though they might vary according to the stage and underlying cause. Memory loss, disorientation, and trouble doing routine tasks are among the initial symptoms (WHO, 2025). People may have trouble making decisions and solving problems, misplace things, or forget recent experiences.</w:t>
      </w:r>
    </w:p>
    <w:p w:rsidR="00000000" w:rsidDel="00000000" w:rsidP="00000000" w:rsidRDefault="00000000" w:rsidRPr="00000000" w14:paraId="00000047">
      <w:pPr>
        <w:jc w:val="both"/>
        <w:rPr/>
      </w:pPr>
      <w:r w:rsidDel="00000000" w:rsidR="00000000" w:rsidRPr="00000000">
        <w:rPr>
          <w:rtl w:val="0"/>
        </w:rPr>
      </w:r>
    </w:p>
    <w:p w:rsidR="00000000" w:rsidDel="00000000" w:rsidP="00000000" w:rsidRDefault="00000000" w:rsidRPr="00000000" w14:paraId="00000048">
      <w:pPr>
        <w:jc w:val="both"/>
        <w:rPr/>
      </w:pPr>
      <w:r w:rsidDel="00000000" w:rsidR="00000000" w:rsidRPr="00000000">
        <w:rPr>
          <w:rtl w:val="0"/>
        </w:rPr>
        <w:t xml:space="preserve">In later phases, physical decline, including issues with feeding, mobility, and continence, frequently necessitates full-time care. These signs emphasise how dementia is progressing and incapacitating.</w:t>
      </w:r>
    </w:p>
    <w:p w:rsidR="00000000" w:rsidDel="00000000" w:rsidP="00000000" w:rsidRDefault="00000000" w:rsidRPr="00000000" w14:paraId="00000049">
      <w:pPr>
        <w:jc w:val="both"/>
        <w:rPr/>
      </w:pPr>
      <w:r w:rsidDel="00000000" w:rsidR="00000000" w:rsidRPr="00000000">
        <w:rPr>
          <w:rtl w:val="0"/>
        </w:rPr>
        <w:t xml:space="preserve">Memory loss, disorientation, and communication and decision-making problems are common symptoms that get worse with time. Approximately 57 million individuals worldwide suffer from dementia, and there are about 10 million new cases every year (WHO, 2025). Dementia is one of the main causes of death in the UK, indicating how serious a public health concern it is. The assessment, management, effects, and necessary support services of dementia will all be thoroughly examined in this report.</w:t>
      </w:r>
    </w:p>
    <w:p w:rsidR="00000000" w:rsidDel="00000000" w:rsidP="00000000" w:rsidRDefault="00000000" w:rsidRPr="00000000" w14:paraId="0000004A">
      <w:pPr>
        <w:jc w:val="both"/>
        <w:rPr/>
      </w:pPr>
      <w:r w:rsidDel="00000000" w:rsidR="00000000" w:rsidRPr="00000000">
        <w:rPr>
          <w:rtl w:val="0"/>
        </w:rPr>
      </w:r>
    </w:p>
    <w:p w:rsidR="00000000" w:rsidDel="00000000" w:rsidP="00000000" w:rsidRDefault="00000000" w:rsidRPr="00000000" w14:paraId="0000004B">
      <w:pPr>
        <w:jc w:val="both"/>
        <w:rPr>
          <w:b w:val="1"/>
          <w:bCs w:val="1"/>
          <w:sz w:val="26"/>
          <w:szCs w:val="26"/>
        </w:rPr>
      </w:pPr>
      <w:r w:rsidDel="00000000" w:rsidR="00000000" w:rsidRPr="00000000">
        <w:rPr>
          <w:b w:val="1"/>
          <w:bCs w:val="1"/>
          <w:sz w:val="26"/>
          <w:szCs w:val="26"/>
          <w:rtl w:val="0"/>
        </w:rPr>
        <w:t xml:space="preserve">Incidence of dementia ( globally and Uk)</w:t>
      </w:r>
    </w:p>
    <w:p w:rsidR="00000000" w:rsidDel="00000000" w:rsidP="00000000" w:rsidRDefault="00000000" w:rsidRPr="00000000" w14:paraId="0000004C">
      <w:pPr>
        <w:jc w:val="both"/>
        <w:rPr/>
      </w:pPr>
      <w:r w:rsidDel="00000000" w:rsidR="00000000" w:rsidRPr="00000000">
        <w:rPr>
          <w:rtl w:val="0"/>
        </w:rPr>
      </w:r>
    </w:p>
    <w:p w:rsidR="00000000" w:rsidDel="00000000" w:rsidP="00000000" w:rsidRDefault="00000000" w:rsidRPr="00000000" w14:paraId="0000004D">
      <w:pPr>
        <w:jc w:val="both"/>
        <w:rPr/>
      </w:pPr>
      <w:r w:rsidDel="00000000" w:rsidR="00000000" w:rsidRPr="00000000">
        <w:rPr>
          <w:rtl w:val="0"/>
        </w:rPr>
        <w:t xml:space="preserve">A substantial and expanding worldwide health burden is dementia. The World Health Organization estimates that 57 million people globally had dementia in 2021, and that there are about 10 million new cases every year (WHO, 2025). Currently, dementia ranks as the seventh most common cause of mortality worldwide and is a significant contributor to disability in older persons.</w:t>
      </w:r>
    </w:p>
    <w:p w:rsidR="00000000" w:rsidDel="00000000" w:rsidP="00000000" w:rsidRDefault="00000000" w:rsidRPr="00000000" w14:paraId="0000004E">
      <w:pPr>
        <w:jc w:val="both"/>
        <w:rPr/>
      </w:pPr>
      <w:r w:rsidDel="00000000" w:rsidR="00000000" w:rsidRPr="00000000">
        <w:rPr>
          <w:rtl w:val="0"/>
        </w:rPr>
      </w:r>
    </w:p>
    <w:p w:rsidR="00000000" w:rsidDel="00000000" w:rsidP="00000000" w:rsidRDefault="00000000" w:rsidRPr="00000000" w14:paraId="0000004F">
      <w:pPr>
        <w:jc w:val="both"/>
        <w:rPr/>
      </w:pPr>
      <w:r w:rsidDel="00000000" w:rsidR="00000000" w:rsidRPr="00000000">
        <w:rPr>
          <w:rtl w:val="0"/>
        </w:rPr>
        <w:t xml:space="preserve">Furthermore, informal caring is largely responsible for the significant economic cost of dementia, which was expected to be $1.3 trillion worldwide in 2019 (WHO, 2025). </w:t>
      </w:r>
    </w:p>
    <w:p w:rsidR="00000000" w:rsidDel="00000000" w:rsidP="00000000" w:rsidRDefault="00000000" w:rsidRPr="00000000" w14:paraId="00000050">
      <w:pPr>
        <w:jc w:val="both"/>
        <w:rPr/>
      </w:pPr>
      <w:r w:rsidDel="00000000" w:rsidR="00000000" w:rsidRPr="00000000">
        <w:rPr>
          <w:rtl w:val="0"/>
        </w:rPr>
      </w:r>
    </w:p>
    <w:p w:rsidR="00000000" w:rsidDel="00000000" w:rsidP="00000000" w:rsidRDefault="00000000" w:rsidRPr="00000000" w14:paraId="00000051">
      <w:pPr>
        <w:jc w:val="both"/>
        <w:rPr/>
      </w:pPr>
      <w:r w:rsidDel="00000000" w:rsidR="00000000" w:rsidRPr="00000000">
        <w:rPr>
          <w:rtl w:val="0"/>
        </w:rPr>
        <w:t xml:space="preserve">Dementia is one of the main causes of death in the UK, especially for older persons. According to reports, thousands of new instances are reported every month, and hundreds of thousands of people are diagnosed. Dementia is a serious public health concern that puts strain on the healthcare and social care systems due to its high prevalence and rising incidence.</w:t>
      </w:r>
    </w:p>
    <w:p w:rsidR="00000000" w:rsidDel="00000000" w:rsidP="00000000" w:rsidRDefault="00000000" w:rsidRPr="00000000" w14:paraId="00000052">
      <w:pPr>
        <w:jc w:val="both"/>
        <w:rPr/>
      </w:pPr>
      <w:r w:rsidDel="00000000" w:rsidR="00000000" w:rsidRPr="00000000">
        <w:rPr>
          <w:rtl w:val="0"/>
        </w:rPr>
      </w:r>
    </w:p>
    <w:p w:rsidR="00000000" w:rsidDel="00000000" w:rsidP="00000000" w:rsidRDefault="00000000" w:rsidRPr="00000000" w14:paraId="00000053">
      <w:pPr>
        <w:jc w:val="both"/>
        <w:rPr>
          <w:b w:val="1"/>
          <w:bCs w:val="1"/>
          <w:color w:val="222222"/>
          <w:sz w:val="32"/>
          <w:szCs w:val="32"/>
          <w:highlight w:val="white"/>
        </w:rPr>
      </w:pPr>
      <w:r w:rsidDel="00000000" w:rsidR="00000000" w:rsidRPr="00000000">
        <w:rPr>
          <w:b w:val="1"/>
          <w:bCs w:val="1"/>
          <w:color w:val="222222"/>
          <w:sz w:val="32"/>
          <w:szCs w:val="32"/>
          <w:highlight w:val="white"/>
          <w:rtl w:val="0"/>
        </w:rPr>
        <w:t xml:space="preserve">Approaches to Measure and Monitor Dementia</w:t>
      </w:r>
    </w:p>
    <w:p w:rsidR="00000000" w:rsidDel="00000000" w:rsidP="00000000" w:rsidRDefault="00000000" w:rsidRPr="00000000" w14:paraId="00000054">
      <w:pPr>
        <w:jc w:val="both"/>
        <w:rPr>
          <w:b w:val="1"/>
          <w:bCs w:val="1"/>
          <w:color w:val="222222"/>
          <w:sz w:val="32"/>
          <w:szCs w:val="32"/>
          <w:highlight w:val="white"/>
        </w:rPr>
      </w:pPr>
      <w:r w:rsidDel="00000000" w:rsidR="00000000" w:rsidRPr="00000000">
        <w:rPr>
          <w:rtl w:val="0"/>
        </w:rPr>
      </w:r>
    </w:p>
    <w:p w:rsidR="00000000" w:rsidDel="00000000" w:rsidP="00000000" w:rsidRDefault="00000000" w:rsidRPr="00000000" w14:paraId="00000055">
      <w:pPr>
        <w:jc w:val="both"/>
        <w:rPr>
          <w:color w:val="222222"/>
          <w:highlight w:val="white"/>
        </w:rPr>
      </w:pPr>
      <w:r w:rsidDel="00000000" w:rsidR="00000000" w:rsidRPr="00000000">
        <w:rPr>
          <w:color w:val="222222"/>
          <w:highlight w:val="white"/>
          <w:rtl w:val="0"/>
        </w:rPr>
        <w:t xml:space="preserve">Dementia is measured and tracked using a variety of methods at the individual and population levels.</w:t>
      </w:r>
    </w:p>
    <w:p w:rsidR="00000000" w:rsidDel="00000000" w:rsidP="00000000" w:rsidRDefault="00000000" w:rsidRPr="00000000" w14:paraId="00000056">
      <w:pPr>
        <w:jc w:val="both"/>
        <w:rPr>
          <w:color w:val="222222"/>
          <w:highlight w:val="white"/>
        </w:rPr>
      </w:pPr>
      <w:r w:rsidDel="00000000" w:rsidR="00000000" w:rsidRPr="00000000">
        <w:rPr>
          <w:rtl w:val="0"/>
        </w:rPr>
      </w:r>
    </w:p>
    <w:p w:rsidR="00000000" w:rsidDel="00000000" w:rsidP="00000000" w:rsidRDefault="00000000" w:rsidRPr="00000000" w14:paraId="00000057">
      <w:pPr>
        <w:jc w:val="both"/>
        <w:rPr>
          <w:color w:val="222222"/>
          <w:highlight w:val="white"/>
        </w:rPr>
      </w:pPr>
      <w:r w:rsidDel="00000000" w:rsidR="00000000" w:rsidRPr="00000000">
        <w:rPr>
          <w:color w:val="222222"/>
          <w:highlight w:val="white"/>
          <w:rtl w:val="0"/>
        </w:rPr>
        <w:t xml:space="preserve">Clinical diagnosis includes neurological tests, medical histories, and cognitive evaluations. Memory, concentration, and problem-solving skills are frequently assessed using standardised instruments like mental state exams. Structural alterations in the brain can also be detected using brain imaging methods like MRIs and CT scans.</w:t>
      </w:r>
    </w:p>
    <w:p w:rsidR="00000000" w:rsidDel="00000000" w:rsidP="00000000" w:rsidRDefault="00000000" w:rsidRPr="00000000" w14:paraId="00000058">
      <w:pPr>
        <w:jc w:val="both"/>
        <w:rPr>
          <w:color w:val="222222"/>
          <w:highlight w:val="white"/>
        </w:rPr>
      </w:pPr>
      <w:r w:rsidDel="00000000" w:rsidR="00000000" w:rsidRPr="00000000">
        <w:rPr>
          <w:rtl w:val="0"/>
        </w:rPr>
      </w:r>
    </w:p>
    <w:p w:rsidR="00000000" w:rsidDel="00000000" w:rsidP="00000000" w:rsidRDefault="00000000" w:rsidRPr="00000000" w14:paraId="00000059">
      <w:pPr>
        <w:jc w:val="both"/>
        <w:rPr>
          <w:color w:val="222222"/>
          <w:highlight w:val="white"/>
        </w:rPr>
      </w:pPr>
      <w:r w:rsidDel="00000000" w:rsidR="00000000" w:rsidRPr="00000000">
        <w:rPr>
          <w:color w:val="222222"/>
          <w:highlight w:val="white"/>
          <w:rtl w:val="0"/>
        </w:rPr>
        <w:t xml:space="preserve">Dementia incidence and prevalence are tracked at the population level through national health surveys and epidemiological research. Cohort studies, like longitudinal research, are useful for monitoring patterns over time and identifying dementia risk factors. For instance, dementia incidence and risk patterns among populations have been evaluated through extensive research. </w:t>
      </w:r>
    </w:p>
    <w:p w:rsidR="00000000" w:rsidDel="00000000" w:rsidP="00000000" w:rsidRDefault="00000000" w:rsidRPr="00000000" w14:paraId="0000005A">
      <w:pPr>
        <w:jc w:val="both"/>
        <w:rPr>
          <w:color w:val="222222"/>
          <w:highlight w:val="white"/>
        </w:rPr>
      </w:pPr>
      <w:r w:rsidDel="00000000" w:rsidR="00000000" w:rsidRPr="00000000">
        <w:rPr>
          <w:color w:val="222222"/>
          <w:highlight w:val="white"/>
          <w:rtl w:val="0"/>
        </w:rPr>
        <w:t xml:space="preserve">Prevalence: From a projected 850,000 in early 2020 to 982,000 in 2024/2025, the number of persons with dementia has increased.</w:t>
      </w:r>
    </w:p>
    <w:p w:rsidR="00000000" w:rsidDel="00000000" w:rsidP="00000000" w:rsidRDefault="00000000" w:rsidRPr="00000000" w14:paraId="0000005B">
      <w:pPr>
        <w:jc w:val="both"/>
        <w:rPr>
          <w:color w:val="222222"/>
          <w:highlight w:val="white"/>
        </w:rPr>
      </w:pPr>
      <w:r w:rsidDel="00000000" w:rsidR="00000000" w:rsidRPr="00000000">
        <w:rPr>
          <w:color w:val="222222"/>
          <w:highlight w:val="white"/>
          <w:rtl w:val="0"/>
        </w:rPr>
        <w:t xml:space="preserve">Diagnoses (England): As of January 2026, 510,165 patients in primary care had been diagnosed with dementia; the incidence rate for patients 65 years of age and above was 66.1%.</w:t>
      </w:r>
    </w:p>
    <w:p w:rsidR="00000000" w:rsidDel="00000000" w:rsidP="00000000" w:rsidRDefault="00000000" w:rsidRPr="00000000" w14:paraId="0000005C">
      <w:pPr>
        <w:jc w:val="both"/>
        <w:rPr>
          <w:color w:val="222222"/>
          <w:highlight w:val="white"/>
        </w:rPr>
      </w:pPr>
      <w:r w:rsidDel="00000000" w:rsidR="00000000" w:rsidRPr="00000000">
        <w:rPr>
          <w:color w:val="222222"/>
          <w:highlight w:val="white"/>
          <w:rtl w:val="0"/>
        </w:rPr>
        <w:t xml:space="preserve">Mortality: With 48,915 women and 27,979 men dying from dementia in 2024, dementia has continuously been the greatest cause of death in England and Wales.</w:t>
      </w:r>
    </w:p>
    <w:p w:rsidR="00000000" w:rsidDel="00000000" w:rsidP="00000000" w:rsidRDefault="00000000" w:rsidRPr="00000000" w14:paraId="0000005D">
      <w:pPr>
        <w:jc w:val="both"/>
        <w:rPr>
          <w:color w:val="222222"/>
          <w:highlight w:val="white"/>
        </w:rPr>
      </w:pPr>
      <w:r w:rsidDel="00000000" w:rsidR="00000000" w:rsidRPr="00000000">
        <w:rPr>
          <w:color w:val="222222"/>
          <w:highlight w:val="white"/>
          <w:rtl w:val="0"/>
        </w:rPr>
        <w:t xml:space="preserve">Young-Onset Dementia: Approximately 34,126 people were diagnosed with dementia before turning 65 as of March 2025(www.Alzheimer Society.org.uk)</w:t>
      </w:r>
    </w:p>
    <w:p w:rsidR="00000000" w:rsidDel="00000000" w:rsidP="00000000" w:rsidRDefault="00000000" w:rsidRPr="00000000" w14:paraId="0000005E">
      <w:pPr>
        <w:jc w:val="both"/>
        <w:rPr>
          <w:color w:val="222222"/>
          <w:highlight w:val="white"/>
        </w:rPr>
      </w:pPr>
      <w:r w:rsidDel="00000000" w:rsidR="00000000" w:rsidRPr="00000000">
        <w:rPr>
          <w:rtl w:val="0"/>
        </w:rPr>
      </w:r>
    </w:p>
    <w:p w:rsidR="00000000" w:rsidDel="00000000" w:rsidP="00000000" w:rsidRDefault="00000000" w:rsidRPr="00000000" w14:paraId="0000005F">
      <w:pPr>
        <w:jc w:val="both"/>
        <w:rPr>
          <w:color w:val="222222"/>
          <w:highlight w:val="white"/>
        </w:rPr>
      </w:pPr>
      <w:r w:rsidDel="00000000" w:rsidR="00000000" w:rsidRPr="00000000">
        <w:rPr>
          <w:color w:val="222222"/>
          <w:highlight w:val="white"/>
          <w:rtl w:val="0"/>
        </w:rPr>
        <w:t xml:space="preserve">Registries and statistical data are also used by health institutions to track dementia cases and guide policy choices. These methods aid in determining the scope of the issue and organising suitable medical care.</w:t>
      </w:r>
    </w:p>
    <w:p w:rsidR="00000000" w:rsidDel="00000000" w:rsidP="00000000" w:rsidRDefault="00000000" w:rsidRPr="00000000" w14:paraId="00000060">
      <w:pPr>
        <w:jc w:val="both"/>
        <w:rPr>
          <w:color w:val="222222"/>
          <w:highlight w:val="white"/>
        </w:rPr>
      </w:pPr>
      <w:r w:rsidDel="00000000" w:rsidR="00000000" w:rsidRPr="00000000">
        <w:rPr>
          <w:rtl w:val="0"/>
        </w:rPr>
      </w:r>
    </w:p>
    <w:p w:rsidR="00000000" w:rsidDel="00000000" w:rsidP="00000000" w:rsidRDefault="00000000" w:rsidRPr="00000000" w14:paraId="00000061">
      <w:pPr>
        <w:jc w:val="both"/>
        <w:rPr>
          <w:color w:val="222222"/>
          <w:highlight w:val="white"/>
        </w:rPr>
      </w:pPr>
      <w:r w:rsidDel="00000000" w:rsidR="00000000" w:rsidRPr="00000000">
        <w:rPr>
          <w:color w:val="222222"/>
          <w:highlight w:val="white"/>
          <w:rtl w:val="0"/>
        </w:rPr>
        <w:t xml:space="preserve">However, underdiagnosis and variations in diagnostic standards between nations continue to make it difficult to measure dementia effectively.</w:t>
      </w:r>
    </w:p>
    <w:p w:rsidR="00000000" w:rsidDel="00000000" w:rsidP="00000000" w:rsidRDefault="00000000" w:rsidRPr="00000000" w14:paraId="00000062">
      <w:pPr>
        <w:jc w:val="both"/>
        <w:rPr>
          <w:color w:val="222222"/>
          <w:highlight w:val="white"/>
        </w:rPr>
      </w:pPr>
      <w:r w:rsidDel="00000000" w:rsidR="00000000" w:rsidRPr="00000000">
        <w:rPr>
          <w:rtl w:val="0"/>
        </w:rPr>
      </w:r>
    </w:p>
    <w:p w:rsidR="00000000" w:rsidDel="00000000" w:rsidP="00000000" w:rsidRDefault="00000000" w:rsidRPr="00000000" w14:paraId="00000063">
      <w:pPr>
        <w:jc w:val="both"/>
        <w:rPr>
          <w:b w:val="1"/>
          <w:bCs w:val="1"/>
          <w:color w:val="222222"/>
          <w:sz w:val="32"/>
          <w:szCs w:val="32"/>
          <w:highlight w:val="white"/>
        </w:rPr>
      </w:pPr>
      <w:r w:rsidDel="00000000" w:rsidR="00000000" w:rsidRPr="00000000">
        <w:rPr>
          <w:b w:val="1"/>
          <w:bCs w:val="1"/>
          <w:color w:val="222222"/>
          <w:sz w:val="32"/>
          <w:szCs w:val="32"/>
          <w:highlight w:val="white"/>
          <w:rtl w:val="0"/>
        </w:rPr>
        <w:t xml:space="preserve">Control and Management of Dementia</w:t>
      </w:r>
    </w:p>
    <w:p w:rsidR="00000000" w:rsidDel="00000000" w:rsidP="00000000" w:rsidRDefault="00000000" w:rsidRPr="00000000" w14:paraId="00000064">
      <w:pPr>
        <w:jc w:val="both"/>
        <w:rPr>
          <w:color w:val="222222"/>
          <w:highlight w:val="white"/>
        </w:rPr>
      </w:pPr>
      <w:r w:rsidDel="00000000" w:rsidR="00000000" w:rsidRPr="00000000">
        <w:rPr>
          <w:color w:val="222222"/>
          <w:highlight w:val="white"/>
          <w:rtl w:val="0"/>
        </w:rPr>
        <w:t xml:space="preserve">Although there isn't a cure for dementia at this time, there are several methods for managing and controlling the illness. The goals of treatment are to manage symptoms, slow the development of the disease, and enhance quality of life.</w:t>
      </w:r>
    </w:p>
    <w:p w:rsidR="00000000" w:rsidDel="00000000" w:rsidP="00000000" w:rsidRDefault="00000000" w:rsidRPr="00000000" w14:paraId="00000065">
      <w:pPr>
        <w:jc w:val="both"/>
        <w:rPr>
          <w:color w:val="222222"/>
          <w:highlight w:val="white"/>
        </w:rPr>
      </w:pPr>
      <w:r w:rsidDel="00000000" w:rsidR="00000000" w:rsidRPr="00000000">
        <w:rPr>
          <w:rtl w:val="0"/>
        </w:rPr>
      </w:r>
    </w:p>
    <w:p w:rsidR="00000000" w:rsidDel="00000000" w:rsidP="00000000" w:rsidRDefault="00000000" w:rsidRPr="00000000" w14:paraId="00000066">
      <w:pPr>
        <w:jc w:val="both"/>
        <w:rPr>
          <w:color w:val="222222"/>
          <w:highlight w:val="white"/>
        </w:rPr>
      </w:pPr>
      <w:r w:rsidDel="00000000" w:rsidR="00000000" w:rsidRPr="00000000">
        <w:rPr>
          <w:color w:val="222222"/>
          <w:highlight w:val="white"/>
          <w:rtl w:val="0"/>
        </w:rPr>
        <w:t xml:space="preserve">For some people, pharmacological therapies like cognitive enhancers may help control symptoms. Maintaining cognitive function and wellbeing also requires non-pharmacological strategies like social interaction, exercise, and cognitive stimulation therapy.</w:t>
      </w:r>
    </w:p>
    <w:p w:rsidR="00000000" w:rsidDel="00000000" w:rsidP="00000000" w:rsidRDefault="00000000" w:rsidRPr="00000000" w14:paraId="00000067">
      <w:pPr>
        <w:jc w:val="both"/>
        <w:rPr>
          <w:color w:val="222222"/>
          <w:highlight w:val="white"/>
        </w:rPr>
      </w:pPr>
      <w:r w:rsidDel="00000000" w:rsidR="00000000" w:rsidRPr="00000000">
        <w:rPr>
          <w:rtl w:val="0"/>
        </w:rPr>
      </w:r>
    </w:p>
    <w:p w:rsidR="00000000" w:rsidDel="00000000" w:rsidP="00000000" w:rsidRDefault="00000000" w:rsidRPr="00000000" w14:paraId="00000068">
      <w:pPr>
        <w:jc w:val="both"/>
        <w:rPr>
          <w:color w:val="222222"/>
          <w:highlight w:val="white"/>
        </w:rPr>
      </w:pPr>
      <w:r w:rsidDel="00000000" w:rsidR="00000000" w:rsidRPr="00000000">
        <w:rPr>
          <w:color w:val="222222"/>
          <w:highlight w:val="white"/>
          <w:rtl w:val="0"/>
        </w:rPr>
        <w:t xml:space="preserve">In order to control dementia, prevention efforts are essential. To lower the chance of getting the illness, risk factors such smoking, inactivity, obesity, and poor diet can be changed (WHO, 2025). Reducing risk requires encouraging healthy habits, which include frequent exercise and social engagement.</w:t>
      </w:r>
    </w:p>
    <w:p w:rsidR="00000000" w:rsidDel="00000000" w:rsidP="00000000" w:rsidRDefault="00000000" w:rsidRPr="00000000" w14:paraId="00000069">
      <w:pPr>
        <w:jc w:val="both"/>
        <w:rPr>
          <w:color w:val="222222"/>
          <w:highlight w:val="white"/>
        </w:rPr>
      </w:pPr>
      <w:r w:rsidDel="00000000" w:rsidR="00000000" w:rsidRPr="00000000">
        <w:rPr>
          <w:color w:val="222222"/>
          <w:highlight w:val="white"/>
          <w:rtl w:val="0"/>
        </w:rPr>
        <w:t xml:space="preserve">Increasing awareness, enhancing early diagnosis, and offering assistance to individuals and caretakers are further goals of public health programs. Policies and programs are put into place by governments and healthcare organisations with the goal of enhancing dementia care and lessening its social impact.</w:t>
      </w:r>
    </w:p>
    <w:p w:rsidR="00000000" w:rsidDel="00000000" w:rsidP="00000000" w:rsidRDefault="00000000" w:rsidRPr="00000000" w14:paraId="0000006A">
      <w:pPr>
        <w:jc w:val="both"/>
        <w:rPr>
          <w:b w:val="1"/>
          <w:bCs w:val="1"/>
          <w:color w:val="222222"/>
          <w:highlight w:val="white"/>
        </w:rPr>
      </w:pPr>
      <w:r w:rsidDel="00000000" w:rsidR="00000000" w:rsidRPr="00000000">
        <w:rPr>
          <w:rtl w:val="0"/>
        </w:rPr>
      </w:r>
    </w:p>
    <w:p w:rsidR="00000000" w:rsidDel="00000000" w:rsidP="00000000" w:rsidRDefault="00000000" w:rsidRPr="00000000" w14:paraId="0000006B">
      <w:pPr>
        <w:jc w:val="both"/>
        <w:rPr>
          <w:b w:val="1"/>
          <w:bCs w:val="1"/>
          <w:color w:val="222222"/>
          <w:sz w:val="32"/>
          <w:szCs w:val="32"/>
          <w:highlight w:val="white"/>
        </w:rPr>
      </w:pPr>
      <w:r w:rsidDel="00000000" w:rsidR="00000000" w:rsidRPr="00000000">
        <w:rPr>
          <w:b w:val="1"/>
          <w:bCs w:val="1"/>
          <w:color w:val="222222"/>
          <w:sz w:val="32"/>
          <w:szCs w:val="32"/>
          <w:highlight w:val="white"/>
          <w:rtl w:val="0"/>
        </w:rPr>
        <w:t xml:space="preserve">Consequences of Dementia on Individuals and the Community</w:t>
      </w:r>
    </w:p>
    <w:p w:rsidR="00000000" w:rsidDel="00000000" w:rsidP="00000000" w:rsidRDefault="00000000" w:rsidRPr="00000000" w14:paraId="0000006C">
      <w:pPr>
        <w:jc w:val="both"/>
        <w:rPr>
          <w:b w:val="1"/>
          <w:bCs w:val="1"/>
          <w:color w:val="222222"/>
          <w:highlight w:val="white"/>
        </w:rPr>
      </w:pPr>
      <w:r w:rsidDel="00000000" w:rsidR="00000000" w:rsidRPr="00000000">
        <w:rPr>
          <w:rtl w:val="0"/>
        </w:rPr>
      </w:r>
    </w:p>
    <w:p w:rsidR="00000000" w:rsidDel="00000000" w:rsidP="00000000" w:rsidRDefault="00000000" w:rsidRPr="00000000" w14:paraId="0000006D">
      <w:pPr>
        <w:jc w:val="both"/>
        <w:rPr>
          <w:color w:val="222222"/>
          <w:highlight w:val="white"/>
        </w:rPr>
      </w:pPr>
      <w:r w:rsidDel="00000000" w:rsidR="00000000" w:rsidRPr="00000000">
        <w:rPr>
          <w:color w:val="222222"/>
          <w:highlight w:val="white"/>
          <w:rtl w:val="0"/>
        </w:rPr>
        <w:t xml:space="preserve">Individuals, families, and communities are all significantly impacted by dementia. It causes people to become more vulnerable, lose their independence, and have a lower quality of life. People become dependent on carers as their illness worsens and they need help with everyday tasks.</w:t>
      </w:r>
    </w:p>
    <w:p w:rsidR="00000000" w:rsidDel="00000000" w:rsidP="00000000" w:rsidRDefault="00000000" w:rsidRPr="00000000" w14:paraId="0000006E">
      <w:pPr>
        <w:jc w:val="both"/>
        <w:rPr>
          <w:color w:val="222222"/>
          <w:highlight w:val="white"/>
        </w:rPr>
      </w:pPr>
      <w:r w:rsidDel="00000000" w:rsidR="00000000" w:rsidRPr="00000000">
        <w:rPr>
          <w:rtl w:val="0"/>
        </w:rPr>
      </w:r>
    </w:p>
    <w:p w:rsidR="00000000" w:rsidDel="00000000" w:rsidP="00000000" w:rsidRDefault="00000000" w:rsidRPr="00000000" w14:paraId="0000006F">
      <w:pPr>
        <w:jc w:val="both"/>
        <w:rPr>
          <w:color w:val="222222"/>
          <w:highlight w:val="white"/>
        </w:rPr>
      </w:pPr>
      <w:r w:rsidDel="00000000" w:rsidR="00000000" w:rsidRPr="00000000">
        <w:rPr>
          <w:color w:val="222222"/>
          <w:highlight w:val="white"/>
          <w:rtl w:val="0"/>
        </w:rPr>
        <w:t xml:space="preserve">Emotional, physical, and financial strains are common for families and carers. Family members and other informal carers give a lot of care, which can cause stress, fatigue, and a lower quality of life.</w:t>
      </w:r>
    </w:p>
    <w:p w:rsidR="00000000" w:rsidDel="00000000" w:rsidP="00000000" w:rsidRDefault="00000000" w:rsidRPr="00000000" w14:paraId="00000070">
      <w:pPr>
        <w:jc w:val="both"/>
        <w:rPr>
          <w:color w:val="222222"/>
          <w:highlight w:val="white"/>
        </w:rPr>
      </w:pPr>
      <w:r w:rsidDel="00000000" w:rsidR="00000000" w:rsidRPr="00000000">
        <w:rPr>
          <w:rtl w:val="0"/>
        </w:rPr>
      </w:r>
    </w:p>
    <w:p w:rsidR="00000000" w:rsidDel="00000000" w:rsidP="00000000" w:rsidRDefault="00000000" w:rsidRPr="00000000" w14:paraId="00000071">
      <w:pPr>
        <w:jc w:val="both"/>
        <w:rPr>
          <w:color w:val="222222"/>
          <w:highlight w:val="white"/>
        </w:rPr>
      </w:pPr>
      <w:r w:rsidDel="00000000" w:rsidR="00000000" w:rsidRPr="00000000">
        <w:rPr>
          <w:color w:val="222222"/>
          <w:highlight w:val="white"/>
          <w:rtl w:val="0"/>
        </w:rPr>
        <w:t xml:space="preserve">Dementia significantly strains the healthcare and social care systems at the community level. The need for resources is increased by the requirement for support programs, specialised services, and long-term care.</w:t>
      </w:r>
    </w:p>
    <w:p w:rsidR="00000000" w:rsidDel="00000000" w:rsidP="00000000" w:rsidRDefault="00000000" w:rsidRPr="00000000" w14:paraId="00000072">
      <w:pPr>
        <w:jc w:val="both"/>
        <w:rPr>
          <w:color w:val="222222"/>
          <w:highlight w:val="white"/>
        </w:rPr>
      </w:pPr>
      <w:r w:rsidDel="00000000" w:rsidR="00000000" w:rsidRPr="00000000">
        <w:rPr>
          <w:color w:val="222222"/>
          <w:highlight w:val="white"/>
          <w:rtl w:val="0"/>
        </w:rPr>
        <w:t xml:space="preserve">Due to cognitive impairment, people with dementia may sometimes withdraw from social activities, which can result in stigma and social isolation. This emphasises how crucial community support and understanding are in managing the condition's wider effects.</w:t>
      </w:r>
    </w:p>
    <w:p w:rsidR="00000000" w:rsidDel="00000000" w:rsidP="00000000" w:rsidRDefault="00000000" w:rsidRPr="00000000" w14:paraId="00000073">
      <w:pPr>
        <w:jc w:val="both"/>
        <w:rPr>
          <w:color w:val="222222"/>
          <w:highlight w:val="white"/>
        </w:rPr>
      </w:pPr>
      <w:r w:rsidDel="00000000" w:rsidR="00000000" w:rsidRPr="00000000">
        <w:rPr>
          <w:rtl w:val="0"/>
        </w:rPr>
      </w:r>
    </w:p>
    <w:p w:rsidR="00000000" w:rsidDel="00000000" w:rsidP="00000000" w:rsidRDefault="00000000" w:rsidRPr="00000000" w14:paraId="00000074">
      <w:pPr>
        <w:jc w:val="both"/>
        <w:rPr>
          <w:b w:val="1"/>
          <w:bCs w:val="1"/>
          <w:color w:val="222222"/>
          <w:sz w:val="32"/>
          <w:szCs w:val="32"/>
          <w:highlight w:val="white"/>
        </w:rPr>
      </w:pPr>
      <w:r w:rsidDel="00000000" w:rsidR="00000000" w:rsidRPr="00000000">
        <w:rPr>
          <w:b w:val="1"/>
          <w:bCs w:val="1"/>
          <w:color w:val="222222"/>
          <w:sz w:val="32"/>
          <w:szCs w:val="32"/>
          <w:highlight w:val="white"/>
          <w:rtl w:val="0"/>
        </w:rPr>
        <w:t xml:space="preserve">Health and Social Care Support Services</w:t>
      </w:r>
    </w:p>
    <w:p w:rsidR="00000000" w:rsidDel="00000000" w:rsidP="00000000" w:rsidRDefault="00000000" w:rsidRPr="00000000" w14:paraId="00000075">
      <w:pPr>
        <w:jc w:val="both"/>
        <w:rPr>
          <w:color w:val="222222"/>
          <w:highlight w:val="white"/>
        </w:rPr>
      </w:pPr>
      <w:r w:rsidDel="00000000" w:rsidR="00000000" w:rsidRPr="00000000">
        <w:rPr>
          <w:rtl w:val="0"/>
        </w:rPr>
      </w:r>
    </w:p>
    <w:p w:rsidR="00000000" w:rsidDel="00000000" w:rsidP="00000000" w:rsidRDefault="00000000" w:rsidRPr="00000000" w14:paraId="00000076">
      <w:pPr>
        <w:jc w:val="both"/>
        <w:rPr>
          <w:color w:val="222222"/>
          <w:highlight w:val="white"/>
        </w:rPr>
      </w:pPr>
      <w:r w:rsidDel="00000000" w:rsidR="00000000" w:rsidRPr="00000000">
        <w:rPr>
          <w:color w:val="222222"/>
          <w:highlight w:val="white"/>
          <w:rtl w:val="0"/>
        </w:rPr>
        <w:t xml:space="preserve">To help people with dementia, a variety of health and social care services are needed. The physical, emotional, and social needs of people and their families are the focus of these services.</w:t>
      </w:r>
    </w:p>
    <w:p w:rsidR="00000000" w:rsidDel="00000000" w:rsidP="00000000" w:rsidRDefault="00000000" w:rsidRPr="00000000" w14:paraId="00000077">
      <w:pPr>
        <w:jc w:val="both"/>
        <w:rPr>
          <w:color w:val="222222"/>
          <w:highlight w:val="white"/>
        </w:rPr>
      </w:pPr>
      <w:r w:rsidDel="00000000" w:rsidR="00000000" w:rsidRPr="00000000">
        <w:rPr>
          <w:rtl w:val="0"/>
        </w:rPr>
      </w:r>
    </w:p>
    <w:p w:rsidR="00000000" w:rsidDel="00000000" w:rsidP="00000000" w:rsidRDefault="00000000" w:rsidRPr="00000000" w14:paraId="00000078">
      <w:pPr>
        <w:jc w:val="both"/>
        <w:rPr>
          <w:color w:val="222222"/>
          <w:highlight w:val="white"/>
        </w:rPr>
      </w:pPr>
      <w:r w:rsidDel="00000000" w:rsidR="00000000" w:rsidRPr="00000000">
        <w:rPr>
          <w:color w:val="222222"/>
          <w:highlight w:val="white"/>
          <w:rtl w:val="0"/>
        </w:rPr>
        <w:t xml:space="preserve">Early diagnosis and continuous treatment depend heavily on primary healthcare services. Assessments and treatment plans are provided by general practitioners and specialised programs like memory clinics.</w:t>
      </w:r>
    </w:p>
    <w:p w:rsidR="00000000" w:rsidDel="00000000" w:rsidP="00000000" w:rsidRDefault="00000000" w:rsidRPr="00000000" w14:paraId="00000079">
      <w:pPr>
        <w:jc w:val="both"/>
        <w:rPr>
          <w:color w:val="222222"/>
          <w:highlight w:val="white"/>
        </w:rPr>
      </w:pPr>
      <w:r w:rsidDel="00000000" w:rsidR="00000000" w:rsidRPr="00000000">
        <w:rPr>
          <w:rtl w:val="0"/>
        </w:rPr>
      </w:r>
    </w:p>
    <w:p w:rsidR="00000000" w:rsidDel="00000000" w:rsidP="00000000" w:rsidRDefault="00000000" w:rsidRPr="00000000" w14:paraId="0000007A">
      <w:pPr>
        <w:jc w:val="both"/>
        <w:rPr>
          <w:color w:val="222222"/>
          <w:highlight w:val="white"/>
        </w:rPr>
      </w:pPr>
      <w:r w:rsidDel="00000000" w:rsidR="00000000" w:rsidRPr="00000000">
        <w:rPr>
          <w:color w:val="222222"/>
          <w:highlight w:val="white"/>
          <w:rtl w:val="0"/>
        </w:rPr>
        <w:t xml:space="preserve">Home care, day centers, and support groups are examples of community-based programs that assist people in preserving their independence and staying in their homes for as long as feasible. Additionally, these programs allow carers a break.</w:t>
      </w:r>
    </w:p>
    <w:p w:rsidR="00000000" w:rsidDel="00000000" w:rsidP="00000000" w:rsidRDefault="00000000" w:rsidRPr="00000000" w14:paraId="0000007B">
      <w:pPr>
        <w:jc w:val="both"/>
        <w:rPr>
          <w:color w:val="222222"/>
          <w:highlight w:val="white"/>
        </w:rPr>
      </w:pPr>
      <w:r w:rsidDel="00000000" w:rsidR="00000000" w:rsidRPr="00000000">
        <w:rPr>
          <w:rtl w:val="0"/>
        </w:rPr>
      </w:r>
    </w:p>
    <w:p w:rsidR="00000000" w:rsidDel="00000000" w:rsidP="00000000" w:rsidRDefault="00000000" w:rsidRPr="00000000" w14:paraId="0000007C">
      <w:pPr>
        <w:jc w:val="both"/>
        <w:rPr>
          <w:color w:val="222222"/>
          <w:highlight w:val="white"/>
        </w:rPr>
      </w:pPr>
      <w:r w:rsidDel="00000000" w:rsidR="00000000" w:rsidRPr="00000000">
        <w:rPr>
          <w:color w:val="222222"/>
          <w:highlight w:val="white"/>
          <w:rtl w:val="0"/>
        </w:rPr>
        <w:t xml:space="preserve">For people with advanced dementia who need full-time care, social care services like nursing homes and residential care homes are crucial.</w:t>
      </w:r>
    </w:p>
    <w:p w:rsidR="00000000" w:rsidDel="00000000" w:rsidP="00000000" w:rsidRDefault="00000000" w:rsidRPr="00000000" w14:paraId="0000007D">
      <w:pPr>
        <w:jc w:val="both"/>
        <w:rPr>
          <w:color w:val="222222"/>
          <w:highlight w:val="white"/>
        </w:rPr>
      </w:pPr>
      <w:r w:rsidDel="00000000" w:rsidR="00000000" w:rsidRPr="00000000">
        <w:rPr>
          <w:color w:val="222222"/>
          <w:highlight w:val="white"/>
          <w:rtl w:val="0"/>
        </w:rPr>
        <w:t xml:space="preserve">Additionally, organisations and voluntary organisations offer important assistance to people with dementia and their families, including advocacy, education, and emotional support.</w:t>
      </w:r>
    </w:p>
    <w:p w:rsidR="00000000" w:rsidDel="00000000" w:rsidP="00000000" w:rsidRDefault="00000000" w:rsidRPr="00000000" w14:paraId="0000007E">
      <w:pPr>
        <w:jc w:val="both"/>
        <w:rPr>
          <w:color w:val="222222"/>
          <w:highlight w:val="white"/>
        </w:rPr>
      </w:pPr>
      <w:r w:rsidDel="00000000" w:rsidR="00000000" w:rsidRPr="00000000">
        <w:rPr>
          <w:rtl w:val="0"/>
        </w:rPr>
      </w:r>
    </w:p>
    <w:p w:rsidR="00000000" w:rsidDel="00000000" w:rsidP="00000000" w:rsidRDefault="00000000" w:rsidRPr="00000000" w14:paraId="0000007F">
      <w:pPr>
        <w:jc w:val="both"/>
        <w:rPr>
          <w:color w:val="222222"/>
          <w:highlight w:val="white"/>
        </w:rPr>
      </w:pPr>
      <w:r w:rsidDel="00000000" w:rsidR="00000000" w:rsidRPr="00000000">
        <w:rPr>
          <w:color w:val="222222"/>
          <w:highlight w:val="white"/>
          <w:rtl w:val="0"/>
        </w:rPr>
        <w:t xml:space="preserve">It is becoming more widely acknowledged that integrated care approaches, which integrate social and health services, are crucial for offering complete and efficient support. These services guarantee that people receive needs-based, coordinated care.</w:t>
      </w:r>
    </w:p>
    <w:p w:rsidR="00000000" w:rsidDel="00000000" w:rsidP="00000000" w:rsidRDefault="00000000" w:rsidRPr="00000000" w14:paraId="00000080">
      <w:pPr>
        <w:jc w:val="both"/>
        <w:rPr>
          <w:color w:val="222222"/>
          <w:highlight w:val="white"/>
        </w:rPr>
      </w:pPr>
      <w:r w:rsidDel="00000000" w:rsidR="00000000" w:rsidRPr="00000000">
        <w:rPr>
          <w:rtl w:val="0"/>
        </w:rPr>
      </w:r>
    </w:p>
    <w:p w:rsidR="00000000" w:rsidDel="00000000" w:rsidP="00000000" w:rsidRDefault="00000000" w:rsidRPr="00000000" w14:paraId="00000081">
      <w:pPr>
        <w:jc w:val="both"/>
        <w:rPr>
          <w:color w:val="222222"/>
          <w:highlight w:val="white"/>
        </w:rPr>
      </w:pPr>
      <w:r w:rsidDel="00000000" w:rsidR="00000000" w:rsidRPr="00000000">
        <w:rPr>
          <w:rtl w:val="0"/>
        </w:rPr>
      </w:r>
    </w:p>
    <w:p w:rsidR="00000000" w:rsidDel="00000000" w:rsidP="00000000" w:rsidRDefault="00000000" w:rsidRPr="00000000" w14:paraId="00000082">
      <w:pPr>
        <w:jc w:val="both"/>
        <w:rPr>
          <w:b w:val="1"/>
          <w:bCs w:val="1"/>
          <w:color w:val="222222"/>
          <w:sz w:val="32"/>
          <w:szCs w:val="32"/>
          <w:highlight w:val="white"/>
        </w:rPr>
      </w:pPr>
      <w:r w:rsidDel="00000000" w:rsidR="00000000" w:rsidRPr="00000000">
        <w:rPr>
          <w:b w:val="1"/>
          <w:bCs w:val="1"/>
          <w:color w:val="222222"/>
          <w:sz w:val="32"/>
          <w:szCs w:val="32"/>
          <w:highlight w:val="white"/>
          <w:rtl w:val="0"/>
        </w:rPr>
        <w:t xml:space="preserve">Conclusion</w:t>
      </w:r>
    </w:p>
    <w:p w:rsidR="00000000" w:rsidDel="00000000" w:rsidP="00000000" w:rsidRDefault="00000000" w:rsidRPr="00000000" w14:paraId="00000083">
      <w:pPr>
        <w:jc w:val="both"/>
        <w:rPr>
          <w:color w:val="222222"/>
          <w:highlight w:val="white"/>
        </w:rPr>
      </w:pPr>
      <w:r w:rsidDel="00000000" w:rsidR="00000000" w:rsidRPr="00000000">
        <w:rPr>
          <w:color w:val="222222"/>
          <w:highlight w:val="white"/>
          <w:rtl w:val="0"/>
        </w:rPr>
        <w:t xml:space="preserve">In summary, dementia is a complicated and progressive illness that presents serious difficulties for patients, families, and healthcare systems around the globe. It is typified by a deterioration in cognitive function that impacts behaviour, memory, and day-to-day functioning. Dementia is a serious public health issue that affects millions of people worldwide and is becoming more common. Various methods are employed to test, monitor, and control the illness, despite the fact that there is currently no treatment. In order to improve individual outcomes, prevention efforts, early diagnosis, and efficient care services are essential.</w:t>
      </w:r>
    </w:p>
    <w:p w:rsidR="00000000" w:rsidDel="00000000" w:rsidP="00000000" w:rsidRDefault="00000000" w:rsidRPr="00000000" w14:paraId="00000084">
      <w:pPr>
        <w:jc w:val="both"/>
        <w:rPr>
          <w:color w:val="222222"/>
          <w:highlight w:val="white"/>
        </w:rPr>
      </w:pPr>
      <w:r w:rsidDel="00000000" w:rsidR="00000000" w:rsidRPr="00000000">
        <w:rPr>
          <w:color w:val="222222"/>
          <w:highlight w:val="white"/>
          <w:rtl w:val="0"/>
        </w:rPr>
        <w:t xml:space="preserve">Beyond the individual, families, communities, and healthcare systems are all impacted by dementia. To satisfy the needs of people impacted, comprehensive health and social care support services are therefore crucial. To alleviate the increasing burden of dementia and enhance the quality of life for those who have it, more research, education, and policy development are required.</w:t>
      </w:r>
    </w:p>
    <w:p w:rsidR="00000000" w:rsidDel="00000000" w:rsidP="00000000" w:rsidRDefault="00000000" w:rsidRPr="00000000" w14:paraId="00000085">
      <w:pPr>
        <w:jc w:val="both"/>
        <w:rPr>
          <w:color w:val="222222"/>
          <w:highlight w:val="white"/>
        </w:rPr>
      </w:pPr>
      <w:r w:rsidDel="00000000" w:rsidR="00000000" w:rsidRPr="00000000">
        <w:rPr>
          <w:rtl w:val="0"/>
        </w:rPr>
      </w:r>
    </w:p>
    <w:p w:rsidR="00000000" w:rsidDel="00000000" w:rsidP="00000000" w:rsidRDefault="00000000" w:rsidRPr="00000000" w14:paraId="00000086">
      <w:pPr>
        <w:jc w:val="both"/>
        <w:rPr>
          <w:b w:val="1"/>
          <w:bCs w:val="1"/>
          <w:color w:val="222222"/>
          <w:highlight w:val="white"/>
        </w:rPr>
      </w:pPr>
      <w:r w:rsidDel="00000000" w:rsidR="00000000" w:rsidRPr="00000000">
        <w:rPr>
          <w:rtl w:val="0"/>
        </w:rPr>
      </w:r>
    </w:p>
    <w:p w:rsidR="00000000" w:rsidDel="00000000" w:rsidP="00000000" w:rsidRDefault="00000000" w:rsidRPr="00000000" w14:paraId="00000087">
      <w:pPr>
        <w:jc w:val="both"/>
        <w:rPr>
          <w:b w:val="1"/>
          <w:bCs w:val="1"/>
          <w:color w:val="222222"/>
          <w:highlight w:val="white"/>
        </w:rPr>
      </w:pPr>
      <w:r w:rsidDel="00000000" w:rsidR="00000000" w:rsidRPr="00000000">
        <w:rPr>
          <w:rtl w:val="0"/>
        </w:rPr>
      </w:r>
    </w:p>
    <w:p w:rsidR="00000000" w:rsidDel="00000000" w:rsidP="00000000" w:rsidRDefault="00000000" w:rsidRPr="00000000" w14:paraId="00000088">
      <w:pPr>
        <w:jc w:val="both"/>
        <w:rPr>
          <w:b w:val="1"/>
          <w:bCs w:val="1"/>
          <w:color w:val="222222"/>
          <w:highlight w:val="white"/>
        </w:rPr>
      </w:pPr>
      <w:r w:rsidDel="00000000" w:rsidR="00000000" w:rsidRPr="00000000">
        <w:rPr>
          <w:rtl w:val="0"/>
        </w:rPr>
      </w:r>
    </w:p>
    <w:p w:rsidR="00000000" w:rsidDel="00000000" w:rsidP="00000000" w:rsidRDefault="00000000" w:rsidRPr="00000000" w14:paraId="00000089">
      <w:pPr>
        <w:jc w:val="both"/>
        <w:rPr>
          <w:b w:val="1"/>
          <w:bCs w:val="1"/>
          <w:color w:val="222222"/>
          <w:highlight w:val="white"/>
        </w:rPr>
      </w:pPr>
      <w:r w:rsidDel="00000000" w:rsidR="00000000" w:rsidRPr="00000000">
        <w:rPr>
          <w:rtl w:val="0"/>
        </w:rPr>
      </w:r>
    </w:p>
    <w:p w:rsidR="00000000" w:rsidDel="00000000" w:rsidP="00000000" w:rsidRDefault="00000000" w:rsidRPr="00000000" w14:paraId="0000008A">
      <w:pPr>
        <w:jc w:val="both"/>
        <w:rPr>
          <w:b w:val="1"/>
          <w:bCs w:val="1"/>
          <w:color w:val="222222"/>
          <w:highlight w:val="white"/>
        </w:rPr>
      </w:pPr>
      <w:r w:rsidDel="00000000" w:rsidR="00000000" w:rsidRPr="00000000">
        <w:rPr>
          <w:rtl w:val="0"/>
        </w:rPr>
      </w:r>
    </w:p>
    <w:p w:rsidR="00000000" w:rsidDel="00000000" w:rsidP="00000000" w:rsidRDefault="00000000" w:rsidRPr="00000000" w14:paraId="0000008B">
      <w:pPr>
        <w:jc w:val="both"/>
        <w:rPr>
          <w:b w:val="1"/>
          <w:bCs w:val="1"/>
          <w:color w:val="222222"/>
          <w:highlight w:val="white"/>
        </w:rPr>
      </w:pPr>
      <w:r w:rsidDel="00000000" w:rsidR="00000000" w:rsidRPr="00000000">
        <w:rPr>
          <w:rtl w:val="0"/>
        </w:rPr>
      </w:r>
    </w:p>
    <w:p w:rsidR="00000000" w:rsidDel="00000000" w:rsidP="00000000" w:rsidRDefault="00000000" w:rsidRPr="00000000" w14:paraId="0000008C">
      <w:pPr>
        <w:jc w:val="both"/>
        <w:rPr>
          <w:b w:val="1"/>
          <w:bCs w:val="1"/>
          <w:color w:val="222222"/>
          <w:highlight w:val="white"/>
        </w:rPr>
      </w:pPr>
      <w:r w:rsidDel="00000000" w:rsidR="00000000" w:rsidRPr="00000000">
        <w:rPr>
          <w:rtl w:val="0"/>
        </w:rPr>
      </w:r>
    </w:p>
    <w:p w:rsidR="00000000" w:rsidDel="00000000" w:rsidP="00000000" w:rsidRDefault="00000000" w:rsidRPr="00000000" w14:paraId="0000008D">
      <w:pPr>
        <w:jc w:val="both"/>
        <w:rPr>
          <w:b w:val="1"/>
          <w:bCs w:val="1"/>
          <w:color w:val="222222"/>
          <w:highlight w:val="white"/>
        </w:rPr>
      </w:pPr>
      <w:r w:rsidDel="00000000" w:rsidR="00000000" w:rsidRPr="00000000">
        <w:rPr>
          <w:rtl w:val="0"/>
        </w:rPr>
      </w:r>
    </w:p>
    <w:p w:rsidR="00000000" w:rsidDel="00000000" w:rsidP="00000000" w:rsidRDefault="00000000" w:rsidRPr="00000000" w14:paraId="0000008E">
      <w:pPr>
        <w:jc w:val="both"/>
        <w:rPr>
          <w:b w:val="1"/>
          <w:bCs w:val="1"/>
          <w:color w:val="222222"/>
          <w:highlight w:val="white"/>
        </w:rPr>
      </w:pPr>
      <w:r w:rsidDel="00000000" w:rsidR="00000000" w:rsidRPr="00000000">
        <w:rPr>
          <w:rtl w:val="0"/>
        </w:rPr>
      </w:r>
    </w:p>
    <w:p w:rsidR="00000000" w:rsidDel="00000000" w:rsidP="00000000" w:rsidRDefault="00000000" w:rsidRPr="00000000" w14:paraId="0000008F">
      <w:pPr>
        <w:rPr>
          <w:b w:val="1"/>
          <w:bCs w:val="1"/>
          <w:color w:val="222222"/>
          <w:sz w:val="32"/>
          <w:szCs w:val="32"/>
          <w:highlight w:val="white"/>
        </w:rPr>
      </w:pPr>
      <w:r w:rsidDel="00000000" w:rsidR="00000000" w:rsidRPr="00000000">
        <w:rPr>
          <w:rtl w:val="0"/>
        </w:rPr>
      </w:r>
    </w:p>
    <w:p w:rsidR="00000000" w:rsidDel="00000000" w:rsidP="00000000" w:rsidRDefault="00000000" w:rsidRPr="00000000" w14:paraId="00000090">
      <w:pPr>
        <w:rPr>
          <w:b w:val="1"/>
          <w:bCs w:val="1"/>
          <w:color w:val="222222"/>
          <w:sz w:val="32"/>
          <w:szCs w:val="32"/>
          <w:highlight w:val="white"/>
        </w:rPr>
      </w:pPr>
      <w:r w:rsidDel="00000000" w:rsidR="00000000" w:rsidRPr="00000000">
        <w:rPr>
          <w:rtl w:val="0"/>
        </w:rPr>
      </w:r>
    </w:p>
    <w:p w:rsidR="00000000" w:rsidDel="00000000" w:rsidP="00000000" w:rsidRDefault="00000000" w:rsidRPr="00000000" w14:paraId="00000091">
      <w:pPr>
        <w:rPr>
          <w:b w:val="1"/>
          <w:bCs w:val="1"/>
          <w:color w:val="222222"/>
          <w:sz w:val="32"/>
          <w:szCs w:val="32"/>
          <w:highlight w:val="white"/>
        </w:rPr>
      </w:pPr>
      <w:r w:rsidDel="00000000" w:rsidR="00000000" w:rsidRPr="00000000">
        <w:rPr>
          <w:rtl w:val="0"/>
        </w:rPr>
      </w:r>
    </w:p>
    <w:p w:rsidR="00000000" w:rsidDel="00000000" w:rsidP="00000000" w:rsidRDefault="00000000" w:rsidRPr="00000000" w14:paraId="00000092">
      <w:pPr>
        <w:rPr>
          <w:b w:val="1"/>
          <w:bCs w:val="1"/>
          <w:color w:val="222222"/>
          <w:sz w:val="32"/>
          <w:szCs w:val="32"/>
          <w:highlight w:val="white"/>
        </w:rPr>
      </w:pPr>
      <w:r w:rsidDel="00000000" w:rsidR="00000000" w:rsidRPr="00000000">
        <w:rPr>
          <w:rtl w:val="0"/>
        </w:rPr>
      </w:r>
    </w:p>
    <w:p w:rsidR="00000000" w:rsidDel="00000000" w:rsidP="00000000" w:rsidRDefault="00000000" w:rsidRPr="00000000" w14:paraId="00000093">
      <w:pPr>
        <w:rPr>
          <w:b w:val="1"/>
          <w:bCs w:val="1"/>
          <w:color w:val="222222"/>
          <w:sz w:val="32"/>
          <w:szCs w:val="32"/>
          <w:highlight w:val="white"/>
        </w:rPr>
      </w:pPr>
      <w:r w:rsidDel="00000000" w:rsidR="00000000" w:rsidRPr="00000000">
        <w:rPr>
          <w:rtl w:val="0"/>
        </w:rPr>
      </w:r>
    </w:p>
    <w:p w:rsidR="00000000" w:rsidDel="00000000" w:rsidP="00000000" w:rsidRDefault="00000000" w:rsidRPr="00000000" w14:paraId="00000094">
      <w:pPr>
        <w:rPr>
          <w:b w:val="1"/>
          <w:bCs w:val="1"/>
          <w:color w:val="222222"/>
          <w:sz w:val="32"/>
          <w:szCs w:val="32"/>
          <w:highlight w:val="white"/>
        </w:rPr>
      </w:pPr>
      <w:r w:rsidDel="00000000" w:rsidR="00000000" w:rsidRPr="00000000">
        <w:rPr>
          <w:rtl w:val="0"/>
        </w:rPr>
      </w:r>
    </w:p>
    <w:p w:rsidR="00000000" w:rsidDel="00000000" w:rsidP="00000000" w:rsidRDefault="00000000" w:rsidRPr="00000000" w14:paraId="00000095">
      <w:pPr>
        <w:rPr>
          <w:b w:val="1"/>
          <w:bCs w:val="1"/>
          <w:color w:val="222222"/>
          <w:sz w:val="32"/>
          <w:szCs w:val="32"/>
          <w:highlight w:val="white"/>
        </w:rPr>
      </w:pPr>
      <w:r w:rsidDel="00000000" w:rsidR="00000000" w:rsidRPr="00000000">
        <w:rPr>
          <w:rtl w:val="0"/>
        </w:rPr>
      </w:r>
    </w:p>
    <w:p w:rsidR="00000000" w:rsidDel="00000000" w:rsidP="00000000" w:rsidRDefault="00000000" w:rsidRPr="00000000" w14:paraId="00000096">
      <w:pPr>
        <w:rPr>
          <w:b w:val="1"/>
          <w:bCs w:val="1"/>
          <w:color w:val="222222"/>
          <w:sz w:val="32"/>
          <w:szCs w:val="32"/>
          <w:highlight w:val="white"/>
        </w:rPr>
      </w:pPr>
      <w:r w:rsidDel="00000000" w:rsidR="00000000" w:rsidRPr="00000000">
        <w:rPr>
          <w:rtl w:val="0"/>
        </w:rPr>
      </w:r>
    </w:p>
    <w:p w:rsidR="00000000" w:rsidDel="00000000" w:rsidP="00000000" w:rsidRDefault="00000000" w:rsidRPr="00000000" w14:paraId="00000097">
      <w:pPr>
        <w:rPr>
          <w:b w:val="1"/>
          <w:bCs w:val="1"/>
          <w:color w:val="222222"/>
          <w:sz w:val="32"/>
          <w:szCs w:val="32"/>
          <w:highlight w:val="white"/>
        </w:rPr>
      </w:pPr>
      <w:r w:rsidDel="00000000" w:rsidR="00000000" w:rsidRPr="00000000">
        <w:rPr>
          <w:rtl w:val="0"/>
        </w:rPr>
      </w:r>
    </w:p>
    <w:p w:rsidR="00000000" w:rsidDel="00000000" w:rsidP="00000000" w:rsidRDefault="00000000" w:rsidRPr="00000000" w14:paraId="00000098">
      <w:pPr>
        <w:rPr>
          <w:b w:val="1"/>
          <w:bCs w:val="1"/>
          <w:color w:val="222222"/>
          <w:sz w:val="32"/>
          <w:szCs w:val="32"/>
          <w:highlight w:val="white"/>
        </w:rPr>
      </w:pPr>
      <w:r w:rsidDel="00000000" w:rsidR="00000000" w:rsidRPr="00000000">
        <w:rPr>
          <w:rtl w:val="0"/>
        </w:rPr>
      </w:r>
    </w:p>
    <w:p w:rsidR="00000000" w:rsidDel="00000000" w:rsidP="00000000" w:rsidRDefault="00000000" w:rsidRPr="00000000" w14:paraId="00000099">
      <w:pPr>
        <w:rPr>
          <w:b w:val="1"/>
          <w:bCs w:val="1"/>
          <w:color w:val="222222"/>
          <w:sz w:val="32"/>
          <w:szCs w:val="32"/>
          <w:highlight w:val="white"/>
        </w:rPr>
      </w:pPr>
      <w:r w:rsidDel="00000000" w:rsidR="00000000" w:rsidRPr="00000000">
        <w:rPr>
          <w:rtl w:val="0"/>
        </w:rPr>
      </w:r>
    </w:p>
    <w:p w:rsidR="00000000" w:rsidDel="00000000" w:rsidP="00000000" w:rsidRDefault="00000000" w:rsidRPr="00000000" w14:paraId="0000009A">
      <w:pPr>
        <w:rPr>
          <w:b w:val="1"/>
          <w:bCs w:val="1"/>
          <w:color w:val="222222"/>
          <w:sz w:val="32"/>
          <w:szCs w:val="32"/>
          <w:highlight w:val="white"/>
        </w:rPr>
      </w:pPr>
      <w:r w:rsidDel="00000000" w:rsidR="00000000" w:rsidRPr="00000000">
        <w:rPr>
          <w:b w:val="1"/>
          <w:bCs w:val="1"/>
          <w:color w:val="222222"/>
          <w:sz w:val="32"/>
          <w:szCs w:val="32"/>
          <w:highlight w:val="white"/>
          <w:rtl w:val="0"/>
        </w:rPr>
        <w:t xml:space="preserve">References</w:t>
      </w:r>
    </w:p>
    <w:p w:rsidR="00000000" w:rsidDel="00000000" w:rsidP="00000000" w:rsidRDefault="00000000" w:rsidRPr="00000000" w14:paraId="0000009B">
      <w:pPr>
        <w:numPr>
          <w:ilvl w:val="0"/>
          <w:numId w:val="1"/>
        </w:numPr>
        <w:shd w:fill="ffffff" w:val="clear"/>
        <w:spacing w:after="0" w:afterAutospacing="0" w:before="200" w:lineRule="auto"/>
        <w:ind w:left="720" w:hanging="360"/>
        <w:rPr>
          <w:rFonts w:ascii="Times New Roman" w:cs="Times New Roman" w:eastAsia="Times New Roman" w:hAnsi="Times New Roman"/>
          <w:sz w:val="30"/>
          <w:szCs w:val="30"/>
          <w:highlight w:val="white"/>
        </w:rPr>
      </w:pPr>
      <w:r w:rsidDel="00000000" w:rsidR="00000000" w:rsidRPr="00000000">
        <w:rPr>
          <w:rFonts w:ascii="Times New Roman" w:cs="Times New Roman" w:eastAsia="Times New Roman" w:hAnsi="Times New Roman"/>
          <w:color w:val="222222"/>
          <w:sz w:val="30"/>
          <w:szCs w:val="30"/>
          <w:highlight w:val="white"/>
          <w:rtl w:val="0"/>
        </w:rPr>
        <w:t xml:space="preserve">World Health Organization (2025) </w:t>
      </w:r>
      <w:r w:rsidDel="00000000" w:rsidR="00000000" w:rsidRPr="00000000">
        <w:rPr>
          <w:rFonts w:ascii="Times New Roman" w:cs="Times New Roman" w:eastAsia="Times New Roman" w:hAnsi="Times New Roman"/>
          <w:i w:val="1"/>
          <w:iCs w:val="1"/>
          <w:color w:val="222222"/>
          <w:sz w:val="30"/>
          <w:szCs w:val="30"/>
          <w:highlight w:val="white"/>
          <w:rtl w:val="0"/>
        </w:rPr>
        <w:t xml:space="preserve">Dementia fact sheet</w:t>
      </w:r>
      <w:r w:rsidDel="00000000" w:rsidR="00000000" w:rsidRPr="00000000">
        <w:rPr>
          <w:rFonts w:ascii="Times New Roman" w:cs="Times New Roman" w:eastAsia="Times New Roman" w:hAnsi="Times New Roman"/>
          <w:color w:val="222222"/>
          <w:sz w:val="30"/>
          <w:szCs w:val="30"/>
          <w:highlight w:val="white"/>
          <w:rtl w:val="0"/>
        </w:rPr>
        <w:t xml:space="preserve">. Available at: </w:t>
      </w:r>
      <w:hyperlink r:id="rId7">
        <w:r w:rsidDel="00000000" w:rsidR="00000000" w:rsidRPr="00000000">
          <w:rPr>
            <w:rFonts w:ascii="Times New Roman" w:cs="Times New Roman" w:eastAsia="Times New Roman" w:hAnsi="Times New Roman"/>
            <w:color w:val="1155cc"/>
            <w:sz w:val="30"/>
            <w:szCs w:val="30"/>
            <w:highlight w:val="white"/>
            <w:u w:val="single"/>
            <w:rtl w:val="0"/>
          </w:rPr>
          <w:t xml:space="preserve">https://www.who.int</w:t>
        </w:r>
      </w:hyperlink>
      <w:r w:rsidDel="00000000" w:rsidR="00000000" w:rsidRPr="00000000">
        <w:rPr>
          <w:rFonts w:ascii="Times New Roman" w:cs="Times New Roman" w:eastAsia="Times New Roman" w:hAnsi="Times New Roman"/>
          <w:color w:val="222222"/>
          <w:sz w:val="30"/>
          <w:szCs w:val="30"/>
          <w:highlight w:val="white"/>
          <w:rtl w:val="0"/>
        </w:rPr>
        <w:t xml:space="preserve"> (Accessed: 16 April 2026).  </w:t>
      </w:r>
    </w:p>
    <w:p w:rsidR="00000000" w:rsidDel="00000000" w:rsidP="00000000" w:rsidRDefault="00000000" w:rsidRPr="00000000" w14:paraId="0000009C">
      <w:pPr>
        <w:numPr>
          <w:ilvl w:val="0"/>
          <w:numId w:val="1"/>
        </w:numPr>
        <w:shd w:fill="ffffff" w:val="clear"/>
        <w:spacing w:after="0" w:afterAutospacing="0" w:before="0" w:beforeAutospacing="0" w:lineRule="auto"/>
        <w:ind w:left="720" w:hanging="360"/>
        <w:rPr>
          <w:rFonts w:ascii="Times New Roman" w:cs="Times New Roman" w:eastAsia="Times New Roman" w:hAnsi="Times New Roman"/>
          <w:sz w:val="30"/>
          <w:szCs w:val="30"/>
          <w:highlight w:val="white"/>
        </w:rPr>
      </w:pPr>
      <w:r w:rsidDel="00000000" w:rsidR="00000000" w:rsidRPr="00000000">
        <w:rPr>
          <w:rFonts w:ascii="Times New Roman" w:cs="Times New Roman" w:eastAsia="Times New Roman" w:hAnsi="Times New Roman"/>
          <w:color w:val="222222"/>
          <w:sz w:val="30"/>
          <w:szCs w:val="30"/>
          <w:highlight w:val="white"/>
          <w:rtl w:val="0"/>
        </w:rPr>
        <w:t xml:space="preserve">World Health Organization (2025) </w:t>
      </w:r>
      <w:r w:rsidDel="00000000" w:rsidR="00000000" w:rsidRPr="00000000">
        <w:rPr>
          <w:rFonts w:ascii="Times New Roman" w:cs="Times New Roman" w:eastAsia="Times New Roman" w:hAnsi="Times New Roman"/>
          <w:i w:val="1"/>
          <w:iCs w:val="1"/>
          <w:color w:val="222222"/>
          <w:sz w:val="30"/>
          <w:szCs w:val="30"/>
          <w:highlight w:val="white"/>
          <w:rtl w:val="0"/>
        </w:rPr>
        <w:t xml:space="preserve">Dementia overview and causes</w:t>
      </w:r>
      <w:r w:rsidDel="00000000" w:rsidR="00000000" w:rsidRPr="00000000">
        <w:rPr>
          <w:rFonts w:ascii="Times New Roman" w:cs="Times New Roman" w:eastAsia="Times New Roman" w:hAnsi="Times New Roman"/>
          <w:color w:val="222222"/>
          <w:sz w:val="30"/>
          <w:szCs w:val="30"/>
          <w:highlight w:val="white"/>
          <w:rtl w:val="0"/>
        </w:rPr>
        <w:t xml:space="preserve">. Available at: </w:t>
      </w:r>
      <w:hyperlink r:id="rId8">
        <w:r w:rsidDel="00000000" w:rsidR="00000000" w:rsidRPr="00000000">
          <w:rPr>
            <w:rFonts w:ascii="Times New Roman" w:cs="Times New Roman" w:eastAsia="Times New Roman" w:hAnsi="Times New Roman"/>
            <w:color w:val="1155cc"/>
            <w:sz w:val="30"/>
            <w:szCs w:val="30"/>
            <w:highlight w:val="white"/>
            <w:u w:val="single"/>
            <w:rtl w:val="0"/>
          </w:rPr>
          <w:t xml:space="preserve">https://www.who.int</w:t>
        </w:r>
      </w:hyperlink>
      <w:r w:rsidDel="00000000" w:rsidR="00000000" w:rsidRPr="00000000">
        <w:rPr>
          <w:rFonts w:ascii="Times New Roman" w:cs="Times New Roman" w:eastAsia="Times New Roman" w:hAnsi="Times New Roman"/>
          <w:color w:val="222222"/>
          <w:sz w:val="30"/>
          <w:szCs w:val="30"/>
          <w:highlight w:val="white"/>
          <w:rtl w:val="0"/>
        </w:rPr>
        <w:t xml:space="preserve">  </w:t>
      </w:r>
    </w:p>
    <w:p w:rsidR="00000000" w:rsidDel="00000000" w:rsidP="00000000" w:rsidRDefault="00000000" w:rsidRPr="00000000" w14:paraId="0000009D">
      <w:pPr>
        <w:numPr>
          <w:ilvl w:val="0"/>
          <w:numId w:val="1"/>
        </w:numPr>
        <w:shd w:fill="ffffff" w:val="clear"/>
        <w:spacing w:after="0" w:afterAutospacing="0" w:before="0" w:beforeAutospacing="0" w:lineRule="auto"/>
        <w:ind w:left="720" w:hanging="360"/>
        <w:rPr>
          <w:rFonts w:ascii="Times New Roman" w:cs="Times New Roman" w:eastAsia="Times New Roman" w:hAnsi="Times New Roman"/>
          <w:sz w:val="30"/>
          <w:szCs w:val="30"/>
          <w:highlight w:val="white"/>
        </w:rPr>
      </w:pPr>
      <w:r w:rsidDel="00000000" w:rsidR="00000000" w:rsidRPr="00000000">
        <w:rPr>
          <w:rFonts w:ascii="Times New Roman" w:cs="Times New Roman" w:eastAsia="Times New Roman" w:hAnsi="Times New Roman"/>
          <w:color w:val="222222"/>
          <w:sz w:val="30"/>
          <w:szCs w:val="30"/>
          <w:highlight w:val="white"/>
          <w:rtl w:val="0"/>
        </w:rPr>
        <w:t xml:space="preserve">OECD (2025) </w:t>
      </w:r>
      <w:r w:rsidDel="00000000" w:rsidR="00000000" w:rsidRPr="00000000">
        <w:rPr>
          <w:rFonts w:ascii="Times New Roman" w:cs="Times New Roman" w:eastAsia="Times New Roman" w:hAnsi="Times New Roman"/>
          <w:i w:val="1"/>
          <w:iCs w:val="1"/>
          <w:color w:val="222222"/>
          <w:sz w:val="30"/>
          <w:szCs w:val="30"/>
          <w:highlight w:val="white"/>
          <w:rtl w:val="0"/>
        </w:rPr>
        <w:t xml:space="preserve">Health at a Glance: Dementia</w:t>
      </w:r>
      <w:r w:rsidDel="00000000" w:rsidR="00000000" w:rsidRPr="00000000">
        <w:rPr>
          <w:rFonts w:ascii="Times New Roman" w:cs="Times New Roman" w:eastAsia="Times New Roman" w:hAnsi="Times New Roman"/>
          <w:color w:val="222222"/>
          <w:sz w:val="30"/>
          <w:szCs w:val="30"/>
          <w:highlight w:val="white"/>
          <w:rtl w:val="0"/>
        </w:rPr>
        <w:t xml:space="preserve">. Available at: </w:t>
      </w:r>
      <w:hyperlink r:id="rId9">
        <w:r w:rsidDel="00000000" w:rsidR="00000000" w:rsidRPr="00000000">
          <w:rPr>
            <w:rFonts w:ascii="Times New Roman" w:cs="Times New Roman" w:eastAsia="Times New Roman" w:hAnsi="Times New Roman"/>
            <w:color w:val="1155cc"/>
            <w:sz w:val="30"/>
            <w:szCs w:val="30"/>
            <w:highlight w:val="white"/>
            <w:u w:val="single"/>
            <w:rtl w:val="0"/>
          </w:rPr>
          <w:t xml:space="preserve">https://www.oecd.org</w:t>
        </w:r>
      </w:hyperlink>
      <w:r w:rsidDel="00000000" w:rsidR="00000000" w:rsidRPr="00000000">
        <w:rPr>
          <w:rFonts w:ascii="Times New Roman" w:cs="Times New Roman" w:eastAsia="Times New Roman" w:hAnsi="Times New Roman"/>
          <w:color w:val="222222"/>
          <w:sz w:val="30"/>
          <w:szCs w:val="30"/>
          <w:highlight w:val="white"/>
          <w:rtl w:val="0"/>
        </w:rPr>
        <w:t xml:space="preserve">  </w:t>
      </w:r>
    </w:p>
    <w:p w:rsidR="00000000" w:rsidDel="00000000" w:rsidP="00000000" w:rsidRDefault="00000000" w:rsidRPr="00000000" w14:paraId="0000009E">
      <w:pPr>
        <w:numPr>
          <w:ilvl w:val="0"/>
          <w:numId w:val="1"/>
        </w:numPr>
        <w:shd w:fill="ffffff" w:val="clear"/>
        <w:spacing w:after="0" w:afterAutospacing="0" w:before="0" w:beforeAutospacing="0" w:lineRule="auto"/>
        <w:ind w:left="720" w:hanging="360"/>
        <w:rPr>
          <w:rFonts w:ascii="Times New Roman" w:cs="Times New Roman" w:eastAsia="Times New Roman" w:hAnsi="Times New Roman"/>
          <w:sz w:val="30"/>
          <w:szCs w:val="30"/>
          <w:highlight w:val="white"/>
        </w:rPr>
      </w:pPr>
      <w:r w:rsidDel="00000000" w:rsidR="00000000" w:rsidRPr="00000000">
        <w:rPr>
          <w:rFonts w:ascii="Times New Roman" w:cs="Times New Roman" w:eastAsia="Times New Roman" w:hAnsi="Times New Roman"/>
          <w:color w:val="222222"/>
          <w:sz w:val="30"/>
          <w:szCs w:val="30"/>
          <w:highlight w:val="white"/>
          <w:rtl w:val="0"/>
        </w:rPr>
        <w:t xml:space="preserve">The Guardian (2024) </w:t>
      </w:r>
      <w:r w:rsidDel="00000000" w:rsidR="00000000" w:rsidRPr="00000000">
        <w:rPr>
          <w:rFonts w:ascii="Times New Roman" w:cs="Times New Roman" w:eastAsia="Times New Roman" w:hAnsi="Times New Roman"/>
          <w:i w:val="1"/>
          <w:iCs w:val="1"/>
          <w:color w:val="222222"/>
          <w:sz w:val="30"/>
          <w:szCs w:val="30"/>
          <w:highlight w:val="white"/>
          <w:rtl w:val="0"/>
        </w:rPr>
        <w:t xml:space="preserve">Dementia statistics in England</w:t>
      </w:r>
      <w:r w:rsidDel="00000000" w:rsidR="00000000" w:rsidRPr="00000000">
        <w:rPr>
          <w:rFonts w:ascii="Times New Roman" w:cs="Times New Roman" w:eastAsia="Times New Roman" w:hAnsi="Times New Roman"/>
          <w:color w:val="222222"/>
          <w:sz w:val="30"/>
          <w:szCs w:val="30"/>
          <w:highlight w:val="white"/>
          <w:rtl w:val="0"/>
        </w:rPr>
        <w:t xml:space="preserve">.  </w:t>
      </w:r>
    </w:p>
    <w:p w:rsidR="00000000" w:rsidDel="00000000" w:rsidP="00000000" w:rsidRDefault="00000000" w:rsidRPr="00000000" w14:paraId="0000009F">
      <w:pPr>
        <w:numPr>
          <w:ilvl w:val="0"/>
          <w:numId w:val="1"/>
        </w:numPr>
        <w:shd w:fill="ffffff" w:val="clear"/>
        <w:spacing w:after="0" w:afterAutospacing="0" w:before="0" w:beforeAutospacing="0" w:lineRule="auto"/>
        <w:ind w:left="720" w:hanging="360"/>
        <w:rPr>
          <w:rFonts w:ascii="Times New Roman" w:cs="Times New Roman" w:eastAsia="Times New Roman" w:hAnsi="Times New Roman"/>
          <w:sz w:val="30"/>
          <w:szCs w:val="30"/>
          <w:highlight w:val="white"/>
        </w:rPr>
      </w:pPr>
      <w:r w:rsidDel="00000000" w:rsidR="00000000" w:rsidRPr="00000000">
        <w:rPr>
          <w:rFonts w:ascii="Times New Roman" w:cs="Times New Roman" w:eastAsia="Times New Roman" w:hAnsi="Times New Roman"/>
          <w:color w:val="222222"/>
          <w:sz w:val="30"/>
          <w:szCs w:val="30"/>
          <w:highlight w:val="white"/>
          <w:rtl w:val="0"/>
        </w:rPr>
        <w:t xml:space="preserve">Staudt, P. et al. (2026) </w:t>
      </w:r>
      <w:r w:rsidDel="00000000" w:rsidR="00000000" w:rsidRPr="00000000">
        <w:rPr>
          <w:rFonts w:ascii="Times New Roman" w:cs="Times New Roman" w:eastAsia="Times New Roman" w:hAnsi="Times New Roman"/>
          <w:i w:val="1"/>
          <w:iCs w:val="1"/>
          <w:color w:val="222222"/>
          <w:sz w:val="30"/>
          <w:szCs w:val="30"/>
          <w:highlight w:val="white"/>
          <w:rtl w:val="0"/>
        </w:rPr>
        <w:t xml:space="preserve">Temporal trends in incidence of dementia</w:t>
      </w:r>
      <w:r w:rsidDel="00000000" w:rsidR="00000000" w:rsidRPr="00000000">
        <w:rPr>
          <w:rFonts w:ascii="Times New Roman" w:cs="Times New Roman" w:eastAsia="Times New Roman" w:hAnsi="Times New Roman"/>
          <w:color w:val="222222"/>
          <w:sz w:val="30"/>
          <w:szCs w:val="30"/>
          <w:highlight w:val="white"/>
          <w:rtl w:val="0"/>
        </w:rPr>
        <w:t xml:space="preserve">.  </w:t>
      </w:r>
    </w:p>
    <w:p w:rsidR="00000000" w:rsidDel="00000000" w:rsidP="00000000" w:rsidRDefault="00000000" w:rsidRPr="00000000" w14:paraId="000000A0">
      <w:pPr>
        <w:numPr>
          <w:ilvl w:val="0"/>
          <w:numId w:val="1"/>
        </w:numPr>
        <w:ind w:left="720" w:hanging="360"/>
        <w:rPr>
          <w:rFonts w:ascii="Times New Roman" w:cs="Times New Roman" w:eastAsia="Times New Roman" w:hAnsi="Times New Roman"/>
          <w:sz w:val="30"/>
          <w:szCs w:val="30"/>
          <w:highlight w:val="white"/>
        </w:rPr>
      </w:pPr>
      <w:r w:rsidDel="00000000" w:rsidR="00000000" w:rsidRPr="00000000">
        <w:rPr>
          <w:color w:val="222222"/>
          <w:highlight w:val="white"/>
          <w:rtl w:val="0"/>
        </w:rPr>
        <w:t xml:space="preserve">www.Alzheimer Society.org.uk</w:t>
      </w:r>
      <w:r w:rsidDel="00000000" w:rsidR="00000000" w:rsidRPr="00000000">
        <w:rPr>
          <w:rtl w:val="0"/>
        </w:rPr>
      </w:r>
    </w:p>
    <w:p w:rsidR="00000000" w:rsidDel="00000000" w:rsidP="00000000" w:rsidRDefault="00000000" w:rsidRPr="00000000" w14:paraId="000000A1">
      <w:pPr>
        <w:rPr>
          <w:color w:val="222222"/>
          <w:highlight w:val="white"/>
        </w:rPr>
      </w:pPr>
      <w:r w:rsidDel="00000000" w:rsidR="00000000" w:rsidRPr="00000000">
        <w:rPr>
          <w:rtl w:val="0"/>
        </w:rPr>
      </w:r>
    </w:p>
    <w:p w:rsidR="00000000" w:rsidDel="00000000" w:rsidP="00000000" w:rsidRDefault="00000000" w:rsidRPr="00000000" w14:paraId="000000A2">
      <w:pPr>
        <w:rPr>
          <w:b w:val="1"/>
          <w:bCs w:val="1"/>
          <w:color w:val="222222"/>
          <w:sz w:val="32"/>
          <w:szCs w:val="32"/>
          <w:highlight w:val="white"/>
        </w:rPr>
      </w:pPr>
      <w:r w:rsidDel="00000000" w:rsidR="00000000" w:rsidRPr="00000000">
        <w:rPr>
          <w:rtl w:val="0"/>
        </w:rPr>
      </w:r>
    </w:p>
    <w:sectPr>
      <w:head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pto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b w:val="0"/>
        <w:bCs w:val="0"/>
        <w:i w:val="0"/>
        <w:iCs w:val="0"/>
        <w:smallCaps w:val="0"/>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s://www.oecd.org/"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who.int/" TargetMode="External"/><Relationship Id="rId8"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