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7D0410" w14:textId="77777777" w:rsidR="00497D53" w:rsidRPr="000465B7" w:rsidRDefault="00497D53" w:rsidP="000465B7">
      <w:pPr>
        <w:spacing w:after="80" w:line="360" w:lineRule="auto"/>
        <w:jc w:val="center"/>
        <w:rPr>
          <w:rFonts w:ascii="Times New Roman" w:hAnsi="Times New Roman" w:cs="Times New Roman"/>
        </w:rPr>
      </w:pPr>
    </w:p>
    <w:p w14:paraId="7D9D1FFB" w14:textId="77777777" w:rsidR="00497D53" w:rsidRPr="000465B7" w:rsidRDefault="00497D53" w:rsidP="000465B7">
      <w:pPr>
        <w:spacing w:after="80" w:line="360" w:lineRule="auto"/>
        <w:jc w:val="center"/>
        <w:rPr>
          <w:rFonts w:ascii="Times New Roman" w:hAnsi="Times New Roman" w:cs="Times New Roman"/>
        </w:rPr>
      </w:pPr>
    </w:p>
    <w:p w14:paraId="7B50510B" w14:textId="77777777" w:rsidR="00497D53" w:rsidRPr="000465B7" w:rsidRDefault="00497D53" w:rsidP="000465B7">
      <w:pPr>
        <w:spacing w:after="80" w:line="360" w:lineRule="auto"/>
        <w:jc w:val="center"/>
        <w:rPr>
          <w:rFonts w:ascii="Times New Roman" w:hAnsi="Times New Roman" w:cs="Times New Roman"/>
        </w:rPr>
      </w:pPr>
    </w:p>
    <w:p w14:paraId="5C1E8F65" w14:textId="77777777" w:rsidR="00497D53" w:rsidRPr="000465B7" w:rsidRDefault="00000000" w:rsidP="000465B7">
      <w:pPr>
        <w:spacing w:after="100" w:line="360" w:lineRule="auto"/>
        <w:jc w:val="center"/>
        <w:rPr>
          <w:rFonts w:ascii="Times New Roman" w:hAnsi="Times New Roman" w:cs="Times New Roman"/>
        </w:rPr>
      </w:pPr>
      <w:r w:rsidRPr="000465B7">
        <w:rPr>
          <w:rFonts w:ascii="Times New Roman" w:hAnsi="Times New Roman" w:cs="Times New Roman"/>
          <w:b/>
          <w:bCs/>
          <w:color w:val="1F4E79"/>
          <w:sz w:val="32"/>
          <w:szCs w:val="32"/>
        </w:rPr>
        <w:t>UNIVERSITY OF WALES TRINITY SAINT DAVID</w:t>
      </w:r>
    </w:p>
    <w:p w14:paraId="0C597CF0" w14:textId="77777777" w:rsidR="00497D53" w:rsidRPr="000465B7" w:rsidRDefault="00000000" w:rsidP="000465B7">
      <w:pPr>
        <w:spacing w:after="400" w:line="360" w:lineRule="auto"/>
        <w:jc w:val="center"/>
        <w:rPr>
          <w:rFonts w:ascii="Times New Roman" w:hAnsi="Times New Roman" w:cs="Times New Roman"/>
        </w:rPr>
      </w:pPr>
      <w:r w:rsidRPr="000465B7">
        <w:rPr>
          <w:rFonts w:ascii="Times New Roman" w:hAnsi="Times New Roman" w:cs="Times New Roman"/>
          <w:color w:val="333333"/>
          <w:sz w:val="26"/>
          <w:szCs w:val="26"/>
        </w:rPr>
        <w:t>Master of Business Administration</w:t>
      </w:r>
    </w:p>
    <w:p w14:paraId="7317BBEC" w14:textId="77777777" w:rsidR="00497D53" w:rsidRPr="000465B7" w:rsidRDefault="00000000" w:rsidP="000465B7">
      <w:pPr>
        <w:pBdr>
          <w:top w:val="single" w:sz="6" w:space="4" w:color="1F4E79"/>
          <w:bottom w:val="single" w:sz="6" w:space="4" w:color="1F4E79"/>
        </w:pBdr>
        <w:spacing w:before="200" w:after="200" w:line="360" w:lineRule="auto"/>
        <w:jc w:val="center"/>
        <w:rPr>
          <w:rFonts w:ascii="Times New Roman" w:hAnsi="Times New Roman" w:cs="Times New Roman"/>
        </w:rPr>
      </w:pPr>
      <w:r w:rsidRPr="000465B7">
        <w:rPr>
          <w:rFonts w:ascii="Times New Roman" w:hAnsi="Times New Roman" w:cs="Times New Roman"/>
          <w:b/>
          <w:bCs/>
          <w:color w:val="1F4E79"/>
          <w:sz w:val="30"/>
          <w:szCs w:val="30"/>
        </w:rPr>
        <w:t>LCMB7002 – Financial Management</w:t>
      </w:r>
    </w:p>
    <w:p w14:paraId="580B798A" w14:textId="77777777" w:rsidR="00497D53" w:rsidRPr="000465B7" w:rsidRDefault="00497D53" w:rsidP="000465B7">
      <w:pPr>
        <w:spacing w:after="80" w:line="360" w:lineRule="auto"/>
        <w:jc w:val="center"/>
        <w:rPr>
          <w:rFonts w:ascii="Times New Roman" w:hAnsi="Times New Roman" w:cs="Times New Roman"/>
        </w:rPr>
      </w:pPr>
    </w:p>
    <w:p w14:paraId="00E7B108" w14:textId="77777777" w:rsidR="00497D53" w:rsidRPr="000465B7" w:rsidRDefault="00000000" w:rsidP="000465B7">
      <w:pPr>
        <w:spacing w:after="120" w:line="360" w:lineRule="auto"/>
        <w:jc w:val="center"/>
        <w:rPr>
          <w:rFonts w:ascii="Times New Roman" w:hAnsi="Times New Roman" w:cs="Times New Roman"/>
        </w:rPr>
      </w:pPr>
      <w:r w:rsidRPr="000465B7">
        <w:rPr>
          <w:rFonts w:ascii="Times New Roman" w:hAnsi="Times New Roman" w:cs="Times New Roman"/>
          <w:b/>
          <w:bCs/>
          <w:color w:val="333333"/>
          <w:sz w:val="28"/>
          <w:szCs w:val="28"/>
        </w:rPr>
        <w:t>Assessment: Individual Report</w:t>
      </w:r>
    </w:p>
    <w:p w14:paraId="06BFB3F9" w14:textId="77777777" w:rsidR="00497D53" w:rsidRPr="000465B7" w:rsidRDefault="00000000" w:rsidP="000465B7">
      <w:pPr>
        <w:spacing w:after="400" w:line="360" w:lineRule="auto"/>
        <w:jc w:val="center"/>
        <w:rPr>
          <w:rFonts w:ascii="Times New Roman" w:hAnsi="Times New Roman" w:cs="Times New Roman"/>
        </w:rPr>
      </w:pPr>
      <w:r w:rsidRPr="000465B7">
        <w:rPr>
          <w:rFonts w:ascii="Times New Roman" w:hAnsi="Times New Roman" w:cs="Times New Roman"/>
          <w:b/>
          <w:bCs/>
          <w:color w:val="333333"/>
          <w:sz w:val="26"/>
          <w:szCs w:val="26"/>
        </w:rPr>
        <w:t>Strategic CFO Challenge – Tesla, Inc.</w:t>
      </w:r>
    </w:p>
    <w:p w14:paraId="7816FC73" w14:textId="77777777" w:rsidR="00497D53" w:rsidRPr="000465B7" w:rsidRDefault="00497D53" w:rsidP="000465B7">
      <w:pPr>
        <w:spacing w:after="80" w:line="360" w:lineRule="auto"/>
        <w:jc w:val="center"/>
        <w:rPr>
          <w:rFonts w:ascii="Times New Roman" w:hAnsi="Times New Roman" w:cs="Times New Roman"/>
        </w:rPr>
      </w:pPr>
    </w:p>
    <w:p w14:paraId="2D5BF7F5" w14:textId="77777777" w:rsidR="00497D53" w:rsidRPr="000465B7" w:rsidRDefault="00000000" w:rsidP="000465B7">
      <w:pPr>
        <w:spacing w:after="80" w:line="360" w:lineRule="auto"/>
        <w:jc w:val="center"/>
        <w:rPr>
          <w:rFonts w:ascii="Times New Roman" w:hAnsi="Times New Roman" w:cs="Times New Roman"/>
        </w:rPr>
      </w:pPr>
      <w:r w:rsidRPr="000465B7">
        <w:rPr>
          <w:rFonts w:ascii="Times New Roman" w:hAnsi="Times New Roman" w:cs="Times New Roman"/>
          <w:color w:val="666666"/>
          <w:sz w:val="22"/>
          <w:szCs w:val="22"/>
        </w:rPr>
        <w:t>Lecturers: Shengfeng Mei | Patrick Yeboah</w:t>
      </w:r>
    </w:p>
    <w:p w14:paraId="76C8864E" w14:textId="77777777" w:rsidR="00497D53" w:rsidRPr="000465B7" w:rsidRDefault="00000000" w:rsidP="000465B7">
      <w:pPr>
        <w:spacing w:after="80" w:line="360" w:lineRule="auto"/>
        <w:jc w:val="center"/>
        <w:rPr>
          <w:rFonts w:ascii="Times New Roman" w:hAnsi="Times New Roman" w:cs="Times New Roman"/>
        </w:rPr>
      </w:pPr>
      <w:r w:rsidRPr="000465B7">
        <w:rPr>
          <w:rFonts w:ascii="Times New Roman" w:hAnsi="Times New Roman" w:cs="Times New Roman"/>
          <w:color w:val="666666"/>
          <w:sz w:val="22"/>
          <w:szCs w:val="22"/>
        </w:rPr>
        <w:t>Submission Deadline: 27 March 2026</w:t>
      </w:r>
    </w:p>
    <w:p w14:paraId="34897535" w14:textId="77777777" w:rsidR="00497D53" w:rsidRPr="000465B7" w:rsidRDefault="00000000" w:rsidP="000465B7">
      <w:pPr>
        <w:spacing w:after="80" w:line="360" w:lineRule="auto"/>
        <w:jc w:val="center"/>
        <w:rPr>
          <w:rFonts w:ascii="Times New Roman" w:hAnsi="Times New Roman" w:cs="Times New Roman"/>
        </w:rPr>
      </w:pPr>
      <w:r w:rsidRPr="000465B7">
        <w:rPr>
          <w:rFonts w:ascii="Times New Roman" w:hAnsi="Times New Roman" w:cs="Times New Roman"/>
          <w:color w:val="666666"/>
          <w:sz w:val="22"/>
          <w:szCs w:val="22"/>
        </w:rPr>
        <w:t>Word Count: ~5,000 words</w:t>
      </w:r>
    </w:p>
    <w:p w14:paraId="3126BD0E" w14:textId="77777777" w:rsidR="00497D53" w:rsidRPr="000465B7" w:rsidRDefault="00497D53" w:rsidP="000465B7">
      <w:pPr>
        <w:spacing w:after="80" w:line="360" w:lineRule="auto"/>
        <w:jc w:val="both"/>
        <w:rPr>
          <w:rFonts w:ascii="Times New Roman" w:hAnsi="Times New Roman" w:cs="Times New Roman"/>
        </w:rPr>
      </w:pPr>
    </w:p>
    <w:p w14:paraId="0583550F" w14:textId="77777777" w:rsidR="00497D53" w:rsidRPr="000465B7" w:rsidRDefault="00497D53" w:rsidP="000465B7">
      <w:pPr>
        <w:spacing w:after="80" w:line="360" w:lineRule="auto"/>
        <w:jc w:val="both"/>
        <w:rPr>
          <w:rFonts w:ascii="Times New Roman" w:hAnsi="Times New Roman" w:cs="Times New Roman"/>
        </w:rPr>
      </w:pPr>
    </w:p>
    <w:p w14:paraId="7FE4BD98" w14:textId="6FE6295C" w:rsidR="00497D53" w:rsidRPr="000465B7" w:rsidRDefault="00497D53" w:rsidP="000465B7">
      <w:pPr>
        <w:spacing w:line="360" w:lineRule="auto"/>
        <w:jc w:val="both"/>
        <w:rPr>
          <w:rFonts w:ascii="Times New Roman" w:hAnsi="Times New Roman" w:cs="Times New Roman"/>
        </w:rPr>
      </w:pPr>
    </w:p>
    <w:p w14:paraId="49108B92" w14:textId="77777777" w:rsidR="000465B7" w:rsidRPr="000465B7" w:rsidRDefault="000465B7" w:rsidP="000465B7">
      <w:pPr>
        <w:spacing w:line="360" w:lineRule="auto"/>
        <w:jc w:val="both"/>
        <w:rPr>
          <w:rFonts w:ascii="Times New Roman" w:hAnsi="Times New Roman" w:cs="Times New Roman"/>
        </w:rPr>
      </w:pPr>
    </w:p>
    <w:p w14:paraId="6638531A" w14:textId="77777777" w:rsidR="000465B7" w:rsidRPr="000465B7" w:rsidRDefault="000465B7" w:rsidP="000465B7">
      <w:pPr>
        <w:spacing w:line="360" w:lineRule="auto"/>
        <w:jc w:val="both"/>
        <w:rPr>
          <w:rFonts w:ascii="Times New Roman" w:hAnsi="Times New Roman" w:cs="Times New Roman"/>
        </w:rPr>
      </w:pPr>
    </w:p>
    <w:p w14:paraId="320A048E" w14:textId="77777777" w:rsidR="000465B7" w:rsidRPr="000465B7" w:rsidRDefault="000465B7" w:rsidP="000465B7">
      <w:pPr>
        <w:spacing w:line="360" w:lineRule="auto"/>
        <w:jc w:val="both"/>
        <w:rPr>
          <w:rFonts w:ascii="Times New Roman" w:hAnsi="Times New Roman" w:cs="Times New Roman"/>
        </w:rPr>
      </w:pPr>
    </w:p>
    <w:p w14:paraId="2E51F547" w14:textId="77777777" w:rsidR="000465B7" w:rsidRPr="000465B7" w:rsidRDefault="000465B7" w:rsidP="000465B7">
      <w:pPr>
        <w:spacing w:line="360" w:lineRule="auto"/>
        <w:jc w:val="both"/>
        <w:rPr>
          <w:rFonts w:ascii="Times New Roman" w:hAnsi="Times New Roman" w:cs="Times New Roman"/>
        </w:rPr>
      </w:pPr>
    </w:p>
    <w:p w14:paraId="16D8482B" w14:textId="77777777" w:rsidR="000465B7" w:rsidRPr="000465B7" w:rsidRDefault="000465B7" w:rsidP="000465B7">
      <w:pPr>
        <w:spacing w:line="360" w:lineRule="auto"/>
        <w:jc w:val="both"/>
        <w:rPr>
          <w:rFonts w:ascii="Times New Roman" w:hAnsi="Times New Roman" w:cs="Times New Roman"/>
        </w:rPr>
      </w:pPr>
    </w:p>
    <w:p w14:paraId="20CE637A" w14:textId="77777777" w:rsidR="000465B7" w:rsidRPr="000465B7" w:rsidRDefault="000465B7" w:rsidP="000465B7">
      <w:pPr>
        <w:spacing w:line="360" w:lineRule="auto"/>
        <w:jc w:val="both"/>
        <w:rPr>
          <w:rFonts w:ascii="Times New Roman" w:hAnsi="Times New Roman" w:cs="Times New Roman"/>
        </w:rPr>
      </w:pPr>
    </w:p>
    <w:p w14:paraId="0DEB181D" w14:textId="77777777" w:rsidR="000465B7" w:rsidRPr="000465B7" w:rsidRDefault="000465B7" w:rsidP="000465B7">
      <w:pPr>
        <w:spacing w:line="360" w:lineRule="auto"/>
        <w:jc w:val="both"/>
        <w:rPr>
          <w:rFonts w:ascii="Times New Roman" w:hAnsi="Times New Roman" w:cs="Times New Roman"/>
        </w:rPr>
      </w:pPr>
    </w:p>
    <w:p w14:paraId="5F9F09E3" w14:textId="77777777" w:rsidR="000465B7" w:rsidRPr="000465B7" w:rsidRDefault="000465B7" w:rsidP="000465B7">
      <w:pPr>
        <w:spacing w:line="360" w:lineRule="auto"/>
        <w:jc w:val="both"/>
        <w:rPr>
          <w:rFonts w:ascii="Times New Roman" w:hAnsi="Times New Roman" w:cs="Times New Roman"/>
        </w:rPr>
      </w:pPr>
    </w:p>
    <w:p w14:paraId="283C6EFB" w14:textId="77777777" w:rsidR="000465B7" w:rsidRPr="000465B7" w:rsidRDefault="000465B7" w:rsidP="000465B7">
      <w:pPr>
        <w:spacing w:line="360" w:lineRule="auto"/>
        <w:jc w:val="both"/>
        <w:rPr>
          <w:rFonts w:ascii="Times New Roman" w:hAnsi="Times New Roman" w:cs="Times New Roman"/>
        </w:rPr>
      </w:pPr>
    </w:p>
    <w:p w14:paraId="3B688DE5" w14:textId="77777777" w:rsidR="000465B7" w:rsidRPr="000465B7" w:rsidRDefault="000465B7" w:rsidP="000465B7">
      <w:pPr>
        <w:spacing w:line="360" w:lineRule="auto"/>
        <w:jc w:val="both"/>
        <w:rPr>
          <w:rFonts w:ascii="Times New Roman" w:hAnsi="Times New Roman" w:cs="Times New Roman"/>
        </w:rPr>
      </w:pPr>
    </w:p>
    <w:p w14:paraId="01FC2D04" w14:textId="77777777" w:rsidR="000465B7" w:rsidRPr="000465B7" w:rsidRDefault="000465B7" w:rsidP="000465B7">
      <w:pPr>
        <w:spacing w:line="360" w:lineRule="auto"/>
        <w:jc w:val="both"/>
        <w:rPr>
          <w:rFonts w:ascii="Times New Roman" w:hAnsi="Times New Roman" w:cs="Times New Roman"/>
        </w:rPr>
      </w:pPr>
    </w:p>
    <w:p w14:paraId="374BEFB9" w14:textId="77777777" w:rsidR="000465B7" w:rsidRPr="000465B7" w:rsidRDefault="000465B7" w:rsidP="000465B7">
      <w:pPr>
        <w:spacing w:line="360" w:lineRule="auto"/>
        <w:jc w:val="both"/>
        <w:rPr>
          <w:rFonts w:ascii="Times New Roman" w:hAnsi="Times New Roman" w:cs="Times New Roman"/>
        </w:rPr>
      </w:pPr>
    </w:p>
    <w:sdt>
      <w:sdtPr>
        <w:rPr>
          <w:rFonts w:ascii="Times New Roman" w:eastAsia="Arial" w:hAnsi="Times New Roman" w:cs="Times New Roman"/>
          <w:color w:val="auto"/>
          <w:sz w:val="24"/>
          <w:szCs w:val="24"/>
          <w:lang w:val="en-IN" w:eastAsia="zh-CN"/>
        </w:rPr>
        <w:id w:val="138626976"/>
        <w:docPartObj>
          <w:docPartGallery w:val="Table of Contents"/>
          <w:docPartUnique/>
        </w:docPartObj>
      </w:sdtPr>
      <w:sdtEndPr>
        <w:rPr>
          <w:b/>
          <w:bCs/>
          <w:noProof/>
        </w:rPr>
      </w:sdtEndPr>
      <w:sdtContent>
        <w:p w14:paraId="0D6AF457" w14:textId="104D64D5" w:rsidR="000465B7" w:rsidRPr="000465B7" w:rsidRDefault="000465B7">
          <w:pPr>
            <w:pStyle w:val="TOCHeading"/>
            <w:rPr>
              <w:rFonts w:ascii="Times New Roman" w:hAnsi="Times New Roman" w:cs="Times New Roman"/>
            </w:rPr>
          </w:pPr>
          <w:r w:rsidRPr="000465B7">
            <w:rPr>
              <w:rFonts w:ascii="Times New Roman" w:hAnsi="Times New Roman" w:cs="Times New Roman"/>
            </w:rPr>
            <w:t>Table of Contents</w:t>
          </w:r>
        </w:p>
        <w:p w14:paraId="0A5A4145" w14:textId="117ED936" w:rsidR="000465B7" w:rsidRPr="000465B7" w:rsidRDefault="000465B7">
          <w:pPr>
            <w:pStyle w:val="TOC1"/>
            <w:tabs>
              <w:tab w:val="right" w:leader="dot" w:pos="9736"/>
            </w:tabs>
            <w:rPr>
              <w:rFonts w:ascii="Times New Roman" w:hAnsi="Times New Roman" w:cs="Times New Roman"/>
              <w:noProof/>
            </w:rPr>
          </w:pPr>
          <w:r w:rsidRPr="000465B7">
            <w:rPr>
              <w:rFonts w:ascii="Times New Roman" w:hAnsi="Times New Roman" w:cs="Times New Roman"/>
            </w:rPr>
            <w:fldChar w:fldCharType="begin"/>
          </w:r>
          <w:r w:rsidRPr="000465B7">
            <w:rPr>
              <w:rFonts w:ascii="Times New Roman" w:hAnsi="Times New Roman" w:cs="Times New Roman"/>
            </w:rPr>
            <w:instrText xml:space="preserve"> TOC \o "1-3" \h \z \u </w:instrText>
          </w:r>
          <w:r w:rsidRPr="000465B7">
            <w:rPr>
              <w:rFonts w:ascii="Times New Roman" w:hAnsi="Times New Roman" w:cs="Times New Roman"/>
            </w:rPr>
            <w:fldChar w:fldCharType="separate"/>
          </w:r>
          <w:hyperlink w:anchor="_Toc224599746" w:history="1">
            <w:r w:rsidRPr="000465B7">
              <w:rPr>
                <w:rStyle w:val="Hyperlink"/>
                <w:rFonts w:ascii="Times New Roman" w:hAnsi="Times New Roman" w:cs="Times New Roman"/>
                <w:noProof/>
              </w:rPr>
              <w:t>Introduction</w:t>
            </w:r>
            <w:r w:rsidRPr="000465B7">
              <w:rPr>
                <w:rFonts w:ascii="Times New Roman" w:hAnsi="Times New Roman" w:cs="Times New Roman"/>
                <w:noProof/>
                <w:webHidden/>
              </w:rPr>
              <w:tab/>
            </w:r>
            <w:r w:rsidRPr="000465B7">
              <w:rPr>
                <w:rFonts w:ascii="Times New Roman" w:hAnsi="Times New Roman" w:cs="Times New Roman"/>
                <w:noProof/>
                <w:webHidden/>
              </w:rPr>
              <w:fldChar w:fldCharType="begin"/>
            </w:r>
            <w:r w:rsidRPr="000465B7">
              <w:rPr>
                <w:rFonts w:ascii="Times New Roman" w:hAnsi="Times New Roman" w:cs="Times New Roman"/>
                <w:noProof/>
                <w:webHidden/>
              </w:rPr>
              <w:instrText xml:space="preserve"> PAGEREF _Toc224599746 \h </w:instrText>
            </w:r>
            <w:r w:rsidRPr="000465B7">
              <w:rPr>
                <w:rFonts w:ascii="Times New Roman" w:hAnsi="Times New Roman" w:cs="Times New Roman"/>
                <w:noProof/>
                <w:webHidden/>
              </w:rPr>
            </w:r>
            <w:r w:rsidRPr="000465B7">
              <w:rPr>
                <w:rFonts w:ascii="Times New Roman" w:hAnsi="Times New Roman" w:cs="Times New Roman"/>
                <w:noProof/>
                <w:webHidden/>
              </w:rPr>
              <w:fldChar w:fldCharType="separate"/>
            </w:r>
            <w:r w:rsidRPr="000465B7">
              <w:rPr>
                <w:rFonts w:ascii="Times New Roman" w:hAnsi="Times New Roman" w:cs="Times New Roman"/>
                <w:noProof/>
                <w:webHidden/>
              </w:rPr>
              <w:t>3</w:t>
            </w:r>
            <w:r w:rsidRPr="000465B7">
              <w:rPr>
                <w:rFonts w:ascii="Times New Roman" w:hAnsi="Times New Roman" w:cs="Times New Roman"/>
                <w:noProof/>
                <w:webHidden/>
              </w:rPr>
              <w:fldChar w:fldCharType="end"/>
            </w:r>
          </w:hyperlink>
        </w:p>
        <w:p w14:paraId="4386A6A5" w14:textId="551421C8" w:rsidR="000465B7" w:rsidRPr="000465B7" w:rsidRDefault="000465B7">
          <w:pPr>
            <w:pStyle w:val="TOC1"/>
            <w:tabs>
              <w:tab w:val="right" w:leader="dot" w:pos="9736"/>
            </w:tabs>
            <w:rPr>
              <w:rFonts w:ascii="Times New Roman" w:hAnsi="Times New Roman" w:cs="Times New Roman"/>
              <w:noProof/>
            </w:rPr>
          </w:pPr>
          <w:hyperlink w:anchor="_Toc224599747" w:history="1">
            <w:r w:rsidRPr="000465B7">
              <w:rPr>
                <w:rStyle w:val="Hyperlink"/>
                <w:rFonts w:ascii="Times New Roman" w:hAnsi="Times New Roman" w:cs="Times New Roman"/>
                <w:noProof/>
              </w:rPr>
              <w:t>Section 1: Financial Health Check (2020-2024)</w:t>
            </w:r>
            <w:r w:rsidRPr="000465B7">
              <w:rPr>
                <w:rFonts w:ascii="Times New Roman" w:hAnsi="Times New Roman" w:cs="Times New Roman"/>
                <w:noProof/>
                <w:webHidden/>
              </w:rPr>
              <w:tab/>
            </w:r>
            <w:r w:rsidRPr="000465B7">
              <w:rPr>
                <w:rFonts w:ascii="Times New Roman" w:hAnsi="Times New Roman" w:cs="Times New Roman"/>
                <w:noProof/>
                <w:webHidden/>
              </w:rPr>
              <w:fldChar w:fldCharType="begin"/>
            </w:r>
            <w:r w:rsidRPr="000465B7">
              <w:rPr>
                <w:rFonts w:ascii="Times New Roman" w:hAnsi="Times New Roman" w:cs="Times New Roman"/>
                <w:noProof/>
                <w:webHidden/>
              </w:rPr>
              <w:instrText xml:space="preserve"> PAGEREF _Toc224599747 \h </w:instrText>
            </w:r>
            <w:r w:rsidRPr="000465B7">
              <w:rPr>
                <w:rFonts w:ascii="Times New Roman" w:hAnsi="Times New Roman" w:cs="Times New Roman"/>
                <w:noProof/>
                <w:webHidden/>
              </w:rPr>
            </w:r>
            <w:r w:rsidRPr="000465B7">
              <w:rPr>
                <w:rFonts w:ascii="Times New Roman" w:hAnsi="Times New Roman" w:cs="Times New Roman"/>
                <w:noProof/>
                <w:webHidden/>
              </w:rPr>
              <w:fldChar w:fldCharType="separate"/>
            </w:r>
            <w:r w:rsidRPr="000465B7">
              <w:rPr>
                <w:rFonts w:ascii="Times New Roman" w:hAnsi="Times New Roman" w:cs="Times New Roman"/>
                <w:noProof/>
                <w:webHidden/>
              </w:rPr>
              <w:t>4</w:t>
            </w:r>
            <w:r w:rsidRPr="000465B7">
              <w:rPr>
                <w:rFonts w:ascii="Times New Roman" w:hAnsi="Times New Roman" w:cs="Times New Roman"/>
                <w:noProof/>
                <w:webHidden/>
              </w:rPr>
              <w:fldChar w:fldCharType="end"/>
            </w:r>
          </w:hyperlink>
        </w:p>
        <w:p w14:paraId="1FB3D2B9" w14:textId="1E807BBD" w:rsidR="000465B7" w:rsidRPr="000465B7" w:rsidRDefault="000465B7">
          <w:pPr>
            <w:pStyle w:val="TOC2"/>
            <w:tabs>
              <w:tab w:val="right" w:leader="dot" w:pos="9736"/>
            </w:tabs>
            <w:rPr>
              <w:rFonts w:ascii="Times New Roman" w:hAnsi="Times New Roman" w:cs="Times New Roman"/>
              <w:noProof/>
            </w:rPr>
          </w:pPr>
          <w:hyperlink w:anchor="_Toc224599748" w:history="1">
            <w:r w:rsidRPr="000465B7">
              <w:rPr>
                <w:rStyle w:val="Hyperlink"/>
                <w:rFonts w:ascii="Times New Roman" w:hAnsi="Times New Roman" w:cs="Times New Roman"/>
                <w:noProof/>
              </w:rPr>
              <w:t>1.1 Summary of Financial Statements</w:t>
            </w:r>
            <w:r w:rsidRPr="000465B7">
              <w:rPr>
                <w:rFonts w:ascii="Times New Roman" w:hAnsi="Times New Roman" w:cs="Times New Roman"/>
                <w:noProof/>
                <w:webHidden/>
              </w:rPr>
              <w:tab/>
            </w:r>
            <w:r w:rsidRPr="000465B7">
              <w:rPr>
                <w:rFonts w:ascii="Times New Roman" w:hAnsi="Times New Roman" w:cs="Times New Roman"/>
                <w:noProof/>
                <w:webHidden/>
              </w:rPr>
              <w:fldChar w:fldCharType="begin"/>
            </w:r>
            <w:r w:rsidRPr="000465B7">
              <w:rPr>
                <w:rFonts w:ascii="Times New Roman" w:hAnsi="Times New Roman" w:cs="Times New Roman"/>
                <w:noProof/>
                <w:webHidden/>
              </w:rPr>
              <w:instrText xml:space="preserve"> PAGEREF _Toc224599748 \h </w:instrText>
            </w:r>
            <w:r w:rsidRPr="000465B7">
              <w:rPr>
                <w:rFonts w:ascii="Times New Roman" w:hAnsi="Times New Roman" w:cs="Times New Roman"/>
                <w:noProof/>
                <w:webHidden/>
              </w:rPr>
            </w:r>
            <w:r w:rsidRPr="000465B7">
              <w:rPr>
                <w:rFonts w:ascii="Times New Roman" w:hAnsi="Times New Roman" w:cs="Times New Roman"/>
                <w:noProof/>
                <w:webHidden/>
              </w:rPr>
              <w:fldChar w:fldCharType="separate"/>
            </w:r>
            <w:r w:rsidRPr="000465B7">
              <w:rPr>
                <w:rFonts w:ascii="Times New Roman" w:hAnsi="Times New Roman" w:cs="Times New Roman"/>
                <w:noProof/>
                <w:webHidden/>
              </w:rPr>
              <w:t>4</w:t>
            </w:r>
            <w:r w:rsidRPr="000465B7">
              <w:rPr>
                <w:rFonts w:ascii="Times New Roman" w:hAnsi="Times New Roman" w:cs="Times New Roman"/>
                <w:noProof/>
                <w:webHidden/>
              </w:rPr>
              <w:fldChar w:fldCharType="end"/>
            </w:r>
          </w:hyperlink>
        </w:p>
        <w:p w14:paraId="50A7C152" w14:textId="2732EA3C" w:rsidR="000465B7" w:rsidRPr="000465B7" w:rsidRDefault="000465B7">
          <w:pPr>
            <w:pStyle w:val="TOC2"/>
            <w:tabs>
              <w:tab w:val="right" w:leader="dot" w:pos="9736"/>
            </w:tabs>
            <w:rPr>
              <w:rFonts w:ascii="Times New Roman" w:hAnsi="Times New Roman" w:cs="Times New Roman"/>
              <w:noProof/>
            </w:rPr>
          </w:pPr>
          <w:hyperlink w:anchor="_Toc224599749" w:history="1">
            <w:r w:rsidRPr="000465B7">
              <w:rPr>
                <w:rStyle w:val="Hyperlink"/>
                <w:rFonts w:ascii="Times New Roman" w:hAnsi="Times New Roman" w:cs="Times New Roman"/>
                <w:noProof/>
              </w:rPr>
              <w:t>1.2 Comprehensive Ratio Analysis</w:t>
            </w:r>
            <w:r w:rsidRPr="000465B7">
              <w:rPr>
                <w:rFonts w:ascii="Times New Roman" w:hAnsi="Times New Roman" w:cs="Times New Roman"/>
                <w:noProof/>
                <w:webHidden/>
              </w:rPr>
              <w:tab/>
            </w:r>
            <w:r w:rsidRPr="000465B7">
              <w:rPr>
                <w:rFonts w:ascii="Times New Roman" w:hAnsi="Times New Roman" w:cs="Times New Roman"/>
                <w:noProof/>
                <w:webHidden/>
              </w:rPr>
              <w:fldChar w:fldCharType="begin"/>
            </w:r>
            <w:r w:rsidRPr="000465B7">
              <w:rPr>
                <w:rFonts w:ascii="Times New Roman" w:hAnsi="Times New Roman" w:cs="Times New Roman"/>
                <w:noProof/>
                <w:webHidden/>
              </w:rPr>
              <w:instrText xml:space="preserve"> PAGEREF _Toc224599749 \h </w:instrText>
            </w:r>
            <w:r w:rsidRPr="000465B7">
              <w:rPr>
                <w:rFonts w:ascii="Times New Roman" w:hAnsi="Times New Roman" w:cs="Times New Roman"/>
                <w:noProof/>
                <w:webHidden/>
              </w:rPr>
            </w:r>
            <w:r w:rsidRPr="000465B7">
              <w:rPr>
                <w:rFonts w:ascii="Times New Roman" w:hAnsi="Times New Roman" w:cs="Times New Roman"/>
                <w:noProof/>
                <w:webHidden/>
              </w:rPr>
              <w:fldChar w:fldCharType="separate"/>
            </w:r>
            <w:r w:rsidRPr="000465B7">
              <w:rPr>
                <w:rFonts w:ascii="Times New Roman" w:hAnsi="Times New Roman" w:cs="Times New Roman"/>
                <w:noProof/>
                <w:webHidden/>
              </w:rPr>
              <w:t>4</w:t>
            </w:r>
            <w:r w:rsidRPr="000465B7">
              <w:rPr>
                <w:rFonts w:ascii="Times New Roman" w:hAnsi="Times New Roman" w:cs="Times New Roman"/>
                <w:noProof/>
                <w:webHidden/>
              </w:rPr>
              <w:fldChar w:fldCharType="end"/>
            </w:r>
          </w:hyperlink>
        </w:p>
        <w:p w14:paraId="4EB056E2" w14:textId="20393C3D" w:rsidR="000465B7" w:rsidRPr="000465B7" w:rsidRDefault="000465B7">
          <w:pPr>
            <w:pStyle w:val="TOC2"/>
            <w:tabs>
              <w:tab w:val="right" w:leader="dot" w:pos="9736"/>
            </w:tabs>
            <w:rPr>
              <w:rFonts w:ascii="Times New Roman" w:hAnsi="Times New Roman" w:cs="Times New Roman"/>
              <w:noProof/>
            </w:rPr>
          </w:pPr>
          <w:hyperlink w:anchor="_Toc224599750" w:history="1">
            <w:r w:rsidRPr="000465B7">
              <w:rPr>
                <w:rStyle w:val="Hyperlink"/>
                <w:rFonts w:ascii="Times New Roman" w:hAnsi="Times New Roman" w:cs="Times New Roman"/>
                <w:noProof/>
              </w:rPr>
              <w:t>1.3 Profitability Analysis</w:t>
            </w:r>
            <w:r w:rsidRPr="000465B7">
              <w:rPr>
                <w:rFonts w:ascii="Times New Roman" w:hAnsi="Times New Roman" w:cs="Times New Roman"/>
                <w:noProof/>
                <w:webHidden/>
              </w:rPr>
              <w:tab/>
            </w:r>
            <w:r w:rsidRPr="000465B7">
              <w:rPr>
                <w:rFonts w:ascii="Times New Roman" w:hAnsi="Times New Roman" w:cs="Times New Roman"/>
                <w:noProof/>
                <w:webHidden/>
              </w:rPr>
              <w:fldChar w:fldCharType="begin"/>
            </w:r>
            <w:r w:rsidRPr="000465B7">
              <w:rPr>
                <w:rFonts w:ascii="Times New Roman" w:hAnsi="Times New Roman" w:cs="Times New Roman"/>
                <w:noProof/>
                <w:webHidden/>
              </w:rPr>
              <w:instrText xml:space="preserve"> PAGEREF _Toc224599750 \h </w:instrText>
            </w:r>
            <w:r w:rsidRPr="000465B7">
              <w:rPr>
                <w:rFonts w:ascii="Times New Roman" w:hAnsi="Times New Roman" w:cs="Times New Roman"/>
                <w:noProof/>
                <w:webHidden/>
              </w:rPr>
            </w:r>
            <w:r w:rsidRPr="000465B7">
              <w:rPr>
                <w:rFonts w:ascii="Times New Roman" w:hAnsi="Times New Roman" w:cs="Times New Roman"/>
                <w:noProof/>
                <w:webHidden/>
              </w:rPr>
              <w:fldChar w:fldCharType="separate"/>
            </w:r>
            <w:r w:rsidRPr="000465B7">
              <w:rPr>
                <w:rFonts w:ascii="Times New Roman" w:hAnsi="Times New Roman" w:cs="Times New Roman"/>
                <w:noProof/>
                <w:webHidden/>
              </w:rPr>
              <w:t>6</w:t>
            </w:r>
            <w:r w:rsidRPr="000465B7">
              <w:rPr>
                <w:rFonts w:ascii="Times New Roman" w:hAnsi="Times New Roman" w:cs="Times New Roman"/>
                <w:noProof/>
                <w:webHidden/>
              </w:rPr>
              <w:fldChar w:fldCharType="end"/>
            </w:r>
          </w:hyperlink>
        </w:p>
        <w:p w14:paraId="5E01EBC0" w14:textId="05201486" w:rsidR="000465B7" w:rsidRPr="000465B7" w:rsidRDefault="000465B7">
          <w:pPr>
            <w:pStyle w:val="TOC2"/>
            <w:tabs>
              <w:tab w:val="right" w:leader="dot" w:pos="9736"/>
            </w:tabs>
            <w:rPr>
              <w:rFonts w:ascii="Times New Roman" w:hAnsi="Times New Roman" w:cs="Times New Roman"/>
              <w:noProof/>
            </w:rPr>
          </w:pPr>
          <w:hyperlink w:anchor="_Toc224599751" w:history="1">
            <w:r w:rsidRPr="000465B7">
              <w:rPr>
                <w:rStyle w:val="Hyperlink"/>
                <w:rFonts w:ascii="Times New Roman" w:hAnsi="Times New Roman" w:cs="Times New Roman"/>
                <w:noProof/>
              </w:rPr>
              <w:t>1.4 Liquidity Analysis</w:t>
            </w:r>
            <w:r w:rsidRPr="000465B7">
              <w:rPr>
                <w:rFonts w:ascii="Times New Roman" w:hAnsi="Times New Roman" w:cs="Times New Roman"/>
                <w:noProof/>
                <w:webHidden/>
              </w:rPr>
              <w:tab/>
            </w:r>
            <w:r w:rsidRPr="000465B7">
              <w:rPr>
                <w:rFonts w:ascii="Times New Roman" w:hAnsi="Times New Roman" w:cs="Times New Roman"/>
                <w:noProof/>
                <w:webHidden/>
              </w:rPr>
              <w:fldChar w:fldCharType="begin"/>
            </w:r>
            <w:r w:rsidRPr="000465B7">
              <w:rPr>
                <w:rFonts w:ascii="Times New Roman" w:hAnsi="Times New Roman" w:cs="Times New Roman"/>
                <w:noProof/>
                <w:webHidden/>
              </w:rPr>
              <w:instrText xml:space="preserve"> PAGEREF _Toc224599751 \h </w:instrText>
            </w:r>
            <w:r w:rsidRPr="000465B7">
              <w:rPr>
                <w:rFonts w:ascii="Times New Roman" w:hAnsi="Times New Roman" w:cs="Times New Roman"/>
                <w:noProof/>
                <w:webHidden/>
              </w:rPr>
            </w:r>
            <w:r w:rsidRPr="000465B7">
              <w:rPr>
                <w:rFonts w:ascii="Times New Roman" w:hAnsi="Times New Roman" w:cs="Times New Roman"/>
                <w:noProof/>
                <w:webHidden/>
              </w:rPr>
              <w:fldChar w:fldCharType="separate"/>
            </w:r>
            <w:r w:rsidRPr="000465B7">
              <w:rPr>
                <w:rFonts w:ascii="Times New Roman" w:hAnsi="Times New Roman" w:cs="Times New Roman"/>
                <w:noProof/>
                <w:webHidden/>
              </w:rPr>
              <w:t>6</w:t>
            </w:r>
            <w:r w:rsidRPr="000465B7">
              <w:rPr>
                <w:rFonts w:ascii="Times New Roman" w:hAnsi="Times New Roman" w:cs="Times New Roman"/>
                <w:noProof/>
                <w:webHidden/>
              </w:rPr>
              <w:fldChar w:fldCharType="end"/>
            </w:r>
          </w:hyperlink>
        </w:p>
        <w:p w14:paraId="0ABE01D1" w14:textId="76319A18" w:rsidR="000465B7" w:rsidRPr="000465B7" w:rsidRDefault="000465B7">
          <w:pPr>
            <w:pStyle w:val="TOC2"/>
            <w:tabs>
              <w:tab w:val="right" w:leader="dot" w:pos="9736"/>
            </w:tabs>
            <w:rPr>
              <w:rFonts w:ascii="Times New Roman" w:hAnsi="Times New Roman" w:cs="Times New Roman"/>
              <w:noProof/>
            </w:rPr>
          </w:pPr>
          <w:hyperlink w:anchor="_Toc224599752" w:history="1">
            <w:r w:rsidRPr="000465B7">
              <w:rPr>
                <w:rStyle w:val="Hyperlink"/>
                <w:rFonts w:ascii="Times New Roman" w:hAnsi="Times New Roman" w:cs="Times New Roman"/>
                <w:noProof/>
              </w:rPr>
              <w:t>1.5 Efficiency Analysis</w:t>
            </w:r>
            <w:r w:rsidRPr="000465B7">
              <w:rPr>
                <w:rFonts w:ascii="Times New Roman" w:hAnsi="Times New Roman" w:cs="Times New Roman"/>
                <w:noProof/>
                <w:webHidden/>
              </w:rPr>
              <w:tab/>
            </w:r>
            <w:r w:rsidRPr="000465B7">
              <w:rPr>
                <w:rFonts w:ascii="Times New Roman" w:hAnsi="Times New Roman" w:cs="Times New Roman"/>
                <w:noProof/>
                <w:webHidden/>
              </w:rPr>
              <w:fldChar w:fldCharType="begin"/>
            </w:r>
            <w:r w:rsidRPr="000465B7">
              <w:rPr>
                <w:rFonts w:ascii="Times New Roman" w:hAnsi="Times New Roman" w:cs="Times New Roman"/>
                <w:noProof/>
                <w:webHidden/>
              </w:rPr>
              <w:instrText xml:space="preserve"> PAGEREF _Toc224599752 \h </w:instrText>
            </w:r>
            <w:r w:rsidRPr="000465B7">
              <w:rPr>
                <w:rFonts w:ascii="Times New Roman" w:hAnsi="Times New Roman" w:cs="Times New Roman"/>
                <w:noProof/>
                <w:webHidden/>
              </w:rPr>
            </w:r>
            <w:r w:rsidRPr="000465B7">
              <w:rPr>
                <w:rFonts w:ascii="Times New Roman" w:hAnsi="Times New Roman" w:cs="Times New Roman"/>
                <w:noProof/>
                <w:webHidden/>
              </w:rPr>
              <w:fldChar w:fldCharType="separate"/>
            </w:r>
            <w:r w:rsidRPr="000465B7">
              <w:rPr>
                <w:rFonts w:ascii="Times New Roman" w:hAnsi="Times New Roman" w:cs="Times New Roman"/>
                <w:noProof/>
                <w:webHidden/>
              </w:rPr>
              <w:t>7</w:t>
            </w:r>
            <w:r w:rsidRPr="000465B7">
              <w:rPr>
                <w:rFonts w:ascii="Times New Roman" w:hAnsi="Times New Roman" w:cs="Times New Roman"/>
                <w:noProof/>
                <w:webHidden/>
              </w:rPr>
              <w:fldChar w:fldCharType="end"/>
            </w:r>
          </w:hyperlink>
        </w:p>
        <w:p w14:paraId="365852F8" w14:textId="382094D8" w:rsidR="000465B7" w:rsidRPr="000465B7" w:rsidRDefault="000465B7">
          <w:pPr>
            <w:pStyle w:val="TOC2"/>
            <w:tabs>
              <w:tab w:val="right" w:leader="dot" w:pos="9736"/>
            </w:tabs>
            <w:rPr>
              <w:rFonts w:ascii="Times New Roman" w:hAnsi="Times New Roman" w:cs="Times New Roman"/>
              <w:noProof/>
            </w:rPr>
          </w:pPr>
          <w:hyperlink w:anchor="_Toc224599753" w:history="1">
            <w:r w:rsidRPr="000465B7">
              <w:rPr>
                <w:rStyle w:val="Hyperlink"/>
                <w:rFonts w:ascii="Times New Roman" w:hAnsi="Times New Roman" w:cs="Times New Roman"/>
                <w:noProof/>
              </w:rPr>
              <w:t>1.6 Gearing Analysis</w:t>
            </w:r>
            <w:r w:rsidRPr="000465B7">
              <w:rPr>
                <w:rFonts w:ascii="Times New Roman" w:hAnsi="Times New Roman" w:cs="Times New Roman"/>
                <w:noProof/>
                <w:webHidden/>
              </w:rPr>
              <w:tab/>
            </w:r>
            <w:r w:rsidRPr="000465B7">
              <w:rPr>
                <w:rFonts w:ascii="Times New Roman" w:hAnsi="Times New Roman" w:cs="Times New Roman"/>
                <w:noProof/>
                <w:webHidden/>
              </w:rPr>
              <w:fldChar w:fldCharType="begin"/>
            </w:r>
            <w:r w:rsidRPr="000465B7">
              <w:rPr>
                <w:rFonts w:ascii="Times New Roman" w:hAnsi="Times New Roman" w:cs="Times New Roman"/>
                <w:noProof/>
                <w:webHidden/>
              </w:rPr>
              <w:instrText xml:space="preserve"> PAGEREF _Toc224599753 \h </w:instrText>
            </w:r>
            <w:r w:rsidRPr="000465B7">
              <w:rPr>
                <w:rFonts w:ascii="Times New Roman" w:hAnsi="Times New Roman" w:cs="Times New Roman"/>
                <w:noProof/>
                <w:webHidden/>
              </w:rPr>
            </w:r>
            <w:r w:rsidRPr="000465B7">
              <w:rPr>
                <w:rFonts w:ascii="Times New Roman" w:hAnsi="Times New Roman" w:cs="Times New Roman"/>
                <w:noProof/>
                <w:webHidden/>
              </w:rPr>
              <w:fldChar w:fldCharType="separate"/>
            </w:r>
            <w:r w:rsidRPr="000465B7">
              <w:rPr>
                <w:rFonts w:ascii="Times New Roman" w:hAnsi="Times New Roman" w:cs="Times New Roman"/>
                <w:noProof/>
                <w:webHidden/>
              </w:rPr>
              <w:t>7</w:t>
            </w:r>
            <w:r w:rsidRPr="000465B7">
              <w:rPr>
                <w:rFonts w:ascii="Times New Roman" w:hAnsi="Times New Roman" w:cs="Times New Roman"/>
                <w:noProof/>
                <w:webHidden/>
              </w:rPr>
              <w:fldChar w:fldCharType="end"/>
            </w:r>
          </w:hyperlink>
        </w:p>
        <w:p w14:paraId="7573B5BA" w14:textId="3B7796D4" w:rsidR="000465B7" w:rsidRPr="000465B7" w:rsidRDefault="000465B7">
          <w:pPr>
            <w:pStyle w:val="TOC2"/>
            <w:tabs>
              <w:tab w:val="right" w:leader="dot" w:pos="9736"/>
            </w:tabs>
            <w:rPr>
              <w:rFonts w:ascii="Times New Roman" w:hAnsi="Times New Roman" w:cs="Times New Roman"/>
              <w:noProof/>
            </w:rPr>
          </w:pPr>
          <w:hyperlink w:anchor="_Toc224599754" w:history="1">
            <w:r w:rsidRPr="000465B7">
              <w:rPr>
                <w:rStyle w:val="Hyperlink"/>
                <w:rFonts w:ascii="Times New Roman" w:hAnsi="Times New Roman" w:cs="Times New Roman"/>
                <w:noProof/>
              </w:rPr>
              <w:t>1.7 Trends, Strengths and Threats</w:t>
            </w:r>
            <w:r w:rsidRPr="000465B7">
              <w:rPr>
                <w:rFonts w:ascii="Times New Roman" w:hAnsi="Times New Roman" w:cs="Times New Roman"/>
                <w:noProof/>
                <w:webHidden/>
              </w:rPr>
              <w:tab/>
            </w:r>
            <w:r w:rsidRPr="000465B7">
              <w:rPr>
                <w:rFonts w:ascii="Times New Roman" w:hAnsi="Times New Roman" w:cs="Times New Roman"/>
                <w:noProof/>
                <w:webHidden/>
              </w:rPr>
              <w:fldChar w:fldCharType="begin"/>
            </w:r>
            <w:r w:rsidRPr="000465B7">
              <w:rPr>
                <w:rFonts w:ascii="Times New Roman" w:hAnsi="Times New Roman" w:cs="Times New Roman"/>
                <w:noProof/>
                <w:webHidden/>
              </w:rPr>
              <w:instrText xml:space="preserve"> PAGEREF _Toc224599754 \h </w:instrText>
            </w:r>
            <w:r w:rsidRPr="000465B7">
              <w:rPr>
                <w:rFonts w:ascii="Times New Roman" w:hAnsi="Times New Roman" w:cs="Times New Roman"/>
                <w:noProof/>
                <w:webHidden/>
              </w:rPr>
            </w:r>
            <w:r w:rsidRPr="000465B7">
              <w:rPr>
                <w:rFonts w:ascii="Times New Roman" w:hAnsi="Times New Roman" w:cs="Times New Roman"/>
                <w:noProof/>
                <w:webHidden/>
              </w:rPr>
              <w:fldChar w:fldCharType="separate"/>
            </w:r>
            <w:r w:rsidRPr="000465B7">
              <w:rPr>
                <w:rFonts w:ascii="Times New Roman" w:hAnsi="Times New Roman" w:cs="Times New Roman"/>
                <w:noProof/>
                <w:webHidden/>
              </w:rPr>
              <w:t>8</w:t>
            </w:r>
            <w:r w:rsidRPr="000465B7">
              <w:rPr>
                <w:rFonts w:ascii="Times New Roman" w:hAnsi="Times New Roman" w:cs="Times New Roman"/>
                <w:noProof/>
                <w:webHidden/>
              </w:rPr>
              <w:fldChar w:fldCharType="end"/>
            </w:r>
          </w:hyperlink>
        </w:p>
        <w:p w14:paraId="730FA544" w14:textId="7EA4ED49" w:rsidR="000465B7" w:rsidRPr="000465B7" w:rsidRDefault="000465B7">
          <w:pPr>
            <w:pStyle w:val="TOC1"/>
            <w:tabs>
              <w:tab w:val="right" w:leader="dot" w:pos="9736"/>
            </w:tabs>
            <w:rPr>
              <w:rFonts w:ascii="Times New Roman" w:hAnsi="Times New Roman" w:cs="Times New Roman"/>
              <w:noProof/>
            </w:rPr>
          </w:pPr>
          <w:hyperlink w:anchor="_Toc224599755" w:history="1">
            <w:r w:rsidRPr="000465B7">
              <w:rPr>
                <w:rStyle w:val="Hyperlink"/>
                <w:rFonts w:ascii="Times New Roman" w:hAnsi="Times New Roman" w:cs="Times New Roman"/>
                <w:noProof/>
              </w:rPr>
              <w:t>Section 2: Working Capital Management Analysis</w:t>
            </w:r>
            <w:r w:rsidRPr="000465B7">
              <w:rPr>
                <w:rFonts w:ascii="Times New Roman" w:hAnsi="Times New Roman" w:cs="Times New Roman"/>
                <w:noProof/>
                <w:webHidden/>
              </w:rPr>
              <w:tab/>
            </w:r>
            <w:r w:rsidRPr="000465B7">
              <w:rPr>
                <w:rFonts w:ascii="Times New Roman" w:hAnsi="Times New Roman" w:cs="Times New Roman"/>
                <w:noProof/>
                <w:webHidden/>
              </w:rPr>
              <w:fldChar w:fldCharType="begin"/>
            </w:r>
            <w:r w:rsidRPr="000465B7">
              <w:rPr>
                <w:rFonts w:ascii="Times New Roman" w:hAnsi="Times New Roman" w:cs="Times New Roman"/>
                <w:noProof/>
                <w:webHidden/>
              </w:rPr>
              <w:instrText xml:space="preserve"> PAGEREF _Toc224599755 \h </w:instrText>
            </w:r>
            <w:r w:rsidRPr="000465B7">
              <w:rPr>
                <w:rFonts w:ascii="Times New Roman" w:hAnsi="Times New Roman" w:cs="Times New Roman"/>
                <w:noProof/>
                <w:webHidden/>
              </w:rPr>
            </w:r>
            <w:r w:rsidRPr="000465B7">
              <w:rPr>
                <w:rFonts w:ascii="Times New Roman" w:hAnsi="Times New Roman" w:cs="Times New Roman"/>
                <w:noProof/>
                <w:webHidden/>
              </w:rPr>
              <w:fldChar w:fldCharType="separate"/>
            </w:r>
            <w:r w:rsidRPr="000465B7">
              <w:rPr>
                <w:rFonts w:ascii="Times New Roman" w:hAnsi="Times New Roman" w:cs="Times New Roman"/>
                <w:noProof/>
                <w:webHidden/>
              </w:rPr>
              <w:t>9</w:t>
            </w:r>
            <w:r w:rsidRPr="000465B7">
              <w:rPr>
                <w:rFonts w:ascii="Times New Roman" w:hAnsi="Times New Roman" w:cs="Times New Roman"/>
                <w:noProof/>
                <w:webHidden/>
              </w:rPr>
              <w:fldChar w:fldCharType="end"/>
            </w:r>
          </w:hyperlink>
        </w:p>
        <w:p w14:paraId="3A4415EB" w14:textId="081F76DE" w:rsidR="000465B7" w:rsidRPr="000465B7" w:rsidRDefault="000465B7">
          <w:pPr>
            <w:pStyle w:val="TOC2"/>
            <w:tabs>
              <w:tab w:val="right" w:leader="dot" w:pos="9736"/>
            </w:tabs>
            <w:rPr>
              <w:rFonts w:ascii="Times New Roman" w:hAnsi="Times New Roman" w:cs="Times New Roman"/>
              <w:noProof/>
            </w:rPr>
          </w:pPr>
          <w:hyperlink w:anchor="_Toc224599756" w:history="1">
            <w:r w:rsidRPr="000465B7">
              <w:rPr>
                <w:rStyle w:val="Hyperlink"/>
                <w:rFonts w:ascii="Times New Roman" w:hAnsi="Times New Roman" w:cs="Times New Roman"/>
                <w:noProof/>
              </w:rPr>
              <w:t>2.1 Cash Operating Cycle Assessment</w:t>
            </w:r>
            <w:r w:rsidRPr="000465B7">
              <w:rPr>
                <w:rFonts w:ascii="Times New Roman" w:hAnsi="Times New Roman" w:cs="Times New Roman"/>
                <w:noProof/>
                <w:webHidden/>
              </w:rPr>
              <w:tab/>
            </w:r>
            <w:r w:rsidRPr="000465B7">
              <w:rPr>
                <w:rFonts w:ascii="Times New Roman" w:hAnsi="Times New Roman" w:cs="Times New Roman"/>
                <w:noProof/>
                <w:webHidden/>
              </w:rPr>
              <w:fldChar w:fldCharType="begin"/>
            </w:r>
            <w:r w:rsidRPr="000465B7">
              <w:rPr>
                <w:rFonts w:ascii="Times New Roman" w:hAnsi="Times New Roman" w:cs="Times New Roman"/>
                <w:noProof/>
                <w:webHidden/>
              </w:rPr>
              <w:instrText xml:space="preserve"> PAGEREF _Toc224599756 \h </w:instrText>
            </w:r>
            <w:r w:rsidRPr="000465B7">
              <w:rPr>
                <w:rFonts w:ascii="Times New Roman" w:hAnsi="Times New Roman" w:cs="Times New Roman"/>
                <w:noProof/>
                <w:webHidden/>
              </w:rPr>
            </w:r>
            <w:r w:rsidRPr="000465B7">
              <w:rPr>
                <w:rFonts w:ascii="Times New Roman" w:hAnsi="Times New Roman" w:cs="Times New Roman"/>
                <w:noProof/>
                <w:webHidden/>
              </w:rPr>
              <w:fldChar w:fldCharType="separate"/>
            </w:r>
            <w:r w:rsidRPr="000465B7">
              <w:rPr>
                <w:rFonts w:ascii="Times New Roman" w:hAnsi="Times New Roman" w:cs="Times New Roman"/>
                <w:noProof/>
                <w:webHidden/>
              </w:rPr>
              <w:t>9</w:t>
            </w:r>
            <w:r w:rsidRPr="000465B7">
              <w:rPr>
                <w:rFonts w:ascii="Times New Roman" w:hAnsi="Times New Roman" w:cs="Times New Roman"/>
                <w:noProof/>
                <w:webHidden/>
              </w:rPr>
              <w:fldChar w:fldCharType="end"/>
            </w:r>
          </w:hyperlink>
        </w:p>
        <w:p w14:paraId="6109A7B8" w14:textId="744C2570" w:rsidR="000465B7" w:rsidRPr="000465B7" w:rsidRDefault="000465B7">
          <w:pPr>
            <w:pStyle w:val="TOC2"/>
            <w:tabs>
              <w:tab w:val="right" w:leader="dot" w:pos="9736"/>
            </w:tabs>
            <w:rPr>
              <w:rFonts w:ascii="Times New Roman" w:hAnsi="Times New Roman" w:cs="Times New Roman"/>
              <w:noProof/>
            </w:rPr>
          </w:pPr>
          <w:hyperlink w:anchor="_Toc224599757" w:history="1">
            <w:r w:rsidRPr="000465B7">
              <w:rPr>
                <w:rStyle w:val="Hyperlink"/>
                <w:rFonts w:ascii="Times New Roman" w:hAnsi="Times New Roman" w:cs="Times New Roman"/>
                <w:noProof/>
              </w:rPr>
              <w:t>2.2 Strategies to Improve Liquidity through Working Capital Reforms</w:t>
            </w:r>
            <w:r w:rsidRPr="000465B7">
              <w:rPr>
                <w:rFonts w:ascii="Times New Roman" w:hAnsi="Times New Roman" w:cs="Times New Roman"/>
                <w:noProof/>
                <w:webHidden/>
              </w:rPr>
              <w:tab/>
            </w:r>
            <w:r w:rsidRPr="000465B7">
              <w:rPr>
                <w:rFonts w:ascii="Times New Roman" w:hAnsi="Times New Roman" w:cs="Times New Roman"/>
                <w:noProof/>
                <w:webHidden/>
              </w:rPr>
              <w:fldChar w:fldCharType="begin"/>
            </w:r>
            <w:r w:rsidRPr="000465B7">
              <w:rPr>
                <w:rFonts w:ascii="Times New Roman" w:hAnsi="Times New Roman" w:cs="Times New Roman"/>
                <w:noProof/>
                <w:webHidden/>
              </w:rPr>
              <w:instrText xml:space="preserve"> PAGEREF _Toc224599757 \h </w:instrText>
            </w:r>
            <w:r w:rsidRPr="000465B7">
              <w:rPr>
                <w:rFonts w:ascii="Times New Roman" w:hAnsi="Times New Roman" w:cs="Times New Roman"/>
                <w:noProof/>
                <w:webHidden/>
              </w:rPr>
            </w:r>
            <w:r w:rsidRPr="000465B7">
              <w:rPr>
                <w:rFonts w:ascii="Times New Roman" w:hAnsi="Times New Roman" w:cs="Times New Roman"/>
                <w:noProof/>
                <w:webHidden/>
              </w:rPr>
              <w:fldChar w:fldCharType="separate"/>
            </w:r>
            <w:r w:rsidRPr="000465B7">
              <w:rPr>
                <w:rFonts w:ascii="Times New Roman" w:hAnsi="Times New Roman" w:cs="Times New Roman"/>
                <w:noProof/>
                <w:webHidden/>
              </w:rPr>
              <w:t>9</w:t>
            </w:r>
            <w:r w:rsidRPr="000465B7">
              <w:rPr>
                <w:rFonts w:ascii="Times New Roman" w:hAnsi="Times New Roman" w:cs="Times New Roman"/>
                <w:noProof/>
                <w:webHidden/>
              </w:rPr>
              <w:fldChar w:fldCharType="end"/>
            </w:r>
          </w:hyperlink>
        </w:p>
        <w:p w14:paraId="4A742565" w14:textId="01D65CA6" w:rsidR="000465B7" w:rsidRPr="000465B7" w:rsidRDefault="000465B7">
          <w:pPr>
            <w:pStyle w:val="TOC2"/>
            <w:tabs>
              <w:tab w:val="right" w:leader="dot" w:pos="9736"/>
            </w:tabs>
            <w:rPr>
              <w:rFonts w:ascii="Times New Roman" w:hAnsi="Times New Roman" w:cs="Times New Roman"/>
              <w:noProof/>
            </w:rPr>
          </w:pPr>
          <w:hyperlink w:anchor="_Toc224599758" w:history="1">
            <w:r w:rsidRPr="000465B7">
              <w:rPr>
                <w:rStyle w:val="Hyperlink"/>
                <w:rFonts w:ascii="Times New Roman" w:hAnsi="Times New Roman" w:cs="Times New Roman"/>
                <w:noProof/>
              </w:rPr>
              <w:t>2.3 Short-Term versus Long-Term Financing Options</w:t>
            </w:r>
            <w:r w:rsidRPr="000465B7">
              <w:rPr>
                <w:rFonts w:ascii="Times New Roman" w:hAnsi="Times New Roman" w:cs="Times New Roman"/>
                <w:noProof/>
                <w:webHidden/>
              </w:rPr>
              <w:tab/>
            </w:r>
            <w:r w:rsidRPr="000465B7">
              <w:rPr>
                <w:rFonts w:ascii="Times New Roman" w:hAnsi="Times New Roman" w:cs="Times New Roman"/>
                <w:noProof/>
                <w:webHidden/>
              </w:rPr>
              <w:fldChar w:fldCharType="begin"/>
            </w:r>
            <w:r w:rsidRPr="000465B7">
              <w:rPr>
                <w:rFonts w:ascii="Times New Roman" w:hAnsi="Times New Roman" w:cs="Times New Roman"/>
                <w:noProof/>
                <w:webHidden/>
              </w:rPr>
              <w:instrText xml:space="preserve"> PAGEREF _Toc224599758 \h </w:instrText>
            </w:r>
            <w:r w:rsidRPr="000465B7">
              <w:rPr>
                <w:rFonts w:ascii="Times New Roman" w:hAnsi="Times New Roman" w:cs="Times New Roman"/>
                <w:noProof/>
                <w:webHidden/>
              </w:rPr>
            </w:r>
            <w:r w:rsidRPr="000465B7">
              <w:rPr>
                <w:rFonts w:ascii="Times New Roman" w:hAnsi="Times New Roman" w:cs="Times New Roman"/>
                <w:noProof/>
                <w:webHidden/>
              </w:rPr>
              <w:fldChar w:fldCharType="separate"/>
            </w:r>
            <w:r w:rsidRPr="000465B7">
              <w:rPr>
                <w:rFonts w:ascii="Times New Roman" w:hAnsi="Times New Roman" w:cs="Times New Roman"/>
                <w:noProof/>
                <w:webHidden/>
              </w:rPr>
              <w:t>10</w:t>
            </w:r>
            <w:r w:rsidRPr="000465B7">
              <w:rPr>
                <w:rFonts w:ascii="Times New Roman" w:hAnsi="Times New Roman" w:cs="Times New Roman"/>
                <w:noProof/>
                <w:webHidden/>
              </w:rPr>
              <w:fldChar w:fldCharType="end"/>
            </w:r>
          </w:hyperlink>
        </w:p>
        <w:p w14:paraId="64CB6E94" w14:textId="5FE3AF9A" w:rsidR="000465B7" w:rsidRPr="000465B7" w:rsidRDefault="000465B7">
          <w:pPr>
            <w:pStyle w:val="TOC1"/>
            <w:tabs>
              <w:tab w:val="right" w:leader="dot" w:pos="9736"/>
            </w:tabs>
            <w:rPr>
              <w:rFonts w:ascii="Times New Roman" w:hAnsi="Times New Roman" w:cs="Times New Roman"/>
              <w:noProof/>
            </w:rPr>
          </w:pPr>
          <w:hyperlink w:anchor="_Toc224599759" w:history="1">
            <w:r w:rsidRPr="000465B7">
              <w:rPr>
                <w:rStyle w:val="Hyperlink"/>
                <w:rFonts w:ascii="Times New Roman" w:hAnsi="Times New Roman" w:cs="Times New Roman"/>
                <w:noProof/>
              </w:rPr>
              <w:t>Section 3: Strategic Financial Restructuring Plan</w:t>
            </w:r>
            <w:r w:rsidRPr="000465B7">
              <w:rPr>
                <w:rFonts w:ascii="Times New Roman" w:hAnsi="Times New Roman" w:cs="Times New Roman"/>
                <w:noProof/>
                <w:webHidden/>
              </w:rPr>
              <w:tab/>
            </w:r>
            <w:r w:rsidRPr="000465B7">
              <w:rPr>
                <w:rFonts w:ascii="Times New Roman" w:hAnsi="Times New Roman" w:cs="Times New Roman"/>
                <w:noProof/>
                <w:webHidden/>
              </w:rPr>
              <w:fldChar w:fldCharType="begin"/>
            </w:r>
            <w:r w:rsidRPr="000465B7">
              <w:rPr>
                <w:rFonts w:ascii="Times New Roman" w:hAnsi="Times New Roman" w:cs="Times New Roman"/>
                <w:noProof/>
                <w:webHidden/>
              </w:rPr>
              <w:instrText xml:space="preserve"> PAGEREF _Toc224599759 \h </w:instrText>
            </w:r>
            <w:r w:rsidRPr="000465B7">
              <w:rPr>
                <w:rFonts w:ascii="Times New Roman" w:hAnsi="Times New Roman" w:cs="Times New Roman"/>
                <w:noProof/>
                <w:webHidden/>
              </w:rPr>
            </w:r>
            <w:r w:rsidRPr="000465B7">
              <w:rPr>
                <w:rFonts w:ascii="Times New Roman" w:hAnsi="Times New Roman" w:cs="Times New Roman"/>
                <w:noProof/>
                <w:webHidden/>
              </w:rPr>
              <w:fldChar w:fldCharType="separate"/>
            </w:r>
            <w:r w:rsidRPr="000465B7">
              <w:rPr>
                <w:rFonts w:ascii="Times New Roman" w:hAnsi="Times New Roman" w:cs="Times New Roman"/>
                <w:noProof/>
                <w:webHidden/>
              </w:rPr>
              <w:t>11</w:t>
            </w:r>
            <w:r w:rsidRPr="000465B7">
              <w:rPr>
                <w:rFonts w:ascii="Times New Roman" w:hAnsi="Times New Roman" w:cs="Times New Roman"/>
                <w:noProof/>
                <w:webHidden/>
              </w:rPr>
              <w:fldChar w:fldCharType="end"/>
            </w:r>
          </w:hyperlink>
        </w:p>
        <w:p w14:paraId="6B5E0A44" w14:textId="3FADED12" w:rsidR="000465B7" w:rsidRPr="000465B7" w:rsidRDefault="000465B7">
          <w:pPr>
            <w:pStyle w:val="TOC2"/>
            <w:tabs>
              <w:tab w:val="right" w:leader="dot" w:pos="9736"/>
            </w:tabs>
            <w:rPr>
              <w:rFonts w:ascii="Times New Roman" w:hAnsi="Times New Roman" w:cs="Times New Roman"/>
              <w:noProof/>
            </w:rPr>
          </w:pPr>
          <w:hyperlink w:anchor="_Toc224599760" w:history="1">
            <w:r w:rsidRPr="000465B7">
              <w:rPr>
                <w:rStyle w:val="Hyperlink"/>
                <w:rFonts w:ascii="Times New Roman" w:hAnsi="Times New Roman" w:cs="Times New Roman"/>
                <w:noProof/>
              </w:rPr>
              <w:t>3.1 Context: Why Restructuring Is Needed</w:t>
            </w:r>
            <w:r w:rsidRPr="000465B7">
              <w:rPr>
                <w:rFonts w:ascii="Times New Roman" w:hAnsi="Times New Roman" w:cs="Times New Roman"/>
                <w:noProof/>
                <w:webHidden/>
              </w:rPr>
              <w:tab/>
            </w:r>
            <w:r w:rsidRPr="000465B7">
              <w:rPr>
                <w:rFonts w:ascii="Times New Roman" w:hAnsi="Times New Roman" w:cs="Times New Roman"/>
                <w:noProof/>
                <w:webHidden/>
              </w:rPr>
              <w:fldChar w:fldCharType="begin"/>
            </w:r>
            <w:r w:rsidRPr="000465B7">
              <w:rPr>
                <w:rFonts w:ascii="Times New Roman" w:hAnsi="Times New Roman" w:cs="Times New Roman"/>
                <w:noProof/>
                <w:webHidden/>
              </w:rPr>
              <w:instrText xml:space="preserve"> PAGEREF _Toc224599760 \h </w:instrText>
            </w:r>
            <w:r w:rsidRPr="000465B7">
              <w:rPr>
                <w:rFonts w:ascii="Times New Roman" w:hAnsi="Times New Roman" w:cs="Times New Roman"/>
                <w:noProof/>
                <w:webHidden/>
              </w:rPr>
            </w:r>
            <w:r w:rsidRPr="000465B7">
              <w:rPr>
                <w:rFonts w:ascii="Times New Roman" w:hAnsi="Times New Roman" w:cs="Times New Roman"/>
                <w:noProof/>
                <w:webHidden/>
              </w:rPr>
              <w:fldChar w:fldCharType="separate"/>
            </w:r>
            <w:r w:rsidRPr="000465B7">
              <w:rPr>
                <w:rFonts w:ascii="Times New Roman" w:hAnsi="Times New Roman" w:cs="Times New Roman"/>
                <w:noProof/>
                <w:webHidden/>
              </w:rPr>
              <w:t>11</w:t>
            </w:r>
            <w:r w:rsidRPr="000465B7">
              <w:rPr>
                <w:rFonts w:ascii="Times New Roman" w:hAnsi="Times New Roman" w:cs="Times New Roman"/>
                <w:noProof/>
                <w:webHidden/>
              </w:rPr>
              <w:fldChar w:fldCharType="end"/>
            </w:r>
          </w:hyperlink>
        </w:p>
        <w:p w14:paraId="11BCBF21" w14:textId="78F48D33" w:rsidR="000465B7" w:rsidRPr="000465B7" w:rsidRDefault="000465B7">
          <w:pPr>
            <w:pStyle w:val="TOC2"/>
            <w:tabs>
              <w:tab w:val="right" w:leader="dot" w:pos="9736"/>
            </w:tabs>
            <w:rPr>
              <w:rFonts w:ascii="Times New Roman" w:hAnsi="Times New Roman" w:cs="Times New Roman"/>
              <w:noProof/>
            </w:rPr>
          </w:pPr>
          <w:hyperlink w:anchor="_Toc224599761" w:history="1">
            <w:r w:rsidRPr="000465B7">
              <w:rPr>
                <w:rStyle w:val="Hyperlink"/>
                <w:rFonts w:ascii="Times New Roman" w:hAnsi="Times New Roman" w:cs="Times New Roman"/>
                <w:noProof/>
              </w:rPr>
              <w:t>3.2 Recommended Restructuring Options</w:t>
            </w:r>
            <w:r w:rsidRPr="000465B7">
              <w:rPr>
                <w:rFonts w:ascii="Times New Roman" w:hAnsi="Times New Roman" w:cs="Times New Roman"/>
                <w:noProof/>
                <w:webHidden/>
              </w:rPr>
              <w:tab/>
            </w:r>
            <w:r w:rsidRPr="000465B7">
              <w:rPr>
                <w:rFonts w:ascii="Times New Roman" w:hAnsi="Times New Roman" w:cs="Times New Roman"/>
                <w:noProof/>
                <w:webHidden/>
              </w:rPr>
              <w:fldChar w:fldCharType="begin"/>
            </w:r>
            <w:r w:rsidRPr="000465B7">
              <w:rPr>
                <w:rFonts w:ascii="Times New Roman" w:hAnsi="Times New Roman" w:cs="Times New Roman"/>
                <w:noProof/>
                <w:webHidden/>
              </w:rPr>
              <w:instrText xml:space="preserve"> PAGEREF _Toc224599761 \h </w:instrText>
            </w:r>
            <w:r w:rsidRPr="000465B7">
              <w:rPr>
                <w:rFonts w:ascii="Times New Roman" w:hAnsi="Times New Roman" w:cs="Times New Roman"/>
                <w:noProof/>
                <w:webHidden/>
              </w:rPr>
            </w:r>
            <w:r w:rsidRPr="000465B7">
              <w:rPr>
                <w:rFonts w:ascii="Times New Roman" w:hAnsi="Times New Roman" w:cs="Times New Roman"/>
                <w:noProof/>
                <w:webHidden/>
              </w:rPr>
              <w:fldChar w:fldCharType="separate"/>
            </w:r>
            <w:r w:rsidRPr="000465B7">
              <w:rPr>
                <w:rFonts w:ascii="Times New Roman" w:hAnsi="Times New Roman" w:cs="Times New Roman"/>
                <w:noProof/>
                <w:webHidden/>
              </w:rPr>
              <w:t>11</w:t>
            </w:r>
            <w:r w:rsidRPr="000465B7">
              <w:rPr>
                <w:rFonts w:ascii="Times New Roman" w:hAnsi="Times New Roman" w:cs="Times New Roman"/>
                <w:noProof/>
                <w:webHidden/>
              </w:rPr>
              <w:fldChar w:fldCharType="end"/>
            </w:r>
          </w:hyperlink>
        </w:p>
        <w:p w14:paraId="10FD022C" w14:textId="39781C8B" w:rsidR="000465B7" w:rsidRPr="000465B7" w:rsidRDefault="000465B7">
          <w:pPr>
            <w:pStyle w:val="TOC2"/>
            <w:tabs>
              <w:tab w:val="right" w:leader="dot" w:pos="9736"/>
            </w:tabs>
            <w:rPr>
              <w:rFonts w:ascii="Times New Roman" w:hAnsi="Times New Roman" w:cs="Times New Roman"/>
              <w:noProof/>
            </w:rPr>
          </w:pPr>
          <w:hyperlink w:anchor="_Toc224599762" w:history="1">
            <w:r w:rsidRPr="000465B7">
              <w:rPr>
                <w:rStyle w:val="Hyperlink"/>
                <w:rFonts w:ascii="Times New Roman" w:hAnsi="Times New Roman" w:cs="Times New Roman"/>
                <w:noProof/>
              </w:rPr>
              <w:t>3.3 Impact on Shareholder Value, Debt Structure and Operational Flexibility</w:t>
            </w:r>
            <w:r w:rsidRPr="000465B7">
              <w:rPr>
                <w:rFonts w:ascii="Times New Roman" w:hAnsi="Times New Roman" w:cs="Times New Roman"/>
                <w:noProof/>
                <w:webHidden/>
              </w:rPr>
              <w:tab/>
            </w:r>
            <w:r w:rsidRPr="000465B7">
              <w:rPr>
                <w:rFonts w:ascii="Times New Roman" w:hAnsi="Times New Roman" w:cs="Times New Roman"/>
                <w:noProof/>
                <w:webHidden/>
              </w:rPr>
              <w:fldChar w:fldCharType="begin"/>
            </w:r>
            <w:r w:rsidRPr="000465B7">
              <w:rPr>
                <w:rFonts w:ascii="Times New Roman" w:hAnsi="Times New Roman" w:cs="Times New Roman"/>
                <w:noProof/>
                <w:webHidden/>
              </w:rPr>
              <w:instrText xml:space="preserve"> PAGEREF _Toc224599762 \h </w:instrText>
            </w:r>
            <w:r w:rsidRPr="000465B7">
              <w:rPr>
                <w:rFonts w:ascii="Times New Roman" w:hAnsi="Times New Roman" w:cs="Times New Roman"/>
                <w:noProof/>
                <w:webHidden/>
              </w:rPr>
            </w:r>
            <w:r w:rsidRPr="000465B7">
              <w:rPr>
                <w:rFonts w:ascii="Times New Roman" w:hAnsi="Times New Roman" w:cs="Times New Roman"/>
                <w:noProof/>
                <w:webHidden/>
              </w:rPr>
              <w:fldChar w:fldCharType="separate"/>
            </w:r>
            <w:r w:rsidRPr="000465B7">
              <w:rPr>
                <w:rFonts w:ascii="Times New Roman" w:hAnsi="Times New Roman" w:cs="Times New Roman"/>
                <w:noProof/>
                <w:webHidden/>
              </w:rPr>
              <w:t>12</w:t>
            </w:r>
            <w:r w:rsidRPr="000465B7">
              <w:rPr>
                <w:rFonts w:ascii="Times New Roman" w:hAnsi="Times New Roman" w:cs="Times New Roman"/>
                <w:noProof/>
                <w:webHidden/>
              </w:rPr>
              <w:fldChar w:fldCharType="end"/>
            </w:r>
          </w:hyperlink>
        </w:p>
        <w:p w14:paraId="554919C4" w14:textId="249A18A2" w:rsidR="000465B7" w:rsidRPr="000465B7" w:rsidRDefault="000465B7">
          <w:pPr>
            <w:pStyle w:val="TOC2"/>
            <w:tabs>
              <w:tab w:val="right" w:leader="dot" w:pos="9736"/>
            </w:tabs>
            <w:rPr>
              <w:rFonts w:ascii="Times New Roman" w:hAnsi="Times New Roman" w:cs="Times New Roman"/>
              <w:noProof/>
            </w:rPr>
          </w:pPr>
          <w:hyperlink w:anchor="_Toc224599763" w:history="1">
            <w:r w:rsidRPr="000465B7">
              <w:rPr>
                <w:rStyle w:val="Hyperlink"/>
                <w:rFonts w:ascii="Times New Roman" w:hAnsi="Times New Roman" w:cs="Times New Roman"/>
                <w:noProof/>
              </w:rPr>
              <w:t>3.4 International Considerations: Currency Risk, Inflation, and Taxation</w:t>
            </w:r>
            <w:r w:rsidRPr="000465B7">
              <w:rPr>
                <w:rFonts w:ascii="Times New Roman" w:hAnsi="Times New Roman" w:cs="Times New Roman"/>
                <w:noProof/>
                <w:webHidden/>
              </w:rPr>
              <w:tab/>
            </w:r>
            <w:r w:rsidRPr="000465B7">
              <w:rPr>
                <w:rFonts w:ascii="Times New Roman" w:hAnsi="Times New Roman" w:cs="Times New Roman"/>
                <w:noProof/>
                <w:webHidden/>
              </w:rPr>
              <w:fldChar w:fldCharType="begin"/>
            </w:r>
            <w:r w:rsidRPr="000465B7">
              <w:rPr>
                <w:rFonts w:ascii="Times New Roman" w:hAnsi="Times New Roman" w:cs="Times New Roman"/>
                <w:noProof/>
                <w:webHidden/>
              </w:rPr>
              <w:instrText xml:space="preserve"> PAGEREF _Toc224599763 \h </w:instrText>
            </w:r>
            <w:r w:rsidRPr="000465B7">
              <w:rPr>
                <w:rFonts w:ascii="Times New Roman" w:hAnsi="Times New Roman" w:cs="Times New Roman"/>
                <w:noProof/>
                <w:webHidden/>
              </w:rPr>
            </w:r>
            <w:r w:rsidRPr="000465B7">
              <w:rPr>
                <w:rFonts w:ascii="Times New Roman" w:hAnsi="Times New Roman" w:cs="Times New Roman"/>
                <w:noProof/>
                <w:webHidden/>
              </w:rPr>
              <w:fldChar w:fldCharType="separate"/>
            </w:r>
            <w:r w:rsidRPr="000465B7">
              <w:rPr>
                <w:rFonts w:ascii="Times New Roman" w:hAnsi="Times New Roman" w:cs="Times New Roman"/>
                <w:noProof/>
                <w:webHidden/>
              </w:rPr>
              <w:t>12</w:t>
            </w:r>
            <w:r w:rsidRPr="000465B7">
              <w:rPr>
                <w:rFonts w:ascii="Times New Roman" w:hAnsi="Times New Roman" w:cs="Times New Roman"/>
                <w:noProof/>
                <w:webHidden/>
              </w:rPr>
              <w:fldChar w:fldCharType="end"/>
            </w:r>
          </w:hyperlink>
        </w:p>
        <w:p w14:paraId="706E4E7D" w14:textId="6166C380" w:rsidR="000465B7" w:rsidRPr="000465B7" w:rsidRDefault="000465B7">
          <w:pPr>
            <w:pStyle w:val="TOC2"/>
            <w:tabs>
              <w:tab w:val="right" w:leader="dot" w:pos="9736"/>
            </w:tabs>
            <w:rPr>
              <w:rFonts w:ascii="Times New Roman" w:hAnsi="Times New Roman" w:cs="Times New Roman"/>
              <w:noProof/>
            </w:rPr>
          </w:pPr>
          <w:hyperlink w:anchor="_Toc224599764" w:history="1">
            <w:r w:rsidRPr="000465B7">
              <w:rPr>
                <w:rStyle w:val="Hyperlink"/>
                <w:rFonts w:ascii="Times New Roman" w:hAnsi="Times New Roman" w:cs="Times New Roman"/>
                <w:noProof/>
              </w:rPr>
              <w:t>3.5 Corporate Social Responsibility (CSR) and Ethical Considerations</w:t>
            </w:r>
            <w:r w:rsidRPr="000465B7">
              <w:rPr>
                <w:rFonts w:ascii="Times New Roman" w:hAnsi="Times New Roman" w:cs="Times New Roman"/>
                <w:noProof/>
                <w:webHidden/>
              </w:rPr>
              <w:tab/>
            </w:r>
            <w:r w:rsidRPr="000465B7">
              <w:rPr>
                <w:rFonts w:ascii="Times New Roman" w:hAnsi="Times New Roman" w:cs="Times New Roman"/>
                <w:noProof/>
                <w:webHidden/>
              </w:rPr>
              <w:fldChar w:fldCharType="begin"/>
            </w:r>
            <w:r w:rsidRPr="000465B7">
              <w:rPr>
                <w:rFonts w:ascii="Times New Roman" w:hAnsi="Times New Roman" w:cs="Times New Roman"/>
                <w:noProof/>
                <w:webHidden/>
              </w:rPr>
              <w:instrText xml:space="preserve"> PAGEREF _Toc224599764 \h </w:instrText>
            </w:r>
            <w:r w:rsidRPr="000465B7">
              <w:rPr>
                <w:rFonts w:ascii="Times New Roman" w:hAnsi="Times New Roman" w:cs="Times New Roman"/>
                <w:noProof/>
                <w:webHidden/>
              </w:rPr>
            </w:r>
            <w:r w:rsidRPr="000465B7">
              <w:rPr>
                <w:rFonts w:ascii="Times New Roman" w:hAnsi="Times New Roman" w:cs="Times New Roman"/>
                <w:noProof/>
                <w:webHidden/>
              </w:rPr>
              <w:fldChar w:fldCharType="separate"/>
            </w:r>
            <w:r w:rsidRPr="000465B7">
              <w:rPr>
                <w:rFonts w:ascii="Times New Roman" w:hAnsi="Times New Roman" w:cs="Times New Roman"/>
                <w:noProof/>
                <w:webHidden/>
              </w:rPr>
              <w:t>13</w:t>
            </w:r>
            <w:r w:rsidRPr="000465B7">
              <w:rPr>
                <w:rFonts w:ascii="Times New Roman" w:hAnsi="Times New Roman" w:cs="Times New Roman"/>
                <w:noProof/>
                <w:webHidden/>
              </w:rPr>
              <w:fldChar w:fldCharType="end"/>
            </w:r>
          </w:hyperlink>
        </w:p>
        <w:p w14:paraId="52C60CE4" w14:textId="0CC67071" w:rsidR="000465B7" w:rsidRPr="000465B7" w:rsidRDefault="000465B7">
          <w:pPr>
            <w:pStyle w:val="TOC1"/>
            <w:tabs>
              <w:tab w:val="right" w:leader="dot" w:pos="9736"/>
            </w:tabs>
            <w:rPr>
              <w:rFonts w:ascii="Times New Roman" w:hAnsi="Times New Roman" w:cs="Times New Roman"/>
              <w:noProof/>
            </w:rPr>
          </w:pPr>
          <w:hyperlink w:anchor="_Toc224599765" w:history="1">
            <w:r w:rsidRPr="000465B7">
              <w:rPr>
                <w:rStyle w:val="Hyperlink"/>
                <w:rFonts w:ascii="Times New Roman" w:hAnsi="Times New Roman" w:cs="Times New Roman"/>
                <w:noProof/>
              </w:rPr>
              <w:t>Section 4: Investment Appraisal and Capital Budgeting</w:t>
            </w:r>
            <w:r w:rsidRPr="000465B7">
              <w:rPr>
                <w:rFonts w:ascii="Times New Roman" w:hAnsi="Times New Roman" w:cs="Times New Roman"/>
                <w:noProof/>
                <w:webHidden/>
              </w:rPr>
              <w:tab/>
            </w:r>
            <w:r w:rsidRPr="000465B7">
              <w:rPr>
                <w:rFonts w:ascii="Times New Roman" w:hAnsi="Times New Roman" w:cs="Times New Roman"/>
                <w:noProof/>
                <w:webHidden/>
              </w:rPr>
              <w:fldChar w:fldCharType="begin"/>
            </w:r>
            <w:r w:rsidRPr="000465B7">
              <w:rPr>
                <w:rFonts w:ascii="Times New Roman" w:hAnsi="Times New Roman" w:cs="Times New Roman"/>
                <w:noProof/>
                <w:webHidden/>
              </w:rPr>
              <w:instrText xml:space="preserve"> PAGEREF _Toc224599765 \h </w:instrText>
            </w:r>
            <w:r w:rsidRPr="000465B7">
              <w:rPr>
                <w:rFonts w:ascii="Times New Roman" w:hAnsi="Times New Roman" w:cs="Times New Roman"/>
                <w:noProof/>
                <w:webHidden/>
              </w:rPr>
            </w:r>
            <w:r w:rsidRPr="000465B7">
              <w:rPr>
                <w:rFonts w:ascii="Times New Roman" w:hAnsi="Times New Roman" w:cs="Times New Roman"/>
                <w:noProof/>
                <w:webHidden/>
              </w:rPr>
              <w:fldChar w:fldCharType="separate"/>
            </w:r>
            <w:r w:rsidRPr="000465B7">
              <w:rPr>
                <w:rFonts w:ascii="Times New Roman" w:hAnsi="Times New Roman" w:cs="Times New Roman"/>
                <w:noProof/>
                <w:webHidden/>
              </w:rPr>
              <w:t>13</w:t>
            </w:r>
            <w:r w:rsidRPr="000465B7">
              <w:rPr>
                <w:rFonts w:ascii="Times New Roman" w:hAnsi="Times New Roman" w:cs="Times New Roman"/>
                <w:noProof/>
                <w:webHidden/>
              </w:rPr>
              <w:fldChar w:fldCharType="end"/>
            </w:r>
          </w:hyperlink>
        </w:p>
        <w:p w14:paraId="12E96DDC" w14:textId="764615FE" w:rsidR="000465B7" w:rsidRPr="000465B7" w:rsidRDefault="000465B7">
          <w:pPr>
            <w:pStyle w:val="TOC2"/>
            <w:tabs>
              <w:tab w:val="right" w:leader="dot" w:pos="9736"/>
            </w:tabs>
            <w:rPr>
              <w:rFonts w:ascii="Times New Roman" w:hAnsi="Times New Roman" w:cs="Times New Roman"/>
              <w:noProof/>
            </w:rPr>
          </w:pPr>
          <w:hyperlink w:anchor="_Toc224599766" w:history="1">
            <w:r w:rsidRPr="000465B7">
              <w:rPr>
                <w:rStyle w:val="Hyperlink"/>
                <w:rFonts w:ascii="Times New Roman" w:hAnsi="Times New Roman" w:cs="Times New Roman"/>
                <w:noProof/>
              </w:rPr>
              <w:t>4.1 Project Overview</w:t>
            </w:r>
            <w:r w:rsidRPr="000465B7">
              <w:rPr>
                <w:rFonts w:ascii="Times New Roman" w:hAnsi="Times New Roman" w:cs="Times New Roman"/>
                <w:noProof/>
                <w:webHidden/>
              </w:rPr>
              <w:tab/>
            </w:r>
            <w:r w:rsidRPr="000465B7">
              <w:rPr>
                <w:rFonts w:ascii="Times New Roman" w:hAnsi="Times New Roman" w:cs="Times New Roman"/>
                <w:noProof/>
                <w:webHidden/>
              </w:rPr>
              <w:fldChar w:fldCharType="begin"/>
            </w:r>
            <w:r w:rsidRPr="000465B7">
              <w:rPr>
                <w:rFonts w:ascii="Times New Roman" w:hAnsi="Times New Roman" w:cs="Times New Roman"/>
                <w:noProof/>
                <w:webHidden/>
              </w:rPr>
              <w:instrText xml:space="preserve"> PAGEREF _Toc224599766 \h </w:instrText>
            </w:r>
            <w:r w:rsidRPr="000465B7">
              <w:rPr>
                <w:rFonts w:ascii="Times New Roman" w:hAnsi="Times New Roman" w:cs="Times New Roman"/>
                <w:noProof/>
                <w:webHidden/>
              </w:rPr>
            </w:r>
            <w:r w:rsidRPr="000465B7">
              <w:rPr>
                <w:rFonts w:ascii="Times New Roman" w:hAnsi="Times New Roman" w:cs="Times New Roman"/>
                <w:noProof/>
                <w:webHidden/>
              </w:rPr>
              <w:fldChar w:fldCharType="separate"/>
            </w:r>
            <w:r w:rsidRPr="000465B7">
              <w:rPr>
                <w:rFonts w:ascii="Times New Roman" w:hAnsi="Times New Roman" w:cs="Times New Roman"/>
                <w:noProof/>
                <w:webHidden/>
              </w:rPr>
              <w:t>13</w:t>
            </w:r>
            <w:r w:rsidRPr="000465B7">
              <w:rPr>
                <w:rFonts w:ascii="Times New Roman" w:hAnsi="Times New Roman" w:cs="Times New Roman"/>
                <w:noProof/>
                <w:webHidden/>
              </w:rPr>
              <w:fldChar w:fldCharType="end"/>
            </w:r>
          </w:hyperlink>
        </w:p>
        <w:p w14:paraId="20283B09" w14:textId="557C93B0" w:rsidR="000465B7" w:rsidRPr="000465B7" w:rsidRDefault="000465B7">
          <w:pPr>
            <w:pStyle w:val="TOC2"/>
            <w:tabs>
              <w:tab w:val="right" w:leader="dot" w:pos="9736"/>
            </w:tabs>
            <w:rPr>
              <w:rFonts w:ascii="Times New Roman" w:hAnsi="Times New Roman" w:cs="Times New Roman"/>
              <w:noProof/>
            </w:rPr>
          </w:pPr>
          <w:hyperlink w:anchor="_Toc224599767" w:history="1">
            <w:r w:rsidRPr="000465B7">
              <w:rPr>
                <w:rStyle w:val="Hyperlink"/>
                <w:rFonts w:ascii="Times New Roman" w:hAnsi="Times New Roman" w:cs="Times New Roman"/>
                <w:noProof/>
              </w:rPr>
              <w:t>4.2 Payback Period (PBP)</w:t>
            </w:r>
            <w:r w:rsidRPr="000465B7">
              <w:rPr>
                <w:rFonts w:ascii="Times New Roman" w:hAnsi="Times New Roman" w:cs="Times New Roman"/>
                <w:noProof/>
                <w:webHidden/>
              </w:rPr>
              <w:tab/>
            </w:r>
            <w:r w:rsidRPr="000465B7">
              <w:rPr>
                <w:rFonts w:ascii="Times New Roman" w:hAnsi="Times New Roman" w:cs="Times New Roman"/>
                <w:noProof/>
                <w:webHidden/>
              </w:rPr>
              <w:fldChar w:fldCharType="begin"/>
            </w:r>
            <w:r w:rsidRPr="000465B7">
              <w:rPr>
                <w:rFonts w:ascii="Times New Roman" w:hAnsi="Times New Roman" w:cs="Times New Roman"/>
                <w:noProof/>
                <w:webHidden/>
              </w:rPr>
              <w:instrText xml:space="preserve"> PAGEREF _Toc224599767 \h </w:instrText>
            </w:r>
            <w:r w:rsidRPr="000465B7">
              <w:rPr>
                <w:rFonts w:ascii="Times New Roman" w:hAnsi="Times New Roman" w:cs="Times New Roman"/>
                <w:noProof/>
                <w:webHidden/>
              </w:rPr>
            </w:r>
            <w:r w:rsidRPr="000465B7">
              <w:rPr>
                <w:rFonts w:ascii="Times New Roman" w:hAnsi="Times New Roman" w:cs="Times New Roman"/>
                <w:noProof/>
                <w:webHidden/>
              </w:rPr>
              <w:fldChar w:fldCharType="separate"/>
            </w:r>
            <w:r w:rsidRPr="000465B7">
              <w:rPr>
                <w:rFonts w:ascii="Times New Roman" w:hAnsi="Times New Roman" w:cs="Times New Roman"/>
                <w:noProof/>
                <w:webHidden/>
              </w:rPr>
              <w:t>14</w:t>
            </w:r>
            <w:r w:rsidRPr="000465B7">
              <w:rPr>
                <w:rFonts w:ascii="Times New Roman" w:hAnsi="Times New Roman" w:cs="Times New Roman"/>
                <w:noProof/>
                <w:webHidden/>
              </w:rPr>
              <w:fldChar w:fldCharType="end"/>
            </w:r>
          </w:hyperlink>
        </w:p>
        <w:p w14:paraId="426D7EE4" w14:textId="0DE952F8" w:rsidR="000465B7" w:rsidRPr="000465B7" w:rsidRDefault="000465B7">
          <w:pPr>
            <w:pStyle w:val="TOC2"/>
            <w:tabs>
              <w:tab w:val="right" w:leader="dot" w:pos="9736"/>
            </w:tabs>
            <w:rPr>
              <w:rFonts w:ascii="Times New Roman" w:hAnsi="Times New Roman" w:cs="Times New Roman"/>
              <w:noProof/>
            </w:rPr>
          </w:pPr>
          <w:hyperlink w:anchor="_Toc224599768" w:history="1">
            <w:r w:rsidRPr="000465B7">
              <w:rPr>
                <w:rStyle w:val="Hyperlink"/>
                <w:rFonts w:ascii="Times New Roman" w:hAnsi="Times New Roman" w:cs="Times New Roman"/>
                <w:noProof/>
              </w:rPr>
              <w:t>4.3 Accounting Rate of Return (ARR)</w:t>
            </w:r>
            <w:r w:rsidRPr="000465B7">
              <w:rPr>
                <w:rFonts w:ascii="Times New Roman" w:hAnsi="Times New Roman" w:cs="Times New Roman"/>
                <w:noProof/>
                <w:webHidden/>
              </w:rPr>
              <w:tab/>
            </w:r>
            <w:r w:rsidRPr="000465B7">
              <w:rPr>
                <w:rFonts w:ascii="Times New Roman" w:hAnsi="Times New Roman" w:cs="Times New Roman"/>
                <w:noProof/>
                <w:webHidden/>
              </w:rPr>
              <w:fldChar w:fldCharType="begin"/>
            </w:r>
            <w:r w:rsidRPr="000465B7">
              <w:rPr>
                <w:rFonts w:ascii="Times New Roman" w:hAnsi="Times New Roman" w:cs="Times New Roman"/>
                <w:noProof/>
                <w:webHidden/>
              </w:rPr>
              <w:instrText xml:space="preserve"> PAGEREF _Toc224599768 \h </w:instrText>
            </w:r>
            <w:r w:rsidRPr="000465B7">
              <w:rPr>
                <w:rFonts w:ascii="Times New Roman" w:hAnsi="Times New Roman" w:cs="Times New Roman"/>
                <w:noProof/>
                <w:webHidden/>
              </w:rPr>
            </w:r>
            <w:r w:rsidRPr="000465B7">
              <w:rPr>
                <w:rFonts w:ascii="Times New Roman" w:hAnsi="Times New Roman" w:cs="Times New Roman"/>
                <w:noProof/>
                <w:webHidden/>
              </w:rPr>
              <w:fldChar w:fldCharType="separate"/>
            </w:r>
            <w:r w:rsidRPr="000465B7">
              <w:rPr>
                <w:rFonts w:ascii="Times New Roman" w:hAnsi="Times New Roman" w:cs="Times New Roman"/>
                <w:noProof/>
                <w:webHidden/>
              </w:rPr>
              <w:t>14</w:t>
            </w:r>
            <w:r w:rsidRPr="000465B7">
              <w:rPr>
                <w:rFonts w:ascii="Times New Roman" w:hAnsi="Times New Roman" w:cs="Times New Roman"/>
                <w:noProof/>
                <w:webHidden/>
              </w:rPr>
              <w:fldChar w:fldCharType="end"/>
            </w:r>
          </w:hyperlink>
        </w:p>
        <w:p w14:paraId="7DA9DAA0" w14:textId="415E7FF7" w:rsidR="000465B7" w:rsidRPr="000465B7" w:rsidRDefault="000465B7">
          <w:pPr>
            <w:pStyle w:val="TOC2"/>
            <w:tabs>
              <w:tab w:val="right" w:leader="dot" w:pos="9736"/>
            </w:tabs>
            <w:rPr>
              <w:rFonts w:ascii="Times New Roman" w:hAnsi="Times New Roman" w:cs="Times New Roman"/>
              <w:noProof/>
            </w:rPr>
          </w:pPr>
          <w:hyperlink w:anchor="_Toc224599769" w:history="1">
            <w:r w:rsidRPr="000465B7">
              <w:rPr>
                <w:rStyle w:val="Hyperlink"/>
                <w:rFonts w:ascii="Times New Roman" w:hAnsi="Times New Roman" w:cs="Times New Roman"/>
                <w:noProof/>
              </w:rPr>
              <w:t>4.4 Net Present Value (NPV)</w:t>
            </w:r>
            <w:r w:rsidRPr="000465B7">
              <w:rPr>
                <w:rFonts w:ascii="Times New Roman" w:hAnsi="Times New Roman" w:cs="Times New Roman"/>
                <w:noProof/>
                <w:webHidden/>
              </w:rPr>
              <w:tab/>
            </w:r>
            <w:r w:rsidRPr="000465B7">
              <w:rPr>
                <w:rFonts w:ascii="Times New Roman" w:hAnsi="Times New Roman" w:cs="Times New Roman"/>
                <w:noProof/>
                <w:webHidden/>
              </w:rPr>
              <w:fldChar w:fldCharType="begin"/>
            </w:r>
            <w:r w:rsidRPr="000465B7">
              <w:rPr>
                <w:rFonts w:ascii="Times New Roman" w:hAnsi="Times New Roman" w:cs="Times New Roman"/>
                <w:noProof/>
                <w:webHidden/>
              </w:rPr>
              <w:instrText xml:space="preserve"> PAGEREF _Toc224599769 \h </w:instrText>
            </w:r>
            <w:r w:rsidRPr="000465B7">
              <w:rPr>
                <w:rFonts w:ascii="Times New Roman" w:hAnsi="Times New Roman" w:cs="Times New Roman"/>
                <w:noProof/>
                <w:webHidden/>
              </w:rPr>
            </w:r>
            <w:r w:rsidRPr="000465B7">
              <w:rPr>
                <w:rFonts w:ascii="Times New Roman" w:hAnsi="Times New Roman" w:cs="Times New Roman"/>
                <w:noProof/>
                <w:webHidden/>
              </w:rPr>
              <w:fldChar w:fldCharType="separate"/>
            </w:r>
            <w:r w:rsidRPr="000465B7">
              <w:rPr>
                <w:rFonts w:ascii="Times New Roman" w:hAnsi="Times New Roman" w:cs="Times New Roman"/>
                <w:noProof/>
                <w:webHidden/>
              </w:rPr>
              <w:t>15</w:t>
            </w:r>
            <w:r w:rsidRPr="000465B7">
              <w:rPr>
                <w:rFonts w:ascii="Times New Roman" w:hAnsi="Times New Roman" w:cs="Times New Roman"/>
                <w:noProof/>
                <w:webHidden/>
              </w:rPr>
              <w:fldChar w:fldCharType="end"/>
            </w:r>
          </w:hyperlink>
        </w:p>
        <w:p w14:paraId="7835183E" w14:textId="3CA0A017" w:rsidR="000465B7" w:rsidRPr="000465B7" w:rsidRDefault="000465B7">
          <w:pPr>
            <w:pStyle w:val="TOC2"/>
            <w:tabs>
              <w:tab w:val="right" w:leader="dot" w:pos="9736"/>
            </w:tabs>
            <w:rPr>
              <w:rFonts w:ascii="Times New Roman" w:hAnsi="Times New Roman" w:cs="Times New Roman"/>
              <w:noProof/>
            </w:rPr>
          </w:pPr>
          <w:hyperlink w:anchor="_Toc224599770" w:history="1">
            <w:r w:rsidRPr="000465B7">
              <w:rPr>
                <w:rStyle w:val="Hyperlink"/>
                <w:rFonts w:ascii="Times New Roman" w:hAnsi="Times New Roman" w:cs="Times New Roman"/>
                <w:noProof/>
              </w:rPr>
              <w:t>4.5 Internal Rate of Return (IRR)</w:t>
            </w:r>
            <w:r w:rsidRPr="000465B7">
              <w:rPr>
                <w:rFonts w:ascii="Times New Roman" w:hAnsi="Times New Roman" w:cs="Times New Roman"/>
                <w:noProof/>
                <w:webHidden/>
              </w:rPr>
              <w:tab/>
            </w:r>
            <w:r w:rsidRPr="000465B7">
              <w:rPr>
                <w:rFonts w:ascii="Times New Roman" w:hAnsi="Times New Roman" w:cs="Times New Roman"/>
                <w:noProof/>
                <w:webHidden/>
              </w:rPr>
              <w:fldChar w:fldCharType="begin"/>
            </w:r>
            <w:r w:rsidRPr="000465B7">
              <w:rPr>
                <w:rFonts w:ascii="Times New Roman" w:hAnsi="Times New Roman" w:cs="Times New Roman"/>
                <w:noProof/>
                <w:webHidden/>
              </w:rPr>
              <w:instrText xml:space="preserve"> PAGEREF _Toc224599770 \h </w:instrText>
            </w:r>
            <w:r w:rsidRPr="000465B7">
              <w:rPr>
                <w:rFonts w:ascii="Times New Roman" w:hAnsi="Times New Roman" w:cs="Times New Roman"/>
                <w:noProof/>
                <w:webHidden/>
              </w:rPr>
            </w:r>
            <w:r w:rsidRPr="000465B7">
              <w:rPr>
                <w:rFonts w:ascii="Times New Roman" w:hAnsi="Times New Roman" w:cs="Times New Roman"/>
                <w:noProof/>
                <w:webHidden/>
              </w:rPr>
              <w:fldChar w:fldCharType="separate"/>
            </w:r>
            <w:r w:rsidRPr="000465B7">
              <w:rPr>
                <w:rFonts w:ascii="Times New Roman" w:hAnsi="Times New Roman" w:cs="Times New Roman"/>
                <w:noProof/>
                <w:webHidden/>
              </w:rPr>
              <w:t>15</w:t>
            </w:r>
            <w:r w:rsidRPr="000465B7">
              <w:rPr>
                <w:rFonts w:ascii="Times New Roman" w:hAnsi="Times New Roman" w:cs="Times New Roman"/>
                <w:noProof/>
                <w:webHidden/>
              </w:rPr>
              <w:fldChar w:fldCharType="end"/>
            </w:r>
          </w:hyperlink>
        </w:p>
        <w:p w14:paraId="27F006EC" w14:textId="68C26BA6" w:rsidR="000465B7" w:rsidRPr="000465B7" w:rsidRDefault="000465B7">
          <w:pPr>
            <w:pStyle w:val="TOC2"/>
            <w:tabs>
              <w:tab w:val="right" w:leader="dot" w:pos="9736"/>
            </w:tabs>
            <w:rPr>
              <w:rFonts w:ascii="Times New Roman" w:hAnsi="Times New Roman" w:cs="Times New Roman"/>
              <w:noProof/>
            </w:rPr>
          </w:pPr>
          <w:hyperlink w:anchor="_Toc224599771" w:history="1">
            <w:r w:rsidRPr="000465B7">
              <w:rPr>
                <w:rStyle w:val="Hyperlink"/>
                <w:rFonts w:ascii="Times New Roman" w:hAnsi="Times New Roman" w:cs="Times New Roman"/>
                <w:noProof/>
              </w:rPr>
              <w:t>4.6 Profitability Index (PI)</w:t>
            </w:r>
            <w:r w:rsidRPr="000465B7">
              <w:rPr>
                <w:rFonts w:ascii="Times New Roman" w:hAnsi="Times New Roman" w:cs="Times New Roman"/>
                <w:noProof/>
                <w:webHidden/>
              </w:rPr>
              <w:tab/>
            </w:r>
            <w:r w:rsidRPr="000465B7">
              <w:rPr>
                <w:rFonts w:ascii="Times New Roman" w:hAnsi="Times New Roman" w:cs="Times New Roman"/>
                <w:noProof/>
                <w:webHidden/>
              </w:rPr>
              <w:fldChar w:fldCharType="begin"/>
            </w:r>
            <w:r w:rsidRPr="000465B7">
              <w:rPr>
                <w:rFonts w:ascii="Times New Roman" w:hAnsi="Times New Roman" w:cs="Times New Roman"/>
                <w:noProof/>
                <w:webHidden/>
              </w:rPr>
              <w:instrText xml:space="preserve"> PAGEREF _Toc224599771 \h </w:instrText>
            </w:r>
            <w:r w:rsidRPr="000465B7">
              <w:rPr>
                <w:rFonts w:ascii="Times New Roman" w:hAnsi="Times New Roman" w:cs="Times New Roman"/>
                <w:noProof/>
                <w:webHidden/>
              </w:rPr>
            </w:r>
            <w:r w:rsidRPr="000465B7">
              <w:rPr>
                <w:rFonts w:ascii="Times New Roman" w:hAnsi="Times New Roman" w:cs="Times New Roman"/>
                <w:noProof/>
                <w:webHidden/>
              </w:rPr>
              <w:fldChar w:fldCharType="separate"/>
            </w:r>
            <w:r w:rsidRPr="000465B7">
              <w:rPr>
                <w:rFonts w:ascii="Times New Roman" w:hAnsi="Times New Roman" w:cs="Times New Roman"/>
                <w:noProof/>
                <w:webHidden/>
              </w:rPr>
              <w:t>16</w:t>
            </w:r>
            <w:r w:rsidRPr="000465B7">
              <w:rPr>
                <w:rFonts w:ascii="Times New Roman" w:hAnsi="Times New Roman" w:cs="Times New Roman"/>
                <w:noProof/>
                <w:webHidden/>
              </w:rPr>
              <w:fldChar w:fldCharType="end"/>
            </w:r>
          </w:hyperlink>
        </w:p>
        <w:p w14:paraId="3E466413" w14:textId="326956B3" w:rsidR="000465B7" w:rsidRPr="000465B7" w:rsidRDefault="000465B7">
          <w:pPr>
            <w:pStyle w:val="TOC2"/>
            <w:tabs>
              <w:tab w:val="right" w:leader="dot" w:pos="9736"/>
            </w:tabs>
            <w:rPr>
              <w:rFonts w:ascii="Times New Roman" w:hAnsi="Times New Roman" w:cs="Times New Roman"/>
              <w:noProof/>
            </w:rPr>
          </w:pPr>
          <w:hyperlink w:anchor="_Toc224599772" w:history="1">
            <w:r w:rsidRPr="000465B7">
              <w:rPr>
                <w:rStyle w:val="Hyperlink"/>
                <w:rFonts w:ascii="Times New Roman" w:hAnsi="Times New Roman" w:cs="Times New Roman"/>
                <w:noProof/>
              </w:rPr>
              <w:t>4.7 Summary Appraisal and Recommendation</w:t>
            </w:r>
            <w:r w:rsidRPr="000465B7">
              <w:rPr>
                <w:rFonts w:ascii="Times New Roman" w:hAnsi="Times New Roman" w:cs="Times New Roman"/>
                <w:noProof/>
                <w:webHidden/>
              </w:rPr>
              <w:tab/>
            </w:r>
            <w:r w:rsidRPr="000465B7">
              <w:rPr>
                <w:rFonts w:ascii="Times New Roman" w:hAnsi="Times New Roman" w:cs="Times New Roman"/>
                <w:noProof/>
                <w:webHidden/>
              </w:rPr>
              <w:fldChar w:fldCharType="begin"/>
            </w:r>
            <w:r w:rsidRPr="000465B7">
              <w:rPr>
                <w:rFonts w:ascii="Times New Roman" w:hAnsi="Times New Roman" w:cs="Times New Roman"/>
                <w:noProof/>
                <w:webHidden/>
              </w:rPr>
              <w:instrText xml:space="preserve"> PAGEREF _Toc224599772 \h </w:instrText>
            </w:r>
            <w:r w:rsidRPr="000465B7">
              <w:rPr>
                <w:rFonts w:ascii="Times New Roman" w:hAnsi="Times New Roman" w:cs="Times New Roman"/>
                <w:noProof/>
                <w:webHidden/>
              </w:rPr>
            </w:r>
            <w:r w:rsidRPr="000465B7">
              <w:rPr>
                <w:rFonts w:ascii="Times New Roman" w:hAnsi="Times New Roman" w:cs="Times New Roman"/>
                <w:noProof/>
                <w:webHidden/>
              </w:rPr>
              <w:fldChar w:fldCharType="separate"/>
            </w:r>
            <w:r w:rsidRPr="000465B7">
              <w:rPr>
                <w:rFonts w:ascii="Times New Roman" w:hAnsi="Times New Roman" w:cs="Times New Roman"/>
                <w:noProof/>
                <w:webHidden/>
              </w:rPr>
              <w:t>16</w:t>
            </w:r>
            <w:r w:rsidRPr="000465B7">
              <w:rPr>
                <w:rFonts w:ascii="Times New Roman" w:hAnsi="Times New Roman" w:cs="Times New Roman"/>
                <w:noProof/>
                <w:webHidden/>
              </w:rPr>
              <w:fldChar w:fldCharType="end"/>
            </w:r>
          </w:hyperlink>
        </w:p>
        <w:p w14:paraId="2D7A0CAA" w14:textId="5ACE8C4F" w:rsidR="000465B7" w:rsidRPr="000465B7" w:rsidRDefault="000465B7">
          <w:pPr>
            <w:pStyle w:val="TOC3"/>
            <w:tabs>
              <w:tab w:val="right" w:leader="dot" w:pos="9736"/>
            </w:tabs>
            <w:rPr>
              <w:rFonts w:ascii="Times New Roman" w:hAnsi="Times New Roman" w:cs="Times New Roman"/>
              <w:noProof/>
            </w:rPr>
          </w:pPr>
          <w:hyperlink w:anchor="_Toc224599773" w:history="1">
            <w:r w:rsidRPr="000465B7">
              <w:rPr>
                <w:rStyle w:val="Hyperlink"/>
                <w:rFonts w:ascii="Times New Roman" w:hAnsi="Times New Roman" w:cs="Times New Roman"/>
                <w:noProof/>
              </w:rPr>
              <w:t>Recommended Project: Project C</w:t>
            </w:r>
            <w:r w:rsidRPr="000465B7">
              <w:rPr>
                <w:rFonts w:ascii="Times New Roman" w:hAnsi="Times New Roman" w:cs="Times New Roman"/>
                <w:noProof/>
                <w:webHidden/>
              </w:rPr>
              <w:tab/>
            </w:r>
            <w:r w:rsidRPr="000465B7">
              <w:rPr>
                <w:rFonts w:ascii="Times New Roman" w:hAnsi="Times New Roman" w:cs="Times New Roman"/>
                <w:noProof/>
                <w:webHidden/>
              </w:rPr>
              <w:fldChar w:fldCharType="begin"/>
            </w:r>
            <w:r w:rsidRPr="000465B7">
              <w:rPr>
                <w:rFonts w:ascii="Times New Roman" w:hAnsi="Times New Roman" w:cs="Times New Roman"/>
                <w:noProof/>
                <w:webHidden/>
              </w:rPr>
              <w:instrText xml:space="preserve"> PAGEREF _Toc224599773 \h </w:instrText>
            </w:r>
            <w:r w:rsidRPr="000465B7">
              <w:rPr>
                <w:rFonts w:ascii="Times New Roman" w:hAnsi="Times New Roman" w:cs="Times New Roman"/>
                <w:noProof/>
                <w:webHidden/>
              </w:rPr>
            </w:r>
            <w:r w:rsidRPr="000465B7">
              <w:rPr>
                <w:rFonts w:ascii="Times New Roman" w:hAnsi="Times New Roman" w:cs="Times New Roman"/>
                <w:noProof/>
                <w:webHidden/>
              </w:rPr>
              <w:fldChar w:fldCharType="separate"/>
            </w:r>
            <w:r w:rsidRPr="000465B7">
              <w:rPr>
                <w:rFonts w:ascii="Times New Roman" w:hAnsi="Times New Roman" w:cs="Times New Roman"/>
                <w:noProof/>
                <w:webHidden/>
              </w:rPr>
              <w:t>16</w:t>
            </w:r>
            <w:r w:rsidRPr="000465B7">
              <w:rPr>
                <w:rFonts w:ascii="Times New Roman" w:hAnsi="Times New Roman" w:cs="Times New Roman"/>
                <w:noProof/>
                <w:webHidden/>
              </w:rPr>
              <w:fldChar w:fldCharType="end"/>
            </w:r>
          </w:hyperlink>
        </w:p>
        <w:p w14:paraId="3E448E7B" w14:textId="5BBE506C" w:rsidR="000465B7" w:rsidRPr="000465B7" w:rsidRDefault="000465B7">
          <w:pPr>
            <w:pStyle w:val="TOC2"/>
            <w:tabs>
              <w:tab w:val="right" w:leader="dot" w:pos="9736"/>
            </w:tabs>
            <w:rPr>
              <w:rFonts w:ascii="Times New Roman" w:hAnsi="Times New Roman" w:cs="Times New Roman"/>
              <w:noProof/>
            </w:rPr>
          </w:pPr>
          <w:hyperlink w:anchor="_Toc224599774" w:history="1">
            <w:r w:rsidRPr="000465B7">
              <w:rPr>
                <w:rStyle w:val="Hyperlink"/>
                <w:rFonts w:ascii="Times New Roman" w:hAnsi="Times New Roman" w:cs="Times New Roman"/>
                <w:noProof/>
              </w:rPr>
              <w:t>4.8 Capital Rationing: Optimal Combination with a £100M Budget</w:t>
            </w:r>
            <w:r w:rsidRPr="000465B7">
              <w:rPr>
                <w:rFonts w:ascii="Times New Roman" w:hAnsi="Times New Roman" w:cs="Times New Roman"/>
                <w:noProof/>
                <w:webHidden/>
              </w:rPr>
              <w:tab/>
            </w:r>
            <w:r w:rsidRPr="000465B7">
              <w:rPr>
                <w:rFonts w:ascii="Times New Roman" w:hAnsi="Times New Roman" w:cs="Times New Roman"/>
                <w:noProof/>
                <w:webHidden/>
              </w:rPr>
              <w:fldChar w:fldCharType="begin"/>
            </w:r>
            <w:r w:rsidRPr="000465B7">
              <w:rPr>
                <w:rFonts w:ascii="Times New Roman" w:hAnsi="Times New Roman" w:cs="Times New Roman"/>
                <w:noProof/>
                <w:webHidden/>
              </w:rPr>
              <w:instrText xml:space="preserve"> PAGEREF _Toc224599774 \h </w:instrText>
            </w:r>
            <w:r w:rsidRPr="000465B7">
              <w:rPr>
                <w:rFonts w:ascii="Times New Roman" w:hAnsi="Times New Roman" w:cs="Times New Roman"/>
                <w:noProof/>
                <w:webHidden/>
              </w:rPr>
            </w:r>
            <w:r w:rsidRPr="000465B7">
              <w:rPr>
                <w:rFonts w:ascii="Times New Roman" w:hAnsi="Times New Roman" w:cs="Times New Roman"/>
                <w:noProof/>
                <w:webHidden/>
              </w:rPr>
              <w:fldChar w:fldCharType="separate"/>
            </w:r>
            <w:r w:rsidRPr="000465B7">
              <w:rPr>
                <w:rFonts w:ascii="Times New Roman" w:hAnsi="Times New Roman" w:cs="Times New Roman"/>
                <w:noProof/>
                <w:webHidden/>
              </w:rPr>
              <w:t>17</w:t>
            </w:r>
            <w:r w:rsidRPr="000465B7">
              <w:rPr>
                <w:rFonts w:ascii="Times New Roman" w:hAnsi="Times New Roman" w:cs="Times New Roman"/>
                <w:noProof/>
                <w:webHidden/>
              </w:rPr>
              <w:fldChar w:fldCharType="end"/>
            </w:r>
          </w:hyperlink>
        </w:p>
        <w:p w14:paraId="671ACB6A" w14:textId="00825C25" w:rsidR="000465B7" w:rsidRPr="000465B7" w:rsidRDefault="000465B7">
          <w:pPr>
            <w:pStyle w:val="TOC1"/>
            <w:tabs>
              <w:tab w:val="right" w:leader="dot" w:pos="9736"/>
            </w:tabs>
            <w:rPr>
              <w:rFonts w:ascii="Times New Roman" w:hAnsi="Times New Roman" w:cs="Times New Roman"/>
              <w:noProof/>
            </w:rPr>
          </w:pPr>
          <w:hyperlink w:anchor="_Toc224599775" w:history="1">
            <w:r w:rsidRPr="000465B7">
              <w:rPr>
                <w:rStyle w:val="Hyperlink"/>
                <w:rFonts w:ascii="Times New Roman" w:hAnsi="Times New Roman" w:cs="Times New Roman"/>
                <w:noProof/>
              </w:rPr>
              <w:t>Conclusion</w:t>
            </w:r>
            <w:r w:rsidRPr="000465B7">
              <w:rPr>
                <w:rFonts w:ascii="Times New Roman" w:hAnsi="Times New Roman" w:cs="Times New Roman"/>
                <w:noProof/>
                <w:webHidden/>
              </w:rPr>
              <w:tab/>
            </w:r>
            <w:r w:rsidRPr="000465B7">
              <w:rPr>
                <w:rFonts w:ascii="Times New Roman" w:hAnsi="Times New Roman" w:cs="Times New Roman"/>
                <w:noProof/>
                <w:webHidden/>
              </w:rPr>
              <w:fldChar w:fldCharType="begin"/>
            </w:r>
            <w:r w:rsidRPr="000465B7">
              <w:rPr>
                <w:rFonts w:ascii="Times New Roman" w:hAnsi="Times New Roman" w:cs="Times New Roman"/>
                <w:noProof/>
                <w:webHidden/>
              </w:rPr>
              <w:instrText xml:space="preserve"> PAGEREF _Toc224599775 \h </w:instrText>
            </w:r>
            <w:r w:rsidRPr="000465B7">
              <w:rPr>
                <w:rFonts w:ascii="Times New Roman" w:hAnsi="Times New Roman" w:cs="Times New Roman"/>
                <w:noProof/>
                <w:webHidden/>
              </w:rPr>
            </w:r>
            <w:r w:rsidRPr="000465B7">
              <w:rPr>
                <w:rFonts w:ascii="Times New Roman" w:hAnsi="Times New Roman" w:cs="Times New Roman"/>
                <w:noProof/>
                <w:webHidden/>
              </w:rPr>
              <w:fldChar w:fldCharType="separate"/>
            </w:r>
            <w:r w:rsidRPr="000465B7">
              <w:rPr>
                <w:rFonts w:ascii="Times New Roman" w:hAnsi="Times New Roman" w:cs="Times New Roman"/>
                <w:noProof/>
                <w:webHidden/>
              </w:rPr>
              <w:t>19</w:t>
            </w:r>
            <w:r w:rsidRPr="000465B7">
              <w:rPr>
                <w:rFonts w:ascii="Times New Roman" w:hAnsi="Times New Roman" w:cs="Times New Roman"/>
                <w:noProof/>
                <w:webHidden/>
              </w:rPr>
              <w:fldChar w:fldCharType="end"/>
            </w:r>
          </w:hyperlink>
        </w:p>
        <w:p w14:paraId="09FA8D55" w14:textId="6BBB6887" w:rsidR="000465B7" w:rsidRPr="000465B7" w:rsidRDefault="000465B7">
          <w:pPr>
            <w:pStyle w:val="TOC1"/>
            <w:tabs>
              <w:tab w:val="right" w:leader="dot" w:pos="9736"/>
            </w:tabs>
            <w:rPr>
              <w:rFonts w:ascii="Times New Roman" w:hAnsi="Times New Roman" w:cs="Times New Roman"/>
              <w:noProof/>
            </w:rPr>
          </w:pPr>
          <w:hyperlink w:anchor="_Toc224599776" w:history="1">
            <w:r w:rsidRPr="000465B7">
              <w:rPr>
                <w:rStyle w:val="Hyperlink"/>
                <w:rFonts w:ascii="Times New Roman" w:hAnsi="Times New Roman" w:cs="Times New Roman"/>
                <w:noProof/>
              </w:rPr>
              <w:t>References</w:t>
            </w:r>
            <w:r w:rsidRPr="000465B7">
              <w:rPr>
                <w:rFonts w:ascii="Times New Roman" w:hAnsi="Times New Roman" w:cs="Times New Roman"/>
                <w:noProof/>
                <w:webHidden/>
              </w:rPr>
              <w:tab/>
            </w:r>
            <w:r w:rsidRPr="000465B7">
              <w:rPr>
                <w:rFonts w:ascii="Times New Roman" w:hAnsi="Times New Roman" w:cs="Times New Roman"/>
                <w:noProof/>
                <w:webHidden/>
              </w:rPr>
              <w:fldChar w:fldCharType="begin"/>
            </w:r>
            <w:r w:rsidRPr="000465B7">
              <w:rPr>
                <w:rFonts w:ascii="Times New Roman" w:hAnsi="Times New Roman" w:cs="Times New Roman"/>
                <w:noProof/>
                <w:webHidden/>
              </w:rPr>
              <w:instrText xml:space="preserve"> PAGEREF _Toc224599776 \h </w:instrText>
            </w:r>
            <w:r w:rsidRPr="000465B7">
              <w:rPr>
                <w:rFonts w:ascii="Times New Roman" w:hAnsi="Times New Roman" w:cs="Times New Roman"/>
                <w:noProof/>
                <w:webHidden/>
              </w:rPr>
            </w:r>
            <w:r w:rsidRPr="000465B7">
              <w:rPr>
                <w:rFonts w:ascii="Times New Roman" w:hAnsi="Times New Roman" w:cs="Times New Roman"/>
                <w:noProof/>
                <w:webHidden/>
              </w:rPr>
              <w:fldChar w:fldCharType="separate"/>
            </w:r>
            <w:r w:rsidRPr="000465B7">
              <w:rPr>
                <w:rFonts w:ascii="Times New Roman" w:hAnsi="Times New Roman" w:cs="Times New Roman"/>
                <w:noProof/>
                <w:webHidden/>
              </w:rPr>
              <w:t>19</w:t>
            </w:r>
            <w:r w:rsidRPr="000465B7">
              <w:rPr>
                <w:rFonts w:ascii="Times New Roman" w:hAnsi="Times New Roman" w:cs="Times New Roman"/>
                <w:noProof/>
                <w:webHidden/>
              </w:rPr>
              <w:fldChar w:fldCharType="end"/>
            </w:r>
          </w:hyperlink>
        </w:p>
        <w:p w14:paraId="6C0CB7F7" w14:textId="6D93F838" w:rsidR="000465B7" w:rsidRPr="000465B7" w:rsidRDefault="000465B7">
          <w:pPr>
            <w:pStyle w:val="TOC1"/>
            <w:tabs>
              <w:tab w:val="right" w:leader="dot" w:pos="9736"/>
            </w:tabs>
            <w:rPr>
              <w:rFonts w:ascii="Times New Roman" w:hAnsi="Times New Roman" w:cs="Times New Roman"/>
              <w:noProof/>
            </w:rPr>
          </w:pPr>
          <w:hyperlink w:anchor="_Toc224599777" w:history="1">
            <w:r w:rsidRPr="000465B7">
              <w:rPr>
                <w:rStyle w:val="Hyperlink"/>
                <w:rFonts w:ascii="Times New Roman" w:hAnsi="Times New Roman" w:cs="Times New Roman"/>
                <w:noProof/>
              </w:rPr>
              <w:t>Appendices</w:t>
            </w:r>
            <w:r w:rsidRPr="000465B7">
              <w:rPr>
                <w:rFonts w:ascii="Times New Roman" w:hAnsi="Times New Roman" w:cs="Times New Roman"/>
                <w:noProof/>
                <w:webHidden/>
              </w:rPr>
              <w:tab/>
            </w:r>
            <w:r w:rsidRPr="000465B7">
              <w:rPr>
                <w:rFonts w:ascii="Times New Roman" w:hAnsi="Times New Roman" w:cs="Times New Roman"/>
                <w:noProof/>
                <w:webHidden/>
              </w:rPr>
              <w:fldChar w:fldCharType="begin"/>
            </w:r>
            <w:r w:rsidRPr="000465B7">
              <w:rPr>
                <w:rFonts w:ascii="Times New Roman" w:hAnsi="Times New Roman" w:cs="Times New Roman"/>
                <w:noProof/>
                <w:webHidden/>
              </w:rPr>
              <w:instrText xml:space="preserve"> PAGEREF _Toc224599777 \h </w:instrText>
            </w:r>
            <w:r w:rsidRPr="000465B7">
              <w:rPr>
                <w:rFonts w:ascii="Times New Roman" w:hAnsi="Times New Roman" w:cs="Times New Roman"/>
                <w:noProof/>
                <w:webHidden/>
              </w:rPr>
            </w:r>
            <w:r w:rsidRPr="000465B7">
              <w:rPr>
                <w:rFonts w:ascii="Times New Roman" w:hAnsi="Times New Roman" w:cs="Times New Roman"/>
                <w:noProof/>
                <w:webHidden/>
              </w:rPr>
              <w:fldChar w:fldCharType="separate"/>
            </w:r>
            <w:r w:rsidRPr="000465B7">
              <w:rPr>
                <w:rFonts w:ascii="Times New Roman" w:hAnsi="Times New Roman" w:cs="Times New Roman"/>
                <w:noProof/>
                <w:webHidden/>
              </w:rPr>
              <w:t>22</w:t>
            </w:r>
            <w:r w:rsidRPr="000465B7">
              <w:rPr>
                <w:rFonts w:ascii="Times New Roman" w:hAnsi="Times New Roman" w:cs="Times New Roman"/>
                <w:noProof/>
                <w:webHidden/>
              </w:rPr>
              <w:fldChar w:fldCharType="end"/>
            </w:r>
          </w:hyperlink>
        </w:p>
        <w:p w14:paraId="3EFA6083" w14:textId="6A41E3DA" w:rsidR="000465B7" w:rsidRPr="000465B7" w:rsidRDefault="000465B7">
          <w:pPr>
            <w:pStyle w:val="TOC2"/>
            <w:tabs>
              <w:tab w:val="right" w:leader="dot" w:pos="9736"/>
            </w:tabs>
            <w:rPr>
              <w:rFonts w:ascii="Times New Roman" w:hAnsi="Times New Roman" w:cs="Times New Roman"/>
              <w:noProof/>
            </w:rPr>
          </w:pPr>
          <w:hyperlink w:anchor="_Toc224599778" w:history="1">
            <w:r w:rsidRPr="000465B7">
              <w:rPr>
                <w:rStyle w:val="Hyperlink"/>
                <w:rFonts w:ascii="Times New Roman" w:hAnsi="Times New Roman" w:cs="Times New Roman"/>
                <w:noProof/>
              </w:rPr>
              <w:t>Appendix 1: Detailed NPV Calculations</w:t>
            </w:r>
            <w:r w:rsidRPr="000465B7">
              <w:rPr>
                <w:rFonts w:ascii="Times New Roman" w:hAnsi="Times New Roman" w:cs="Times New Roman"/>
                <w:noProof/>
                <w:webHidden/>
              </w:rPr>
              <w:tab/>
            </w:r>
            <w:r w:rsidRPr="000465B7">
              <w:rPr>
                <w:rFonts w:ascii="Times New Roman" w:hAnsi="Times New Roman" w:cs="Times New Roman"/>
                <w:noProof/>
                <w:webHidden/>
              </w:rPr>
              <w:fldChar w:fldCharType="begin"/>
            </w:r>
            <w:r w:rsidRPr="000465B7">
              <w:rPr>
                <w:rFonts w:ascii="Times New Roman" w:hAnsi="Times New Roman" w:cs="Times New Roman"/>
                <w:noProof/>
                <w:webHidden/>
              </w:rPr>
              <w:instrText xml:space="preserve"> PAGEREF _Toc224599778 \h </w:instrText>
            </w:r>
            <w:r w:rsidRPr="000465B7">
              <w:rPr>
                <w:rFonts w:ascii="Times New Roman" w:hAnsi="Times New Roman" w:cs="Times New Roman"/>
                <w:noProof/>
                <w:webHidden/>
              </w:rPr>
            </w:r>
            <w:r w:rsidRPr="000465B7">
              <w:rPr>
                <w:rFonts w:ascii="Times New Roman" w:hAnsi="Times New Roman" w:cs="Times New Roman"/>
                <w:noProof/>
                <w:webHidden/>
              </w:rPr>
              <w:fldChar w:fldCharType="separate"/>
            </w:r>
            <w:r w:rsidRPr="000465B7">
              <w:rPr>
                <w:rFonts w:ascii="Times New Roman" w:hAnsi="Times New Roman" w:cs="Times New Roman"/>
                <w:noProof/>
                <w:webHidden/>
              </w:rPr>
              <w:t>22</w:t>
            </w:r>
            <w:r w:rsidRPr="000465B7">
              <w:rPr>
                <w:rFonts w:ascii="Times New Roman" w:hAnsi="Times New Roman" w:cs="Times New Roman"/>
                <w:noProof/>
                <w:webHidden/>
              </w:rPr>
              <w:fldChar w:fldCharType="end"/>
            </w:r>
          </w:hyperlink>
        </w:p>
        <w:p w14:paraId="26555D14" w14:textId="31421669" w:rsidR="000465B7" w:rsidRPr="000465B7" w:rsidRDefault="000465B7">
          <w:pPr>
            <w:pStyle w:val="TOC2"/>
            <w:tabs>
              <w:tab w:val="right" w:leader="dot" w:pos="9736"/>
            </w:tabs>
            <w:rPr>
              <w:rFonts w:ascii="Times New Roman" w:hAnsi="Times New Roman" w:cs="Times New Roman"/>
              <w:noProof/>
            </w:rPr>
          </w:pPr>
          <w:hyperlink w:anchor="_Toc224599779" w:history="1">
            <w:r w:rsidRPr="000465B7">
              <w:rPr>
                <w:rStyle w:val="Hyperlink"/>
                <w:rFonts w:ascii="Times New Roman" w:hAnsi="Times New Roman" w:cs="Times New Roman"/>
                <w:noProof/>
              </w:rPr>
              <w:t>Appendix 2: Key Financial Ratios - Formulae</w:t>
            </w:r>
            <w:r w:rsidRPr="000465B7">
              <w:rPr>
                <w:rFonts w:ascii="Times New Roman" w:hAnsi="Times New Roman" w:cs="Times New Roman"/>
                <w:noProof/>
                <w:webHidden/>
              </w:rPr>
              <w:tab/>
            </w:r>
            <w:r w:rsidRPr="000465B7">
              <w:rPr>
                <w:rFonts w:ascii="Times New Roman" w:hAnsi="Times New Roman" w:cs="Times New Roman"/>
                <w:noProof/>
                <w:webHidden/>
              </w:rPr>
              <w:fldChar w:fldCharType="begin"/>
            </w:r>
            <w:r w:rsidRPr="000465B7">
              <w:rPr>
                <w:rFonts w:ascii="Times New Roman" w:hAnsi="Times New Roman" w:cs="Times New Roman"/>
                <w:noProof/>
                <w:webHidden/>
              </w:rPr>
              <w:instrText xml:space="preserve"> PAGEREF _Toc224599779 \h </w:instrText>
            </w:r>
            <w:r w:rsidRPr="000465B7">
              <w:rPr>
                <w:rFonts w:ascii="Times New Roman" w:hAnsi="Times New Roman" w:cs="Times New Roman"/>
                <w:noProof/>
                <w:webHidden/>
              </w:rPr>
            </w:r>
            <w:r w:rsidRPr="000465B7">
              <w:rPr>
                <w:rFonts w:ascii="Times New Roman" w:hAnsi="Times New Roman" w:cs="Times New Roman"/>
                <w:noProof/>
                <w:webHidden/>
              </w:rPr>
              <w:fldChar w:fldCharType="separate"/>
            </w:r>
            <w:r w:rsidRPr="000465B7">
              <w:rPr>
                <w:rFonts w:ascii="Times New Roman" w:hAnsi="Times New Roman" w:cs="Times New Roman"/>
                <w:noProof/>
                <w:webHidden/>
              </w:rPr>
              <w:t>22</w:t>
            </w:r>
            <w:r w:rsidRPr="000465B7">
              <w:rPr>
                <w:rFonts w:ascii="Times New Roman" w:hAnsi="Times New Roman" w:cs="Times New Roman"/>
                <w:noProof/>
                <w:webHidden/>
              </w:rPr>
              <w:fldChar w:fldCharType="end"/>
            </w:r>
          </w:hyperlink>
        </w:p>
        <w:p w14:paraId="5B2C6AF8" w14:textId="4F627C75" w:rsidR="000465B7" w:rsidRPr="000465B7" w:rsidRDefault="000465B7">
          <w:pPr>
            <w:rPr>
              <w:rFonts w:ascii="Times New Roman" w:hAnsi="Times New Roman" w:cs="Times New Roman"/>
            </w:rPr>
          </w:pPr>
          <w:r w:rsidRPr="000465B7">
            <w:rPr>
              <w:rFonts w:ascii="Times New Roman" w:hAnsi="Times New Roman" w:cs="Times New Roman"/>
              <w:b/>
              <w:bCs/>
              <w:noProof/>
            </w:rPr>
            <w:fldChar w:fldCharType="end"/>
          </w:r>
        </w:p>
      </w:sdtContent>
    </w:sdt>
    <w:p w14:paraId="2D1FB9E4" w14:textId="77777777" w:rsidR="000465B7" w:rsidRPr="000465B7" w:rsidRDefault="000465B7" w:rsidP="000465B7">
      <w:pPr>
        <w:spacing w:line="360" w:lineRule="auto"/>
        <w:jc w:val="both"/>
        <w:rPr>
          <w:rFonts w:ascii="Times New Roman" w:hAnsi="Times New Roman" w:cs="Times New Roman"/>
        </w:rPr>
      </w:pPr>
    </w:p>
    <w:p w14:paraId="107C389F" w14:textId="77777777" w:rsidR="00497D53" w:rsidRPr="000465B7" w:rsidRDefault="00000000" w:rsidP="000465B7">
      <w:pPr>
        <w:pStyle w:val="Heading1"/>
        <w:pBdr>
          <w:bottom w:val="single" w:sz="6" w:space="4" w:color="1F4E79"/>
        </w:pBdr>
        <w:spacing w:line="360" w:lineRule="auto"/>
        <w:rPr>
          <w:rFonts w:cs="Times New Roman"/>
        </w:rPr>
      </w:pPr>
      <w:bookmarkStart w:id="0" w:name="_Toc224599746"/>
      <w:r w:rsidRPr="000465B7">
        <w:rPr>
          <w:rFonts w:cs="Times New Roman"/>
          <w:color w:val="1F4E79"/>
        </w:rPr>
        <w:lastRenderedPageBreak/>
        <w:t>Introduction</w:t>
      </w:r>
      <w:bookmarkEnd w:id="0"/>
    </w:p>
    <w:p w14:paraId="78A8B2B3"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rPr>
        <w:t>Tesla, Inc. (NASDAQ: TSLA) is the company that is among the most vibrant and monitored in the international financial markets. Tesla is an electric car manufacturer, battery-only electric vehicle manufacturer, and energy storage system manufacturer based in Austin, Texas with its forerunner, founded in 2003. In the last five years (2020-2024), the company has seen an impressive turnaround since it was a market leader as a pioneer of EVs to the most valuable automotive company in the world based on market capitalisation. This has not been a linear increase in its financial performance, recorded high profitability in 2022 was followed by high levels of compression of its margin in 2023 and 2024 as the pressure on prices and heightened competition rose.</w:t>
      </w:r>
    </w:p>
    <w:p w14:paraId="7FE5DF0E" w14:textId="17747736"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rPr>
        <w:t xml:space="preserve">The role assumed in this report is that of the prospective Chief Financial Officer (CFO) of Tesla. The ratio analysis of Tesla financial health is systematically examined by the following sections, the working capital management of Tesla Company is assessed, a strategic financial restructuring plan is suggested, and three capital investment </w:t>
      </w:r>
      <w:r w:rsidR="000465B7" w:rsidRPr="000465B7">
        <w:rPr>
          <w:rFonts w:ascii="Times New Roman" w:hAnsi="Times New Roman" w:cs="Times New Roman"/>
        </w:rPr>
        <w:t>projects</w:t>
      </w:r>
      <w:r w:rsidRPr="000465B7">
        <w:rPr>
          <w:rFonts w:ascii="Times New Roman" w:hAnsi="Times New Roman" w:cs="Times New Roman"/>
        </w:rPr>
        <w:t xml:space="preserve"> appraised. The analysis will be based solely on annual reports, SEC filings, published financial data of Tesla as of 2020-2024. All the figures are reported in USD millions unless otherwise, and the investment appraisal in the section 4 is reported in GBP as stated in the assessment brief.</w:t>
      </w:r>
      <w:r w:rsidRPr="000465B7">
        <w:rPr>
          <w:rFonts w:ascii="Times New Roman" w:hAnsi="Times New Roman" w:cs="Times New Roman"/>
        </w:rPr>
        <w:br w:type="page"/>
      </w:r>
    </w:p>
    <w:p w14:paraId="68BC9EF0" w14:textId="77777777" w:rsidR="00497D53" w:rsidRPr="000465B7" w:rsidRDefault="00000000" w:rsidP="000465B7">
      <w:pPr>
        <w:pStyle w:val="Heading1"/>
        <w:pBdr>
          <w:bottom w:val="single" w:sz="6" w:space="4" w:color="1F4E79"/>
        </w:pBdr>
        <w:spacing w:line="360" w:lineRule="auto"/>
        <w:rPr>
          <w:rFonts w:cs="Times New Roman"/>
        </w:rPr>
      </w:pPr>
      <w:bookmarkStart w:id="1" w:name="_Toc224599747"/>
      <w:r w:rsidRPr="000465B7">
        <w:rPr>
          <w:rFonts w:cs="Times New Roman"/>
          <w:color w:val="1F4E79"/>
        </w:rPr>
        <w:lastRenderedPageBreak/>
        <w:t>Section 1: Financial Health Check (2020-2024)</w:t>
      </w:r>
      <w:bookmarkEnd w:id="1"/>
    </w:p>
    <w:p w14:paraId="3BC29868" w14:textId="77777777" w:rsidR="00497D53" w:rsidRPr="000465B7" w:rsidRDefault="00000000" w:rsidP="000465B7">
      <w:pPr>
        <w:pStyle w:val="Heading2"/>
        <w:spacing w:line="360" w:lineRule="auto"/>
        <w:rPr>
          <w:rFonts w:cs="Times New Roman"/>
        </w:rPr>
      </w:pPr>
      <w:bookmarkStart w:id="2" w:name="_Toc224599748"/>
      <w:r w:rsidRPr="000465B7">
        <w:rPr>
          <w:rFonts w:cs="Times New Roman"/>
          <w:color w:val="1F4E79"/>
        </w:rPr>
        <w:t>1.1 Summary of Financial Statements</w:t>
      </w:r>
      <w:bookmarkEnd w:id="2"/>
    </w:p>
    <w:p w14:paraId="60C83346" w14:textId="77777777" w:rsidR="00497D53" w:rsidRPr="000465B7" w:rsidRDefault="00000000" w:rsidP="000465B7">
      <w:pPr>
        <w:spacing w:after="80" w:line="360" w:lineRule="auto"/>
        <w:jc w:val="both"/>
        <w:rPr>
          <w:rFonts w:ascii="Times New Roman" w:hAnsi="Times New Roman" w:cs="Times New Roman"/>
          <w:color w:val="333333"/>
        </w:rPr>
      </w:pPr>
      <w:r w:rsidRPr="000465B7">
        <w:rPr>
          <w:rFonts w:ascii="Times New Roman" w:hAnsi="Times New Roman" w:cs="Times New Roman"/>
          <w:color w:val="333333"/>
        </w:rPr>
        <w:t>In table 1 and table 2, a summary of the data on the 5-year review of income statement and the balance sheet of Tesla was presented. Ratio analysis is done based on these ratios and is done below.</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300"/>
        <w:gridCol w:w="1400"/>
        <w:gridCol w:w="1400"/>
        <w:gridCol w:w="1400"/>
        <w:gridCol w:w="1430"/>
        <w:gridCol w:w="1430"/>
      </w:tblGrid>
      <w:tr w:rsidR="00497D53" w:rsidRPr="000465B7" w14:paraId="6D707593" w14:textId="77777777">
        <w:tc>
          <w:tcPr>
            <w:tcW w:w="230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713DE0E5"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Metric (USD $M)</w:t>
            </w:r>
          </w:p>
        </w:tc>
        <w:tc>
          <w:tcPr>
            <w:tcW w:w="140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6B5E3663"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2020</w:t>
            </w:r>
          </w:p>
        </w:tc>
        <w:tc>
          <w:tcPr>
            <w:tcW w:w="140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1C26824D"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2021</w:t>
            </w:r>
          </w:p>
        </w:tc>
        <w:tc>
          <w:tcPr>
            <w:tcW w:w="140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58BC59E8"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2022</w:t>
            </w:r>
          </w:p>
        </w:tc>
        <w:tc>
          <w:tcPr>
            <w:tcW w:w="143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6B0515DB"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2023</w:t>
            </w:r>
          </w:p>
        </w:tc>
        <w:tc>
          <w:tcPr>
            <w:tcW w:w="143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77E7C6FD"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2024</w:t>
            </w:r>
          </w:p>
        </w:tc>
      </w:tr>
      <w:tr w:rsidR="00497D53" w:rsidRPr="000465B7" w14:paraId="171CF345" w14:textId="77777777">
        <w:tc>
          <w:tcPr>
            <w:tcW w:w="23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71CB8119"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Total Revenue</w:t>
            </w:r>
          </w:p>
        </w:tc>
        <w:tc>
          <w:tcPr>
            <w:tcW w:w="14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384ECC92"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31,536</w:t>
            </w:r>
          </w:p>
        </w:tc>
        <w:tc>
          <w:tcPr>
            <w:tcW w:w="14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3E041418"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53,823</w:t>
            </w:r>
          </w:p>
        </w:tc>
        <w:tc>
          <w:tcPr>
            <w:tcW w:w="14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55884C52"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81,462</w:t>
            </w:r>
          </w:p>
        </w:tc>
        <w:tc>
          <w:tcPr>
            <w:tcW w:w="143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51FFE19D"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96,773</w:t>
            </w:r>
          </w:p>
        </w:tc>
        <w:tc>
          <w:tcPr>
            <w:tcW w:w="143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2D0846DC"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97,690</w:t>
            </w:r>
          </w:p>
        </w:tc>
      </w:tr>
      <w:tr w:rsidR="00497D53" w:rsidRPr="000465B7" w14:paraId="6E36BD09" w14:textId="77777777">
        <w:tc>
          <w:tcPr>
            <w:tcW w:w="23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68043478"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Gross Profit</w:t>
            </w:r>
          </w:p>
        </w:tc>
        <w:tc>
          <w:tcPr>
            <w:tcW w:w="14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7F8C0546"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6,630</w:t>
            </w:r>
          </w:p>
        </w:tc>
        <w:tc>
          <w:tcPr>
            <w:tcW w:w="14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7A4E9DF9"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13,606</w:t>
            </w:r>
          </w:p>
        </w:tc>
        <w:tc>
          <w:tcPr>
            <w:tcW w:w="14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159698B3"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20,853</w:t>
            </w:r>
          </w:p>
        </w:tc>
        <w:tc>
          <w:tcPr>
            <w:tcW w:w="143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0A2B6913"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17,660</w:t>
            </w:r>
          </w:p>
        </w:tc>
        <w:tc>
          <w:tcPr>
            <w:tcW w:w="143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25AEBE88"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17,450</w:t>
            </w:r>
          </w:p>
        </w:tc>
      </w:tr>
      <w:tr w:rsidR="00497D53" w:rsidRPr="000465B7" w14:paraId="76961E53" w14:textId="77777777">
        <w:tc>
          <w:tcPr>
            <w:tcW w:w="23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61714EF0"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Gross Margin (%)</w:t>
            </w:r>
          </w:p>
        </w:tc>
        <w:tc>
          <w:tcPr>
            <w:tcW w:w="14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6F9C8A29"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21.0%</w:t>
            </w:r>
          </w:p>
        </w:tc>
        <w:tc>
          <w:tcPr>
            <w:tcW w:w="14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57E84E9C"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25.3%</w:t>
            </w:r>
          </w:p>
        </w:tc>
        <w:tc>
          <w:tcPr>
            <w:tcW w:w="14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36C61DAA"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25.6%</w:t>
            </w:r>
          </w:p>
        </w:tc>
        <w:tc>
          <w:tcPr>
            <w:tcW w:w="143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4DFD1259"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18.2%</w:t>
            </w:r>
          </w:p>
        </w:tc>
        <w:tc>
          <w:tcPr>
            <w:tcW w:w="143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58972C84"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17.9%</w:t>
            </w:r>
          </w:p>
        </w:tc>
      </w:tr>
      <w:tr w:rsidR="00497D53" w:rsidRPr="000465B7" w14:paraId="4E05AB73" w14:textId="77777777">
        <w:tc>
          <w:tcPr>
            <w:tcW w:w="23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65D03B53"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Operating Income</w:t>
            </w:r>
          </w:p>
        </w:tc>
        <w:tc>
          <w:tcPr>
            <w:tcW w:w="14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79F4EB33"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1,994</w:t>
            </w:r>
          </w:p>
        </w:tc>
        <w:tc>
          <w:tcPr>
            <w:tcW w:w="14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68EE6D04"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6,523</w:t>
            </w:r>
          </w:p>
        </w:tc>
        <w:tc>
          <w:tcPr>
            <w:tcW w:w="14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5E5D2EBF"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13,656</w:t>
            </w:r>
          </w:p>
        </w:tc>
        <w:tc>
          <w:tcPr>
            <w:tcW w:w="143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736F203F"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8,891</w:t>
            </w:r>
          </w:p>
        </w:tc>
        <w:tc>
          <w:tcPr>
            <w:tcW w:w="143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1AB2F5F5"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7,080</w:t>
            </w:r>
          </w:p>
        </w:tc>
      </w:tr>
      <w:tr w:rsidR="00497D53" w:rsidRPr="000465B7" w14:paraId="1AE4C0AE" w14:textId="77777777">
        <w:tc>
          <w:tcPr>
            <w:tcW w:w="23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734CA6E4"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Operating Margin (%)</w:t>
            </w:r>
          </w:p>
        </w:tc>
        <w:tc>
          <w:tcPr>
            <w:tcW w:w="14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356ABB5F"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6.3%</w:t>
            </w:r>
          </w:p>
        </w:tc>
        <w:tc>
          <w:tcPr>
            <w:tcW w:w="14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63ADF554"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12.1%</w:t>
            </w:r>
          </w:p>
        </w:tc>
        <w:tc>
          <w:tcPr>
            <w:tcW w:w="14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13349F7E"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16.8%</w:t>
            </w:r>
          </w:p>
        </w:tc>
        <w:tc>
          <w:tcPr>
            <w:tcW w:w="143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6097F405"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9.2%</w:t>
            </w:r>
          </w:p>
        </w:tc>
        <w:tc>
          <w:tcPr>
            <w:tcW w:w="143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67538B42"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7.2%</w:t>
            </w:r>
          </w:p>
        </w:tc>
      </w:tr>
      <w:tr w:rsidR="00497D53" w:rsidRPr="000465B7" w14:paraId="2EF463DA" w14:textId="77777777">
        <w:tc>
          <w:tcPr>
            <w:tcW w:w="23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0F1B9706"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Net Income</w:t>
            </w:r>
          </w:p>
        </w:tc>
        <w:tc>
          <w:tcPr>
            <w:tcW w:w="14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7AE10F19"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721</w:t>
            </w:r>
          </w:p>
        </w:tc>
        <w:tc>
          <w:tcPr>
            <w:tcW w:w="14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31DA7C34"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5,519</w:t>
            </w:r>
          </w:p>
        </w:tc>
        <w:tc>
          <w:tcPr>
            <w:tcW w:w="14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232828DF"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12,587</w:t>
            </w:r>
          </w:p>
        </w:tc>
        <w:tc>
          <w:tcPr>
            <w:tcW w:w="143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16F784BB"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14,997</w:t>
            </w:r>
          </w:p>
        </w:tc>
        <w:tc>
          <w:tcPr>
            <w:tcW w:w="143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0BAB8E05"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7,130</w:t>
            </w:r>
          </w:p>
        </w:tc>
      </w:tr>
      <w:tr w:rsidR="00497D53" w:rsidRPr="000465B7" w14:paraId="54867E44" w14:textId="77777777">
        <w:tc>
          <w:tcPr>
            <w:tcW w:w="23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635231CE"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COGS</w:t>
            </w:r>
          </w:p>
        </w:tc>
        <w:tc>
          <w:tcPr>
            <w:tcW w:w="14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03414F27"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24,906</w:t>
            </w:r>
          </w:p>
        </w:tc>
        <w:tc>
          <w:tcPr>
            <w:tcW w:w="14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1D30A94D"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40,217</w:t>
            </w:r>
          </w:p>
        </w:tc>
        <w:tc>
          <w:tcPr>
            <w:tcW w:w="14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700E3510"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60,609</w:t>
            </w:r>
          </w:p>
        </w:tc>
        <w:tc>
          <w:tcPr>
            <w:tcW w:w="143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3DE4D13E"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79,113</w:t>
            </w:r>
          </w:p>
        </w:tc>
        <w:tc>
          <w:tcPr>
            <w:tcW w:w="143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19DE343E"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80,240</w:t>
            </w:r>
          </w:p>
        </w:tc>
      </w:tr>
    </w:tbl>
    <w:p w14:paraId="6D1A9111" w14:textId="77777777" w:rsidR="00497D53" w:rsidRPr="000465B7" w:rsidRDefault="00000000" w:rsidP="000465B7">
      <w:pPr>
        <w:spacing w:before="60" w:after="200" w:line="360" w:lineRule="auto"/>
        <w:jc w:val="both"/>
        <w:rPr>
          <w:rFonts w:ascii="Times New Roman" w:hAnsi="Times New Roman" w:cs="Times New Roman"/>
        </w:rPr>
      </w:pPr>
      <w:r w:rsidRPr="000465B7">
        <w:rPr>
          <w:rFonts w:ascii="Times New Roman" w:hAnsi="Times New Roman" w:cs="Times New Roman"/>
          <w:i/>
          <w:iCs/>
          <w:color w:val="666666"/>
          <w:sz w:val="20"/>
          <w:szCs w:val="20"/>
        </w:rPr>
        <w:t>Table 1. Tesla, Inc. Income Statement Summary (USD $M). Source: Tesla Annual Reports / SEC 10-K Filings (2020-2024).</w:t>
      </w:r>
    </w:p>
    <w:p w14:paraId="1AEEA90F" w14:textId="77777777" w:rsidR="00497D53" w:rsidRPr="000465B7" w:rsidRDefault="00497D53" w:rsidP="000465B7">
      <w:pPr>
        <w:spacing w:after="80" w:line="360" w:lineRule="auto"/>
        <w:jc w:val="both"/>
        <w:rPr>
          <w:rFonts w:ascii="Times New Roman" w:hAnsi="Times New Roman" w:cs="Times New Roman"/>
        </w:rPr>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300"/>
        <w:gridCol w:w="1400"/>
        <w:gridCol w:w="1400"/>
        <w:gridCol w:w="1400"/>
        <w:gridCol w:w="1430"/>
        <w:gridCol w:w="1430"/>
      </w:tblGrid>
      <w:tr w:rsidR="00497D53" w:rsidRPr="000465B7" w14:paraId="4E68A374" w14:textId="77777777">
        <w:tc>
          <w:tcPr>
            <w:tcW w:w="230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57F068F0"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Item (USD $M)</w:t>
            </w:r>
          </w:p>
        </w:tc>
        <w:tc>
          <w:tcPr>
            <w:tcW w:w="140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357AB3AE"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2020</w:t>
            </w:r>
          </w:p>
        </w:tc>
        <w:tc>
          <w:tcPr>
            <w:tcW w:w="140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77B50BD0"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2021</w:t>
            </w:r>
          </w:p>
        </w:tc>
        <w:tc>
          <w:tcPr>
            <w:tcW w:w="140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0921D094"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2022</w:t>
            </w:r>
          </w:p>
        </w:tc>
        <w:tc>
          <w:tcPr>
            <w:tcW w:w="143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2742BBBF"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2023</w:t>
            </w:r>
          </w:p>
        </w:tc>
        <w:tc>
          <w:tcPr>
            <w:tcW w:w="143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677F9811"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2024</w:t>
            </w:r>
          </w:p>
        </w:tc>
      </w:tr>
      <w:tr w:rsidR="00497D53" w:rsidRPr="000465B7" w14:paraId="5AED383B" w14:textId="77777777">
        <w:tc>
          <w:tcPr>
            <w:tcW w:w="23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698DAF3F"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Total Assets</w:t>
            </w:r>
          </w:p>
        </w:tc>
        <w:tc>
          <w:tcPr>
            <w:tcW w:w="14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49D850C3"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52,148</w:t>
            </w:r>
          </w:p>
        </w:tc>
        <w:tc>
          <w:tcPr>
            <w:tcW w:w="14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226F227E"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62,131</w:t>
            </w:r>
          </w:p>
        </w:tc>
        <w:tc>
          <w:tcPr>
            <w:tcW w:w="14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3B210AAD"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82,338</w:t>
            </w:r>
          </w:p>
        </w:tc>
        <w:tc>
          <w:tcPr>
            <w:tcW w:w="143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62EAA025"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106,618</w:t>
            </w:r>
          </w:p>
        </w:tc>
        <w:tc>
          <w:tcPr>
            <w:tcW w:w="143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08169230"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122,070</w:t>
            </w:r>
          </w:p>
        </w:tc>
      </w:tr>
      <w:tr w:rsidR="00497D53" w:rsidRPr="000465B7" w14:paraId="0B819D07" w14:textId="77777777">
        <w:tc>
          <w:tcPr>
            <w:tcW w:w="23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55FD920C"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Current Assets</w:t>
            </w:r>
          </w:p>
        </w:tc>
        <w:tc>
          <w:tcPr>
            <w:tcW w:w="14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55E2FCD3"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26,717</w:t>
            </w:r>
          </w:p>
        </w:tc>
        <w:tc>
          <w:tcPr>
            <w:tcW w:w="14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33B21A11"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27,100</w:t>
            </w:r>
          </w:p>
        </w:tc>
        <w:tc>
          <w:tcPr>
            <w:tcW w:w="14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7F891D23"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40,917</w:t>
            </w:r>
          </w:p>
        </w:tc>
        <w:tc>
          <w:tcPr>
            <w:tcW w:w="143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40063821"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49,616</w:t>
            </w:r>
          </w:p>
        </w:tc>
        <w:tc>
          <w:tcPr>
            <w:tcW w:w="143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5CC5D42E"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52,770</w:t>
            </w:r>
          </w:p>
        </w:tc>
      </w:tr>
      <w:tr w:rsidR="00497D53" w:rsidRPr="000465B7" w14:paraId="4D34DCBE" w14:textId="77777777">
        <w:tc>
          <w:tcPr>
            <w:tcW w:w="23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013A7FA8"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Inventory</w:t>
            </w:r>
          </w:p>
        </w:tc>
        <w:tc>
          <w:tcPr>
            <w:tcW w:w="14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3C7469B7"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4,101</w:t>
            </w:r>
          </w:p>
        </w:tc>
        <w:tc>
          <w:tcPr>
            <w:tcW w:w="14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2A0AB528"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5,757</w:t>
            </w:r>
          </w:p>
        </w:tc>
        <w:tc>
          <w:tcPr>
            <w:tcW w:w="14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3FD3BEAD"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12,839</w:t>
            </w:r>
          </w:p>
        </w:tc>
        <w:tc>
          <w:tcPr>
            <w:tcW w:w="143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774BFD92"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13,626</w:t>
            </w:r>
          </w:p>
        </w:tc>
        <w:tc>
          <w:tcPr>
            <w:tcW w:w="143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40C354D6"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13,224</w:t>
            </w:r>
          </w:p>
        </w:tc>
      </w:tr>
      <w:tr w:rsidR="00497D53" w:rsidRPr="000465B7" w14:paraId="63B6024B" w14:textId="77777777">
        <w:tc>
          <w:tcPr>
            <w:tcW w:w="23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2094F413"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Accounts Receivable</w:t>
            </w:r>
          </w:p>
        </w:tc>
        <w:tc>
          <w:tcPr>
            <w:tcW w:w="14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5F6213A3"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1,886</w:t>
            </w:r>
          </w:p>
        </w:tc>
        <w:tc>
          <w:tcPr>
            <w:tcW w:w="14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41756F95"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1,913</w:t>
            </w:r>
          </w:p>
        </w:tc>
        <w:tc>
          <w:tcPr>
            <w:tcW w:w="14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1072E27C"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2,952</w:t>
            </w:r>
          </w:p>
        </w:tc>
        <w:tc>
          <w:tcPr>
            <w:tcW w:w="143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76B84236"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3,508</w:t>
            </w:r>
          </w:p>
        </w:tc>
        <w:tc>
          <w:tcPr>
            <w:tcW w:w="143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3ABF0C4F"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4,429</w:t>
            </w:r>
          </w:p>
        </w:tc>
      </w:tr>
      <w:tr w:rsidR="00497D53" w:rsidRPr="000465B7" w14:paraId="6553BCF1" w14:textId="77777777">
        <w:tc>
          <w:tcPr>
            <w:tcW w:w="23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32E83F63"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Cash &amp; Investments</w:t>
            </w:r>
          </w:p>
        </w:tc>
        <w:tc>
          <w:tcPr>
            <w:tcW w:w="14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473F4732"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19,384</w:t>
            </w:r>
          </w:p>
        </w:tc>
        <w:tc>
          <w:tcPr>
            <w:tcW w:w="14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1B00771C"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17,576</w:t>
            </w:r>
          </w:p>
        </w:tc>
        <w:tc>
          <w:tcPr>
            <w:tcW w:w="14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10542FEA"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22,185</w:t>
            </w:r>
          </w:p>
        </w:tc>
        <w:tc>
          <w:tcPr>
            <w:tcW w:w="143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59F12A04"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29,094</w:t>
            </w:r>
          </w:p>
        </w:tc>
        <w:tc>
          <w:tcPr>
            <w:tcW w:w="143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668DCCB0"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36,600</w:t>
            </w:r>
          </w:p>
        </w:tc>
      </w:tr>
      <w:tr w:rsidR="00497D53" w:rsidRPr="000465B7" w14:paraId="032753D0" w14:textId="77777777">
        <w:tc>
          <w:tcPr>
            <w:tcW w:w="23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7FB503E0"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Current Liabilities</w:t>
            </w:r>
          </w:p>
        </w:tc>
        <w:tc>
          <w:tcPr>
            <w:tcW w:w="14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4664B13A"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14,248</w:t>
            </w:r>
          </w:p>
        </w:tc>
        <w:tc>
          <w:tcPr>
            <w:tcW w:w="14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0699DB16"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19,705</w:t>
            </w:r>
          </w:p>
        </w:tc>
        <w:tc>
          <w:tcPr>
            <w:tcW w:w="14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7C172F04"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26,709</w:t>
            </w:r>
          </w:p>
        </w:tc>
        <w:tc>
          <w:tcPr>
            <w:tcW w:w="143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0ED7B8C2"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28,748</w:t>
            </w:r>
          </w:p>
        </w:tc>
        <w:tc>
          <w:tcPr>
            <w:tcW w:w="143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5826272A"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31,858</w:t>
            </w:r>
          </w:p>
        </w:tc>
      </w:tr>
      <w:tr w:rsidR="00497D53" w:rsidRPr="000465B7" w14:paraId="3A623484" w14:textId="77777777">
        <w:tc>
          <w:tcPr>
            <w:tcW w:w="23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749D97C9"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Accounts Payable</w:t>
            </w:r>
          </w:p>
        </w:tc>
        <w:tc>
          <w:tcPr>
            <w:tcW w:w="14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671D1A88"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6,051</w:t>
            </w:r>
          </w:p>
        </w:tc>
        <w:tc>
          <w:tcPr>
            <w:tcW w:w="14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70262F46"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10,025</w:t>
            </w:r>
          </w:p>
        </w:tc>
        <w:tc>
          <w:tcPr>
            <w:tcW w:w="14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41FA1397"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15,255</w:t>
            </w:r>
          </w:p>
        </w:tc>
        <w:tc>
          <w:tcPr>
            <w:tcW w:w="143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1BF6B9FB"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14,431</w:t>
            </w:r>
          </w:p>
        </w:tc>
        <w:tc>
          <w:tcPr>
            <w:tcW w:w="143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20306135"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14,431</w:t>
            </w:r>
          </w:p>
        </w:tc>
      </w:tr>
      <w:tr w:rsidR="00497D53" w:rsidRPr="000465B7" w14:paraId="351EE567" w14:textId="77777777">
        <w:tc>
          <w:tcPr>
            <w:tcW w:w="23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00B3D676"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Total Liabilities</w:t>
            </w:r>
          </w:p>
        </w:tc>
        <w:tc>
          <w:tcPr>
            <w:tcW w:w="14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38216529"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28,418</w:t>
            </w:r>
          </w:p>
        </w:tc>
        <w:tc>
          <w:tcPr>
            <w:tcW w:w="14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2BE791D8"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30,548</w:t>
            </w:r>
          </w:p>
        </w:tc>
        <w:tc>
          <w:tcPr>
            <w:tcW w:w="14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78910F6F"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36,440</w:t>
            </w:r>
          </w:p>
        </w:tc>
        <w:tc>
          <w:tcPr>
            <w:tcW w:w="143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53062239"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43,009</w:t>
            </w:r>
          </w:p>
        </w:tc>
        <w:tc>
          <w:tcPr>
            <w:tcW w:w="143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3E72B074"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48,390</w:t>
            </w:r>
          </w:p>
        </w:tc>
      </w:tr>
      <w:tr w:rsidR="00497D53" w:rsidRPr="000465B7" w14:paraId="0AEA6B7E" w14:textId="77777777">
        <w:tc>
          <w:tcPr>
            <w:tcW w:w="23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4C2F5144"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Shareholders' Equity</w:t>
            </w:r>
          </w:p>
        </w:tc>
        <w:tc>
          <w:tcPr>
            <w:tcW w:w="14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22FC9D45"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22,225</w:t>
            </w:r>
          </w:p>
        </w:tc>
        <w:tc>
          <w:tcPr>
            <w:tcW w:w="14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5FC18113"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30,189</w:t>
            </w:r>
          </w:p>
        </w:tc>
        <w:tc>
          <w:tcPr>
            <w:tcW w:w="14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05DC5BA3"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44,704</w:t>
            </w:r>
          </w:p>
        </w:tc>
        <w:tc>
          <w:tcPr>
            <w:tcW w:w="143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5E50127B"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62,634</w:t>
            </w:r>
          </w:p>
        </w:tc>
        <w:tc>
          <w:tcPr>
            <w:tcW w:w="143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30BE4370"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72,913</w:t>
            </w:r>
          </w:p>
        </w:tc>
      </w:tr>
      <w:tr w:rsidR="00497D53" w:rsidRPr="000465B7" w14:paraId="08B999BD" w14:textId="77777777">
        <w:tc>
          <w:tcPr>
            <w:tcW w:w="23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63D49253"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Long-term Debt</w:t>
            </w:r>
          </w:p>
        </w:tc>
        <w:tc>
          <w:tcPr>
            <w:tcW w:w="14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4F88812D"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9,607</w:t>
            </w:r>
          </w:p>
        </w:tc>
        <w:tc>
          <w:tcPr>
            <w:tcW w:w="14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202D5EFF"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6,834</w:t>
            </w:r>
          </w:p>
        </w:tc>
        <w:tc>
          <w:tcPr>
            <w:tcW w:w="14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481DA664"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1,597</w:t>
            </w:r>
          </w:p>
        </w:tc>
        <w:tc>
          <w:tcPr>
            <w:tcW w:w="143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43444B52"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2,857</w:t>
            </w:r>
          </w:p>
        </w:tc>
        <w:tc>
          <w:tcPr>
            <w:tcW w:w="143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520D5A7B"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7,565</w:t>
            </w:r>
          </w:p>
        </w:tc>
      </w:tr>
    </w:tbl>
    <w:p w14:paraId="310DA099" w14:textId="77777777" w:rsidR="00497D53" w:rsidRPr="000465B7" w:rsidRDefault="00000000" w:rsidP="000465B7">
      <w:pPr>
        <w:spacing w:before="60" w:after="200" w:line="360" w:lineRule="auto"/>
        <w:jc w:val="both"/>
        <w:rPr>
          <w:rFonts w:ascii="Times New Roman" w:hAnsi="Times New Roman" w:cs="Times New Roman"/>
        </w:rPr>
      </w:pPr>
      <w:r w:rsidRPr="000465B7">
        <w:rPr>
          <w:rFonts w:ascii="Times New Roman" w:hAnsi="Times New Roman" w:cs="Times New Roman"/>
          <w:i/>
          <w:iCs/>
          <w:color w:val="666666"/>
          <w:sz w:val="20"/>
          <w:szCs w:val="20"/>
        </w:rPr>
        <w:t>Table 2. Tesla, Inc. Balance Sheet Summary (USD $M). Source: Tesla Annual Reports / SEC 10-K Filings (2020-2024).</w:t>
      </w:r>
    </w:p>
    <w:p w14:paraId="40425BFD" w14:textId="77777777" w:rsidR="00497D53" w:rsidRPr="000465B7" w:rsidRDefault="00000000" w:rsidP="000465B7">
      <w:pPr>
        <w:pStyle w:val="Heading2"/>
        <w:spacing w:line="360" w:lineRule="auto"/>
        <w:rPr>
          <w:rFonts w:cs="Times New Roman"/>
        </w:rPr>
      </w:pPr>
      <w:bookmarkStart w:id="3" w:name="_Toc224599749"/>
      <w:r w:rsidRPr="000465B7">
        <w:rPr>
          <w:rFonts w:cs="Times New Roman"/>
          <w:color w:val="1F4E79"/>
        </w:rPr>
        <w:t>1.2 Comprehensive Ratio Analysis</w:t>
      </w:r>
      <w:bookmarkEnd w:id="3"/>
    </w:p>
    <w:p w14:paraId="6EC01033" w14:textId="77777777" w:rsidR="00497D53" w:rsidRPr="000465B7" w:rsidRDefault="00000000" w:rsidP="000465B7">
      <w:pPr>
        <w:spacing w:after="80" w:line="360" w:lineRule="auto"/>
        <w:jc w:val="both"/>
        <w:rPr>
          <w:rFonts w:ascii="Times New Roman" w:hAnsi="Times New Roman" w:cs="Times New Roman"/>
        </w:rPr>
      </w:pPr>
      <w:r w:rsidRPr="000465B7">
        <w:rPr>
          <w:rFonts w:ascii="Times New Roman" w:hAnsi="Times New Roman" w:cs="Times New Roman"/>
          <w:color w:val="333333"/>
        </w:rPr>
        <w:lastRenderedPageBreak/>
        <w:t>A full-ratio analysis is carried out in Table 3 that aims at activating six categories, i.e., profitability, liquidity, efficiency, gearing, cash flow and investment.</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00"/>
        <w:gridCol w:w="1390"/>
        <w:gridCol w:w="1390"/>
        <w:gridCol w:w="1390"/>
        <w:gridCol w:w="1395"/>
        <w:gridCol w:w="1395"/>
      </w:tblGrid>
      <w:tr w:rsidR="00497D53" w:rsidRPr="000465B7" w14:paraId="5CE473CB" w14:textId="77777777">
        <w:tc>
          <w:tcPr>
            <w:tcW w:w="240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303B7187"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Ratio</w:t>
            </w:r>
          </w:p>
        </w:tc>
        <w:tc>
          <w:tcPr>
            <w:tcW w:w="139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564E7B7E"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2020</w:t>
            </w:r>
          </w:p>
        </w:tc>
        <w:tc>
          <w:tcPr>
            <w:tcW w:w="139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7B8DE0B3"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2021</w:t>
            </w:r>
          </w:p>
        </w:tc>
        <w:tc>
          <w:tcPr>
            <w:tcW w:w="139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6084AE7B"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2022</w:t>
            </w:r>
          </w:p>
        </w:tc>
        <w:tc>
          <w:tcPr>
            <w:tcW w:w="1395"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467043CC"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2023</w:t>
            </w:r>
          </w:p>
        </w:tc>
        <w:tc>
          <w:tcPr>
            <w:tcW w:w="1395"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0F61F1AA"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2024</w:t>
            </w:r>
          </w:p>
        </w:tc>
      </w:tr>
      <w:tr w:rsidR="00497D53" w:rsidRPr="000465B7" w14:paraId="6CF12EE2" w14:textId="77777777">
        <w:tc>
          <w:tcPr>
            <w:tcW w:w="9360" w:type="dxa"/>
            <w:gridSpan w:val="6"/>
            <w:tcBorders>
              <w:top w:val="single" w:sz="0" w:space="0" w:color="AAAAAA"/>
              <w:left w:val="single" w:sz="0" w:space="0" w:color="AAAAAA"/>
              <w:bottom w:val="single" w:sz="0" w:space="0" w:color="AAAAAA"/>
              <w:right w:val="single" w:sz="0" w:space="0" w:color="AAAAAA"/>
            </w:tcBorders>
            <w:shd w:val="clear" w:color="auto" w:fill="D6E4F0"/>
            <w:tcMar>
              <w:top w:w="60" w:type="dxa"/>
              <w:left w:w="120" w:type="dxa"/>
              <w:bottom w:w="60" w:type="dxa"/>
              <w:right w:w="120" w:type="dxa"/>
            </w:tcMar>
          </w:tcPr>
          <w:p w14:paraId="79C1EC96"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1F4E79"/>
                <w:sz w:val="20"/>
                <w:szCs w:val="20"/>
              </w:rPr>
              <w:t>PROFITABILITY RATIOS</w:t>
            </w:r>
          </w:p>
        </w:tc>
      </w:tr>
      <w:tr w:rsidR="00497D53" w:rsidRPr="000465B7" w14:paraId="77EFE52B" w14:textId="77777777">
        <w:tc>
          <w:tcPr>
            <w:tcW w:w="24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54725561"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Gross Profit Margin</w:t>
            </w:r>
          </w:p>
        </w:tc>
        <w:tc>
          <w:tcPr>
            <w:tcW w:w="139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1501F9BC"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21.0%</w:t>
            </w:r>
          </w:p>
        </w:tc>
        <w:tc>
          <w:tcPr>
            <w:tcW w:w="139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2469E943"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25.3%</w:t>
            </w:r>
          </w:p>
        </w:tc>
        <w:tc>
          <w:tcPr>
            <w:tcW w:w="139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041150F6"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25.6%</w:t>
            </w:r>
          </w:p>
        </w:tc>
        <w:tc>
          <w:tcPr>
            <w:tcW w:w="1395"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491F4D6B"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18.2%</w:t>
            </w:r>
          </w:p>
        </w:tc>
        <w:tc>
          <w:tcPr>
            <w:tcW w:w="1395"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5C0301DF"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17.9%</w:t>
            </w:r>
          </w:p>
        </w:tc>
      </w:tr>
      <w:tr w:rsidR="00497D53" w:rsidRPr="000465B7" w14:paraId="488203DA" w14:textId="77777777">
        <w:tc>
          <w:tcPr>
            <w:tcW w:w="24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008526F6"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Operating Profit Margin</w:t>
            </w:r>
          </w:p>
        </w:tc>
        <w:tc>
          <w:tcPr>
            <w:tcW w:w="139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47A6E042"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6.3%</w:t>
            </w:r>
          </w:p>
        </w:tc>
        <w:tc>
          <w:tcPr>
            <w:tcW w:w="139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665C3E0B"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12.1%</w:t>
            </w:r>
          </w:p>
        </w:tc>
        <w:tc>
          <w:tcPr>
            <w:tcW w:w="139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3D12CF75"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16.8%</w:t>
            </w:r>
          </w:p>
        </w:tc>
        <w:tc>
          <w:tcPr>
            <w:tcW w:w="1395"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5A9BA24C"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9.2%</w:t>
            </w:r>
          </w:p>
        </w:tc>
        <w:tc>
          <w:tcPr>
            <w:tcW w:w="1395"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1D7AC5B2"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7.2%</w:t>
            </w:r>
          </w:p>
        </w:tc>
      </w:tr>
      <w:tr w:rsidR="00497D53" w:rsidRPr="000465B7" w14:paraId="1EEB6348" w14:textId="77777777">
        <w:tc>
          <w:tcPr>
            <w:tcW w:w="24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59794558"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Net Profit Margin</w:t>
            </w:r>
          </w:p>
        </w:tc>
        <w:tc>
          <w:tcPr>
            <w:tcW w:w="139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7647EA23"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2.3%</w:t>
            </w:r>
          </w:p>
        </w:tc>
        <w:tc>
          <w:tcPr>
            <w:tcW w:w="139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6DDC6E76"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10.3%</w:t>
            </w:r>
          </w:p>
        </w:tc>
        <w:tc>
          <w:tcPr>
            <w:tcW w:w="139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0195E0F8"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15.5%</w:t>
            </w:r>
          </w:p>
        </w:tc>
        <w:tc>
          <w:tcPr>
            <w:tcW w:w="1395"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41616305"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15.5%</w:t>
            </w:r>
          </w:p>
        </w:tc>
        <w:tc>
          <w:tcPr>
            <w:tcW w:w="1395"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781F3898"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7.3%</w:t>
            </w:r>
          </w:p>
        </w:tc>
      </w:tr>
      <w:tr w:rsidR="00497D53" w:rsidRPr="000465B7" w14:paraId="01719BCE" w14:textId="77777777">
        <w:tc>
          <w:tcPr>
            <w:tcW w:w="24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1016E0EF"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Return on Equity (ROE)</w:t>
            </w:r>
          </w:p>
        </w:tc>
        <w:tc>
          <w:tcPr>
            <w:tcW w:w="139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6B7ACEF8"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3.2%</w:t>
            </w:r>
          </w:p>
        </w:tc>
        <w:tc>
          <w:tcPr>
            <w:tcW w:w="139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794FC55F"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18.3%</w:t>
            </w:r>
          </w:p>
        </w:tc>
        <w:tc>
          <w:tcPr>
            <w:tcW w:w="139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51A4EF96"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28.1%</w:t>
            </w:r>
          </w:p>
        </w:tc>
        <w:tc>
          <w:tcPr>
            <w:tcW w:w="1395"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222BF2D3"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23.9%</w:t>
            </w:r>
          </w:p>
        </w:tc>
        <w:tc>
          <w:tcPr>
            <w:tcW w:w="1395"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7E380CC5"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9.8%</w:t>
            </w:r>
          </w:p>
        </w:tc>
      </w:tr>
      <w:tr w:rsidR="00497D53" w:rsidRPr="000465B7" w14:paraId="0382A356" w14:textId="77777777">
        <w:tc>
          <w:tcPr>
            <w:tcW w:w="24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097A5C29"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Return on Assets (ROA)</w:t>
            </w:r>
          </w:p>
        </w:tc>
        <w:tc>
          <w:tcPr>
            <w:tcW w:w="139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575D4015"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1.4%</w:t>
            </w:r>
          </w:p>
        </w:tc>
        <w:tc>
          <w:tcPr>
            <w:tcW w:w="139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02908DC8"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8.9%</w:t>
            </w:r>
          </w:p>
        </w:tc>
        <w:tc>
          <w:tcPr>
            <w:tcW w:w="139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7B5D0833"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15.3%</w:t>
            </w:r>
          </w:p>
        </w:tc>
        <w:tc>
          <w:tcPr>
            <w:tcW w:w="1395"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1314F389"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14.1%</w:t>
            </w:r>
          </w:p>
        </w:tc>
        <w:tc>
          <w:tcPr>
            <w:tcW w:w="1395"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45C56DA6"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5.8%</w:t>
            </w:r>
          </w:p>
        </w:tc>
      </w:tr>
      <w:tr w:rsidR="00497D53" w:rsidRPr="000465B7" w14:paraId="04264A2B" w14:textId="77777777">
        <w:tc>
          <w:tcPr>
            <w:tcW w:w="9360" w:type="dxa"/>
            <w:gridSpan w:val="6"/>
            <w:tcBorders>
              <w:top w:val="single" w:sz="0" w:space="0" w:color="AAAAAA"/>
              <w:left w:val="single" w:sz="0" w:space="0" w:color="AAAAAA"/>
              <w:bottom w:val="single" w:sz="0" w:space="0" w:color="AAAAAA"/>
              <w:right w:val="single" w:sz="0" w:space="0" w:color="AAAAAA"/>
            </w:tcBorders>
            <w:shd w:val="clear" w:color="auto" w:fill="D6E4F0"/>
            <w:tcMar>
              <w:top w:w="60" w:type="dxa"/>
              <w:left w:w="120" w:type="dxa"/>
              <w:bottom w:w="60" w:type="dxa"/>
              <w:right w:w="120" w:type="dxa"/>
            </w:tcMar>
          </w:tcPr>
          <w:p w14:paraId="51389C6C"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1F4E79"/>
                <w:sz w:val="20"/>
                <w:szCs w:val="20"/>
              </w:rPr>
              <w:t>LIQUIDITY RATIOS</w:t>
            </w:r>
          </w:p>
        </w:tc>
      </w:tr>
      <w:tr w:rsidR="00497D53" w:rsidRPr="000465B7" w14:paraId="78538169" w14:textId="77777777">
        <w:tc>
          <w:tcPr>
            <w:tcW w:w="24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1345E5EA"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Current Ratio</w:t>
            </w:r>
          </w:p>
        </w:tc>
        <w:tc>
          <w:tcPr>
            <w:tcW w:w="139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4C71C1F4"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1.88</w:t>
            </w:r>
          </w:p>
        </w:tc>
        <w:tc>
          <w:tcPr>
            <w:tcW w:w="139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7D092324"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1.38</w:t>
            </w:r>
          </w:p>
        </w:tc>
        <w:tc>
          <w:tcPr>
            <w:tcW w:w="139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17D45EED"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1.53</w:t>
            </w:r>
          </w:p>
        </w:tc>
        <w:tc>
          <w:tcPr>
            <w:tcW w:w="1395"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13270BCD"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1.73</w:t>
            </w:r>
          </w:p>
        </w:tc>
        <w:tc>
          <w:tcPr>
            <w:tcW w:w="1395"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5266CFAA"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1.66</w:t>
            </w:r>
          </w:p>
        </w:tc>
      </w:tr>
      <w:tr w:rsidR="00497D53" w:rsidRPr="000465B7" w14:paraId="507B5CA4" w14:textId="77777777">
        <w:tc>
          <w:tcPr>
            <w:tcW w:w="24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7B0BE149"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Quick Ratio</w:t>
            </w:r>
          </w:p>
        </w:tc>
        <w:tc>
          <w:tcPr>
            <w:tcW w:w="139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255259E1"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1.59</w:t>
            </w:r>
          </w:p>
        </w:tc>
        <w:tc>
          <w:tcPr>
            <w:tcW w:w="139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64388679"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1.09</w:t>
            </w:r>
          </w:p>
        </w:tc>
        <w:tc>
          <w:tcPr>
            <w:tcW w:w="139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6B19CAB0"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1.05</w:t>
            </w:r>
          </w:p>
        </w:tc>
        <w:tc>
          <w:tcPr>
            <w:tcW w:w="1395"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5F0730DA"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1.25</w:t>
            </w:r>
          </w:p>
        </w:tc>
        <w:tc>
          <w:tcPr>
            <w:tcW w:w="1395"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3C22D561"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1.24</w:t>
            </w:r>
          </w:p>
        </w:tc>
      </w:tr>
      <w:tr w:rsidR="00497D53" w:rsidRPr="000465B7" w14:paraId="63193E52" w14:textId="77777777">
        <w:tc>
          <w:tcPr>
            <w:tcW w:w="24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3A671894"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Cash Ratio</w:t>
            </w:r>
          </w:p>
        </w:tc>
        <w:tc>
          <w:tcPr>
            <w:tcW w:w="139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426F6265"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1.36</w:t>
            </w:r>
          </w:p>
        </w:tc>
        <w:tc>
          <w:tcPr>
            <w:tcW w:w="139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517C8BF7"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0.89</w:t>
            </w:r>
          </w:p>
        </w:tc>
        <w:tc>
          <w:tcPr>
            <w:tcW w:w="139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67A55EDE"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0.83</w:t>
            </w:r>
          </w:p>
        </w:tc>
        <w:tc>
          <w:tcPr>
            <w:tcW w:w="1395"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49DCDB79"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1.01</w:t>
            </w:r>
          </w:p>
        </w:tc>
        <w:tc>
          <w:tcPr>
            <w:tcW w:w="1395"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3D50C81F"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1.15</w:t>
            </w:r>
          </w:p>
        </w:tc>
      </w:tr>
      <w:tr w:rsidR="00497D53" w:rsidRPr="000465B7" w14:paraId="261616A6" w14:textId="77777777">
        <w:tc>
          <w:tcPr>
            <w:tcW w:w="9360" w:type="dxa"/>
            <w:gridSpan w:val="6"/>
            <w:tcBorders>
              <w:top w:val="single" w:sz="0" w:space="0" w:color="AAAAAA"/>
              <w:left w:val="single" w:sz="0" w:space="0" w:color="AAAAAA"/>
              <w:bottom w:val="single" w:sz="0" w:space="0" w:color="AAAAAA"/>
              <w:right w:val="single" w:sz="0" w:space="0" w:color="AAAAAA"/>
            </w:tcBorders>
            <w:shd w:val="clear" w:color="auto" w:fill="D6E4F0"/>
            <w:tcMar>
              <w:top w:w="60" w:type="dxa"/>
              <w:left w:w="120" w:type="dxa"/>
              <w:bottom w:w="60" w:type="dxa"/>
              <w:right w:w="120" w:type="dxa"/>
            </w:tcMar>
          </w:tcPr>
          <w:p w14:paraId="4B60C084"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1F4E79"/>
                <w:sz w:val="20"/>
                <w:szCs w:val="20"/>
              </w:rPr>
              <w:t>EFFICIENCY RATIOS</w:t>
            </w:r>
          </w:p>
        </w:tc>
      </w:tr>
      <w:tr w:rsidR="00497D53" w:rsidRPr="000465B7" w14:paraId="6F40C6C0" w14:textId="77777777">
        <w:tc>
          <w:tcPr>
            <w:tcW w:w="24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2313FB86"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Asset Turnover</w:t>
            </w:r>
          </w:p>
        </w:tc>
        <w:tc>
          <w:tcPr>
            <w:tcW w:w="139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352CD27E"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0.60</w:t>
            </w:r>
          </w:p>
        </w:tc>
        <w:tc>
          <w:tcPr>
            <w:tcW w:w="139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3517E609"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0.87</w:t>
            </w:r>
          </w:p>
        </w:tc>
        <w:tc>
          <w:tcPr>
            <w:tcW w:w="139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0FA02954"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0.99</w:t>
            </w:r>
          </w:p>
        </w:tc>
        <w:tc>
          <w:tcPr>
            <w:tcW w:w="1395"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65966DDE"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0.91</w:t>
            </w:r>
          </w:p>
        </w:tc>
        <w:tc>
          <w:tcPr>
            <w:tcW w:w="1395"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544E7620"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0.80</w:t>
            </w:r>
          </w:p>
        </w:tc>
      </w:tr>
      <w:tr w:rsidR="00497D53" w:rsidRPr="000465B7" w14:paraId="33C42C41" w14:textId="77777777">
        <w:tc>
          <w:tcPr>
            <w:tcW w:w="24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7DBACCA9"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Inventory Turnover (x)</w:t>
            </w:r>
          </w:p>
        </w:tc>
        <w:tc>
          <w:tcPr>
            <w:tcW w:w="139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3E85EB19"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6.1</w:t>
            </w:r>
          </w:p>
        </w:tc>
        <w:tc>
          <w:tcPr>
            <w:tcW w:w="139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1A582620"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7.0</w:t>
            </w:r>
          </w:p>
        </w:tc>
        <w:tc>
          <w:tcPr>
            <w:tcW w:w="139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667DA8AA"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4.7</w:t>
            </w:r>
          </w:p>
        </w:tc>
        <w:tc>
          <w:tcPr>
            <w:tcW w:w="1395"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2F1E66D8"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5.8</w:t>
            </w:r>
          </w:p>
        </w:tc>
        <w:tc>
          <w:tcPr>
            <w:tcW w:w="1395"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134143A3"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6.1</w:t>
            </w:r>
          </w:p>
        </w:tc>
      </w:tr>
      <w:tr w:rsidR="00497D53" w:rsidRPr="000465B7" w14:paraId="6E2F8256" w14:textId="77777777">
        <w:tc>
          <w:tcPr>
            <w:tcW w:w="24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2589DC19"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Receivables Turnover (x)</w:t>
            </w:r>
          </w:p>
        </w:tc>
        <w:tc>
          <w:tcPr>
            <w:tcW w:w="139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7CCCD25F"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16.7</w:t>
            </w:r>
          </w:p>
        </w:tc>
        <w:tc>
          <w:tcPr>
            <w:tcW w:w="139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671E30AA"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28.1</w:t>
            </w:r>
          </w:p>
        </w:tc>
        <w:tc>
          <w:tcPr>
            <w:tcW w:w="139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622A3BB2"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27.6</w:t>
            </w:r>
          </w:p>
        </w:tc>
        <w:tc>
          <w:tcPr>
            <w:tcW w:w="1395"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64FCA0FF"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27.6</w:t>
            </w:r>
          </w:p>
        </w:tc>
        <w:tc>
          <w:tcPr>
            <w:tcW w:w="1395"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015F9ADA"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22.1</w:t>
            </w:r>
          </w:p>
        </w:tc>
      </w:tr>
      <w:tr w:rsidR="00497D53" w:rsidRPr="000465B7" w14:paraId="1EB27165" w14:textId="77777777">
        <w:tc>
          <w:tcPr>
            <w:tcW w:w="24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6A0CCAFC"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Days Inventory Outstanding</w:t>
            </w:r>
          </w:p>
        </w:tc>
        <w:tc>
          <w:tcPr>
            <w:tcW w:w="139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63DA128A"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60</w:t>
            </w:r>
          </w:p>
        </w:tc>
        <w:tc>
          <w:tcPr>
            <w:tcW w:w="139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6B6ED4C8"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52</w:t>
            </w:r>
          </w:p>
        </w:tc>
        <w:tc>
          <w:tcPr>
            <w:tcW w:w="139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71FF3F1E"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77</w:t>
            </w:r>
          </w:p>
        </w:tc>
        <w:tc>
          <w:tcPr>
            <w:tcW w:w="1395"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070160D3"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63</w:t>
            </w:r>
          </w:p>
        </w:tc>
        <w:tc>
          <w:tcPr>
            <w:tcW w:w="1395"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46BBFE87"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60</w:t>
            </w:r>
          </w:p>
        </w:tc>
      </w:tr>
      <w:tr w:rsidR="00497D53" w:rsidRPr="000465B7" w14:paraId="6A8BC069" w14:textId="77777777">
        <w:tc>
          <w:tcPr>
            <w:tcW w:w="24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0B9907A6"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Days Sales Outstanding</w:t>
            </w:r>
          </w:p>
        </w:tc>
        <w:tc>
          <w:tcPr>
            <w:tcW w:w="139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6A6B9F97"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22</w:t>
            </w:r>
          </w:p>
        </w:tc>
        <w:tc>
          <w:tcPr>
            <w:tcW w:w="139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68F4EC00"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13</w:t>
            </w:r>
          </w:p>
        </w:tc>
        <w:tc>
          <w:tcPr>
            <w:tcW w:w="139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70A76400"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13</w:t>
            </w:r>
          </w:p>
        </w:tc>
        <w:tc>
          <w:tcPr>
            <w:tcW w:w="1395"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1E815503"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13</w:t>
            </w:r>
          </w:p>
        </w:tc>
        <w:tc>
          <w:tcPr>
            <w:tcW w:w="1395"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1C52063B"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17</w:t>
            </w:r>
          </w:p>
        </w:tc>
      </w:tr>
      <w:tr w:rsidR="00497D53" w:rsidRPr="000465B7" w14:paraId="0DEDA7D6" w14:textId="77777777">
        <w:tc>
          <w:tcPr>
            <w:tcW w:w="24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44C056AF"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Days Payable Outstanding</w:t>
            </w:r>
          </w:p>
        </w:tc>
        <w:tc>
          <w:tcPr>
            <w:tcW w:w="139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6B543B9B"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89</w:t>
            </w:r>
          </w:p>
        </w:tc>
        <w:tc>
          <w:tcPr>
            <w:tcW w:w="139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45A91679"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91</w:t>
            </w:r>
          </w:p>
        </w:tc>
        <w:tc>
          <w:tcPr>
            <w:tcW w:w="139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296D8ABC"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92</w:t>
            </w:r>
          </w:p>
        </w:tc>
        <w:tc>
          <w:tcPr>
            <w:tcW w:w="1395"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65B1EDA1"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67</w:t>
            </w:r>
          </w:p>
        </w:tc>
        <w:tc>
          <w:tcPr>
            <w:tcW w:w="1395"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5B9BEA71"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57</w:t>
            </w:r>
          </w:p>
        </w:tc>
      </w:tr>
      <w:tr w:rsidR="00497D53" w:rsidRPr="000465B7" w14:paraId="0384EE92" w14:textId="77777777">
        <w:tc>
          <w:tcPr>
            <w:tcW w:w="9360" w:type="dxa"/>
            <w:gridSpan w:val="6"/>
            <w:tcBorders>
              <w:top w:val="single" w:sz="0" w:space="0" w:color="AAAAAA"/>
              <w:left w:val="single" w:sz="0" w:space="0" w:color="AAAAAA"/>
              <w:bottom w:val="single" w:sz="0" w:space="0" w:color="AAAAAA"/>
              <w:right w:val="single" w:sz="0" w:space="0" w:color="AAAAAA"/>
            </w:tcBorders>
            <w:shd w:val="clear" w:color="auto" w:fill="D6E4F0"/>
            <w:tcMar>
              <w:top w:w="60" w:type="dxa"/>
              <w:left w:w="120" w:type="dxa"/>
              <w:bottom w:w="60" w:type="dxa"/>
              <w:right w:w="120" w:type="dxa"/>
            </w:tcMar>
          </w:tcPr>
          <w:p w14:paraId="5901165C"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1F4E79"/>
                <w:sz w:val="20"/>
                <w:szCs w:val="20"/>
              </w:rPr>
              <w:t>GEARING / LEVERAGE RATIOS</w:t>
            </w:r>
          </w:p>
        </w:tc>
      </w:tr>
      <w:tr w:rsidR="00497D53" w:rsidRPr="000465B7" w14:paraId="6940C9B9" w14:textId="77777777">
        <w:tc>
          <w:tcPr>
            <w:tcW w:w="24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2944175D"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Debt-to-Equity Ratio</w:t>
            </w:r>
          </w:p>
        </w:tc>
        <w:tc>
          <w:tcPr>
            <w:tcW w:w="139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748B3522"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1.28</w:t>
            </w:r>
          </w:p>
        </w:tc>
        <w:tc>
          <w:tcPr>
            <w:tcW w:w="139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07AB2949"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1.01</w:t>
            </w:r>
          </w:p>
        </w:tc>
        <w:tc>
          <w:tcPr>
            <w:tcW w:w="139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50D9D687"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0.82</w:t>
            </w:r>
          </w:p>
        </w:tc>
        <w:tc>
          <w:tcPr>
            <w:tcW w:w="1395"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732765F1"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0.69</w:t>
            </w:r>
          </w:p>
        </w:tc>
        <w:tc>
          <w:tcPr>
            <w:tcW w:w="1395"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4180EFF7"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0.66</w:t>
            </w:r>
          </w:p>
        </w:tc>
      </w:tr>
      <w:tr w:rsidR="00497D53" w:rsidRPr="000465B7" w14:paraId="0022DD53" w14:textId="77777777">
        <w:tc>
          <w:tcPr>
            <w:tcW w:w="24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5AEE8633"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Debt-to-Assets Ratio</w:t>
            </w:r>
          </w:p>
        </w:tc>
        <w:tc>
          <w:tcPr>
            <w:tcW w:w="139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07099E14"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0.54</w:t>
            </w:r>
          </w:p>
        </w:tc>
        <w:tc>
          <w:tcPr>
            <w:tcW w:w="139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54B5F56D"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0.49</w:t>
            </w:r>
          </w:p>
        </w:tc>
        <w:tc>
          <w:tcPr>
            <w:tcW w:w="139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3BA6D350"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0.44</w:t>
            </w:r>
          </w:p>
        </w:tc>
        <w:tc>
          <w:tcPr>
            <w:tcW w:w="1395"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5636711F"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0.40</w:t>
            </w:r>
          </w:p>
        </w:tc>
        <w:tc>
          <w:tcPr>
            <w:tcW w:w="1395"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2445F7CB"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0.40</w:t>
            </w:r>
          </w:p>
        </w:tc>
      </w:tr>
      <w:tr w:rsidR="00497D53" w:rsidRPr="000465B7" w14:paraId="0698C4AE" w14:textId="77777777">
        <w:tc>
          <w:tcPr>
            <w:tcW w:w="24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798C6A72"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Interest Coverage (x)</w:t>
            </w:r>
          </w:p>
        </w:tc>
        <w:tc>
          <w:tcPr>
            <w:tcW w:w="139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55EA18DD"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3.2</w:t>
            </w:r>
          </w:p>
        </w:tc>
        <w:tc>
          <w:tcPr>
            <w:tcW w:w="139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2EAC9A78"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21.1</w:t>
            </w:r>
          </w:p>
        </w:tc>
        <w:tc>
          <w:tcPr>
            <w:tcW w:w="139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45E4DD30"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66.4</w:t>
            </w:r>
          </w:p>
        </w:tc>
        <w:tc>
          <w:tcPr>
            <w:tcW w:w="1395"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7279A4E0"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70.9</w:t>
            </w:r>
          </w:p>
        </w:tc>
        <w:tc>
          <w:tcPr>
            <w:tcW w:w="1395"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2B9176C3"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34.2</w:t>
            </w:r>
          </w:p>
        </w:tc>
      </w:tr>
      <w:tr w:rsidR="00497D53" w:rsidRPr="000465B7" w14:paraId="1059C8A9" w14:textId="77777777">
        <w:tc>
          <w:tcPr>
            <w:tcW w:w="9360" w:type="dxa"/>
            <w:gridSpan w:val="6"/>
            <w:tcBorders>
              <w:top w:val="single" w:sz="0" w:space="0" w:color="AAAAAA"/>
              <w:left w:val="single" w:sz="0" w:space="0" w:color="AAAAAA"/>
              <w:bottom w:val="single" w:sz="0" w:space="0" w:color="AAAAAA"/>
              <w:right w:val="single" w:sz="0" w:space="0" w:color="AAAAAA"/>
            </w:tcBorders>
            <w:shd w:val="clear" w:color="auto" w:fill="D6E4F0"/>
            <w:tcMar>
              <w:top w:w="60" w:type="dxa"/>
              <w:left w:w="120" w:type="dxa"/>
              <w:bottom w:w="60" w:type="dxa"/>
              <w:right w:w="120" w:type="dxa"/>
            </w:tcMar>
          </w:tcPr>
          <w:p w14:paraId="183DF6D6"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1F4E79"/>
                <w:sz w:val="20"/>
                <w:szCs w:val="20"/>
              </w:rPr>
              <w:t>CASH FLOW RATIOS</w:t>
            </w:r>
          </w:p>
        </w:tc>
      </w:tr>
      <w:tr w:rsidR="00497D53" w:rsidRPr="000465B7" w14:paraId="04EFC175" w14:textId="77777777">
        <w:tc>
          <w:tcPr>
            <w:tcW w:w="24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20EA4659"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Operating Cash Flow ($M)</w:t>
            </w:r>
          </w:p>
        </w:tc>
        <w:tc>
          <w:tcPr>
            <w:tcW w:w="139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41918F9C"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5,943</w:t>
            </w:r>
          </w:p>
        </w:tc>
        <w:tc>
          <w:tcPr>
            <w:tcW w:w="139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62CC93AC"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11,497</w:t>
            </w:r>
          </w:p>
        </w:tc>
        <w:tc>
          <w:tcPr>
            <w:tcW w:w="139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4E564702"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14,724</w:t>
            </w:r>
          </w:p>
        </w:tc>
        <w:tc>
          <w:tcPr>
            <w:tcW w:w="1395"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2D07891B"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13,256</w:t>
            </w:r>
          </w:p>
        </w:tc>
        <w:tc>
          <w:tcPr>
            <w:tcW w:w="1395"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627F08B0"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14,923</w:t>
            </w:r>
          </w:p>
        </w:tc>
      </w:tr>
      <w:tr w:rsidR="00497D53" w:rsidRPr="000465B7" w14:paraId="6B2CDBB6" w14:textId="77777777">
        <w:tc>
          <w:tcPr>
            <w:tcW w:w="24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0CFD4B6F"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lastRenderedPageBreak/>
              <w:t>Free Cash Flow ($M)</w:t>
            </w:r>
          </w:p>
        </w:tc>
        <w:tc>
          <w:tcPr>
            <w:tcW w:w="139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220C7850"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2,786</w:t>
            </w:r>
          </w:p>
        </w:tc>
        <w:tc>
          <w:tcPr>
            <w:tcW w:w="139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76EE3F63"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4,665</w:t>
            </w:r>
          </w:p>
        </w:tc>
        <w:tc>
          <w:tcPr>
            <w:tcW w:w="139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0AE824DB"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7,552</w:t>
            </w:r>
          </w:p>
        </w:tc>
        <w:tc>
          <w:tcPr>
            <w:tcW w:w="1395"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37BEF0B1"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4,357</w:t>
            </w:r>
          </w:p>
        </w:tc>
        <w:tc>
          <w:tcPr>
            <w:tcW w:w="1395"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139DC65D"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3,581</w:t>
            </w:r>
          </w:p>
        </w:tc>
      </w:tr>
      <w:tr w:rsidR="00497D53" w:rsidRPr="000465B7" w14:paraId="6F41C80A" w14:textId="77777777">
        <w:tc>
          <w:tcPr>
            <w:tcW w:w="24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441823A2"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CapEx ($M)</w:t>
            </w:r>
          </w:p>
        </w:tc>
        <w:tc>
          <w:tcPr>
            <w:tcW w:w="139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3C971243"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3,157</w:t>
            </w:r>
          </w:p>
        </w:tc>
        <w:tc>
          <w:tcPr>
            <w:tcW w:w="139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3607A025"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6,832</w:t>
            </w:r>
          </w:p>
        </w:tc>
        <w:tc>
          <w:tcPr>
            <w:tcW w:w="139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5A7C06DA"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7,172</w:t>
            </w:r>
          </w:p>
        </w:tc>
        <w:tc>
          <w:tcPr>
            <w:tcW w:w="1395"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3F81486F"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8,899</w:t>
            </w:r>
          </w:p>
        </w:tc>
        <w:tc>
          <w:tcPr>
            <w:tcW w:w="1395"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4BB2ACB0"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11,339</w:t>
            </w:r>
          </w:p>
        </w:tc>
      </w:tr>
      <w:tr w:rsidR="00497D53" w:rsidRPr="000465B7" w14:paraId="694D046F" w14:textId="77777777">
        <w:tc>
          <w:tcPr>
            <w:tcW w:w="9360" w:type="dxa"/>
            <w:gridSpan w:val="6"/>
            <w:tcBorders>
              <w:top w:val="single" w:sz="0" w:space="0" w:color="AAAAAA"/>
              <w:left w:val="single" w:sz="0" w:space="0" w:color="AAAAAA"/>
              <w:bottom w:val="single" w:sz="0" w:space="0" w:color="AAAAAA"/>
              <w:right w:val="single" w:sz="0" w:space="0" w:color="AAAAAA"/>
            </w:tcBorders>
            <w:shd w:val="clear" w:color="auto" w:fill="D6E4F0"/>
            <w:tcMar>
              <w:top w:w="60" w:type="dxa"/>
              <w:left w:w="120" w:type="dxa"/>
              <w:bottom w:w="60" w:type="dxa"/>
              <w:right w:w="120" w:type="dxa"/>
            </w:tcMar>
          </w:tcPr>
          <w:p w14:paraId="02CC5B93"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1F4E79"/>
                <w:sz w:val="20"/>
                <w:szCs w:val="20"/>
              </w:rPr>
              <w:t>INVESTMENT RATIOS</w:t>
            </w:r>
          </w:p>
        </w:tc>
      </w:tr>
      <w:tr w:rsidR="00497D53" w:rsidRPr="000465B7" w14:paraId="7015B633" w14:textId="77777777">
        <w:tc>
          <w:tcPr>
            <w:tcW w:w="24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58CF62DA"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EPS (Diluted, GAAP)</w:t>
            </w:r>
          </w:p>
        </w:tc>
        <w:tc>
          <w:tcPr>
            <w:tcW w:w="139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1D0BA8D0"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$0.21</w:t>
            </w:r>
          </w:p>
        </w:tc>
        <w:tc>
          <w:tcPr>
            <w:tcW w:w="139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01C79B40"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$1.87</w:t>
            </w:r>
          </w:p>
        </w:tc>
        <w:tc>
          <w:tcPr>
            <w:tcW w:w="139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74F45EB6"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$3.62</w:t>
            </w:r>
          </w:p>
        </w:tc>
        <w:tc>
          <w:tcPr>
            <w:tcW w:w="1395"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59372976"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$3.53</w:t>
            </w:r>
          </w:p>
        </w:tc>
        <w:tc>
          <w:tcPr>
            <w:tcW w:w="1395"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2328C1E6"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$2.04</w:t>
            </w:r>
          </w:p>
        </w:tc>
      </w:tr>
      <w:tr w:rsidR="00497D53" w:rsidRPr="000465B7" w14:paraId="0CAF9891" w14:textId="77777777">
        <w:tc>
          <w:tcPr>
            <w:tcW w:w="24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13A0E859"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Book Value per Share</w:t>
            </w:r>
          </w:p>
        </w:tc>
        <w:tc>
          <w:tcPr>
            <w:tcW w:w="139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4D47DE2A"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$6.55</w:t>
            </w:r>
          </w:p>
        </w:tc>
        <w:tc>
          <w:tcPr>
            <w:tcW w:w="139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6A24D94A"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$8.64</w:t>
            </w:r>
          </w:p>
        </w:tc>
        <w:tc>
          <w:tcPr>
            <w:tcW w:w="139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2E1746C0"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$13.99</w:t>
            </w:r>
          </w:p>
        </w:tc>
        <w:tc>
          <w:tcPr>
            <w:tcW w:w="1395"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02013A52"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$19.65</w:t>
            </w:r>
          </w:p>
        </w:tc>
        <w:tc>
          <w:tcPr>
            <w:tcW w:w="1395"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104225DA"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$22.85</w:t>
            </w:r>
          </w:p>
        </w:tc>
      </w:tr>
    </w:tbl>
    <w:p w14:paraId="19E6F037" w14:textId="77777777" w:rsidR="00497D53" w:rsidRPr="000465B7" w:rsidRDefault="00000000" w:rsidP="000465B7">
      <w:pPr>
        <w:spacing w:before="60" w:after="200" w:line="360" w:lineRule="auto"/>
        <w:jc w:val="both"/>
        <w:rPr>
          <w:rFonts w:ascii="Times New Roman" w:hAnsi="Times New Roman" w:cs="Times New Roman"/>
        </w:rPr>
      </w:pPr>
      <w:r w:rsidRPr="000465B7">
        <w:rPr>
          <w:rFonts w:ascii="Times New Roman" w:hAnsi="Times New Roman" w:cs="Times New Roman"/>
          <w:i/>
          <w:iCs/>
          <w:color w:val="666666"/>
          <w:sz w:val="20"/>
          <w:szCs w:val="20"/>
        </w:rPr>
        <w:t>Table 3. Tesla, Inc. Comprehensive Financial Ratio Analysis (2020-2024). Source: Calculated from Tesla SEC 10-K Filings.</w:t>
      </w:r>
    </w:p>
    <w:p w14:paraId="7BA14E0F" w14:textId="77777777" w:rsidR="00497D53" w:rsidRPr="000465B7" w:rsidRDefault="00000000" w:rsidP="000465B7">
      <w:pPr>
        <w:pStyle w:val="Heading2"/>
        <w:spacing w:line="360" w:lineRule="auto"/>
        <w:rPr>
          <w:rFonts w:cs="Times New Roman"/>
        </w:rPr>
      </w:pPr>
      <w:bookmarkStart w:id="4" w:name="_Toc224599750"/>
      <w:r w:rsidRPr="000465B7">
        <w:rPr>
          <w:rFonts w:cs="Times New Roman"/>
          <w:color w:val="1F4E79"/>
        </w:rPr>
        <w:t>1.3 Profitability Analysis</w:t>
      </w:r>
      <w:bookmarkEnd w:id="4"/>
    </w:p>
    <w:p w14:paraId="71B4C6BF"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rPr>
        <w:t>One of the most remarkable aspects of the new financial history of Tesla is its profitability trend. In 2020, the gross profit margin stood at 21.0% and grew to a high 25.6% in 2022, accompanied by the high demand of vehicles, the efficiencies of the production in Gigafactory Shanghai and Fremont, high-margin Full Self-Driving (FSD) software subscriptions and the favourable pricing environment. Nevertheless, a long-term price-cutting programme initiated in the end of 2022 and running through to 2023, to protect market share against increasing competition by BYD, Hyundai, and other EV entrants, resulted in a crushing of the gross margin to 18.2 in 2023 and even lower to 17.9 in 2024.</w:t>
      </w:r>
    </w:p>
    <w:p w14:paraId="139D9DDC"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rPr>
        <w:t>Net profit margin 2022 The highest point of net profit margin was reached when the company experienced 15.5% in 2022, and then started to decrease sharply to 7.3% in 2024. The net income figure of 2023 of $14,997M million was partly aided by a large deferred asset of tax recognising about 5.7 billion; on a bottom level, the profitability loss was sharp. One indicator of compression of the margin is a return on equity (ROE) that declined to 9.8 percent in 2024, compared to the high of 28.1 percent in 2022 and an increase in the base of equity. Return on assets (ROA) also decreased to 5.8% as compared to 15.3 during the same time. The tendencies show that Tesla still enjoys profits, yet the times of the high margin of high volumes growth have come to as, now the company faces more competition, and more margin-related challenges, which requires the immediate strategic adjustment.</w:t>
      </w:r>
    </w:p>
    <w:p w14:paraId="38851BFC" w14:textId="77777777" w:rsidR="00497D53" w:rsidRPr="000465B7" w:rsidRDefault="00000000" w:rsidP="000465B7">
      <w:pPr>
        <w:pStyle w:val="Heading2"/>
        <w:spacing w:line="360" w:lineRule="auto"/>
        <w:rPr>
          <w:rFonts w:cs="Times New Roman"/>
        </w:rPr>
      </w:pPr>
      <w:bookmarkStart w:id="5" w:name="_Toc224599751"/>
      <w:r w:rsidRPr="000465B7">
        <w:rPr>
          <w:rFonts w:cs="Times New Roman"/>
          <w:color w:val="1F4E79"/>
        </w:rPr>
        <w:t>1.4 Liquidity Analysis</w:t>
      </w:r>
      <w:bookmarkEnd w:id="5"/>
    </w:p>
    <w:p w14:paraId="53DDE1E1"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rPr>
        <w:t xml:space="preserve">The liquidity position of Tesla has been relatively sound during the period of review. The current ratio was better than it was in 2020 (1.88); it increased to 1.73 then slightly dropped to 1.66 in 2023 and 2024, respectively. A current ratio of 1.5 or more is regarded as a sufficient value in a manufacturing company having high working capital requirements (Brigham and Ehrhardt, 2020). The quick ratio that does not include inventory as an asset increased to 1.24 in 2024 compared to 1.05 in 2022, </w:t>
      </w:r>
      <w:r w:rsidRPr="000465B7">
        <w:rPr>
          <w:rFonts w:ascii="Times New Roman" w:hAnsi="Times New Roman" w:cs="Times New Roman"/>
        </w:rPr>
        <w:lastRenderedPageBreak/>
        <w:t>indicating that despite the fact that the company did not sell inventory and transformed it into current assets to settle the current liabilities, it can cover them in the short term.</w:t>
      </w:r>
    </w:p>
    <w:p w14:paraId="35180A93"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rPr>
        <w:t>This 2024 balance of 1.15 improved as compared to 0.83 in 2022 with support of the accumulation of cash and investments to the values of 36.6 billion by the end of 2024. This good cash position gives Tesla great strategic flexibility, but it also begs concerns about capital deployment efficiency. The Board has to think whether this cash hoard could not be utilised better by offering share buybacks, initiating dividends or increased R&amp;D investment in autonomous driving and energy storage.</w:t>
      </w:r>
    </w:p>
    <w:p w14:paraId="4AB040D5" w14:textId="77777777" w:rsidR="00497D53" w:rsidRPr="000465B7" w:rsidRDefault="00000000" w:rsidP="000465B7">
      <w:pPr>
        <w:pStyle w:val="Heading2"/>
        <w:spacing w:line="360" w:lineRule="auto"/>
        <w:rPr>
          <w:rFonts w:cs="Times New Roman"/>
        </w:rPr>
      </w:pPr>
      <w:bookmarkStart w:id="6" w:name="_Toc224599752"/>
      <w:r w:rsidRPr="000465B7">
        <w:rPr>
          <w:rFonts w:cs="Times New Roman"/>
          <w:color w:val="1F4E79"/>
        </w:rPr>
        <w:t>1.5 Efficiency Analysis</w:t>
      </w:r>
      <w:bookmarkEnd w:id="6"/>
    </w:p>
    <w:p w14:paraId="27847F07" w14:textId="6BD1BA85"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rPr>
        <w:t xml:space="preserve">The asset turnover has decreased over 0.99 in 2022 to 0.80 in 2024, or the asset base in Tesla is expanding faster than its revenue, which is supported by the intensive capital spending on new Gigafactories in Austin (Texas) and Berlin (Germany). Although this is a </w:t>
      </w:r>
      <w:r w:rsidR="000465B7" w:rsidRPr="000465B7">
        <w:rPr>
          <w:rFonts w:ascii="Times New Roman" w:hAnsi="Times New Roman" w:cs="Times New Roman"/>
        </w:rPr>
        <w:t>short-term</w:t>
      </w:r>
      <w:r w:rsidRPr="000465B7">
        <w:rPr>
          <w:rFonts w:ascii="Times New Roman" w:hAnsi="Times New Roman" w:cs="Times New Roman"/>
        </w:rPr>
        <w:t xml:space="preserve"> efficiency headwind, it is in line with a long term capacity expansion strategy.</w:t>
      </w:r>
    </w:p>
    <w:p w14:paraId="334DAF8E" w14:textId="268C7332"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rPr>
        <w:t xml:space="preserve">A 6.1x inventory turnover in 2024 is on industry average and indicates the direct to consumer sales channel of Tesla, which minimises inventory in the dealer lot. Days Inventory Outstanding (DIO) balance recorded 60 days as at 2024 and improved compared to 77 days which stands as an alarming level in 2022. Days Sales Outstanding (DSO) of 17 days are characteristic of Tesla which is mostly cash or </w:t>
      </w:r>
      <w:r w:rsidR="000465B7" w:rsidRPr="000465B7">
        <w:rPr>
          <w:rFonts w:ascii="Times New Roman" w:hAnsi="Times New Roman" w:cs="Times New Roman"/>
        </w:rPr>
        <w:t>financed sale</w:t>
      </w:r>
      <w:r w:rsidRPr="000465B7">
        <w:rPr>
          <w:rFonts w:ascii="Times New Roman" w:hAnsi="Times New Roman" w:cs="Times New Roman"/>
        </w:rPr>
        <w:t xml:space="preserve"> oriented which has low risks like credit risks it has with the conventional automakers.</w:t>
      </w:r>
    </w:p>
    <w:p w14:paraId="5B14FECD" w14:textId="550F60B4"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rPr>
        <w:t xml:space="preserve">Among the factors that seem to be of particular interest in this situation is Days Payable Outstanding (DPO), which decreased considerably down to an impressive 57 days in 2024 compared to 92 days in 2022. This implies that Tesla is paying its suppliers at a faster rate which makes the company less competitive in using trade credit to obtain working capital financing in the company. This trend should be carefully </w:t>
      </w:r>
      <w:r w:rsidR="000465B7" w:rsidRPr="000465B7">
        <w:rPr>
          <w:rFonts w:ascii="Times New Roman" w:hAnsi="Times New Roman" w:cs="Times New Roman"/>
        </w:rPr>
        <w:t>managed,</w:t>
      </w:r>
      <w:r w:rsidRPr="000465B7">
        <w:rPr>
          <w:rFonts w:ascii="Times New Roman" w:hAnsi="Times New Roman" w:cs="Times New Roman"/>
        </w:rPr>
        <w:t xml:space="preserve"> and it is discussed in Section 2.</w:t>
      </w:r>
    </w:p>
    <w:p w14:paraId="6A96374A" w14:textId="77777777" w:rsidR="00497D53" w:rsidRPr="000465B7" w:rsidRDefault="00000000" w:rsidP="000465B7">
      <w:pPr>
        <w:pStyle w:val="Heading2"/>
        <w:spacing w:line="360" w:lineRule="auto"/>
        <w:rPr>
          <w:rFonts w:cs="Times New Roman"/>
        </w:rPr>
      </w:pPr>
      <w:bookmarkStart w:id="7" w:name="_Toc224599753"/>
      <w:r w:rsidRPr="000465B7">
        <w:rPr>
          <w:rFonts w:cs="Times New Roman"/>
          <w:color w:val="1F4E79"/>
        </w:rPr>
        <w:t>1.6 Gearing Analysis</w:t>
      </w:r>
      <w:bookmarkEnd w:id="7"/>
    </w:p>
    <w:p w14:paraId="5F1661D6"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rPr>
        <w:t>One of the best structural accomplishments by Tesla is its improved gearing position which has greatly improved throughout the period of review. Debt-to-equity ratio has decreased to 0.66 in 2024 as compared to 1.28 in 2020 whereas the debt-to-assets ratio has fallen to 0.40. This deleveraging is not only of high cash generation but also a high accumulation of equity. The debt obligation situation shows that Tesla is not experiencing financial stress due to its debts: the interest coverage ratio increased by 3.2x to 34.2x between 2020 and 2024 (Damodaran, 2022).</w:t>
      </w:r>
    </w:p>
    <w:p w14:paraId="3CF70776"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rPr>
        <w:t xml:space="preserve">The long-term debt also decreased in 2022 since it stood at $1.6 billion in 2022 as opposed to the $9.6 billion in 2020 because Tesla applied free cash flow to pay off convertible notes. The following rise </w:t>
      </w:r>
      <w:r w:rsidRPr="000465B7">
        <w:rPr>
          <w:rFonts w:ascii="Times New Roman" w:hAnsi="Times New Roman" w:cs="Times New Roman"/>
        </w:rPr>
        <w:lastRenderedPageBreak/>
        <w:t>to 7.6 billion in 2024 indicates new vehicle and energy products financing programmes, most of which is non-recourse to the parent company. This is a low risk and complicated financially advanced mode of capital structure management.</w:t>
      </w:r>
    </w:p>
    <w:p w14:paraId="6AD491E5" w14:textId="77777777" w:rsidR="00497D53" w:rsidRPr="000465B7" w:rsidRDefault="00000000" w:rsidP="000465B7">
      <w:pPr>
        <w:pStyle w:val="Heading2"/>
        <w:spacing w:line="360" w:lineRule="auto"/>
        <w:rPr>
          <w:rFonts w:cs="Times New Roman"/>
        </w:rPr>
      </w:pPr>
      <w:bookmarkStart w:id="8" w:name="_Toc224599754"/>
      <w:r w:rsidRPr="000465B7">
        <w:rPr>
          <w:rFonts w:cs="Times New Roman"/>
          <w:color w:val="1F4E79"/>
        </w:rPr>
        <w:t>1.7 Trends, Strengths and Threats</w:t>
      </w:r>
      <w:bookmarkEnd w:id="8"/>
    </w:p>
    <w:p w14:paraId="2744B0B1"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rPr>
        <w:t>Key Strengths</w:t>
      </w:r>
    </w:p>
    <w:p w14:paraId="04C96BA0"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rPr>
        <w:t>•Market leadership: Tesla is the largest in the world EV market (in volumes) with the highest presence in the high-end market and the most recognisable EV brand in the world (BloombergNEF, 2024).</w:t>
      </w:r>
    </w:p>
    <w:p w14:paraId="57A3975F"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rPr>
        <w:t>•Technological edge: Battery proprietary technology, software-defined cars, and the largest EV charging network in the world (Supercharger) establish sustainable competitive advantages.</w:t>
      </w:r>
    </w:p>
    <w:p w14:paraId="6DA0458E" w14:textId="2B556192"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rPr>
        <w:t xml:space="preserve">•Growth in energy segments: The increase in energy generation and storage revenue doubled between 2020 and 2024 (from $1.99B to $10.09B) with the company no longer relying on automotive to drive revenue </w:t>
      </w:r>
      <w:r w:rsidR="000465B7" w:rsidRPr="000465B7">
        <w:rPr>
          <w:rFonts w:ascii="Times New Roman" w:hAnsi="Times New Roman" w:cs="Times New Roman"/>
        </w:rPr>
        <w:t>growth but</w:t>
      </w:r>
      <w:r w:rsidRPr="000465B7">
        <w:rPr>
          <w:rFonts w:ascii="Times New Roman" w:hAnsi="Times New Roman" w:cs="Times New Roman"/>
        </w:rPr>
        <w:t xml:space="preserve"> expanding its existing income streams.</w:t>
      </w:r>
    </w:p>
    <w:p w14:paraId="765DDD1A"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rPr>
        <w:t>•Good cash flow: Operating cash flow is $14.9B in 2024, which gives the company enough funds to invest in and address debts.</w:t>
      </w:r>
    </w:p>
    <w:p w14:paraId="74633133" w14:textId="769A5ACC"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rPr>
        <w:t xml:space="preserve">•Low gearing: The </w:t>
      </w:r>
      <w:r w:rsidR="000465B7" w:rsidRPr="000465B7">
        <w:rPr>
          <w:rFonts w:ascii="Times New Roman" w:hAnsi="Times New Roman" w:cs="Times New Roman"/>
        </w:rPr>
        <w:t>debt-to-equity</w:t>
      </w:r>
      <w:r w:rsidRPr="000465B7">
        <w:rPr>
          <w:rFonts w:ascii="Times New Roman" w:hAnsi="Times New Roman" w:cs="Times New Roman"/>
        </w:rPr>
        <w:t xml:space="preserve"> ratio is 0.66 and the cash is 36.6B which gives the company incredible financial strength and flexibility.</w:t>
      </w:r>
    </w:p>
    <w:p w14:paraId="0215BADF"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rPr>
        <w:t>Key Threats</w:t>
      </w:r>
    </w:p>
    <w:p w14:paraId="2BBA0FB7"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rPr>
        <w:t>•Margin decay: The drop in gross margin, 25.6% (2022) to 17.9% (2024) is due in large part to highly aggressive global price-reductions, which, alone, without cost cuts, is impractical.</w:t>
      </w:r>
    </w:p>
    <w:p w14:paraId="5382755B"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rPr>
        <w:t>•Increasing competition: BYD had overtaken Tesla to become the largest EV dealer by volume in the world in Q4 2023. VW, Hyundai, and many of the Chinese brands are quickly bridging the quality gap (Reuters, 2024).</w:t>
      </w:r>
    </w:p>
    <w:p w14:paraId="2E29E05C"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rPr>
        <w:t>•Geopolitical and customs risk: More than one-fifths of Tesla sales are based in China, which is becoming increasingly a subject of geopolitical conflict and possible retaliatory trade tariffs (Tesla 10-K, 2024).</w:t>
      </w:r>
    </w:p>
    <w:p w14:paraId="5E79E47F"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rPr>
        <w:t>•Reputational risk: It is also reported that the politics of CEO Elon Musk have caused boycotts and an unfavorable sentiment of their brand in key European markets during the year 2024-2025 (IG International, 2025).</w:t>
      </w:r>
    </w:p>
    <w:p w14:paraId="2CD65678"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rPr>
        <w:t>•Capital intensity: CapEx increased by a factor of four, as it grew not only to $3.2B in 2020 but also to $11.3B in 2024, which limits free cash flow and necessitates high levels of revenues to produce sufficient returns.</w:t>
      </w:r>
    </w:p>
    <w:p w14:paraId="13C60CAF" w14:textId="77777777" w:rsidR="00497D53" w:rsidRPr="000465B7" w:rsidRDefault="00000000" w:rsidP="000465B7">
      <w:pPr>
        <w:pStyle w:val="Heading1"/>
        <w:pBdr>
          <w:bottom w:val="single" w:sz="6" w:space="4" w:color="1F4E79"/>
        </w:pBdr>
        <w:spacing w:line="360" w:lineRule="auto"/>
        <w:rPr>
          <w:rFonts w:cs="Times New Roman"/>
        </w:rPr>
      </w:pPr>
      <w:bookmarkStart w:id="9" w:name="_Toc224599755"/>
      <w:r w:rsidRPr="000465B7">
        <w:rPr>
          <w:rFonts w:cs="Times New Roman"/>
          <w:color w:val="1F4E79"/>
        </w:rPr>
        <w:lastRenderedPageBreak/>
        <w:t>Section 2: Working Capital Management Analysis</w:t>
      </w:r>
      <w:bookmarkEnd w:id="9"/>
    </w:p>
    <w:p w14:paraId="0339122C" w14:textId="77777777" w:rsidR="00497D53" w:rsidRPr="000465B7" w:rsidRDefault="00000000" w:rsidP="000465B7">
      <w:pPr>
        <w:pStyle w:val="Heading2"/>
        <w:spacing w:line="360" w:lineRule="auto"/>
        <w:rPr>
          <w:rFonts w:cs="Times New Roman"/>
        </w:rPr>
      </w:pPr>
      <w:bookmarkStart w:id="10" w:name="_Toc224599756"/>
      <w:r w:rsidRPr="000465B7">
        <w:rPr>
          <w:rFonts w:cs="Times New Roman"/>
          <w:color w:val="1F4E79"/>
        </w:rPr>
        <w:t>2.1 Cash Operating Cycle Assessment</w:t>
      </w:r>
      <w:bookmarkEnd w:id="10"/>
    </w:p>
    <w:p w14:paraId="00AAB950" w14:textId="77777777" w:rsidR="00497D53" w:rsidRPr="000465B7" w:rsidRDefault="00000000" w:rsidP="000465B7">
      <w:pPr>
        <w:spacing w:after="80" w:line="360" w:lineRule="auto"/>
        <w:jc w:val="both"/>
        <w:rPr>
          <w:rFonts w:ascii="Times New Roman" w:hAnsi="Times New Roman" w:cs="Times New Roman"/>
        </w:rPr>
      </w:pPr>
      <w:r w:rsidRPr="000465B7">
        <w:rPr>
          <w:rFonts w:ascii="Times New Roman" w:hAnsi="Times New Roman" w:cs="Times New Roman"/>
        </w:rPr>
        <w:t>Management of working capital is very significant in capital intensive manufacturing. Cash operating cycle (COC) is related to the period between the time a firm buys raw materials and the time a firm collects cash and it is done by calculating it as follows; COC = DIO + DSO -DPO.</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800"/>
        <w:gridCol w:w="1312"/>
        <w:gridCol w:w="1312"/>
        <w:gridCol w:w="1312"/>
        <w:gridCol w:w="1312"/>
        <w:gridCol w:w="1312"/>
      </w:tblGrid>
      <w:tr w:rsidR="00497D53" w:rsidRPr="000465B7" w14:paraId="3E7EEA66" w14:textId="77777777">
        <w:tc>
          <w:tcPr>
            <w:tcW w:w="280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725D0863"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Working Capital Metric</w:t>
            </w:r>
          </w:p>
        </w:tc>
        <w:tc>
          <w:tcPr>
            <w:tcW w:w="1312"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0162775F"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2020</w:t>
            </w:r>
          </w:p>
        </w:tc>
        <w:tc>
          <w:tcPr>
            <w:tcW w:w="1312"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1FA88400"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2021</w:t>
            </w:r>
          </w:p>
        </w:tc>
        <w:tc>
          <w:tcPr>
            <w:tcW w:w="1312"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150010EE"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2022</w:t>
            </w:r>
          </w:p>
        </w:tc>
        <w:tc>
          <w:tcPr>
            <w:tcW w:w="1312"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0433A2AF"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2023</w:t>
            </w:r>
          </w:p>
        </w:tc>
        <w:tc>
          <w:tcPr>
            <w:tcW w:w="1312"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59D1D9A1"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2024</w:t>
            </w:r>
          </w:p>
        </w:tc>
      </w:tr>
      <w:tr w:rsidR="00497D53" w:rsidRPr="000465B7" w14:paraId="3D29DC02" w14:textId="77777777">
        <w:tc>
          <w:tcPr>
            <w:tcW w:w="28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3449B7DF"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Days Inventory Outstanding (DIO)</w:t>
            </w:r>
          </w:p>
        </w:tc>
        <w:tc>
          <w:tcPr>
            <w:tcW w:w="1312"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6CDADFC3"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60</w:t>
            </w:r>
          </w:p>
        </w:tc>
        <w:tc>
          <w:tcPr>
            <w:tcW w:w="1312"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1841276E"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52</w:t>
            </w:r>
          </w:p>
        </w:tc>
        <w:tc>
          <w:tcPr>
            <w:tcW w:w="1312"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73BE222B"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77</w:t>
            </w:r>
          </w:p>
        </w:tc>
        <w:tc>
          <w:tcPr>
            <w:tcW w:w="1312"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3E2A6B9E"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63</w:t>
            </w:r>
          </w:p>
        </w:tc>
        <w:tc>
          <w:tcPr>
            <w:tcW w:w="1312"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211A0948"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60</w:t>
            </w:r>
          </w:p>
        </w:tc>
      </w:tr>
      <w:tr w:rsidR="00497D53" w:rsidRPr="000465B7" w14:paraId="0B8EC513" w14:textId="77777777">
        <w:tc>
          <w:tcPr>
            <w:tcW w:w="28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5376F7E5"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Days Sales Outstanding (DSO)</w:t>
            </w:r>
          </w:p>
        </w:tc>
        <w:tc>
          <w:tcPr>
            <w:tcW w:w="1312"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5799B2C0"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22</w:t>
            </w:r>
          </w:p>
        </w:tc>
        <w:tc>
          <w:tcPr>
            <w:tcW w:w="1312"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1C27CA46"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13</w:t>
            </w:r>
          </w:p>
        </w:tc>
        <w:tc>
          <w:tcPr>
            <w:tcW w:w="1312"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07B0AC0E"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13</w:t>
            </w:r>
          </w:p>
        </w:tc>
        <w:tc>
          <w:tcPr>
            <w:tcW w:w="1312"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1211269A"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13</w:t>
            </w:r>
          </w:p>
        </w:tc>
        <w:tc>
          <w:tcPr>
            <w:tcW w:w="1312"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4E95B912"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17</w:t>
            </w:r>
          </w:p>
        </w:tc>
      </w:tr>
      <w:tr w:rsidR="00497D53" w:rsidRPr="000465B7" w14:paraId="6E06671B" w14:textId="77777777">
        <w:tc>
          <w:tcPr>
            <w:tcW w:w="28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5146C30C"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Days Payable Outstanding (DPO)</w:t>
            </w:r>
          </w:p>
        </w:tc>
        <w:tc>
          <w:tcPr>
            <w:tcW w:w="1312"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62AF6AAF"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89</w:t>
            </w:r>
          </w:p>
        </w:tc>
        <w:tc>
          <w:tcPr>
            <w:tcW w:w="1312"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0286DA91"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91</w:t>
            </w:r>
          </w:p>
        </w:tc>
        <w:tc>
          <w:tcPr>
            <w:tcW w:w="1312"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39E8E66B"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92</w:t>
            </w:r>
          </w:p>
        </w:tc>
        <w:tc>
          <w:tcPr>
            <w:tcW w:w="1312"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504B2AEB"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67</w:t>
            </w:r>
          </w:p>
        </w:tc>
        <w:tc>
          <w:tcPr>
            <w:tcW w:w="1312"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2D80C4CC"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57</w:t>
            </w:r>
          </w:p>
        </w:tc>
      </w:tr>
      <w:tr w:rsidR="00497D53" w:rsidRPr="000465B7" w14:paraId="56D67AA5" w14:textId="77777777">
        <w:tc>
          <w:tcPr>
            <w:tcW w:w="28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7D2EED62"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Cash Operating Cycle (days)</w:t>
            </w:r>
          </w:p>
        </w:tc>
        <w:tc>
          <w:tcPr>
            <w:tcW w:w="1312"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79076E52"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-7</w:t>
            </w:r>
          </w:p>
        </w:tc>
        <w:tc>
          <w:tcPr>
            <w:tcW w:w="1312"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7526B77C"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-26</w:t>
            </w:r>
          </w:p>
        </w:tc>
        <w:tc>
          <w:tcPr>
            <w:tcW w:w="1312"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445BB76D"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-2</w:t>
            </w:r>
          </w:p>
        </w:tc>
        <w:tc>
          <w:tcPr>
            <w:tcW w:w="1312"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770737FC"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9</w:t>
            </w:r>
          </w:p>
        </w:tc>
        <w:tc>
          <w:tcPr>
            <w:tcW w:w="1312"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6885D6FD"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20</w:t>
            </w:r>
          </w:p>
        </w:tc>
      </w:tr>
      <w:tr w:rsidR="00497D53" w:rsidRPr="000465B7" w14:paraId="1844C2D0" w14:textId="77777777">
        <w:tc>
          <w:tcPr>
            <w:tcW w:w="28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490555A2"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Working Capital ($M)</w:t>
            </w:r>
          </w:p>
        </w:tc>
        <w:tc>
          <w:tcPr>
            <w:tcW w:w="1312"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65B9E9F1"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12,469</w:t>
            </w:r>
          </w:p>
        </w:tc>
        <w:tc>
          <w:tcPr>
            <w:tcW w:w="1312"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12E742B3"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7,395</w:t>
            </w:r>
          </w:p>
        </w:tc>
        <w:tc>
          <w:tcPr>
            <w:tcW w:w="1312"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51BE631D"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14,208</w:t>
            </w:r>
          </w:p>
        </w:tc>
        <w:tc>
          <w:tcPr>
            <w:tcW w:w="1312"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6DFAEC11"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20,868</w:t>
            </w:r>
          </w:p>
        </w:tc>
        <w:tc>
          <w:tcPr>
            <w:tcW w:w="1312"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4C20C8E7"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20,912</w:t>
            </w:r>
          </w:p>
        </w:tc>
      </w:tr>
    </w:tbl>
    <w:p w14:paraId="5E969E91" w14:textId="77777777" w:rsidR="00497D53" w:rsidRPr="000465B7" w:rsidRDefault="00000000" w:rsidP="000465B7">
      <w:pPr>
        <w:spacing w:before="60" w:after="200" w:line="360" w:lineRule="auto"/>
        <w:jc w:val="both"/>
        <w:rPr>
          <w:rFonts w:ascii="Times New Roman" w:hAnsi="Times New Roman" w:cs="Times New Roman"/>
        </w:rPr>
      </w:pPr>
      <w:r w:rsidRPr="000465B7">
        <w:rPr>
          <w:rFonts w:ascii="Times New Roman" w:hAnsi="Times New Roman" w:cs="Times New Roman"/>
          <w:i/>
          <w:iCs/>
          <w:color w:val="666666"/>
          <w:sz w:val="20"/>
          <w:szCs w:val="20"/>
        </w:rPr>
        <w:t>Table 4. Tesla, Inc. Cash Operating Cycle Analysis (2020-2024). Source: Calculated from Tesla SEC Filings.</w:t>
      </w:r>
    </w:p>
    <w:p w14:paraId="6FE39F2D" w14:textId="77777777" w:rsidR="00497D53" w:rsidRPr="000465B7" w:rsidRDefault="00000000" w:rsidP="000465B7">
      <w:pPr>
        <w:spacing w:after="80" w:line="360" w:lineRule="auto"/>
        <w:jc w:val="both"/>
        <w:rPr>
          <w:rFonts w:ascii="Times New Roman" w:hAnsi="Times New Roman" w:cs="Times New Roman"/>
        </w:rPr>
      </w:pPr>
      <w:r w:rsidRPr="000465B7">
        <w:rPr>
          <w:rFonts w:ascii="Times New Roman" w:hAnsi="Times New Roman" w:cs="Times New Roman"/>
        </w:rPr>
        <w:t>One of the characteristics that caught my attention in the working capital performance of Tesla is that the company experienced a negative cash conversion cycle with strong values in the years 2020 and 2021 but is currently experiencing positive values in 2023-2024. During the year 2020 and 2021, Tesla successfully worked with a negative working capital, i.e., it was covering money among consumers even before it had to pay to its suppliers - this is an extremely efficient funding model similar to those in Apple or Amazon (Pike, 2020). This was achievable due to the fact that customers tend to deposit or pay the full prices of the vehicle in advance before delivery, DPO was long of about 90 days and DSO was incredibly low of 13 days.</w:t>
      </w:r>
    </w:p>
    <w:p w14:paraId="1A72FF23" w14:textId="77777777" w:rsidR="00497D53" w:rsidRPr="000465B7" w:rsidRDefault="00000000" w:rsidP="000465B7">
      <w:pPr>
        <w:spacing w:after="80" w:line="360" w:lineRule="auto"/>
        <w:jc w:val="both"/>
        <w:rPr>
          <w:rFonts w:ascii="Times New Roman" w:hAnsi="Times New Roman" w:cs="Times New Roman"/>
        </w:rPr>
      </w:pPr>
      <w:r w:rsidRPr="000465B7">
        <w:rPr>
          <w:rFonts w:ascii="Times New Roman" w:hAnsi="Times New Roman" w:cs="Times New Roman"/>
        </w:rPr>
        <w:t>Nevertheless, the average made it to about 20 days by 2024, as was equaled by the COC. This decline was especially caused by the squeeze of DPO since 92 days reduced to 57 days showing that Tesla is currently paying on the basis of being much faster to the suppliers. Inventory days have been largely stable at 60 days, indicative of tight production plans in use, with the slight rise in DSO to 17 days being an inducement of customer financing programmes.</w:t>
      </w:r>
    </w:p>
    <w:p w14:paraId="26360208" w14:textId="77777777" w:rsidR="00497D53" w:rsidRPr="000465B7" w:rsidRDefault="00000000" w:rsidP="000465B7">
      <w:pPr>
        <w:pStyle w:val="Heading2"/>
        <w:spacing w:line="360" w:lineRule="auto"/>
        <w:rPr>
          <w:rFonts w:cs="Times New Roman"/>
        </w:rPr>
      </w:pPr>
      <w:bookmarkStart w:id="11" w:name="_Toc224599757"/>
      <w:r w:rsidRPr="000465B7">
        <w:rPr>
          <w:rFonts w:cs="Times New Roman"/>
          <w:color w:val="1F4E79"/>
        </w:rPr>
        <w:t>2.2 Strategies to Improve Liquidity through Working Capital Reforms</w:t>
      </w:r>
      <w:bookmarkEnd w:id="11"/>
    </w:p>
    <w:p w14:paraId="31C13FD6" w14:textId="77777777" w:rsidR="00497D53" w:rsidRPr="000465B7" w:rsidRDefault="00000000" w:rsidP="000465B7">
      <w:pPr>
        <w:spacing w:line="360" w:lineRule="auto"/>
        <w:jc w:val="both"/>
        <w:rPr>
          <w:rFonts w:ascii="Times New Roman" w:hAnsi="Times New Roman" w:cs="Times New Roman"/>
          <w:b/>
          <w:bCs/>
        </w:rPr>
      </w:pPr>
      <w:r w:rsidRPr="000465B7">
        <w:rPr>
          <w:rFonts w:ascii="Times New Roman" w:hAnsi="Times New Roman" w:cs="Times New Roman"/>
          <w:b/>
          <w:bCs/>
        </w:rPr>
        <w:t>Inventory Management</w:t>
      </w:r>
    </w:p>
    <w:p w14:paraId="6D75875C"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rPr>
        <w:lastRenderedPageBreak/>
        <w:t>Tesla needs to invest more in artificial intelligence-based prediction of demand and manufacturing schedule. The rapid increase in DIO to 77 days of 2022 during the intensive capacity development indicates the danger of inventory growth when the demand forecasting process does not align with supply. DIO can be minimised to 45-50 days with adoption of vendor-managed inventory (VMI) contracts with major battery and semiconductor suppliers and with a more finerisle strategy of just-in-time (JIT) of finished vehicle, freeing up much working capital. As Berk and DeMarzo (2020) point out, a decrease in DIO by 15 days on a cost base of 80B would amount to the release of sporadic liquidity of around 3.3B.</w:t>
      </w:r>
    </w:p>
    <w:p w14:paraId="2DD75485" w14:textId="77777777" w:rsidR="00497D53" w:rsidRPr="000465B7" w:rsidRDefault="00000000" w:rsidP="000465B7">
      <w:pPr>
        <w:spacing w:line="360" w:lineRule="auto"/>
        <w:jc w:val="both"/>
        <w:rPr>
          <w:rFonts w:ascii="Times New Roman" w:hAnsi="Times New Roman" w:cs="Times New Roman"/>
          <w:b/>
          <w:bCs/>
        </w:rPr>
      </w:pPr>
      <w:r w:rsidRPr="000465B7">
        <w:rPr>
          <w:rFonts w:ascii="Times New Roman" w:hAnsi="Times New Roman" w:cs="Times New Roman"/>
          <w:b/>
          <w:bCs/>
        </w:rPr>
        <w:t>Receivables Management</w:t>
      </w:r>
    </w:p>
    <w:p w14:paraId="1C122A5D" w14:textId="12504D3A"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rPr>
        <w:t xml:space="preserve">The current direct-to-consumer model at Tesla provides a very low direct sales outstanding, (DSO) of 17 days. Additional enhancement can be slight without compromises to customer relationships. Nevertheless, the company might consider adopting dynamic discounting deals via supply chain financing solutions, where strategic corporate company consumers and fleet operators will be provided with incentives of advance payment at the cost of lower DSO. To the energy segment, Tesla ought to invest in automated billing systems </w:t>
      </w:r>
      <w:r w:rsidR="000465B7" w:rsidRPr="000465B7">
        <w:rPr>
          <w:rFonts w:ascii="Times New Roman" w:hAnsi="Times New Roman" w:cs="Times New Roman"/>
        </w:rPr>
        <w:t>to</w:t>
      </w:r>
      <w:r w:rsidRPr="000465B7">
        <w:rPr>
          <w:rFonts w:ascii="Times New Roman" w:hAnsi="Times New Roman" w:cs="Times New Roman"/>
        </w:rPr>
        <w:t xml:space="preserve"> minimise the DSO to a 10 </w:t>
      </w:r>
      <w:r w:rsidR="000465B7" w:rsidRPr="000465B7">
        <w:rPr>
          <w:rFonts w:ascii="Times New Roman" w:hAnsi="Times New Roman" w:cs="Times New Roman"/>
        </w:rPr>
        <w:t>day</w:t>
      </w:r>
      <w:r w:rsidRPr="000465B7">
        <w:rPr>
          <w:rFonts w:ascii="Times New Roman" w:hAnsi="Times New Roman" w:cs="Times New Roman"/>
        </w:rPr>
        <w:t xml:space="preserve"> figure.</w:t>
      </w:r>
    </w:p>
    <w:p w14:paraId="799AE468" w14:textId="77777777" w:rsidR="00497D53" w:rsidRPr="000465B7" w:rsidRDefault="00000000" w:rsidP="000465B7">
      <w:pPr>
        <w:spacing w:line="360" w:lineRule="auto"/>
        <w:jc w:val="both"/>
        <w:rPr>
          <w:rFonts w:ascii="Times New Roman" w:hAnsi="Times New Roman" w:cs="Times New Roman"/>
          <w:b/>
          <w:bCs/>
        </w:rPr>
      </w:pPr>
      <w:r w:rsidRPr="000465B7">
        <w:rPr>
          <w:rFonts w:ascii="Times New Roman" w:hAnsi="Times New Roman" w:cs="Times New Roman"/>
          <w:b/>
          <w:bCs/>
        </w:rPr>
        <w:t>Payables Management</w:t>
      </w:r>
    </w:p>
    <w:p w14:paraId="0FB475A4"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rPr>
        <w:t>The greatest opportunity available as a working capital improvement suggestion is undoing the DPO compression. The DPO of Tesla decreased in 2022 (92 days) and 2024 (57 days). The CFO ought to renegotiate DPO extensions with key strategic suppliers back to 75-85 days, leveraging on the fact that Tesla is a large supplier, the history of prompt meetings with its payors, and that long term supply contract. Another important tranche is the extension of DPO, which gives the interest-free financing. Such a strategy has to be offset against the financial health of the suppliers to prevent the disruption of the supply chain (Hillier et al., 2019).</w:t>
      </w:r>
    </w:p>
    <w:p w14:paraId="1B1CF013" w14:textId="77777777" w:rsidR="00497D53" w:rsidRPr="000465B7" w:rsidRDefault="00000000" w:rsidP="000465B7">
      <w:pPr>
        <w:pStyle w:val="Heading2"/>
        <w:spacing w:line="360" w:lineRule="auto"/>
        <w:rPr>
          <w:rFonts w:cs="Times New Roman"/>
        </w:rPr>
      </w:pPr>
      <w:bookmarkStart w:id="12" w:name="_Toc224599758"/>
      <w:r w:rsidRPr="000465B7">
        <w:rPr>
          <w:rFonts w:cs="Times New Roman"/>
          <w:color w:val="1F4E79"/>
        </w:rPr>
        <w:t>2.3 Short-Term versus Long-Term Financing Options</w:t>
      </w:r>
      <w:bookmarkEnd w:id="12"/>
    </w:p>
    <w:p w14:paraId="50B01FE8"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rPr>
        <w:t>Short-Term Financing</w:t>
      </w:r>
    </w:p>
    <w:p w14:paraId="3BF90F5A"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rPr>
        <w:t>The trade credit is the main short-term source of finances in Tesla. The revolving credit facilities and commercial paper markets are also available to the company and they can be used to cover the seasonal liquidities or stock up inventory before the significant cycles of delivery. The benefit of short-term inflation is flexibility and lower cost of interest in general; the risk includes refinancing wager and rollover risk during market instability.</w:t>
      </w:r>
    </w:p>
    <w:p w14:paraId="34F644D4"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rPr>
        <w:t>Long-Term Financing</w:t>
      </w:r>
    </w:p>
    <w:p w14:paraId="479F129C"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rPr>
        <w:t xml:space="preserve">In the case of the structural capital or new Gigafactory, or large-scale technology platforms, long-term funding is a better choice. Green bonds or sustainability-linked bonds can be issued by Tesla at </w:t>
      </w:r>
      <w:r w:rsidRPr="000465B7">
        <w:rPr>
          <w:rFonts w:ascii="Times New Roman" w:hAnsi="Times New Roman" w:cs="Times New Roman"/>
        </w:rPr>
        <w:lastRenderedPageBreak/>
        <w:t>attractive rates because it has a good credit ratio and the necessary cash (36.6B) to fund the project. The capital structure of Tesla would specifically suit green bonds, as this company pursues an environmentally oriented mission, and there is an increasing number of ESG-centred institutional investors who are willing to pay a greenium (a slightly lower yield in comparison to regular bonds) (Climate Bonds Initiative, 2023). The advisable strategy of Tesla is a mixture of both: retain a lean working capital cycle financed by extended trade credit and current cash holdings to support daily operations and finance megabudgets of the capital expenditure with the help of long term project finance and green bonds.</w:t>
      </w:r>
    </w:p>
    <w:p w14:paraId="6DCF2172" w14:textId="77777777" w:rsidR="00497D53" w:rsidRPr="000465B7" w:rsidRDefault="00497D53" w:rsidP="000465B7">
      <w:pPr>
        <w:spacing w:line="360" w:lineRule="auto"/>
        <w:jc w:val="both"/>
        <w:rPr>
          <w:rFonts w:ascii="Times New Roman" w:hAnsi="Times New Roman" w:cs="Times New Roman"/>
        </w:rPr>
      </w:pPr>
    </w:p>
    <w:p w14:paraId="7C291CA9" w14:textId="77777777" w:rsidR="00497D53" w:rsidRPr="000465B7" w:rsidRDefault="00000000" w:rsidP="000465B7">
      <w:pPr>
        <w:pStyle w:val="Heading1"/>
        <w:pBdr>
          <w:bottom w:val="single" w:sz="6" w:space="4" w:color="1F4E79"/>
        </w:pBdr>
        <w:spacing w:line="360" w:lineRule="auto"/>
        <w:rPr>
          <w:rFonts w:cs="Times New Roman"/>
        </w:rPr>
      </w:pPr>
      <w:bookmarkStart w:id="13" w:name="_Toc224599759"/>
      <w:r w:rsidRPr="000465B7">
        <w:rPr>
          <w:rFonts w:cs="Times New Roman"/>
          <w:color w:val="1F4E79"/>
        </w:rPr>
        <w:t>Section 3: Strategic Financial Restructuring Plan</w:t>
      </w:r>
      <w:bookmarkEnd w:id="13"/>
    </w:p>
    <w:p w14:paraId="7126D005" w14:textId="77777777" w:rsidR="00497D53" w:rsidRPr="000465B7" w:rsidRDefault="00000000" w:rsidP="000465B7">
      <w:pPr>
        <w:pStyle w:val="Heading2"/>
        <w:spacing w:line="360" w:lineRule="auto"/>
        <w:rPr>
          <w:rFonts w:cs="Times New Roman"/>
        </w:rPr>
      </w:pPr>
      <w:bookmarkStart w:id="14" w:name="_Toc224599760"/>
      <w:r w:rsidRPr="000465B7">
        <w:rPr>
          <w:rFonts w:cs="Times New Roman"/>
          <w:color w:val="1F4E79"/>
        </w:rPr>
        <w:t>3.1 Context: Why Restructuring Is Needed</w:t>
      </w:r>
      <w:bookmarkEnd w:id="14"/>
    </w:p>
    <w:p w14:paraId="6F7D78FC"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rPr>
        <w:t>The financial position of Tesla in 2024 is that of what seems to be strong but which has structural issues. The balance sheet is very well-capitalised, and cash-rich, but the position of income statement discloses that the business is under a high margin pressure. The operating margin reduced to 7.2 in 2024 versus 16.8 in 2022, net income has decreased to 7.1B versus 12.6B and EPS is also lower to 2.04 as compared to 3.62. The car gross margin has been shifting to that of standard auto-makers (15-20%), losing the premium price multiple that the company has been historically getting. It is against this background that proactive strategic financial reorganisation is necessary in order to safeguard shareholder value and position Tesla to the subsequent stage of expansion.</w:t>
      </w:r>
    </w:p>
    <w:p w14:paraId="2E2B89A5" w14:textId="77777777" w:rsidR="00497D53" w:rsidRPr="000465B7" w:rsidRDefault="00000000" w:rsidP="000465B7">
      <w:pPr>
        <w:pStyle w:val="Heading2"/>
        <w:spacing w:line="360" w:lineRule="auto"/>
        <w:rPr>
          <w:rFonts w:cs="Times New Roman"/>
        </w:rPr>
      </w:pPr>
      <w:bookmarkStart w:id="15" w:name="_Toc224599761"/>
      <w:r w:rsidRPr="000465B7">
        <w:rPr>
          <w:rFonts w:cs="Times New Roman"/>
          <w:color w:val="1F4E79"/>
        </w:rPr>
        <w:t>3.2 Recommended Restructuring Options</w:t>
      </w:r>
      <w:bookmarkEnd w:id="15"/>
    </w:p>
    <w:p w14:paraId="197C735C" w14:textId="77777777" w:rsidR="00497D53" w:rsidRPr="000465B7" w:rsidRDefault="00000000" w:rsidP="000465B7">
      <w:pPr>
        <w:spacing w:line="360" w:lineRule="auto"/>
        <w:jc w:val="both"/>
        <w:rPr>
          <w:rFonts w:ascii="Times New Roman" w:hAnsi="Times New Roman" w:cs="Times New Roman"/>
          <w:b/>
          <w:bCs/>
        </w:rPr>
      </w:pPr>
      <w:r w:rsidRPr="000465B7">
        <w:rPr>
          <w:rFonts w:ascii="Times New Roman" w:hAnsi="Times New Roman" w:cs="Times New Roman"/>
          <w:b/>
          <w:bCs/>
        </w:rPr>
        <w:t>Alternative 1: Portfolio Rationalisation and Selective Divestiture.</w:t>
      </w:r>
    </w:p>
    <w:p w14:paraId="3C74E577"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rPr>
        <w:t>The energy generation business brought about 10.1B in total revenue to Tesla in 2024, with a 50% and greater CAGR. This sector reacts on the enhancement of margins especially the Megapack utility scale storage. The CFO ought to consider the possibility of spinning off the Energy Business as a freestanding listed company as it will create shareholder value since the investors will be able to create a higher utility/clean energy valuation multiple in this fast-growing asset. Alternatively, partial IPO of Tesla Energy at a 20-30 percent float has the potential of raising 20-40B based on the valuation of similar energy storage companies, which can be used to fund autonomous vehicle development and Gigafactory growth. The operational complexity and bandwidth of management are the most significant risk; thus, a decision to be made should be presented to the Board and have a review by independent financial advisers (Damodaran, 2022).</w:t>
      </w:r>
    </w:p>
    <w:p w14:paraId="0BE11AAE" w14:textId="77777777" w:rsidR="00497D53" w:rsidRPr="000465B7" w:rsidRDefault="00000000" w:rsidP="000465B7">
      <w:pPr>
        <w:spacing w:line="360" w:lineRule="auto"/>
        <w:jc w:val="both"/>
        <w:rPr>
          <w:rFonts w:ascii="Times New Roman" w:hAnsi="Times New Roman" w:cs="Times New Roman"/>
          <w:b/>
          <w:bCs/>
        </w:rPr>
      </w:pPr>
      <w:r w:rsidRPr="000465B7">
        <w:rPr>
          <w:rFonts w:ascii="Times New Roman" w:hAnsi="Times New Roman" w:cs="Times New Roman"/>
          <w:b/>
          <w:bCs/>
        </w:rPr>
        <w:lastRenderedPageBreak/>
        <w:t>Alternative 2: Share Buyback Programme.</w:t>
      </w:r>
    </w:p>
    <w:p w14:paraId="4D66B195"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rPr>
        <w:t>The cash reserve totaling 36.6B of Tesla at the end of 2024 is far more than the reserves of liquidity of a company of its size. The 2025-227 structured share buyback of 10-15B would have the following effects: the shareholders would have acquired capital in an accretive manner; the shareholders would have increased their earnings per share, as there would have been a reduction in the number of shares and lastly, the management would have indicated confidence in the long-term intrinsic value of the company. According to Berk and DeMarzo (2020), buybacks are most efficient in those cases when the management is convinced that the share price is lower than the intrinsic value.</w:t>
      </w:r>
    </w:p>
    <w:p w14:paraId="5C114EC3" w14:textId="77777777" w:rsidR="00497D53" w:rsidRPr="000465B7" w:rsidRDefault="00000000" w:rsidP="000465B7">
      <w:pPr>
        <w:spacing w:line="360" w:lineRule="auto"/>
        <w:jc w:val="both"/>
        <w:rPr>
          <w:rFonts w:ascii="Times New Roman" w:hAnsi="Times New Roman" w:cs="Times New Roman"/>
          <w:b/>
          <w:bCs/>
        </w:rPr>
      </w:pPr>
      <w:r w:rsidRPr="000465B7">
        <w:rPr>
          <w:rFonts w:ascii="Times New Roman" w:hAnsi="Times New Roman" w:cs="Times New Roman"/>
          <w:b/>
          <w:bCs/>
        </w:rPr>
        <w:t>Alternative 3: Technology Acceleration Strategic Acquisition.</w:t>
      </w:r>
    </w:p>
    <w:p w14:paraId="7081E22E" w14:textId="3F398C4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rPr>
        <w:t xml:space="preserve">Tesla needs to look beyond organic R&amp;D and aim at a narrow acquisition in either artificial intelligence / autonomous driving software space, or next-generation battery chemistry. Potential acquisitions might be battery tech startups developing solid-state batteries, LiDAR/sensor fusion firms, or AI inference chip designers that might lessen the reliance of Tesla on other hardware to process FSD data. Acquiring companies at small to mid-price (1-3B) would be financially within Tesla </w:t>
      </w:r>
      <w:r w:rsidR="000465B7" w:rsidRPr="000465B7">
        <w:rPr>
          <w:rFonts w:ascii="Times New Roman" w:hAnsi="Times New Roman" w:cs="Times New Roman"/>
        </w:rPr>
        <w:t>means and</w:t>
      </w:r>
      <w:r w:rsidRPr="000465B7">
        <w:rPr>
          <w:rFonts w:ascii="Times New Roman" w:hAnsi="Times New Roman" w:cs="Times New Roman"/>
        </w:rPr>
        <w:t xml:space="preserve"> may bring the commercialisation of fully autonomous robotaxi services to the market faster.</w:t>
      </w:r>
    </w:p>
    <w:p w14:paraId="6B64D3F7" w14:textId="77777777" w:rsidR="00497D53" w:rsidRPr="000465B7" w:rsidRDefault="00000000" w:rsidP="000465B7">
      <w:pPr>
        <w:pStyle w:val="Heading2"/>
        <w:spacing w:line="360" w:lineRule="auto"/>
        <w:rPr>
          <w:rFonts w:cs="Times New Roman"/>
        </w:rPr>
      </w:pPr>
      <w:bookmarkStart w:id="16" w:name="_Toc224599762"/>
      <w:r w:rsidRPr="000465B7">
        <w:rPr>
          <w:rFonts w:cs="Times New Roman"/>
          <w:color w:val="1F4E79"/>
        </w:rPr>
        <w:t>3.3 Impact on Shareholder Value, Debt Structure and Operational Flexibility</w:t>
      </w:r>
      <w:bookmarkEnd w:id="16"/>
    </w:p>
    <w:p w14:paraId="43A55711"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rPr>
        <w:t>The trend of a selective Energy segment review, buyback programme, and strategic acquisition would jointly enhance the EPS through a reduction in share count and quickening the high-margin revenue flows up; a healthy gearing ratio of less than 0.8x debt-to-equity; and operational flexibility with a minimum cash buffer of $15B. The buyback programme is particularly a response to non-performance of Tesla shares in 2024, when the stock was falling about 12 percent to wider markets and partly due to the fear of persons of dwindling automotive margins (Arnold, 2019).</w:t>
      </w:r>
    </w:p>
    <w:p w14:paraId="7FA14159" w14:textId="77777777" w:rsidR="00497D53" w:rsidRPr="000465B7" w:rsidRDefault="00000000" w:rsidP="000465B7">
      <w:pPr>
        <w:pStyle w:val="Heading2"/>
        <w:spacing w:line="360" w:lineRule="auto"/>
        <w:rPr>
          <w:rFonts w:cs="Times New Roman"/>
        </w:rPr>
      </w:pPr>
      <w:bookmarkStart w:id="17" w:name="_Toc224599763"/>
      <w:r w:rsidRPr="000465B7">
        <w:rPr>
          <w:rFonts w:cs="Times New Roman"/>
          <w:color w:val="1F4E79"/>
        </w:rPr>
        <w:t>3.4 International Considerations: Currency Risk, Inflation, and Taxation</w:t>
      </w:r>
      <w:bookmarkEnd w:id="17"/>
    </w:p>
    <w:p w14:paraId="108FAF12"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rPr>
        <w:t>Tesla obtains nearly 45 per cent of its revenues beyond the United States, and China must account for apart 22 per cent of the total revenues. This exposes them to a lot of foreign exchange (FX) exposure that is mostly to the Chinese Renminbi (RMB), Euro, and other currencies. The CFO ought to introduce a formal hedging programme consisting of a mix of forward contracts and a natural hedging programme in order to minimise the effect of FX volatility on reported earnings. In 2024, FX headwinds had turned around total revenue by about minus 0.7B ( Tesla 10-K, 2024).</w:t>
      </w:r>
    </w:p>
    <w:p w14:paraId="6BBBDD91"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rPr>
        <w:t xml:space="preserve">The structural cost pressure is inflation especially on the raw materials that include lithium, cobalt, nickel as well as copper. Tesla has dealt with this to some extent by signing supply contracts with mining firms over time, and vertically integrating into the battery manufacturing business. The CFO </w:t>
      </w:r>
      <w:r w:rsidRPr="000465B7">
        <w:rPr>
          <w:rFonts w:ascii="Times New Roman" w:hAnsi="Times New Roman" w:cs="Times New Roman"/>
        </w:rPr>
        <w:lastRenderedPageBreak/>
        <w:t>must consider additional upstream investment in lithium processing which has the potential to lower the costs of battery cells to less than 70/kWh in 2027 and significantly enhance the gross margins. The international tax system of Tesla is favourable due to high lends of R&amp;D tax credits in the US, manufacturing incentives under the Inflation Reduction Act (IRA), and special deals in China on high-tech businesses. CFO should also observe alterations to OECD global minimum tax regulations (Pillar Two) which could raise effective tax rates in jurisdictions where Tesla has been enjoying below-15 per cent rates.</w:t>
      </w:r>
    </w:p>
    <w:p w14:paraId="3E728CA5" w14:textId="77777777" w:rsidR="00497D53" w:rsidRPr="000465B7" w:rsidRDefault="00000000" w:rsidP="000465B7">
      <w:pPr>
        <w:pStyle w:val="Heading2"/>
        <w:spacing w:line="360" w:lineRule="auto"/>
        <w:rPr>
          <w:rFonts w:cs="Times New Roman"/>
        </w:rPr>
      </w:pPr>
      <w:bookmarkStart w:id="18" w:name="_Toc224599764"/>
      <w:r w:rsidRPr="000465B7">
        <w:rPr>
          <w:rFonts w:cs="Times New Roman"/>
          <w:color w:val="1F4E79"/>
        </w:rPr>
        <w:t>3.5 Corporate Social Responsibility (CSR) and Ethical Considerations</w:t>
      </w:r>
      <w:bookmarkEnd w:id="18"/>
    </w:p>
    <w:p w14:paraId="19FF1372"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rPr>
        <w:t>Any restructuring involving financial issues has to be evaluated in terms of ESG as this approach is developingly central to the Tesla investors and regulators. Partially energy business IPO may contribute to greater transparency and enhance the granularity of ESG reporting, granting the investors a better opportunity to assess how Tesla has contributed to the development of renewable energy infrastructures. Share buybacks should be done in a way that does not suggest giving more preference to shareholders returns instead of investing in the welfare of the workforce, especially considering that after Tesla substantially reduced its workforce, by a factor of about 10 percent, in early 2024.</w:t>
      </w:r>
    </w:p>
    <w:p w14:paraId="2911FB4E"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rPr>
        <w:t>Environment The EU Battery Regulation (2027) requirements influence increased investment into responsible use of battery materials. The CFO can use a special tranche of sustainability-based bond proceeds to fund supply chain due diligence and responsible mining measures, so that the financial restructuring of Tesla enhances its strong environmental way of living and not the opposite (Carroll and Buchholtz, 2015).</w:t>
      </w:r>
    </w:p>
    <w:p w14:paraId="57E9C58E" w14:textId="77777777" w:rsidR="00497D53" w:rsidRPr="000465B7" w:rsidRDefault="00497D53" w:rsidP="000465B7">
      <w:pPr>
        <w:spacing w:line="360" w:lineRule="auto"/>
        <w:jc w:val="both"/>
        <w:rPr>
          <w:rFonts w:ascii="Times New Roman" w:hAnsi="Times New Roman" w:cs="Times New Roman"/>
        </w:rPr>
      </w:pPr>
    </w:p>
    <w:p w14:paraId="17F4986D" w14:textId="77777777" w:rsidR="00497D53" w:rsidRPr="000465B7" w:rsidRDefault="00497D53" w:rsidP="000465B7">
      <w:pPr>
        <w:spacing w:line="360" w:lineRule="auto"/>
        <w:jc w:val="both"/>
        <w:rPr>
          <w:rFonts w:ascii="Times New Roman" w:hAnsi="Times New Roman" w:cs="Times New Roman"/>
        </w:rPr>
      </w:pPr>
    </w:p>
    <w:p w14:paraId="0BA55483" w14:textId="77777777" w:rsidR="00497D53" w:rsidRPr="000465B7" w:rsidRDefault="00000000" w:rsidP="000465B7">
      <w:pPr>
        <w:pStyle w:val="Heading1"/>
        <w:pBdr>
          <w:bottom w:val="single" w:sz="6" w:space="4" w:color="1F4E79"/>
        </w:pBdr>
        <w:spacing w:line="360" w:lineRule="auto"/>
        <w:rPr>
          <w:rFonts w:cs="Times New Roman"/>
        </w:rPr>
      </w:pPr>
      <w:bookmarkStart w:id="19" w:name="_Toc224599765"/>
      <w:r w:rsidRPr="000465B7">
        <w:rPr>
          <w:rFonts w:cs="Times New Roman"/>
          <w:color w:val="1F4E79"/>
        </w:rPr>
        <w:t>Section 4: Investment Appraisal and Capital Budgeting</w:t>
      </w:r>
      <w:bookmarkEnd w:id="19"/>
    </w:p>
    <w:p w14:paraId="5589813E" w14:textId="77777777" w:rsidR="00497D53" w:rsidRPr="000465B7" w:rsidRDefault="00000000" w:rsidP="000465B7">
      <w:pPr>
        <w:pStyle w:val="Heading2"/>
        <w:spacing w:line="360" w:lineRule="auto"/>
        <w:rPr>
          <w:rFonts w:cs="Times New Roman"/>
        </w:rPr>
      </w:pPr>
      <w:bookmarkStart w:id="20" w:name="_Toc224599766"/>
      <w:r w:rsidRPr="000465B7">
        <w:rPr>
          <w:rFonts w:cs="Times New Roman"/>
          <w:color w:val="1F4E79"/>
        </w:rPr>
        <w:t>4.1 Project Overview</w:t>
      </w:r>
      <w:bookmarkEnd w:id="20"/>
    </w:p>
    <w:p w14:paraId="3A61401D" w14:textId="77777777" w:rsidR="00497D53" w:rsidRPr="000465B7" w:rsidRDefault="00000000" w:rsidP="000465B7">
      <w:pPr>
        <w:spacing w:after="80" w:line="360" w:lineRule="auto"/>
        <w:jc w:val="both"/>
        <w:rPr>
          <w:rFonts w:ascii="Times New Roman" w:hAnsi="Times New Roman" w:cs="Times New Roman"/>
        </w:rPr>
      </w:pPr>
      <w:r w:rsidRPr="000465B7">
        <w:rPr>
          <w:rFonts w:ascii="Times New Roman" w:hAnsi="Times New Roman" w:cs="Times New Roman"/>
        </w:rPr>
        <w:t>Three investment opportunities have been brought forward as CFO and each has 5 year net cash inflows with initial outlay of £50 million. The discount rate is 10% per annum and straight-line depreciation to zero residual value is to take place over the life span of the project of five years.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16"/>
        <w:gridCol w:w="1112"/>
        <w:gridCol w:w="1122"/>
        <w:gridCol w:w="1122"/>
        <w:gridCol w:w="1122"/>
        <w:gridCol w:w="1122"/>
        <w:gridCol w:w="1122"/>
        <w:gridCol w:w="1122"/>
      </w:tblGrid>
      <w:tr w:rsidR="00497D53" w:rsidRPr="000465B7" w14:paraId="03AEA518" w14:textId="77777777">
        <w:tc>
          <w:tcPr>
            <w:tcW w:w="150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1473CFDB" w14:textId="77777777" w:rsidR="00497D53" w:rsidRPr="000465B7" w:rsidRDefault="00497D53" w:rsidP="000465B7">
            <w:pPr>
              <w:spacing w:line="360" w:lineRule="auto"/>
              <w:jc w:val="both"/>
              <w:rPr>
                <w:rFonts w:ascii="Times New Roman" w:hAnsi="Times New Roman" w:cs="Times New Roman"/>
              </w:rPr>
            </w:pPr>
          </w:p>
        </w:tc>
        <w:tc>
          <w:tcPr>
            <w:tcW w:w="110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65D7AFD4"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Year 0 (£M)</w:t>
            </w:r>
          </w:p>
        </w:tc>
        <w:tc>
          <w:tcPr>
            <w:tcW w:w="111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4C58DC6F"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Year 1 (£M)</w:t>
            </w:r>
          </w:p>
        </w:tc>
        <w:tc>
          <w:tcPr>
            <w:tcW w:w="111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2C050399"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Year 2 (£M)</w:t>
            </w:r>
          </w:p>
        </w:tc>
        <w:tc>
          <w:tcPr>
            <w:tcW w:w="111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2C2E74CC"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Year 3 (£M)</w:t>
            </w:r>
          </w:p>
        </w:tc>
        <w:tc>
          <w:tcPr>
            <w:tcW w:w="111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145592A1"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Year 4 (£M)</w:t>
            </w:r>
          </w:p>
        </w:tc>
        <w:tc>
          <w:tcPr>
            <w:tcW w:w="111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674E910D"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Year 5 (£M)</w:t>
            </w:r>
          </w:p>
        </w:tc>
        <w:tc>
          <w:tcPr>
            <w:tcW w:w="111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1515854D"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Total NCF</w:t>
            </w:r>
          </w:p>
        </w:tc>
      </w:tr>
      <w:tr w:rsidR="00497D53" w:rsidRPr="000465B7" w14:paraId="3C96D7E4" w14:textId="77777777">
        <w:tc>
          <w:tcPr>
            <w:tcW w:w="15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18866C46"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Project A</w:t>
            </w:r>
          </w:p>
        </w:tc>
        <w:tc>
          <w:tcPr>
            <w:tcW w:w="11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70575E26"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-50</w:t>
            </w:r>
          </w:p>
        </w:tc>
        <w:tc>
          <w:tcPr>
            <w:tcW w:w="111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53AD69EC"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10</w:t>
            </w:r>
          </w:p>
        </w:tc>
        <w:tc>
          <w:tcPr>
            <w:tcW w:w="111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23A303FE"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12</w:t>
            </w:r>
          </w:p>
        </w:tc>
        <w:tc>
          <w:tcPr>
            <w:tcW w:w="111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5F38D388"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14</w:t>
            </w:r>
          </w:p>
        </w:tc>
        <w:tc>
          <w:tcPr>
            <w:tcW w:w="111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4CE29BE4"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10</w:t>
            </w:r>
          </w:p>
        </w:tc>
        <w:tc>
          <w:tcPr>
            <w:tcW w:w="111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77E090FA"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8</w:t>
            </w:r>
          </w:p>
        </w:tc>
        <w:tc>
          <w:tcPr>
            <w:tcW w:w="111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6EACE228"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54</w:t>
            </w:r>
          </w:p>
        </w:tc>
      </w:tr>
      <w:tr w:rsidR="00497D53" w:rsidRPr="000465B7" w14:paraId="305A0B78" w14:textId="77777777">
        <w:tc>
          <w:tcPr>
            <w:tcW w:w="15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54D9F3DC"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lastRenderedPageBreak/>
              <w:t>Project B</w:t>
            </w:r>
          </w:p>
        </w:tc>
        <w:tc>
          <w:tcPr>
            <w:tcW w:w="11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316698EE"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-50</w:t>
            </w:r>
          </w:p>
        </w:tc>
        <w:tc>
          <w:tcPr>
            <w:tcW w:w="111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6330145E"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11</w:t>
            </w:r>
          </w:p>
        </w:tc>
        <w:tc>
          <w:tcPr>
            <w:tcW w:w="111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5AA2126E"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11</w:t>
            </w:r>
          </w:p>
        </w:tc>
        <w:tc>
          <w:tcPr>
            <w:tcW w:w="111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049B8105"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11</w:t>
            </w:r>
          </w:p>
        </w:tc>
        <w:tc>
          <w:tcPr>
            <w:tcW w:w="111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26E2DF16"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11</w:t>
            </w:r>
          </w:p>
        </w:tc>
        <w:tc>
          <w:tcPr>
            <w:tcW w:w="111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2A03339A"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11</w:t>
            </w:r>
          </w:p>
        </w:tc>
        <w:tc>
          <w:tcPr>
            <w:tcW w:w="111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613E0943"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55</w:t>
            </w:r>
          </w:p>
        </w:tc>
      </w:tr>
      <w:tr w:rsidR="00497D53" w:rsidRPr="000465B7" w14:paraId="5189AE13" w14:textId="77777777">
        <w:tc>
          <w:tcPr>
            <w:tcW w:w="15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3194A79D"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Project C</w:t>
            </w:r>
          </w:p>
        </w:tc>
        <w:tc>
          <w:tcPr>
            <w:tcW w:w="11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369C734D"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-50</w:t>
            </w:r>
          </w:p>
        </w:tc>
        <w:tc>
          <w:tcPr>
            <w:tcW w:w="111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2707C355"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5</w:t>
            </w:r>
          </w:p>
        </w:tc>
        <w:tc>
          <w:tcPr>
            <w:tcW w:w="111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6BDBAEBA"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10</w:t>
            </w:r>
          </w:p>
        </w:tc>
        <w:tc>
          <w:tcPr>
            <w:tcW w:w="111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6B794CA7"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20</w:t>
            </w:r>
          </w:p>
        </w:tc>
        <w:tc>
          <w:tcPr>
            <w:tcW w:w="111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6F13828E"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25</w:t>
            </w:r>
          </w:p>
        </w:tc>
        <w:tc>
          <w:tcPr>
            <w:tcW w:w="111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6BA62D26"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5</w:t>
            </w:r>
          </w:p>
        </w:tc>
        <w:tc>
          <w:tcPr>
            <w:tcW w:w="111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2B5A97A9"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65</w:t>
            </w:r>
          </w:p>
        </w:tc>
      </w:tr>
    </w:tbl>
    <w:p w14:paraId="55FB5269" w14:textId="77777777" w:rsidR="00497D53" w:rsidRPr="000465B7" w:rsidRDefault="00000000" w:rsidP="000465B7">
      <w:pPr>
        <w:spacing w:before="60" w:after="200" w:line="360" w:lineRule="auto"/>
        <w:jc w:val="both"/>
        <w:rPr>
          <w:rFonts w:ascii="Times New Roman" w:hAnsi="Times New Roman" w:cs="Times New Roman"/>
        </w:rPr>
      </w:pPr>
      <w:r w:rsidRPr="000465B7">
        <w:rPr>
          <w:rFonts w:ascii="Times New Roman" w:hAnsi="Times New Roman" w:cs="Times New Roman"/>
          <w:i/>
          <w:iCs/>
          <w:color w:val="666666"/>
          <w:sz w:val="20"/>
          <w:szCs w:val="20"/>
        </w:rPr>
        <w:t>Table 5. Project Net Cash Flows (£M). Source: Assessment Brief.</w:t>
      </w:r>
    </w:p>
    <w:p w14:paraId="5A83C360" w14:textId="77777777" w:rsidR="00497D53" w:rsidRPr="000465B7" w:rsidRDefault="00000000" w:rsidP="000465B7">
      <w:pPr>
        <w:pStyle w:val="Heading2"/>
        <w:spacing w:line="360" w:lineRule="auto"/>
        <w:rPr>
          <w:rFonts w:cs="Times New Roman"/>
        </w:rPr>
      </w:pPr>
      <w:bookmarkStart w:id="21" w:name="_Toc224599767"/>
      <w:r w:rsidRPr="000465B7">
        <w:rPr>
          <w:rFonts w:cs="Times New Roman"/>
          <w:color w:val="1F4E79"/>
        </w:rPr>
        <w:t>4.2 Payback Period (PBP)</w:t>
      </w:r>
      <w:bookmarkEnd w:id="21"/>
    </w:p>
    <w:p w14:paraId="43E835F8"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rPr>
        <w:t>Payback Period is the time wherein cumulative net cash flows are recovered, or in other words, the time to recover the initial investment. It does not consider the time value of money but offers a liquidity-risk model that is handy (Hillier et al., 2019).</w:t>
      </w:r>
    </w:p>
    <w:p w14:paraId="22DA5B80" w14:textId="77777777" w:rsidR="00497D53" w:rsidRPr="000465B7" w:rsidRDefault="00000000" w:rsidP="000465B7">
      <w:pPr>
        <w:spacing w:after="160" w:line="360" w:lineRule="auto"/>
        <w:jc w:val="both"/>
        <w:rPr>
          <w:rFonts w:ascii="Times New Roman" w:hAnsi="Times New Roman" w:cs="Times New Roman"/>
        </w:rPr>
      </w:pPr>
      <w:r w:rsidRPr="000465B7">
        <w:rPr>
          <w:rFonts w:ascii="Times New Roman" w:hAnsi="Times New Roman" w:cs="Times New Roman"/>
          <w:b/>
          <w:bCs/>
          <w:color w:val="333333"/>
        </w:rPr>
        <w:t xml:space="preserve">Project A: </w:t>
      </w:r>
      <w:r w:rsidRPr="000465B7">
        <w:rPr>
          <w:rFonts w:ascii="Times New Roman" w:hAnsi="Times New Roman" w:cs="Times New Roman"/>
          <w:color w:val="333333"/>
        </w:rPr>
        <w:t>Year 1: £10M (cumulative: £10M) | Year 2: £22M | Year 3: £36M | Year 4: £46M | Remaining after Year 4: £4M. Year 5 inflow: £8M. PBP = 4 years + (4/8 x 12) = 4 years 6 months.</w:t>
      </w:r>
    </w:p>
    <w:p w14:paraId="6CA046C4" w14:textId="77777777" w:rsidR="00497D53" w:rsidRPr="000465B7" w:rsidRDefault="00000000" w:rsidP="000465B7">
      <w:pPr>
        <w:spacing w:after="160" w:line="360" w:lineRule="auto"/>
        <w:jc w:val="both"/>
        <w:rPr>
          <w:rFonts w:ascii="Times New Roman" w:hAnsi="Times New Roman" w:cs="Times New Roman"/>
        </w:rPr>
      </w:pPr>
      <w:r w:rsidRPr="000465B7">
        <w:rPr>
          <w:rFonts w:ascii="Times New Roman" w:hAnsi="Times New Roman" w:cs="Times New Roman"/>
          <w:b/>
          <w:bCs/>
          <w:color w:val="333333"/>
        </w:rPr>
        <w:t xml:space="preserve">Project B: </w:t>
      </w:r>
      <w:r w:rsidRPr="000465B7">
        <w:rPr>
          <w:rFonts w:ascii="Times New Roman" w:hAnsi="Times New Roman" w:cs="Times New Roman"/>
          <w:color w:val="333333"/>
        </w:rPr>
        <w:t>Year 1: £11M | Year 2: £22M | Year 3: £33M | Year 4: £44M | Remaining: £6M. Year 5 inflow: £11M. PBP = 4 years + (6/11 x 12) = 4 years 6.5 months (approximately 4 years 6 months).</w:t>
      </w:r>
    </w:p>
    <w:p w14:paraId="1DF76F26" w14:textId="77777777" w:rsidR="00497D53" w:rsidRPr="000465B7" w:rsidRDefault="00000000" w:rsidP="000465B7">
      <w:pPr>
        <w:spacing w:after="160" w:line="360" w:lineRule="auto"/>
        <w:jc w:val="both"/>
        <w:rPr>
          <w:rFonts w:ascii="Times New Roman" w:hAnsi="Times New Roman" w:cs="Times New Roman"/>
        </w:rPr>
      </w:pPr>
      <w:r w:rsidRPr="000465B7">
        <w:rPr>
          <w:rFonts w:ascii="Times New Roman" w:hAnsi="Times New Roman" w:cs="Times New Roman"/>
          <w:b/>
          <w:bCs/>
          <w:color w:val="333333"/>
        </w:rPr>
        <w:t xml:space="preserve">Project C: </w:t>
      </w:r>
      <w:r w:rsidRPr="000465B7">
        <w:rPr>
          <w:rFonts w:ascii="Times New Roman" w:hAnsi="Times New Roman" w:cs="Times New Roman"/>
          <w:color w:val="333333"/>
        </w:rPr>
        <w:t>Year 1: £5M | Year 2: £15M | Year 3: £35M | Year 4: £60M. Remaining after Year 3: £15M. Year 4 inflow: £25M. PBP = 3 years + (15/25 x 12) = 3 years 7.2 months (approximately 3 years 7 months).</w:t>
      </w:r>
    </w:p>
    <w:p w14:paraId="0CD90980" w14:textId="77777777" w:rsidR="00497D53" w:rsidRPr="000465B7" w:rsidRDefault="00000000" w:rsidP="000465B7">
      <w:pPr>
        <w:spacing w:after="160" w:line="360" w:lineRule="auto"/>
        <w:jc w:val="both"/>
        <w:rPr>
          <w:rFonts w:ascii="Times New Roman" w:hAnsi="Times New Roman" w:cs="Times New Roman"/>
        </w:rPr>
      </w:pPr>
      <w:r w:rsidRPr="000465B7">
        <w:rPr>
          <w:rFonts w:ascii="Times New Roman" w:hAnsi="Times New Roman" w:cs="Times New Roman"/>
          <w:color w:val="333333"/>
        </w:rPr>
        <w:t>PBP Ranking: Project C (3 years 7 months) &gt; Project A = B (approximately 4 years 6 months). Project C recovers the investment fastest, which is strategically advantageous given Tesla's need to deploy capital efficiently.</w:t>
      </w:r>
    </w:p>
    <w:p w14:paraId="46C5B20E" w14:textId="77777777" w:rsidR="00497D53" w:rsidRPr="000465B7" w:rsidRDefault="00000000" w:rsidP="000465B7">
      <w:pPr>
        <w:pStyle w:val="Heading2"/>
        <w:spacing w:line="360" w:lineRule="auto"/>
        <w:rPr>
          <w:rFonts w:cs="Times New Roman"/>
        </w:rPr>
      </w:pPr>
      <w:bookmarkStart w:id="22" w:name="_Toc224599768"/>
      <w:r w:rsidRPr="000465B7">
        <w:rPr>
          <w:rFonts w:cs="Times New Roman"/>
          <w:color w:val="1F4E79"/>
        </w:rPr>
        <w:t>4.3 Accounting Rate of Return (ARR)</w:t>
      </w:r>
      <w:bookmarkEnd w:id="22"/>
    </w:p>
    <w:p w14:paraId="4F880D5C" w14:textId="77777777" w:rsidR="00497D53" w:rsidRPr="000465B7" w:rsidRDefault="00000000" w:rsidP="000465B7">
      <w:pPr>
        <w:spacing w:after="160" w:line="360" w:lineRule="auto"/>
        <w:jc w:val="both"/>
        <w:rPr>
          <w:rFonts w:ascii="Times New Roman" w:hAnsi="Times New Roman" w:cs="Times New Roman"/>
        </w:rPr>
      </w:pPr>
      <w:r w:rsidRPr="000465B7">
        <w:rPr>
          <w:rFonts w:ascii="Times New Roman" w:hAnsi="Times New Roman" w:cs="Times New Roman"/>
          <w:color w:val="333333"/>
        </w:rPr>
        <w:t>ARR = (Average Annual Net Profit / Initial Investment) x 100. Average Annual Depreciation = £50M / 5 = £10M per year.</w:t>
      </w:r>
    </w:p>
    <w:p w14:paraId="092266FD" w14:textId="77777777" w:rsidR="00497D53" w:rsidRPr="000465B7" w:rsidRDefault="00000000" w:rsidP="000465B7">
      <w:pPr>
        <w:spacing w:after="160" w:line="360" w:lineRule="auto"/>
        <w:jc w:val="both"/>
        <w:rPr>
          <w:rFonts w:ascii="Times New Roman" w:hAnsi="Times New Roman" w:cs="Times New Roman"/>
        </w:rPr>
      </w:pPr>
      <w:r w:rsidRPr="000465B7">
        <w:rPr>
          <w:rFonts w:ascii="Times New Roman" w:hAnsi="Times New Roman" w:cs="Times New Roman"/>
          <w:b/>
          <w:bCs/>
          <w:color w:val="333333"/>
        </w:rPr>
        <w:t xml:space="preserve">Project A: </w:t>
      </w:r>
      <w:r w:rsidRPr="000465B7">
        <w:rPr>
          <w:rFonts w:ascii="Times New Roman" w:hAnsi="Times New Roman" w:cs="Times New Roman"/>
          <w:color w:val="333333"/>
        </w:rPr>
        <w:t>Average Annual NCF = £54M / 5 = £10.8M. Average Annual Profit = £10.8M - £10M = £0.8M. ARR = 0.8 / 50 x 100 = 1.60%.</w:t>
      </w:r>
    </w:p>
    <w:p w14:paraId="45C1E638" w14:textId="77777777" w:rsidR="00497D53" w:rsidRPr="000465B7" w:rsidRDefault="00000000" w:rsidP="000465B7">
      <w:pPr>
        <w:spacing w:after="160" w:line="360" w:lineRule="auto"/>
        <w:jc w:val="both"/>
        <w:rPr>
          <w:rFonts w:ascii="Times New Roman" w:hAnsi="Times New Roman" w:cs="Times New Roman"/>
        </w:rPr>
      </w:pPr>
      <w:r w:rsidRPr="000465B7">
        <w:rPr>
          <w:rFonts w:ascii="Times New Roman" w:hAnsi="Times New Roman" w:cs="Times New Roman"/>
          <w:b/>
          <w:bCs/>
          <w:color w:val="333333"/>
        </w:rPr>
        <w:t xml:space="preserve">Project B: </w:t>
      </w:r>
      <w:r w:rsidRPr="000465B7">
        <w:rPr>
          <w:rFonts w:ascii="Times New Roman" w:hAnsi="Times New Roman" w:cs="Times New Roman"/>
          <w:color w:val="333333"/>
        </w:rPr>
        <w:t>Average Annual NCF = £55M / 5 = £11.0M. Average Annual Profit = £11.0M - £10M = £1.0M. ARR = 1.0 / 50 x 100 = 2.00%.</w:t>
      </w:r>
    </w:p>
    <w:p w14:paraId="52B24710" w14:textId="77777777" w:rsidR="00497D53" w:rsidRPr="000465B7" w:rsidRDefault="00000000" w:rsidP="000465B7">
      <w:pPr>
        <w:spacing w:after="160" w:line="360" w:lineRule="auto"/>
        <w:jc w:val="both"/>
        <w:rPr>
          <w:rFonts w:ascii="Times New Roman" w:hAnsi="Times New Roman" w:cs="Times New Roman"/>
          <w:color w:val="333333"/>
        </w:rPr>
      </w:pPr>
      <w:r w:rsidRPr="000465B7">
        <w:rPr>
          <w:rFonts w:ascii="Times New Roman" w:hAnsi="Times New Roman" w:cs="Times New Roman"/>
          <w:b/>
          <w:bCs/>
          <w:color w:val="333333"/>
        </w:rPr>
        <w:t xml:space="preserve">Project C: </w:t>
      </w:r>
      <w:r w:rsidRPr="000465B7">
        <w:rPr>
          <w:rFonts w:ascii="Times New Roman" w:hAnsi="Times New Roman" w:cs="Times New Roman"/>
          <w:color w:val="333333"/>
        </w:rPr>
        <w:t>Average Annual NCF = £65M / 5 = £13.0M. Average Annual Profit = £13.0M - £10M = £3.0M. ARR = 3.0 / 50 x 100 = 6.00%.</w:t>
      </w:r>
    </w:p>
    <w:p w14:paraId="67B9A1F3" w14:textId="5B617095" w:rsidR="00497D53" w:rsidRPr="000465B7" w:rsidRDefault="00000000" w:rsidP="000465B7">
      <w:pPr>
        <w:spacing w:after="160" w:line="360" w:lineRule="auto"/>
        <w:jc w:val="both"/>
        <w:rPr>
          <w:rFonts w:ascii="Times New Roman" w:hAnsi="Times New Roman" w:cs="Times New Roman"/>
          <w:color w:val="333333"/>
        </w:rPr>
      </w:pPr>
      <w:r w:rsidRPr="000465B7">
        <w:rPr>
          <w:rFonts w:ascii="Times New Roman" w:hAnsi="Times New Roman" w:cs="Times New Roman"/>
          <w:color w:val="333333"/>
        </w:rPr>
        <w:t xml:space="preserve">ARR Ranking; Project C (6.00%) &gt; project B (2.00%) &gt; Project A (1.60%). The ARR values are relatively low in all </w:t>
      </w:r>
      <w:r w:rsidR="000465B7" w:rsidRPr="000465B7">
        <w:rPr>
          <w:rFonts w:ascii="Times New Roman" w:hAnsi="Times New Roman" w:cs="Times New Roman"/>
          <w:color w:val="333333"/>
        </w:rPr>
        <w:t>projects,</w:t>
      </w:r>
      <w:r w:rsidRPr="000465B7">
        <w:rPr>
          <w:rFonts w:ascii="Times New Roman" w:hAnsi="Times New Roman" w:cs="Times New Roman"/>
          <w:color w:val="333333"/>
        </w:rPr>
        <w:t xml:space="preserve"> and this serves to highlight that ARR as a single measure could be </w:t>
      </w:r>
      <w:r w:rsidRPr="000465B7">
        <w:rPr>
          <w:rFonts w:ascii="Times New Roman" w:hAnsi="Times New Roman" w:cs="Times New Roman"/>
          <w:color w:val="333333"/>
        </w:rPr>
        <w:lastRenderedPageBreak/>
        <w:t>inappropriate in capital projects that have short-horizon and are characterised by high depreciation values in comparison to profit.</w:t>
      </w:r>
    </w:p>
    <w:p w14:paraId="60CC20EA" w14:textId="77777777" w:rsidR="00497D53" w:rsidRPr="000465B7" w:rsidRDefault="00000000" w:rsidP="000465B7">
      <w:pPr>
        <w:pStyle w:val="Heading2"/>
        <w:spacing w:line="360" w:lineRule="auto"/>
        <w:rPr>
          <w:rFonts w:cs="Times New Roman"/>
        </w:rPr>
      </w:pPr>
      <w:bookmarkStart w:id="23" w:name="_Toc224599769"/>
      <w:r w:rsidRPr="000465B7">
        <w:rPr>
          <w:rFonts w:cs="Times New Roman"/>
          <w:color w:val="1F4E79"/>
        </w:rPr>
        <w:t>4.4 Net Present Value (NPV)</w:t>
      </w:r>
      <w:bookmarkEnd w:id="23"/>
    </w:p>
    <w:p w14:paraId="59FD7641" w14:textId="77777777" w:rsidR="00497D53" w:rsidRPr="000465B7" w:rsidRDefault="00000000" w:rsidP="000465B7">
      <w:pPr>
        <w:spacing w:after="80" w:line="360" w:lineRule="auto"/>
        <w:jc w:val="both"/>
        <w:rPr>
          <w:rFonts w:ascii="Times New Roman" w:hAnsi="Times New Roman" w:cs="Times New Roman"/>
        </w:rPr>
      </w:pPr>
      <w:r w:rsidRPr="000465B7">
        <w:rPr>
          <w:rFonts w:ascii="Times New Roman" w:hAnsi="Times New Roman" w:cs="Times New Roman"/>
        </w:rPr>
        <w:t>NPV will discount the future cash flows (at a rate of 10 percent) and deduct the initial investment. One of the outcomes of NPV is positive value creation or negative value destruction with respect to the hurdle rate. All the projects do not give a positive NPV at 10 percent, as they all give lower returns in comparison to the cost of capital - although Project C destroys the smallest (and Project D gives the nearest) value.</w:t>
      </w:r>
    </w:p>
    <w:p w14:paraId="61D14D35" w14:textId="77777777" w:rsidR="00497D53" w:rsidRPr="000465B7" w:rsidRDefault="00497D53" w:rsidP="000465B7">
      <w:pPr>
        <w:spacing w:after="80" w:line="360" w:lineRule="auto"/>
        <w:jc w:val="both"/>
        <w:rPr>
          <w:rFonts w:ascii="Times New Roman" w:hAnsi="Times New Roman" w:cs="Times New Roman"/>
        </w:rPr>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16"/>
        <w:gridCol w:w="1112"/>
        <w:gridCol w:w="1122"/>
        <w:gridCol w:w="1122"/>
        <w:gridCol w:w="1122"/>
        <w:gridCol w:w="1122"/>
        <w:gridCol w:w="1122"/>
        <w:gridCol w:w="1122"/>
      </w:tblGrid>
      <w:tr w:rsidR="00497D53" w:rsidRPr="000465B7" w14:paraId="4D675FDD" w14:textId="77777777">
        <w:tc>
          <w:tcPr>
            <w:tcW w:w="150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07C7184A"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NPV (£M)</w:t>
            </w:r>
          </w:p>
        </w:tc>
        <w:tc>
          <w:tcPr>
            <w:tcW w:w="110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3F400BB4"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DF Y1=0.909</w:t>
            </w:r>
          </w:p>
        </w:tc>
        <w:tc>
          <w:tcPr>
            <w:tcW w:w="111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53BD0735"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DF Y2=0.826</w:t>
            </w:r>
          </w:p>
        </w:tc>
        <w:tc>
          <w:tcPr>
            <w:tcW w:w="111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5870B218"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DF Y3=0.751</w:t>
            </w:r>
          </w:p>
        </w:tc>
        <w:tc>
          <w:tcPr>
            <w:tcW w:w="111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1DBF1CE2"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DF Y4=0.683</w:t>
            </w:r>
          </w:p>
        </w:tc>
        <w:tc>
          <w:tcPr>
            <w:tcW w:w="111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1C59F0DB"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DF Y5=0.621</w:t>
            </w:r>
          </w:p>
        </w:tc>
        <w:tc>
          <w:tcPr>
            <w:tcW w:w="111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1E724AB8"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PV Total</w:t>
            </w:r>
          </w:p>
        </w:tc>
        <w:tc>
          <w:tcPr>
            <w:tcW w:w="111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64FA3109"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NPV</w:t>
            </w:r>
          </w:p>
        </w:tc>
      </w:tr>
      <w:tr w:rsidR="00497D53" w:rsidRPr="000465B7" w14:paraId="03F099BB" w14:textId="77777777">
        <w:tc>
          <w:tcPr>
            <w:tcW w:w="15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03870162"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Project A</w:t>
            </w:r>
          </w:p>
        </w:tc>
        <w:tc>
          <w:tcPr>
            <w:tcW w:w="11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51904582"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9.09</w:t>
            </w:r>
          </w:p>
        </w:tc>
        <w:tc>
          <w:tcPr>
            <w:tcW w:w="111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731B306C"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9.92</w:t>
            </w:r>
          </w:p>
        </w:tc>
        <w:tc>
          <w:tcPr>
            <w:tcW w:w="111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75D250DB"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10.51</w:t>
            </w:r>
          </w:p>
        </w:tc>
        <w:tc>
          <w:tcPr>
            <w:tcW w:w="111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09EA43ED"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6.83</w:t>
            </w:r>
          </w:p>
        </w:tc>
        <w:tc>
          <w:tcPr>
            <w:tcW w:w="111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5537FB9C"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4.97</w:t>
            </w:r>
          </w:p>
        </w:tc>
        <w:tc>
          <w:tcPr>
            <w:tcW w:w="111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0CC3BF19"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41.32</w:t>
            </w:r>
          </w:p>
        </w:tc>
        <w:tc>
          <w:tcPr>
            <w:tcW w:w="111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0D49B611"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-8.68</w:t>
            </w:r>
          </w:p>
        </w:tc>
      </w:tr>
      <w:tr w:rsidR="00497D53" w:rsidRPr="000465B7" w14:paraId="0F01C0EF" w14:textId="77777777">
        <w:tc>
          <w:tcPr>
            <w:tcW w:w="15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10C7E9D2"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Project B</w:t>
            </w:r>
          </w:p>
        </w:tc>
        <w:tc>
          <w:tcPr>
            <w:tcW w:w="11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071BEE43"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10.00</w:t>
            </w:r>
          </w:p>
        </w:tc>
        <w:tc>
          <w:tcPr>
            <w:tcW w:w="111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1E06D8E2"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9.09</w:t>
            </w:r>
          </w:p>
        </w:tc>
        <w:tc>
          <w:tcPr>
            <w:tcW w:w="111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088A6589"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8.26</w:t>
            </w:r>
          </w:p>
        </w:tc>
        <w:tc>
          <w:tcPr>
            <w:tcW w:w="111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5C44E107"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7.51</w:t>
            </w:r>
          </w:p>
        </w:tc>
        <w:tc>
          <w:tcPr>
            <w:tcW w:w="111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67C0221A"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6.83</w:t>
            </w:r>
          </w:p>
        </w:tc>
        <w:tc>
          <w:tcPr>
            <w:tcW w:w="111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72A5564C"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41.69</w:t>
            </w:r>
          </w:p>
        </w:tc>
        <w:tc>
          <w:tcPr>
            <w:tcW w:w="111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5311BB91"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-8.31</w:t>
            </w:r>
          </w:p>
        </w:tc>
      </w:tr>
      <w:tr w:rsidR="00497D53" w:rsidRPr="000465B7" w14:paraId="42317889" w14:textId="77777777">
        <w:tc>
          <w:tcPr>
            <w:tcW w:w="15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31742FEF"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Project C</w:t>
            </w:r>
          </w:p>
        </w:tc>
        <w:tc>
          <w:tcPr>
            <w:tcW w:w="11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2984815B"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4.55</w:t>
            </w:r>
          </w:p>
        </w:tc>
        <w:tc>
          <w:tcPr>
            <w:tcW w:w="111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0EBEE1D5"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8.26</w:t>
            </w:r>
          </w:p>
        </w:tc>
        <w:tc>
          <w:tcPr>
            <w:tcW w:w="111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7547DCB5"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15.03</w:t>
            </w:r>
          </w:p>
        </w:tc>
        <w:tc>
          <w:tcPr>
            <w:tcW w:w="111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5A7F327D"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17.08</w:t>
            </w:r>
          </w:p>
        </w:tc>
        <w:tc>
          <w:tcPr>
            <w:tcW w:w="111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4890EBA8"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3.10</w:t>
            </w:r>
          </w:p>
        </w:tc>
        <w:tc>
          <w:tcPr>
            <w:tcW w:w="111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150BED3B"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48.02</w:t>
            </w:r>
          </w:p>
        </w:tc>
        <w:tc>
          <w:tcPr>
            <w:tcW w:w="111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054BC9D6"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-1.98</w:t>
            </w:r>
          </w:p>
        </w:tc>
      </w:tr>
    </w:tbl>
    <w:p w14:paraId="6D19DFA1" w14:textId="77777777" w:rsidR="00497D53" w:rsidRPr="000465B7" w:rsidRDefault="00000000" w:rsidP="000465B7">
      <w:pPr>
        <w:spacing w:before="60" w:after="200" w:line="360" w:lineRule="auto"/>
        <w:jc w:val="both"/>
        <w:rPr>
          <w:rFonts w:ascii="Times New Roman" w:hAnsi="Times New Roman" w:cs="Times New Roman"/>
        </w:rPr>
      </w:pPr>
      <w:r w:rsidRPr="000465B7">
        <w:rPr>
          <w:rFonts w:ascii="Times New Roman" w:hAnsi="Times New Roman" w:cs="Times New Roman"/>
          <w:i/>
          <w:iCs/>
          <w:color w:val="666666"/>
          <w:sz w:val="20"/>
          <w:szCs w:val="20"/>
        </w:rPr>
        <w:t>Table 6. NPV Calculation at 10% Discount Rate (GBP, millions). Discount Factors: Y1=0.909, Y2=0.826, Y3=0.751, Y4=0.683, Y5=0.621. Source: Own Calculations.</w:t>
      </w:r>
    </w:p>
    <w:p w14:paraId="1BC66A85" w14:textId="77777777" w:rsidR="00497D53" w:rsidRPr="000465B7" w:rsidRDefault="00000000" w:rsidP="000465B7">
      <w:pPr>
        <w:spacing w:after="80" w:line="360" w:lineRule="auto"/>
        <w:jc w:val="both"/>
        <w:rPr>
          <w:rFonts w:ascii="Times New Roman" w:hAnsi="Times New Roman" w:cs="Times New Roman"/>
        </w:rPr>
      </w:pPr>
      <w:r w:rsidRPr="000465B7">
        <w:rPr>
          <w:rFonts w:ascii="Times New Roman" w:hAnsi="Times New Roman" w:cs="Times New Roman"/>
        </w:rPr>
        <w:t>NPV Ranking Project C (-1.98M) and Project B (-8.31M) exceeding Project A (-8.68M). The back-weighted cash flow profile that has a high flow of cash in Years 3 and 4, Project C is moderately penalised in the form of discount and bests Project A and B in terms of cash flows available and the cash flows profile.</w:t>
      </w:r>
    </w:p>
    <w:p w14:paraId="00644A15" w14:textId="77777777" w:rsidR="00497D53" w:rsidRPr="000465B7" w:rsidRDefault="00000000" w:rsidP="000465B7">
      <w:pPr>
        <w:pStyle w:val="Heading2"/>
        <w:spacing w:line="360" w:lineRule="auto"/>
        <w:rPr>
          <w:rFonts w:cs="Times New Roman"/>
        </w:rPr>
      </w:pPr>
      <w:bookmarkStart w:id="24" w:name="_Toc224599770"/>
      <w:r w:rsidRPr="000465B7">
        <w:rPr>
          <w:rFonts w:cs="Times New Roman"/>
          <w:color w:val="1F4E79"/>
        </w:rPr>
        <w:t>4.5 Internal Rate of Return (IRR)</w:t>
      </w:r>
      <w:bookmarkEnd w:id="24"/>
    </w:p>
    <w:p w14:paraId="79AD5297"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rPr>
        <w:t>IRR is the rate of discount when NPV is zero. Given that all projects yield negative NPV at 10%, interpolation between zero (where the NPV is positive) and 10% is the method of estimating IRR.</w:t>
      </w:r>
    </w:p>
    <w:p w14:paraId="1B676A7F" w14:textId="77777777" w:rsidR="00497D53" w:rsidRPr="000465B7" w:rsidRDefault="00497D53" w:rsidP="000465B7">
      <w:pPr>
        <w:spacing w:line="360" w:lineRule="auto"/>
        <w:jc w:val="both"/>
        <w:rPr>
          <w:rFonts w:ascii="Times New Roman" w:hAnsi="Times New Roman" w:cs="Times New Roman"/>
        </w:rPr>
      </w:pPr>
    </w:p>
    <w:p w14:paraId="767A8FF9" w14:textId="77777777" w:rsidR="00497D53" w:rsidRPr="000465B7" w:rsidRDefault="00000000" w:rsidP="000465B7">
      <w:pPr>
        <w:spacing w:after="160" w:line="360" w:lineRule="auto"/>
        <w:jc w:val="both"/>
        <w:rPr>
          <w:rFonts w:ascii="Times New Roman" w:hAnsi="Times New Roman" w:cs="Times New Roman"/>
        </w:rPr>
      </w:pPr>
      <w:r w:rsidRPr="000465B7">
        <w:rPr>
          <w:rFonts w:ascii="Times New Roman" w:hAnsi="Times New Roman" w:cs="Times New Roman"/>
          <w:b/>
          <w:bCs/>
          <w:color w:val="333333"/>
        </w:rPr>
        <w:t xml:space="preserve">Project A: </w:t>
      </w:r>
      <w:r w:rsidRPr="000465B7">
        <w:rPr>
          <w:rFonts w:ascii="Times New Roman" w:hAnsi="Times New Roman" w:cs="Times New Roman"/>
          <w:color w:val="333333"/>
        </w:rPr>
        <w:t>NPV at 0% = +£4M; NPV at 10% = -£8.68M. IRR approximation: 0% + [4 / (4 + 8.68)] x 10% = approximately 3.2%. Does not meet the 10% hurdle rate.</w:t>
      </w:r>
    </w:p>
    <w:p w14:paraId="6A6D700B" w14:textId="77777777" w:rsidR="00497D53" w:rsidRPr="000465B7" w:rsidRDefault="00000000" w:rsidP="000465B7">
      <w:pPr>
        <w:spacing w:after="160" w:line="360" w:lineRule="auto"/>
        <w:jc w:val="both"/>
        <w:rPr>
          <w:rFonts w:ascii="Times New Roman" w:hAnsi="Times New Roman" w:cs="Times New Roman"/>
        </w:rPr>
      </w:pPr>
      <w:r w:rsidRPr="000465B7">
        <w:rPr>
          <w:rFonts w:ascii="Times New Roman" w:hAnsi="Times New Roman" w:cs="Times New Roman"/>
          <w:b/>
          <w:bCs/>
          <w:color w:val="333333"/>
        </w:rPr>
        <w:t xml:space="preserve">Project B: </w:t>
      </w:r>
      <w:r w:rsidRPr="000465B7">
        <w:rPr>
          <w:rFonts w:ascii="Times New Roman" w:hAnsi="Times New Roman" w:cs="Times New Roman"/>
          <w:color w:val="333333"/>
        </w:rPr>
        <w:t>NPV at 0% = +£5M; NPV at 10% = -£8.31M. IRR approximation: 0% + [5 / (5 + 8.31)] x 10% = approximately 3.8%.</w:t>
      </w:r>
    </w:p>
    <w:p w14:paraId="710EB0AB" w14:textId="77777777" w:rsidR="00497D53" w:rsidRPr="000465B7" w:rsidRDefault="00000000" w:rsidP="000465B7">
      <w:pPr>
        <w:spacing w:after="160" w:line="360" w:lineRule="auto"/>
        <w:jc w:val="both"/>
        <w:rPr>
          <w:rFonts w:ascii="Times New Roman" w:hAnsi="Times New Roman" w:cs="Times New Roman"/>
        </w:rPr>
      </w:pPr>
      <w:r w:rsidRPr="000465B7">
        <w:rPr>
          <w:rFonts w:ascii="Times New Roman" w:hAnsi="Times New Roman" w:cs="Times New Roman"/>
          <w:b/>
          <w:bCs/>
          <w:color w:val="333333"/>
        </w:rPr>
        <w:t xml:space="preserve">Project C: </w:t>
      </w:r>
      <w:r w:rsidRPr="000465B7">
        <w:rPr>
          <w:rFonts w:ascii="Times New Roman" w:hAnsi="Times New Roman" w:cs="Times New Roman"/>
          <w:color w:val="333333"/>
        </w:rPr>
        <w:t>NPV at 0% = +£15M; NPV at 10% = -£1.98M. IRR approximation: 0% + [15 / (15 + 1.98)] x 10% = approximately 8.8%. Closest to the hurdle rate, confirming it is the strongest project.</w:t>
      </w:r>
    </w:p>
    <w:p w14:paraId="3E470462" w14:textId="77777777" w:rsidR="00497D53" w:rsidRPr="000465B7" w:rsidRDefault="00000000" w:rsidP="000465B7">
      <w:pPr>
        <w:pStyle w:val="Heading2"/>
        <w:spacing w:line="360" w:lineRule="auto"/>
        <w:rPr>
          <w:rFonts w:cs="Times New Roman"/>
        </w:rPr>
      </w:pPr>
      <w:bookmarkStart w:id="25" w:name="_Toc224599771"/>
      <w:r w:rsidRPr="000465B7">
        <w:rPr>
          <w:rFonts w:cs="Times New Roman"/>
          <w:color w:val="1F4E79"/>
        </w:rPr>
        <w:lastRenderedPageBreak/>
        <w:t>4.6 Profitability Index (PI)</w:t>
      </w:r>
      <w:bookmarkEnd w:id="25"/>
    </w:p>
    <w:p w14:paraId="17D7DA6F" w14:textId="77777777" w:rsidR="00497D53" w:rsidRPr="000465B7" w:rsidRDefault="00000000" w:rsidP="000465B7">
      <w:pPr>
        <w:spacing w:after="160" w:line="360" w:lineRule="auto"/>
        <w:jc w:val="both"/>
        <w:rPr>
          <w:rFonts w:ascii="Times New Roman" w:hAnsi="Times New Roman" w:cs="Times New Roman"/>
        </w:rPr>
      </w:pPr>
      <w:r w:rsidRPr="000465B7">
        <w:rPr>
          <w:rFonts w:ascii="Times New Roman" w:hAnsi="Times New Roman" w:cs="Times New Roman"/>
          <w:color w:val="333333"/>
        </w:rPr>
        <w:t>PI = PV of Future Cash Flows / Initial Investment. A PI greater than 1 indicates value creation; below 1 indicates value destruction at the given discount rate.</w:t>
      </w:r>
    </w:p>
    <w:p w14:paraId="27E69D89" w14:textId="77777777" w:rsidR="00497D53" w:rsidRPr="000465B7" w:rsidRDefault="00000000" w:rsidP="000465B7">
      <w:pPr>
        <w:spacing w:after="160" w:line="360" w:lineRule="auto"/>
        <w:jc w:val="both"/>
        <w:rPr>
          <w:rFonts w:ascii="Times New Roman" w:hAnsi="Times New Roman" w:cs="Times New Roman"/>
        </w:rPr>
      </w:pPr>
      <w:r w:rsidRPr="000465B7">
        <w:rPr>
          <w:rFonts w:ascii="Times New Roman" w:hAnsi="Times New Roman" w:cs="Times New Roman"/>
          <w:b/>
          <w:bCs/>
          <w:color w:val="333333"/>
        </w:rPr>
        <w:t xml:space="preserve">Project A: </w:t>
      </w:r>
      <w:r w:rsidRPr="000465B7">
        <w:rPr>
          <w:rFonts w:ascii="Times New Roman" w:hAnsi="Times New Roman" w:cs="Times New Roman"/>
          <w:color w:val="333333"/>
        </w:rPr>
        <w:t>PI = 41.32 / 50 = 0.827.</w:t>
      </w:r>
    </w:p>
    <w:p w14:paraId="32B7B54B" w14:textId="77777777" w:rsidR="00497D53" w:rsidRPr="000465B7" w:rsidRDefault="00000000" w:rsidP="000465B7">
      <w:pPr>
        <w:spacing w:after="160" w:line="360" w:lineRule="auto"/>
        <w:jc w:val="both"/>
        <w:rPr>
          <w:rFonts w:ascii="Times New Roman" w:hAnsi="Times New Roman" w:cs="Times New Roman"/>
        </w:rPr>
      </w:pPr>
      <w:r w:rsidRPr="000465B7">
        <w:rPr>
          <w:rFonts w:ascii="Times New Roman" w:hAnsi="Times New Roman" w:cs="Times New Roman"/>
          <w:b/>
          <w:bCs/>
          <w:color w:val="333333"/>
        </w:rPr>
        <w:t xml:space="preserve">Project B: </w:t>
      </w:r>
      <w:r w:rsidRPr="000465B7">
        <w:rPr>
          <w:rFonts w:ascii="Times New Roman" w:hAnsi="Times New Roman" w:cs="Times New Roman"/>
          <w:color w:val="333333"/>
        </w:rPr>
        <w:t>PI = 41.69 / 50 = 0.834.</w:t>
      </w:r>
    </w:p>
    <w:p w14:paraId="1CC0FB1F" w14:textId="77777777" w:rsidR="00497D53" w:rsidRPr="000465B7" w:rsidRDefault="00000000" w:rsidP="000465B7">
      <w:pPr>
        <w:spacing w:after="160" w:line="360" w:lineRule="auto"/>
        <w:jc w:val="both"/>
        <w:rPr>
          <w:rFonts w:ascii="Times New Roman" w:hAnsi="Times New Roman" w:cs="Times New Roman"/>
        </w:rPr>
      </w:pPr>
      <w:r w:rsidRPr="000465B7">
        <w:rPr>
          <w:rFonts w:ascii="Times New Roman" w:hAnsi="Times New Roman" w:cs="Times New Roman"/>
          <w:b/>
          <w:bCs/>
          <w:color w:val="333333"/>
        </w:rPr>
        <w:t xml:space="preserve">Project C: </w:t>
      </w:r>
      <w:r w:rsidRPr="000465B7">
        <w:rPr>
          <w:rFonts w:ascii="Times New Roman" w:hAnsi="Times New Roman" w:cs="Times New Roman"/>
          <w:color w:val="333333"/>
        </w:rPr>
        <w:t>PI = 48.02 / 50 = 0.960.</w:t>
      </w:r>
    </w:p>
    <w:p w14:paraId="2C236C74" w14:textId="77777777" w:rsidR="00497D53" w:rsidRPr="000465B7" w:rsidRDefault="00000000" w:rsidP="000465B7">
      <w:pPr>
        <w:spacing w:after="160" w:line="360" w:lineRule="auto"/>
        <w:jc w:val="both"/>
        <w:rPr>
          <w:rFonts w:ascii="Times New Roman" w:hAnsi="Times New Roman" w:cs="Times New Roman"/>
        </w:rPr>
      </w:pPr>
      <w:r w:rsidRPr="000465B7">
        <w:rPr>
          <w:rFonts w:ascii="Times New Roman" w:hAnsi="Times New Roman" w:cs="Times New Roman"/>
          <w:color w:val="333333"/>
        </w:rPr>
        <w:t>PI Ranking: Project C (0.960) &gt; Project B (0.834) &gt; Project A (0.827). Project C's PI of 0.960 indicates only a 4% shortfall in value relative to investment, compared to a 17% shortfall for Projects A and B. PI is particularly useful for capital rationing as it measures value per pound invested.</w:t>
      </w:r>
    </w:p>
    <w:p w14:paraId="0C176C86" w14:textId="77777777" w:rsidR="00497D53" w:rsidRPr="000465B7" w:rsidRDefault="00000000" w:rsidP="000465B7">
      <w:pPr>
        <w:pStyle w:val="Heading2"/>
        <w:spacing w:line="360" w:lineRule="auto"/>
        <w:rPr>
          <w:rFonts w:cs="Times New Roman"/>
        </w:rPr>
      </w:pPr>
      <w:bookmarkStart w:id="26" w:name="_Toc224599772"/>
      <w:r w:rsidRPr="000465B7">
        <w:rPr>
          <w:rFonts w:cs="Times New Roman"/>
          <w:color w:val="1F4E79"/>
        </w:rPr>
        <w:t>4.7 Summary Appraisal and Recommendation</w:t>
      </w:r>
      <w:bookmarkEnd w:id="26"/>
    </w:p>
    <w:p w14:paraId="14C135DC" w14:textId="77777777" w:rsidR="00497D53" w:rsidRPr="000465B7" w:rsidRDefault="00000000" w:rsidP="000465B7">
      <w:pPr>
        <w:spacing w:after="80" w:line="360" w:lineRule="auto"/>
        <w:jc w:val="both"/>
        <w:rPr>
          <w:rFonts w:ascii="Times New Roman" w:hAnsi="Times New Roman" w:cs="Times New Roman"/>
        </w:rPr>
      </w:pPr>
      <w:r w:rsidRPr="000465B7">
        <w:rPr>
          <w:rFonts w:ascii="Times New Roman" w:hAnsi="Times New Roman" w:cs="Times New Roman"/>
        </w:rPr>
        <w:t>IRR ranking: project C (around 8.8) comes with the highest value followed by project B (around 3.8) and finally project A (around 3.2). All of the projects are marginally value-destructive in pure financial terms (Lindeman 2003). Non-financial strategies can however command this discovery appropriately.</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00"/>
        <w:gridCol w:w="1400"/>
        <w:gridCol w:w="1400"/>
        <w:gridCol w:w="1400"/>
        <w:gridCol w:w="1680"/>
        <w:gridCol w:w="1680"/>
      </w:tblGrid>
      <w:tr w:rsidR="00497D53" w:rsidRPr="000465B7" w14:paraId="5DD39B81" w14:textId="77777777">
        <w:tc>
          <w:tcPr>
            <w:tcW w:w="180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700DCEF3"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Metric</w:t>
            </w:r>
          </w:p>
        </w:tc>
        <w:tc>
          <w:tcPr>
            <w:tcW w:w="140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32982B2B"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Project A</w:t>
            </w:r>
          </w:p>
        </w:tc>
        <w:tc>
          <w:tcPr>
            <w:tcW w:w="140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5271FBB3"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Project B</w:t>
            </w:r>
          </w:p>
        </w:tc>
        <w:tc>
          <w:tcPr>
            <w:tcW w:w="140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07370E3C"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Project C</w:t>
            </w:r>
          </w:p>
        </w:tc>
        <w:tc>
          <w:tcPr>
            <w:tcW w:w="168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0DE56748"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Best Project</w:t>
            </w:r>
          </w:p>
        </w:tc>
        <w:tc>
          <w:tcPr>
            <w:tcW w:w="168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688D734A"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Ranking</w:t>
            </w:r>
          </w:p>
        </w:tc>
      </w:tr>
      <w:tr w:rsidR="00497D53" w:rsidRPr="000465B7" w14:paraId="7F7E3F78" w14:textId="77777777">
        <w:tc>
          <w:tcPr>
            <w:tcW w:w="18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4F1E6BE2"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Total NCF (£M)</w:t>
            </w:r>
          </w:p>
        </w:tc>
        <w:tc>
          <w:tcPr>
            <w:tcW w:w="14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30768BE8"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£54M</w:t>
            </w:r>
          </w:p>
        </w:tc>
        <w:tc>
          <w:tcPr>
            <w:tcW w:w="14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245C8960"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£55M</w:t>
            </w:r>
          </w:p>
        </w:tc>
        <w:tc>
          <w:tcPr>
            <w:tcW w:w="14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46CEA28C"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£65M</w:t>
            </w:r>
          </w:p>
        </w:tc>
        <w:tc>
          <w:tcPr>
            <w:tcW w:w="168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2404AFFC"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C</w:t>
            </w:r>
          </w:p>
        </w:tc>
        <w:tc>
          <w:tcPr>
            <w:tcW w:w="168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5A490AD6"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C&gt;B&gt;A</w:t>
            </w:r>
          </w:p>
        </w:tc>
      </w:tr>
      <w:tr w:rsidR="00497D53" w:rsidRPr="000465B7" w14:paraId="7F5D51C4" w14:textId="77777777">
        <w:tc>
          <w:tcPr>
            <w:tcW w:w="18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2A27A800"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Payback Period</w:t>
            </w:r>
          </w:p>
        </w:tc>
        <w:tc>
          <w:tcPr>
            <w:tcW w:w="14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0E109373"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4 yrs 6 mths</w:t>
            </w:r>
          </w:p>
        </w:tc>
        <w:tc>
          <w:tcPr>
            <w:tcW w:w="14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45087104"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4 yrs 6 mths</w:t>
            </w:r>
          </w:p>
        </w:tc>
        <w:tc>
          <w:tcPr>
            <w:tcW w:w="14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0DDE3CEC"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3 yrs 7 mths</w:t>
            </w:r>
          </w:p>
        </w:tc>
        <w:tc>
          <w:tcPr>
            <w:tcW w:w="168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3C21D3A6"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C</w:t>
            </w:r>
          </w:p>
        </w:tc>
        <w:tc>
          <w:tcPr>
            <w:tcW w:w="168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6905C93B"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C&gt;A=B</w:t>
            </w:r>
          </w:p>
        </w:tc>
      </w:tr>
      <w:tr w:rsidR="00497D53" w:rsidRPr="000465B7" w14:paraId="69F66AAC" w14:textId="77777777">
        <w:tc>
          <w:tcPr>
            <w:tcW w:w="18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1DC7F681"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ARR</w:t>
            </w:r>
          </w:p>
        </w:tc>
        <w:tc>
          <w:tcPr>
            <w:tcW w:w="14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55B42695"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1.60%</w:t>
            </w:r>
          </w:p>
        </w:tc>
        <w:tc>
          <w:tcPr>
            <w:tcW w:w="14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3282E722"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2.00%</w:t>
            </w:r>
          </w:p>
        </w:tc>
        <w:tc>
          <w:tcPr>
            <w:tcW w:w="14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10C65E21"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6.00%</w:t>
            </w:r>
          </w:p>
        </w:tc>
        <w:tc>
          <w:tcPr>
            <w:tcW w:w="168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0E6B5881"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C</w:t>
            </w:r>
          </w:p>
        </w:tc>
        <w:tc>
          <w:tcPr>
            <w:tcW w:w="168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2F78E49B"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C&gt;B&gt;A</w:t>
            </w:r>
          </w:p>
        </w:tc>
      </w:tr>
      <w:tr w:rsidR="00497D53" w:rsidRPr="000465B7" w14:paraId="53EB1686" w14:textId="77777777">
        <w:tc>
          <w:tcPr>
            <w:tcW w:w="18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134CCE28"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NPV (10%)</w:t>
            </w:r>
          </w:p>
        </w:tc>
        <w:tc>
          <w:tcPr>
            <w:tcW w:w="14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07B1578F"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-£8.68M</w:t>
            </w:r>
          </w:p>
        </w:tc>
        <w:tc>
          <w:tcPr>
            <w:tcW w:w="14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5A2331FF"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-£8.31M</w:t>
            </w:r>
          </w:p>
        </w:tc>
        <w:tc>
          <w:tcPr>
            <w:tcW w:w="14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246D602E"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-£1.98M</w:t>
            </w:r>
          </w:p>
        </w:tc>
        <w:tc>
          <w:tcPr>
            <w:tcW w:w="168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468CA842"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C</w:t>
            </w:r>
          </w:p>
        </w:tc>
        <w:tc>
          <w:tcPr>
            <w:tcW w:w="168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33590D56"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C&gt;B&gt;A</w:t>
            </w:r>
          </w:p>
        </w:tc>
      </w:tr>
      <w:tr w:rsidR="00497D53" w:rsidRPr="000465B7" w14:paraId="2D857E90" w14:textId="77777777">
        <w:tc>
          <w:tcPr>
            <w:tcW w:w="18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1947B51E"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IRR (approx.)</w:t>
            </w:r>
          </w:p>
        </w:tc>
        <w:tc>
          <w:tcPr>
            <w:tcW w:w="14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13DB9984"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~3.2%</w:t>
            </w:r>
          </w:p>
        </w:tc>
        <w:tc>
          <w:tcPr>
            <w:tcW w:w="14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295B9D84"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~3.8%</w:t>
            </w:r>
          </w:p>
        </w:tc>
        <w:tc>
          <w:tcPr>
            <w:tcW w:w="14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734D8839"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~8.8%</w:t>
            </w:r>
          </w:p>
        </w:tc>
        <w:tc>
          <w:tcPr>
            <w:tcW w:w="168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20D6E4C1"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C</w:t>
            </w:r>
          </w:p>
        </w:tc>
        <w:tc>
          <w:tcPr>
            <w:tcW w:w="168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5770D8E5"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C&gt;B&gt;A</w:t>
            </w:r>
          </w:p>
        </w:tc>
      </w:tr>
      <w:tr w:rsidR="00497D53" w:rsidRPr="000465B7" w14:paraId="59B7F385" w14:textId="77777777">
        <w:tc>
          <w:tcPr>
            <w:tcW w:w="18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3C42F024"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PI</w:t>
            </w:r>
          </w:p>
        </w:tc>
        <w:tc>
          <w:tcPr>
            <w:tcW w:w="14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33555929"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0.827</w:t>
            </w:r>
          </w:p>
        </w:tc>
        <w:tc>
          <w:tcPr>
            <w:tcW w:w="14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6C2FECDD"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0.834</w:t>
            </w:r>
          </w:p>
        </w:tc>
        <w:tc>
          <w:tcPr>
            <w:tcW w:w="14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156EC527"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0.960</w:t>
            </w:r>
          </w:p>
        </w:tc>
        <w:tc>
          <w:tcPr>
            <w:tcW w:w="168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726162F2"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C</w:t>
            </w:r>
          </w:p>
        </w:tc>
        <w:tc>
          <w:tcPr>
            <w:tcW w:w="168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68ABF298"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C&gt;B&gt;A</w:t>
            </w:r>
          </w:p>
        </w:tc>
      </w:tr>
    </w:tbl>
    <w:p w14:paraId="5C6616B5" w14:textId="77777777" w:rsidR="00497D53" w:rsidRPr="000465B7" w:rsidRDefault="00000000" w:rsidP="000465B7">
      <w:pPr>
        <w:spacing w:before="60" w:after="200" w:line="360" w:lineRule="auto"/>
        <w:jc w:val="both"/>
        <w:rPr>
          <w:rFonts w:ascii="Times New Roman" w:hAnsi="Times New Roman" w:cs="Times New Roman"/>
        </w:rPr>
      </w:pPr>
      <w:r w:rsidRPr="000465B7">
        <w:rPr>
          <w:rFonts w:ascii="Times New Roman" w:hAnsi="Times New Roman" w:cs="Times New Roman"/>
          <w:i/>
          <w:iCs/>
          <w:color w:val="666666"/>
          <w:sz w:val="20"/>
          <w:szCs w:val="20"/>
        </w:rPr>
        <w:t>Table 7. Summary of Investment Appraisal Results. Source: Own Calculations.</w:t>
      </w:r>
    </w:p>
    <w:p w14:paraId="6BF3E274" w14:textId="77777777" w:rsidR="00497D53" w:rsidRPr="000465B7" w:rsidRDefault="00497D53" w:rsidP="000465B7">
      <w:pPr>
        <w:spacing w:after="80" w:line="360" w:lineRule="auto"/>
        <w:jc w:val="both"/>
        <w:rPr>
          <w:rFonts w:ascii="Times New Roman" w:hAnsi="Times New Roman" w:cs="Times New Roman"/>
        </w:rPr>
      </w:pPr>
    </w:p>
    <w:p w14:paraId="6061E9AC" w14:textId="77777777" w:rsidR="00497D53" w:rsidRPr="000465B7" w:rsidRDefault="00000000" w:rsidP="000465B7">
      <w:pPr>
        <w:pStyle w:val="Heading3"/>
        <w:spacing w:line="360" w:lineRule="auto"/>
        <w:jc w:val="both"/>
        <w:rPr>
          <w:rFonts w:ascii="Times New Roman" w:hAnsi="Times New Roman" w:cs="Times New Roman"/>
        </w:rPr>
      </w:pPr>
      <w:bookmarkStart w:id="27" w:name="_Toc224599773"/>
      <w:r w:rsidRPr="000465B7">
        <w:rPr>
          <w:rFonts w:ascii="Times New Roman" w:hAnsi="Times New Roman" w:cs="Times New Roman"/>
        </w:rPr>
        <w:t>Recommended Project: Project C</w:t>
      </w:r>
      <w:bookmarkEnd w:id="27"/>
    </w:p>
    <w:p w14:paraId="56E4DE4F"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rPr>
        <w:t>It is clearly the most suitable investment in all five methods of appraisal: project C provides the shortest payback period (3 years 7 months), the highest ARR (6.00), the lowest negative NPV (-1.98M), the highest IRR (about 8.8), and the highest PI (0.960). It is also bringing the highest overall net cash flow of £65M - a 10M premium over Project B and 11M premium over Project A.</w:t>
      </w:r>
    </w:p>
    <w:p w14:paraId="2461295C"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rPr>
        <w:lastRenderedPageBreak/>
        <w:t>The economic viability is supported with the help of the current position of operation of Tesla. The liquidity position of Tesla is high as its current ratio stands at 1.66 and has a cash reserve of 36.6B implying that the firm is well-positioned to absorb the insignificant negative NPV when making a strategic investment. The back-loaded cash flow profile of project C which consists of the massive cash outflow of £20M in Year 3 and cash outflow of 25M in Year 4, fits within the strategic plan of Tesla. These are the years where the production of the Cybertrucks will be at full scale, subscription revenue of FSD is supposed to grow significantly and the energy storage business is likely to reach the revenues of an estimated 15 billion and above. The fact that the cash-generating ability of the organisation has been improving over Years 3-5 would thereby furnish the financial surround in which the delayed payoffs of the Project C would be completely manageable.</w:t>
      </w:r>
    </w:p>
    <w:p w14:paraId="2CD90F0B"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rPr>
        <w:t>The non-financial risk aspects also have an advantage to Project C with the front-heavy and flat cash flow of projects A and B respectively enjoying more immunity to near-term operational shocks like supply chain shocks, tariff increase, or demand swings that Tesla is currently having to go through. The brand considerations and customer loyalty also justify Project C: any investment in Tesla that will improve the quality of products or their safety or their environmental characteristics will contribute to the strengthening of the brand and helps it bear the premium price, partly reducing the trend toward the elimination of the margin discussed in Section 1.</w:t>
      </w:r>
    </w:p>
    <w:p w14:paraId="778462FF" w14:textId="77777777" w:rsidR="00497D53" w:rsidRPr="000465B7" w:rsidRDefault="00000000" w:rsidP="000465B7">
      <w:pPr>
        <w:pStyle w:val="Heading2"/>
        <w:spacing w:line="360" w:lineRule="auto"/>
        <w:rPr>
          <w:rFonts w:cs="Times New Roman"/>
        </w:rPr>
      </w:pPr>
      <w:bookmarkStart w:id="28" w:name="_Toc224599774"/>
      <w:r w:rsidRPr="000465B7">
        <w:rPr>
          <w:rFonts w:cs="Times New Roman"/>
          <w:color w:val="1F4E79"/>
        </w:rPr>
        <w:t>4.8 Capital Rationing: Optimal Combination with a £100M Budget</w:t>
      </w:r>
      <w:bookmarkEnd w:id="28"/>
    </w:p>
    <w:p w14:paraId="34231021" w14:textId="77777777" w:rsidR="00497D53" w:rsidRPr="000465B7" w:rsidRDefault="00000000" w:rsidP="000465B7">
      <w:pPr>
        <w:spacing w:after="80" w:line="360" w:lineRule="auto"/>
        <w:jc w:val="both"/>
        <w:rPr>
          <w:rFonts w:ascii="Times New Roman" w:hAnsi="Times New Roman" w:cs="Times New Roman"/>
        </w:rPr>
      </w:pPr>
      <w:r w:rsidRPr="000465B7">
        <w:rPr>
          <w:rFonts w:ascii="Times New Roman" w:hAnsi="Times New Roman" w:cs="Times New Roman"/>
        </w:rPr>
        <w:t>The total capital budget constraint of Tesla is available as 100 million so the maximum available two projects can be financed. The three two project combinations are evaluated as below.</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800"/>
        <w:gridCol w:w="1640"/>
        <w:gridCol w:w="1640"/>
        <w:gridCol w:w="1640"/>
        <w:gridCol w:w="1640"/>
      </w:tblGrid>
      <w:tr w:rsidR="00497D53" w:rsidRPr="000465B7" w14:paraId="24069E3A" w14:textId="77777777">
        <w:tc>
          <w:tcPr>
            <w:tcW w:w="280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1FC74ED1"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Combination</w:t>
            </w:r>
          </w:p>
        </w:tc>
        <w:tc>
          <w:tcPr>
            <w:tcW w:w="164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4DCD4FEE"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Total Investment</w:t>
            </w:r>
          </w:p>
        </w:tc>
        <w:tc>
          <w:tcPr>
            <w:tcW w:w="164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6A895887"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Total NCF (£M)</w:t>
            </w:r>
          </w:p>
        </w:tc>
        <w:tc>
          <w:tcPr>
            <w:tcW w:w="164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0EE0012E"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Combined NPV</w:t>
            </w:r>
          </w:p>
        </w:tc>
        <w:tc>
          <w:tcPr>
            <w:tcW w:w="164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50182E36"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Verdict</w:t>
            </w:r>
          </w:p>
        </w:tc>
      </w:tr>
      <w:tr w:rsidR="00497D53" w:rsidRPr="000465B7" w14:paraId="394CB0C5" w14:textId="77777777">
        <w:tc>
          <w:tcPr>
            <w:tcW w:w="28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27190C19"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A + B</w:t>
            </w:r>
          </w:p>
        </w:tc>
        <w:tc>
          <w:tcPr>
            <w:tcW w:w="164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119BF311"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£100M</w:t>
            </w:r>
          </w:p>
        </w:tc>
        <w:tc>
          <w:tcPr>
            <w:tcW w:w="164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395A896C"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£109M</w:t>
            </w:r>
          </w:p>
        </w:tc>
        <w:tc>
          <w:tcPr>
            <w:tcW w:w="164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6BDCDC0A"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-£16.99M</w:t>
            </w:r>
          </w:p>
        </w:tc>
        <w:tc>
          <w:tcPr>
            <w:tcW w:w="164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62CCAE76"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Inferior</w:t>
            </w:r>
          </w:p>
        </w:tc>
      </w:tr>
      <w:tr w:rsidR="00497D53" w:rsidRPr="000465B7" w14:paraId="3F99D87E" w14:textId="77777777">
        <w:tc>
          <w:tcPr>
            <w:tcW w:w="28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58B3772E"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A + C</w:t>
            </w:r>
          </w:p>
        </w:tc>
        <w:tc>
          <w:tcPr>
            <w:tcW w:w="164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7B5614B9"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£100M</w:t>
            </w:r>
          </w:p>
        </w:tc>
        <w:tc>
          <w:tcPr>
            <w:tcW w:w="164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0DE901CD"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£119M</w:t>
            </w:r>
          </w:p>
        </w:tc>
        <w:tc>
          <w:tcPr>
            <w:tcW w:w="164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69A99EAC"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-£10.66M</w:t>
            </w:r>
          </w:p>
        </w:tc>
        <w:tc>
          <w:tcPr>
            <w:tcW w:w="164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36A0B5BB"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Possible</w:t>
            </w:r>
          </w:p>
        </w:tc>
      </w:tr>
      <w:tr w:rsidR="00497D53" w:rsidRPr="000465B7" w14:paraId="1984055C" w14:textId="77777777">
        <w:tc>
          <w:tcPr>
            <w:tcW w:w="28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5542171F"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B + C (RECOMMENDED)</w:t>
            </w:r>
          </w:p>
        </w:tc>
        <w:tc>
          <w:tcPr>
            <w:tcW w:w="164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5118D750"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£100M</w:t>
            </w:r>
          </w:p>
        </w:tc>
        <w:tc>
          <w:tcPr>
            <w:tcW w:w="164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0BF0AD18"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£120M</w:t>
            </w:r>
          </w:p>
        </w:tc>
        <w:tc>
          <w:tcPr>
            <w:tcW w:w="164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7E59522D"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-£10.29M</w:t>
            </w:r>
          </w:p>
        </w:tc>
        <w:tc>
          <w:tcPr>
            <w:tcW w:w="164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69457EFF"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OPTIMAL</w:t>
            </w:r>
          </w:p>
        </w:tc>
      </w:tr>
      <w:tr w:rsidR="00497D53" w:rsidRPr="000465B7" w14:paraId="1D52F78A" w14:textId="77777777">
        <w:tc>
          <w:tcPr>
            <w:tcW w:w="28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0278E094"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A + B + C (over budget)</w:t>
            </w:r>
          </w:p>
        </w:tc>
        <w:tc>
          <w:tcPr>
            <w:tcW w:w="164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02E0B76A"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£150M</w:t>
            </w:r>
          </w:p>
        </w:tc>
        <w:tc>
          <w:tcPr>
            <w:tcW w:w="164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05A9FBBC"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£174M</w:t>
            </w:r>
          </w:p>
        </w:tc>
        <w:tc>
          <w:tcPr>
            <w:tcW w:w="164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441ECE75"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-£18.97M</w:t>
            </w:r>
          </w:p>
        </w:tc>
        <w:tc>
          <w:tcPr>
            <w:tcW w:w="164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4950B68E"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Exceeds limit</w:t>
            </w:r>
          </w:p>
        </w:tc>
      </w:tr>
    </w:tbl>
    <w:p w14:paraId="427F44F3" w14:textId="77777777" w:rsidR="00497D53" w:rsidRPr="000465B7" w:rsidRDefault="00000000" w:rsidP="000465B7">
      <w:pPr>
        <w:spacing w:before="60" w:after="200" w:line="360" w:lineRule="auto"/>
        <w:jc w:val="both"/>
        <w:rPr>
          <w:rFonts w:ascii="Times New Roman" w:hAnsi="Times New Roman" w:cs="Times New Roman"/>
        </w:rPr>
      </w:pPr>
      <w:r w:rsidRPr="000465B7">
        <w:rPr>
          <w:rFonts w:ascii="Times New Roman" w:hAnsi="Times New Roman" w:cs="Times New Roman"/>
          <w:i/>
          <w:iCs/>
          <w:color w:val="666666"/>
          <w:sz w:val="20"/>
          <w:szCs w:val="20"/>
        </w:rPr>
        <w:t>Table 8. Capital Rationing Analysis - Optimal Project Combination (GBP, millions). Source: Own Calculations.</w:t>
      </w:r>
    </w:p>
    <w:p w14:paraId="7AD9D9E2" w14:textId="77777777" w:rsidR="00497D53" w:rsidRPr="000465B7" w:rsidRDefault="00497D53" w:rsidP="000465B7">
      <w:pPr>
        <w:spacing w:after="80" w:line="360" w:lineRule="auto"/>
        <w:jc w:val="both"/>
        <w:rPr>
          <w:rFonts w:ascii="Times New Roman" w:hAnsi="Times New Roman" w:cs="Times New Roman"/>
        </w:rPr>
      </w:pPr>
    </w:p>
    <w:p w14:paraId="360BC9F0"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rPr>
        <w:t xml:space="preserve">The combination of Project B and Project C is the best capital assignment with the constraint of the market being below 100M. This combination achieves the maximum cumulative total net cash flow of £120M and a combined NPV of -10.29M which is the least negative of all two-project combinations. </w:t>
      </w:r>
      <w:r w:rsidRPr="000465B7">
        <w:rPr>
          <w:rFonts w:ascii="Times New Roman" w:hAnsi="Times New Roman" w:cs="Times New Roman"/>
        </w:rPr>
        <w:lastRenderedPageBreak/>
        <w:t>It offers a balanced cash flow profile as well in which the continuous inflows of Project B of 11M/year offer early liquidity support and Project C makes larger Years 3-4 payoffs.</w:t>
      </w:r>
    </w:p>
    <w:p w14:paraId="631CD260"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rPr>
        <w:t>The single-project and the dual-project recommendation use project C as an anchor, and it proved to be the best strategic and financially superior out of these two projects. The combination of B and C will give Tesla a diversification of cash flow timing. The early inflows of Project B are stable, which is why they can be used by the project to achieve operational liquidity during Years 1-2, and the heavy and back-loaded structure of Project C allows it to maximise the total value. The A+C mix is made worse than B+C by the fact that there is no specific cash flow timing benefit that can cover-up the low total cash flows and low NPV of project A.</w:t>
      </w:r>
      <w:r w:rsidRPr="000465B7">
        <w:rPr>
          <w:rFonts w:ascii="Times New Roman" w:hAnsi="Times New Roman" w:cs="Times New Roman"/>
        </w:rPr>
        <w:br w:type="page"/>
      </w:r>
    </w:p>
    <w:p w14:paraId="3AAAC869" w14:textId="77777777" w:rsidR="00497D53" w:rsidRPr="000465B7" w:rsidRDefault="00000000" w:rsidP="000465B7">
      <w:pPr>
        <w:pStyle w:val="Heading1"/>
        <w:pBdr>
          <w:bottom w:val="single" w:sz="6" w:space="4" w:color="1F4E79"/>
        </w:pBdr>
        <w:spacing w:line="360" w:lineRule="auto"/>
        <w:rPr>
          <w:rFonts w:cs="Times New Roman"/>
        </w:rPr>
      </w:pPr>
      <w:bookmarkStart w:id="29" w:name="_Toc224599775"/>
      <w:r w:rsidRPr="000465B7">
        <w:rPr>
          <w:rFonts w:cs="Times New Roman"/>
          <w:color w:val="1F4E79"/>
        </w:rPr>
        <w:lastRenderedPageBreak/>
        <w:t>Conclusion</w:t>
      </w:r>
      <w:bookmarkEnd w:id="29"/>
    </w:p>
    <w:p w14:paraId="34EB06A7"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rPr>
        <w:t>The present report has created a complete financial report of Tesla, Inc. through the perspectives of the Chief Financial Officer concerning the 2020-2024 timeframe. According to financial health assessment, the company has demonstrated extreme profitability in 2021-2022 after which it has recorded a high margin compression due to a combination of pricing strategy, intensified competition, and increased capital expenditure. Nevertheless, the balance sheet of Tesla is healthy with low gearing, good cash position and increasing liquidity ratios.</w:t>
      </w:r>
    </w:p>
    <w:p w14:paraId="63CB736C"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rPr>
        <w:t>The working capital analysis revealed a worrying change in terms of negative cash conversion cycle of 2020-2021 to positive cash conversion cycle of 20-days old of 2024; with Days Payable Outstanding compression being the action driver. Some of the suggested changes are the extension of strategic DPO negotiations with the suppliers, the improved forecasting of demand to control stock, the hybrid system of financing with the help of long-term extensions of the trade credit and green bonds.</w:t>
      </w:r>
    </w:p>
    <w:p w14:paraId="6462F1D3"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rPr>
        <w:t>The strategic restructuring plan suggests three complementary measures absorbed by a review of the Energy Business to a possible partial IPO and open valuation, a comprehensive share buyback programme to use idle cash accretively, and an aggressive technological acquisition to accelerate FSD and battery creation. All these actions will help it to both cope with the immediate profitability issue and the long-term competitiveness of the company, as well as ensure compliance with the ESI principles and strong risk management.</w:t>
      </w:r>
    </w:p>
    <w:p w14:paraId="22485F17"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rPr>
        <w:t>The investment appraisal shows that the Project C has been identified as the more superior investment opportunity basing on the five standard capital budgeting criteria. Project B and Project C form the best combination as it provides both a maximum cash flow and minimum negative combined NPV, and it is also able to diversify the cash flow in the project welcomes the capital in the project timeline under capital rationing with the constraint that is of 100M.</w:t>
      </w:r>
    </w:p>
    <w:p w14:paraId="3C515BA3"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rPr>
        <w:t>The over-strategy focus of the CFO as a strategic officer should be to reestablish automotive gross margins to 22-25% by cutting costs through a review of North and South capabilities, manufacturing efficiency improvement and selective pricing stabilisation, and judiciously investing in the next-generation growth platforms of autonomous driving, energy storage, and AI-powered services that will make Tesla a competitive focus within the next decade.</w:t>
      </w:r>
    </w:p>
    <w:p w14:paraId="752F5FB6" w14:textId="77777777" w:rsidR="00497D53" w:rsidRPr="000465B7" w:rsidRDefault="00497D53" w:rsidP="000465B7">
      <w:pPr>
        <w:spacing w:line="360" w:lineRule="auto"/>
        <w:jc w:val="both"/>
        <w:rPr>
          <w:rFonts w:ascii="Times New Roman" w:hAnsi="Times New Roman" w:cs="Times New Roman"/>
        </w:rPr>
      </w:pPr>
    </w:p>
    <w:p w14:paraId="3A634CA1" w14:textId="77777777" w:rsidR="00497D53" w:rsidRPr="000465B7" w:rsidRDefault="00497D53" w:rsidP="000465B7">
      <w:pPr>
        <w:spacing w:line="360" w:lineRule="auto"/>
        <w:jc w:val="both"/>
        <w:rPr>
          <w:rFonts w:ascii="Times New Roman" w:hAnsi="Times New Roman" w:cs="Times New Roman"/>
        </w:rPr>
      </w:pPr>
    </w:p>
    <w:p w14:paraId="3CF0469A" w14:textId="77777777" w:rsidR="00692D13" w:rsidRDefault="00692D13" w:rsidP="000465B7">
      <w:pPr>
        <w:pStyle w:val="Heading1"/>
        <w:pBdr>
          <w:bottom w:val="single" w:sz="6" w:space="4" w:color="1F4E79"/>
        </w:pBdr>
        <w:spacing w:line="360" w:lineRule="auto"/>
        <w:rPr>
          <w:rFonts w:cs="Times New Roman"/>
          <w:color w:val="1F4E79"/>
        </w:rPr>
      </w:pPr>
      <w:bookmarkStart w:id="30" w:name="_Toc224599776"/>
    </w:p>
    <w:p w14:paraId="01FFBF6A" w14:textId="2FF3F44F" w:rsidR="00497D53" w:rsidRPr="000465B7" w:rsidRDefault="00000000" w:rsidP="000465B7">
      <w:pPr>
        <w:pStyle w:val="Heading1"/>
        <w:pBdr>
          <w:bottom w:val="single" w:sz="6" w:space="4" w:color="1F4E79"/>
        </w:pBdr>
        <w:spacing w:line="360" w:lineRule="auto"/>
        <w:rPr>
          <w:rFonts w:cs="Times New Roman"/>
        </w:rPr>
      </w:pPr>
      <w:r w:rsidRPr="000465B7">
        <w:rPr>
          <w:rFonts w:cs="Times New Roman"/>
          <w:color w:val="1F4E79"/>
        </w:rPr>
        <w:lastRenderedPageBreak/>
        <w:t>References</w:t>
      </w:r>
      <w:bookmarkEnd w:id="30"/>
    </w:p>
    <w:p w14:paraId="54896866" w14:textId="77777777" w:rsidR="00497D53" w:rsidRPr="000465B7" w:rsidRDefault="00000000" w:rsidP="000465B7">
      <w:pPr>
        <w:spacing w:after="160" w:line="360" w:lineRule="auto"/>
        <w:jc w:val="both"/>
        <w:rPr>
          <w:rFonts w:ascii="Times New Roman" w:hAnsi="Times New Roman" w:cs="Times New Roman"/>
        </w:rPr>
      </w:pPr>
      <w:r w:rsidRPr="000465B7">
        <w:rPr>
          <w:rFonts w:ascii="Times New Roman" w:hAnsi="Times New Roman" w:cs="Times New Roman"/>
          <w:color w:val="333333"/>
        </w:rPr>
        <w:t>Arnold, G. (2019) Corporate Financial Management. 6th edn. Harlow: Pearson Education.</w:t>
      </w:r>
    </w:p>
    <w:p w14:paraId="31D76984" w14:textId="77777777" w:rsidR="00497D53" w:rsidRPr="000465B7" w:rsidRDefault="00000000" w:rsidP="000465B7">
      <w:pPr>
        <w:spacing w:after="160" w:line="360" w:lineRule="auto"/>
        <w:jc w:val="both"/>
        <w:rPr>
          <w:rFonts w:ascii="Times New Roman" w:hAnsi="Times New Roman" w:cs="Times New Roman"/>
        </w:rPr>
      </w:pPr>
      <w:r w:rsidRPr="000465B7">
        <w:rPr>
          <w:rFonts w:ascii="Times New Roman" w:hAnsi="Times New Roman" w:cs="Times New Roman"/>
          <w:color w:val="333333"/>
        </w:rPr>
        <w:t>Berk, J. and DeMarzo, P. (2020) Corporate Finance. 5th edn. Harlow: Pearson Education.</w:t>
      </w:r>
    </w:p>
    <w:p w14:paraId="2381B904" w14:textId="77777777" w:rsidR="00497D53" w:rsidRPr="000465B7" w:rsidRDefault="00000000" w:rsidP="000465B7">
      <w:pPr>
        <w:spacing w:after="160" w:line="360" w:lineRule="auto"/>
        <w:jc w:val="both"/>
        <w:rPr>
          <w:rFonts w:ascii="Times New Roman" w:hAnsi="Times New Roman" w:cs="Times New Roman"/>
        </w:rPr>
      </w:pPr>
      <w:r w:rsidRPr="000465B7">
        <w:rPr>
          <w:rFonts w:ascii="Times New Roman" w:hAnsi="Times New Roman" w:cs="Times New Roman"/>
          <w:color w:val="333333"/>
        </w:rPr>
        <w:t>BloombergNEF (2024) Electric Vehicle Outlook 2024. Available at: https://about.bnef.com/electric-vehicle-outlook/ (Accessed: 10 March 2026).</w:t>
      </w:r>
    </w:p>
    <w:p w14:paraId="7398934D" w14:textId="77777777" w:rsidR="00497D53" w:rsidRPr="000465B7" w:rsidRDefault="00000000" w:rsidP="000465B7">
      <w:pPr>
        <w:spacing w:after="160" w:line="360" w:lineRule="auto"/>
        <w:jc w:val="both"/>
        <w:rPr>
          <w:rFonts w:ascii="Times New Roman" w:hAnsi="Times New Roman" w:cs="Times New Roman"/>
        </w:rPr>
      </w:pPr>
      <w:r w:rsidRPr="000465B7">
        <w:rPr>
          <w:rFonts w:ascii="Times New Roman" w:hAnsi="Times New Roman" w:cs="Times New Roman"/>
          <w:color w:val="333333"/>
        </w:rPr>
        <w:t>Brigham, E.F. and Ehrhardt, M.C. (2020) Financial Management: Theory and Practice. 16th edn. Boston: Cengage Learning.</w:t>
      </w:r>
    </w:p>
    <w:p w14:paraId="5137951E" w14:textId="77777777" w:rsidR="00497D53" w:rsidRPr="000465B7" w:rsidRDefault="00000000" w:rsidP="000465B7">
      <w:pPr>
        <w:spacing w:after="160" w:line="360" w:lineRule="auto"/>
        <w:jc w:val="both"/>
        <w:rPr>
          <w:rFonts w:ascii="Times New Roman" w:hAnsi="Times New Roman" w:cs="Times New Roman"/>
        </w:rPr>
      </w:pPr>
      <w:r w:rsidRPr="000465B7">
        <w:rPr>
          <w:rFonts w:ascii="Times New Roman" w:hAnsi="Times New Roman" w:cs="Times New Roman"/>
          <w:color w:val="333333"/>
        </w:rPr>
        <w:t>Carroll, A.B. and Buchholtz, A.K. (2015) Business and Society: Ethics, Sustainability and Stakeholder Management. 9th edn. Mason: Cengage Learning.</w:t>
      </w:r>
    </w:p>
    <w:p w14:paraId="6945484F" w14:textId="77777777" w:rsidR="00497D53" w:rsidRPr="000465B7" w:rsidRDefault="00000000" w:rsidP="000465B7">
      <w:pPr>
        <w:spacing w:after="160" w:line="360" w:lineRule="auto"/>
        <w:jc w:val="both"/>
        <w:rPr>
          <w:rFonts w:ascii="Times New Roman" w:hAnsi="Times New Roman" w:cs="Times New Roman"/>
        </w:rPr>
      </w:pPr>
      <w:r w:rsidRPr="000465B7">
        <w:rPr>
          <w:rFonts w:ascii="Times New Roman" w:hAnsi="Times New Roman" w:cs="Times New Roman"/>
          <w:color w:val="333333"/>
        </w:rPr>
        <w:t>Climate Bonds Initiative (2023) Green Bond Market Summary 2023. Available at: https://www.climatebonds.net (Accessed: 10 March 2026).</w:t>
      </w:r>
    </w:p>
    <w:p w14:paraId="7854BEC2" w14:textId="77777777" w:rsidR="00497D53" w:rsidRPr="000465B7" w:rsidRDefault="00000000" w:rsidP="000465B7">
      <w:pPr>
        <w:spacing w:after="160" w:line="360" w:lineRule="auto"/>
        <w:jc w:val="both"/>
        <w:rPr>
          <w:rFonts w:ascii="Times New Roman" w:hAnsi="Times New Roman" w:cs="Times New Roman"/>
        </w:rPr>
      </w:pPr>
      <w:r w:rsidRPr="000465B7">
        <w:rPr>
          <w:rFonts w:ascii="Times New Roman" w:hAnsi="Times New Roman" w:cs="Times New Roman"/>
          <w:color w:val="333333"/>
        </w:rPr>
        <w:t>Damodaran, A. (2022) Investment Valuation: Tools and Techniques for Determining the Value of Any Asset. 4th edn. Hoboken: Wiley.</w:t>
      </w:r>
    </w:p>
    <w:p w14:paraId="619C0D28" w14:textId="77777777" w:rsidR="00497D53" w:rsidRPr="000465B7" w:rsidRDefault="00000000" w:rsidP="000465B7">
      <w:pPr>
        <w:spacing w:after="160" w:line="360" w:lineRule="auto"/>
        <w:jc w:val="both"/>
        <w:rPr>
          <w:rFonts w:ascii="Times New Roman" w:hAnsi="Times New Roman" w:cs="Times New Roman"/>
        </w:rPr>
      </w:pPr>
      <w:r w:rsidRPr="000465B7">
        <w:rPr>
          <w:rFonts w:ascii="Times New Roman" w:hAnsi="Times New Roman" w:cs="Times New Roman"/>
          <w:color w:val="333333"/>
        </w:rPr>
        <w:t>Hillier, D., Ross, S., Westerfield, R., Jaffe, J. and Jordan, B. (2019) Corporate Finance. 4th European edn. London: McGraw-Hill Education.</w:t>
      </w:r>
    </w:p>
    <w:p w14:paraId="0052527B" w14:textId="77777777" w:rsidR="00497D53" w:rsidRPr="000465B7" w:rsidRDefault="00000000" w:rsidP="000465B7">
      <w:pPr>
        <w:spacing w:after="160" w:line="360" w:lineRule="auto"/>
        <w:jc w:val="both"/>
        <w:rPr>
          <w:rFonts w:ascii="Times New Roman" w:hAnsi="Times New Roman" w:cs="Times New Roman"/>
        </w:rPr>
      </w:pPr>
      <w:r w:rsidRPr="000465B7">
        <w:rPr>
          <w:rFonts w:ascii="Times New Roman" w:hAnsi="Times New Roman" w:cs="Times New Roman"/>
          <w:color w:val="333333"/>
        </w:rPr>
        <w:t>IG International (2025) Tesla Faces Growing Competition Challenges. Available at: https://www.ig.com/en/news-and-trade-ideas/ (Accessed: 10 March 2026).</w:t>
      </w:r>
    </w:p>
    <w:p w14:paraId="5E0F54AE" w14:textId="77777777" w:rsidR="00497D53" w:rsidRPr="000465B7" w:rsidRDefault="00000000" w:rsidP="000465B7">
      <w:pPr>
        <w:spacing w:after="160" w:line="360" w:lineRule="auto"/>
        <w:jc w:val="both"/>
        <w:rPr>
          <w:rFonts w:ascii="Times New Roman" w:hAnsi="Times New Roman" w:cs="Times New Roman"/>
        </w:rPr>
      </w:pPr>
      <w:r w:rsidRPr="000465B7">
        <w:rPr>
          <w:rFonts w:ascii="Times New Roman" w:hAnsi="Times New Roman" w:cs="Times New Roman"/>
          <w:color w:val="333333"/>
        </w:rPr>
        <w:t>Pike, R. and Neale, B. (2020) Corporate Finance and Investment: Decisions and Strategies. 9th edn. Harlow: Pearson Education.</w:t>
      </w:r>
    </w:p>
    <w:p w14:paraId="1D360511" w14:textId="77777777" w:rsidR="00497D53" w:rsidRPr="000465B7" w:rsidRDefault="00000000" w:rsidP="000465B7">
      <w:pPr>
        <w:spacing w:after="160" w:line="360" w:lineRule="auto"/>
        <w:jc w:val="both"/>
        <w:rPr>
          <w:rFonts w:ascii="Times New Roman" w:hAnsi="Times New Roman" w:cs="Times New Roman"/>
        </w:rPr>
      </w:pPr>
      <w:r w:rsidRPr="000465B7">
        <w:rPr>
          <w:rFonts w:ascii="Times New Roman" w:hAnsi="Times New Roman" w:cs="Times New Roman"/>
          <w:color w:val="333333"/>
        </w:rPr>
        <w:t>Reuters (2024) BYD Surpasses Tesla in Global EV Sales. Available at: https://www.reuters.com (Accessed: 10 March 2026).</w:t>
      </w:r>
    </w:p>
    <w:p w14:paraId="7D760351" w14:textId="77777777" w:rsidR="00497D53" w:rsidRPr="000465B7" w:rsidRDefault="00000000" w:rsidP="000465B7">
      <w:pPr>
        <w:spacing w:after="160" w:line="360" w:lineRule="auto"/>
        <w:jc w:val="both"/>
        <w:rPr>
          <w:rFonts w:ascii="Times New Roman" w:hAnsi="Times New Roman" w:cs="Times New Roman"/>
        </w:rPr>
      </w:pPr>
      <w:r w:rsidRPr="000465B7">
        <w:rPr>
          <w:rFonts w:ascii="Times New Roman" w:hAnsi="Times New Roman" w:cs="Times New Roman"/>
          <w:color w:val="333333"/>
        </w:rPr>
        <w:t>Tesla, Inc. (2021) Annual Report on Form 10-K for the Year Ended December 31, 2020. Austin: Tesla, Inc.</w:t>
      </w:r>
    </w:p>
    <w:p w14:paraId="0F2505AF" w14:textId="77777777" w:rsidR="00497D53" w:rsidRPr="000465B7" w:rsidRDefault="00000000" w:rsidP="000465B7">
      <w:pPr>
        <w:spacing w:after="160" w:line="360" w:lineRule="auto"/>
        <w:jc w:val="both"/>
        <w:rPr>
          <w:rFonts w:ascii="Times New Roman" w:hAnsi="Times New Roman" w:cs="Times New Roman"/>
        </w:rPr>
      </w:pPr>
      <w:r w:rsidRPr="000465B7">
        <w:rPr>
          <w:rFonts w:ascii="Times New Roman" w:hAnsi="Times New Roman" w:cs="Times New Roman"/>
          <w:color w:val="333333"/>
        </w:rPr>
        <w:t>Tesla, Inc. (2022) Annual Report on Form 10-K for the Year Ended December 31, 2021. Austin: Tesla, Inc.</w:t>
      </w:r>
    </w:p>
    <w:p w14:paraId="67D1F55B" w14:textId="77777777" w:rsidR="00497D53" w:rsidRPr="000465B7" w:rsidRDefault="00000000" w:rsidP="000465B7">
      <w:pPr>
        <w:spacing w:after="160" w:line="360" w:lineRule="auto"/>
        <w:jc w:val="both"/>
        <w:rPr>
          <w:rFonts w:ascii="Times New Roman" w:hAnsi="Times New Roman" w:cs="Times New Roman"/>
        </w:rPr>
      </w:pPr>
      <w:r w:rsidRPr="000465B7">
        <w:rPr>
          <w:rFonts w:ascii="Times New Roman" w:hAnsi="Times New Roman" w:cs="Times New Roman"/>
          <w:color w:val="333333"/>
        </w:rPr>
        <w:t>Tesla, Inc. (2023) Annual Report on Form 10-K for the Year Ended December 31, 2022. Austin: Tesla, Inc.</w:t>
      </w:r>
    </w:p>
    <w:p w14:paraId="3C4A6F84" w14:textId="77777777" w:rsidR="00497D53" w:rsidRPr="000465B7" w:rsidRDefault="00000000" w:rsidP="000465B7">
      <w:pPr>
        <w:spacing w:after="160" w:line="360" w:lineRule="auto"/>
        <w:jc w:val="both"/>
        <w:rPr>
          <w:rFonts w:ascii="Times New Roman" w:hAnsi="Times New Roman" w:cs="Times New Roman"/>
        </w:rPr>
      </w:pPr>
      <w:r w:rsidRPr="000465B7">
        <w:rPr>
          <w:rFonts w:ascii="Times New Roman" w:hAnsi="Times New Roman" w:cs="Times New Roman"/>
          <w:color w:val="333333"/>
        </w:rPr>
        <w:lastRenderedPageBreak/>
        <w:t>Tesla, Inc. (2024) Annual Report on Form 10-K for the Year Ended December 31, 2023. Austin: Tesla, Inc.</w:t>
      </w:r>
    </w:p>
    <w:p w14:paraId="7FEE41EC" w14:textId="77777777" w:rsidR="00497D53" w:rsidRPr="000465B7" w:rsidRDefault="00000000" w:rsidP="000465B7">
      <w:pPr>
        <w:spacing w:after="160" w:line="360" w:lineRule="auto"/>
        <w:jc w:val="both"/>
        <w:rPr>
          <w:rFonts w:ascii="Times New Roman" w:hAnsi="Times New Roman" w:cs="Times New Roman"/>
        </w:rPr>
      </w:pPr>
      <w:r w:rsidRPr="000465B7">
        <w:rPr>
          <w:rFonts w:ascii="Times New Roman" w:hAnsi="Times New Roman" w:cs="Times New Roman"/>
          <w:color w:val="333333"/>
        </w:rPr>
        <w:t>Tesla, Inc. (2025) Annual Report on Form 10-K for the Year Ended December 31, 2024. Austin: Tesla, Inc.</w:t>
      </w:r>
    </w:p>
    <w:p w14:paraId="3992B11D" w14:textId="77777777" w:rsidR="00497D53" w:rsidRPr="000465B7" w:rsidRDefault="00000000" w:rsidP="000465B7">
      <w:pPr>
        <w:spacing w:after="160" w:line="360" w:lineRule="auto"/>
        <w:jc w:val="both"/>
        <w:rPr>
          <w:rFonts w:ascii="Times New Roman" w:hAnsi="Times New Roman" w:cs="Times New Roman"/>
        </w:rPr>
      </w:pPr>
      <w:r w:rsidRPr="000465B7">
        <w:rPr>
          <w:rFonts w:ascii="Times New Roman" w:hAnsi="Times New Roman" w:cs="Times New Roman"/>
          <w:color w:val="333333"/>
        </w:rPr>
        <w:t>Watson, D. and Head, A. (2019) Corporate Finance: Principles and Practice. 7th edn. Harlow: Pearson Education.</w:t>
      </w:r>
    </w:p>
    <w:p w14:paraId="06B9293E" w14:textId="77777777" w:rsidR="00497D53" w:rsidRPr="000465B7" w:rsidRDefault="00000000" w:rsidP="000465B7">
      <w:pPr>
        <w:spacing w:after="160" w:line="360" w:lineRule="auto"/>
        <w:jc w:val="both"/>
        <w:rPr>
          <w:rFonts w:ascii="Times New Roman" w:hAnsi="Times New Roman" w:cs="Times New Roman"/>
        </w:rPr>
      </w:pPr>
      <w:r w:rsidRPr="000465B7">
        <w:rPr>
          <w:rFonts w:ascii="Times New Roman" w:hAnsi="Times New Roman" w:cs="Times New Roman"/>
          <w:color w:val="333333"/>
        </w:rPr>
        <w:t>Yahoo Finance (2026) Tesla, Inc. (TSLA) Financial Statements. Available at: https://finance.yahoo.com/quote/TSLA/financials/ (Accessed: 10 March 2026).</w:t>
      </w:r>
    </w:p>
    <w:p w14:paraId="1CAF73D9"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rPr>
        <w:br w:type="page"/>
      </w:r>
    </w:p>
    <w:p w14:paraId="139DDAF1" w14:textId="77777777" w:rsidR="00497D53" w:rsidRPr="000465B7" w:rsidRDefault="00000000" w:rsidP="000465B7">
      <w:pPr>
        <w:pStyle w:val="Heading1"/>
        <w:pBdr>
          <w:bottom w:val="single" w:sz="6" w:space="4" w:color="1F4E79"/>
        </w:pBdr>
        <w:spacing w:line="360" w:lineRule="auto"/>
        <w:rPr>
          <w:rFonts w:cs="Times New Roman"/>
        </w:rPr>
      </w:pPr>
      <w:bookmarkStart w:id="31" w:name="_Toc224599777"/>
      <w:r w:rsidRPr="000465B7">
        <w:rPr>
          <w:rFonts w:cs="Times New Roman"/>
          <w:color w:val="1F4E79"/>
        </w:rPr>
        <w:lastRenderedPageBreak/>
        <w:t>Appendices</w:t>
      </w:r>
      <w:bookmarkEnd w:id="31"/>
    </w:p>
    <w:p w14:paraId="05343829" w14:textId="77777777" w:rsidR="00497D53" w:rsidRPr="000465B7" w:rsidRDefault="00000000" w:rsidP="000465B7">
      <w:pPr>
        <w:pStyle w:val="Heading2"/>
        <w:spacing w:line="360" w:lineRule="auto"/>
        <w:rPr>
          <w:rFonts w:cs="Times New Roman"/>
        </w:rPr>
      </w:pPr>
      <w:bookmarkStart w:id="32" w:name="_Toc224599778"/>
      <w:r w:rsidRPr="000465B7">
        <w:rPr>
          <w:rFonts w:cs="Times New Roman"/>
          <w:color w:val="1F4E79"/>
        </w:rPr>
        <w:t>Appendix 1: Detailed NPV Calculations</w:t>
      </w:r>
      <w:bookmarkEnd w:id="32"/>
    </w:p>
    <w:p w14:paraId="66793249" w14:textId="77777777" w:rsidR="00497D53" w:rsidRPr="000465B7" w:rsidRDefault="00497D53" w:rsidP="000465B7">
      <w:pPr>
        <w:spacing w:after="80" w:line="360" w:lineRule="auto"/>
        <w:jc w:val="both"/>
        <w:rPr>
          <w:rFonts w:ascii="Times New Roman" w:hAnsi="Times New Roman" w:cs="Times New Roman"/>
        </w:rPr>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367"/>
        <w:gridCol w:w="888"/>
        <w:gridCol w:w="888"/>
        <w:gridCol w:w="888"/>
        <w:gridCol w:w="888"/>
        <w:gridCol w:w="888"/>
        <w:gridCol w:w="888"/>
        <w:gridCol w:w="888"/>
        <w:gridCol w:w="885"/>
        <w:gridCol w:w="892"/>
      </w:tblGrid>
      <w:tr w:rsidR="00497D53" w:rsidRPr="000465B7" w14:paraId="43F7ED22" w14:textId="77777777">
        <w:tc>
          <w:tcPr>
            <w:tcW w:w="140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10AFF6F2"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Project A</w:t>
            </w:r>
          </w:p>
        </w:tc>
        <w:tc>
          <w:tcPr>
            <w:tcW w:w="90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4926013E"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Y0</w:t>
            </w:r>
          </w:p>
        </w:tc>
        <w:tc>
          <w:tcPr>
            <w:tcW w:w="90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256A2E8F"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Y1</w:t>
            </w:r>
          </w:p>
        </w:tc>
        <w:tc>
          <w:tcPr>
            <w:tcW w:w="90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6BC914FD"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Y2</w:t>
            </w:r>
          </w:p>
        </w:tc>
        <w:tc>
          <w:tcPr>
            <w:tcW w:w="90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4F8219FE"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Y3</w:t>
            </w:r>
          </w:p>
        </w:tc>
        <w:tc>
          <w:tcPr>
            <w:tcW w:w="90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7CC5222A"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Y4</w:t>
            </w:r>
          </w:p>
        </w:tc>
        <w:tc>
          <w:tcPr>
            <w:tcW w:w="90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525526F7"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Y5</w:t>
            </w:r>
          </w:p>
        </w:tc>
        <w:tc>
          <w:tcPr>
            <w:tcW w:w="90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4977A64C"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Sum PV</w:t>
            </w:r>
          </w:p>
        </w:tc>
        <w:tc>
          <w:tcPr>
            <w:tcW w:w="90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65FD30E0"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NPV</w:t>
            </w:r>
          </w:p>
        </w:tc>
        <w:tc>
          <w:tcPr>
            <w:tcW w:w="90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07D990B4"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IRR</w:t>
            </w:r>
          </w:p>
        </w:tc>
      </w:tr>
      <w:tr w:rsidR="00497D53" w:rsidRPr="000465B7" w14:paraId="2F7B86A6" w14:textId="77777777">
        <w:tc>
          <w:tcPr>
            <w:tcW w:w="14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7A30A005"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NCF (£M)</w:t>
            </w:r>
          </w:p>
        </w:tc>
        <w:tc>
          <w:tcPr>
            <w:tcW w:w="9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79F1ED2D"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-50</w:t>
            </w:r>
          </w:p>
        </w:tc>
        <w:tc>
          <w:tcPr>
            <w:tcW w:w="9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5BE2AB9A"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10</w:t>
            </w:r>
          </w:p>
        </w:tc>
        <w:tc>
          <w:tcPr>
            <w:tcW w:w="9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2814F0E6"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12</w:t>
            </w:r>
          </w:p>
        </w:tc>
        <w:tc>
          <w:tcPr>
            <w:tcW w:w="9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6BDEBAB5"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14</w:t>
            </w:r>
          </w:p>
        </w:tc>
        <w:tc>
          <w:tcPr>
            <w:tcW w:w="9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7F538597"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10</w:t>
            </w:r>
          </w:p>
        </w:tc>
        <w:tc>
          <w:tcPr>
            <w:tcW w:w="9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6BA253D9"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8</w:t>
            </w:r>
          </w:p>
        </w:tc>
        <w:tc>
          <w:tcPr>
            <w:tcW w:w="9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1A2A5D03"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w:t>
            </w:r>
          </w:p>
        </w:tc>
        <w:tc>
          <w:tcPr>
            <w:tcW w:w="9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3BD1B38D"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w:t>
            </w:r>
          </w:p>
        </w:tc>
        <w:tc>
          <w:tcPr>
            <w:tcW w:w="9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0DC7974F"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w:t>
            </w:r>
          </w:p>
        </w:tc>
      </w:tr>
      <w:tr w:rsidR="00497D53" w:rsidRPr="000465B7" w14:paraId="7F1BE024" w14:textId="77777777">
        <w:tc>
          <w:tcPr>
            <w:tcW w:w="14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181A03D7"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DF (10%)</w:t>
            </w:r>
          </w:p>
        </w:tc>
        <w:tc>
          <w:tcPr>
            <w:tcW w:w="9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4D5F3FC7"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1.000</w:t>
            </w:r>
          </w:p>
        </w:tc>
        <w:tc>
          <w:tcPr>
            <w:tcW w:w="9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4757EDA1"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0.909</w:t>
            </w:r>
          </w:p>
        </w:tc>
        <w:tc>
          <w:tcPr>
            <w:tcW w:w="9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4D808DBB"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0.826</w:t>
            </w:r>
          </w:p>
        </w:tc>
        <w:tc>
          <w:tcPr>
            <w:tcW w:w="9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7955189B"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0.751</w:t>
            </w:r>
          </w:p>
        </w:tc>
        <w:tc>
          <w:tcPr>
            <w:tcW w:w="9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09718906"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0.683</w:t>
            </w:r>
          </w:p>
        </w:tc>
        <w:tc>
          <w:tcPr>
            <w:tcW w:w="9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0DFD1694"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0.621</w:t>
            </w:r>
          </w:p>
        </w:tc>
        <w:tc>
          <w:tcPr>
            <w:tcW w:w="9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7D91790F"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w:t>
            </w:r>
          </w:p>
        </w:tc>
        <w:tc>
          <w:tcPr>
            <w:tcW w:w="9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5DFEA658"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w:t>
            </w:r>
          </w:p>
        </w:tc>
        <w:tc>
          <w:tcPr>
            <w:tcW w:w="9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7B044FF3"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w:t>
            </w:r>
          </w:p>
        </w:tc>
      </w:tr>
      <w:tr w:rsidR="00497D53" w:rsidRPr="000465B7" w14:paraId="58F1AAA2" w14:textId="77777777">
        <w:tc>
          <w:tcPr>
            <w:tcW w:w="14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1C293BB8"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PV (£M)</w:t>
            </w:r>
          </w:p>
        </w:tc>
        <w:tc>
          <w:tcPr>
            <w:tcW w:w="9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6CC0A594"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-50.00</w:t>
            </w:r>
          </w:p>
        </w:tc>
        <w:tc>
          <w:tcPr>
            <w:tcW w:w="9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6FB46CAA"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9.09</w:t>
            </w:r>
          </w:p>
        </w:tc>
        <w:tc>
          <w:tcPr>
            <w:tcW w:w="9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67C997AE"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9.92</w:t>
            </w:r>
          </w:p>
        </w:tc>
        <w:tc>
          <w:tcPr>
            <w:tcW w:w="9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71A72BAC"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10.51</w:t>
            </w:r>
          </w:p>
        </w:tc>
        <w:tc>
          <w:tcPr>
            <w:tcW w:w="9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68D2CC36"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6.83</w:t>
            </w:r>
          </w:p>
        </w:tc>
        <w:tc>
          <w:tcPr>
            <w:tcW w:w="9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4773C193"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4.97</w:t>
            </w:r>
          </w:p>
        </w:tc>
        <w:tc>
          <w:tcPr>
            <w:tcW w:w="9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511269A9"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41.32</w:t>
            </w:r>
          </w:p>
        </w:tc>
        <w:tc>
          <w:tcPr>
            <w:tcW w:w="9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70648DC7"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-8.68</w:t>
            </w:r>
          </w:p>
        </w:tc>
        <w:tc>
          <w:tcPr>
            <w:tcW w:w="9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52D35C7E"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~3.2%</w:t>
            </w:r>
          </w:p>
        </w:tc>
      </w:tr>
    </w:tbl>
    <w:p w14:paraId="69DD9D58" w14:textId="77777777" w:rsidR="00497D53" w:rsidRPr="000465B7" w:rsidRDefault="00497D53" w:rsidP="000465B7">
      <w:pPr>
        <w:spacing w:after="80" w:line="360" w:lineRule="auto"/>
        <w:jc w:val="both"/>
        <w:rPr>
          <w:rFonts w:ascii="Times New Roman" w:hAnsi="Times New Roman" w:cs="Times New Roman"/>
        </w:rPr>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367"/>
        <w:gridCol w:w="888"/>
        <w:gridCol w:w="888"/>
        <w:gridCol w:w="888"/>
        <w:gridCol w:w="888"/>
        <w:gridCol w:w="888"/>
        <w:gridCol w:w="888"/>
        <w:gridCol w:w="888"/>
        <w:gridCol w:w="885"/>
        <w:gridCol w:w="892"/>
      </w:tblGrid>
      <w:tr w:rsidR="00497D53" w:rsidRPr="000465B7" w14:paraId="78D8DF03" w14:textId="77777777">
        <w:tc>
          <w:tcPr>
            <w:tcW w:w="140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10529E2A"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Project B</w:t>
            </w:r>
          </w:p>
        </w:tc>
        <w:tc>
          <w:tcPr>
            <w:tcW w:w="90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24785422"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Y0</w:t>
            </w:r>
          </w:p>
        </w:tc>
        <w:tc>
          <w:tcPr>
            <w:tcW w:w="90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2A2436D5"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Y1</w:t>
            </w:r>
          </w:p>
        </w:tc>
        <w:tc>
          <w:tcPr>
            <w:tcW w:w="90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1FA25840"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Y2</w:t>
            </w:r>
          </w:p>
        </w:tc>
        <w:tc>
          <w:tcPr>
            <w:tcW w:w="90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7A745392"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Y3</w:t>
            </w:r>
          </w:p>
        </w:tc>
        <w:tc>
          <w:tcPr>
            <w:tcW w:w="90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117C0B87"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Y4</w:t>
            </w:r>
          </w:p>
        </w:tc>
        <w:tc>
          <w:tcPr>
            <w:tcW w:w="90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01F0C89C"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Y5</w:t>
            </w:r>
          </w:p>
        </w:tc>
        <w:tc>
          <w:tcPr>
            <w:tcW w:w="90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0977C73E"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Sum PV</w:t>
            </w:r>
          </w:p>
        </w:tc>
        <w:tc>
          <w:tcPr>
            <w:tcW w:w="90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0CBBB0B0"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NPV</w:t>
            </w:r>
          </w:p>
        </w:tc>
        <w:tc>
          <w:tcPr>
            <w:tcW w:w="90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7021BB99"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IRR</w:t>
            </w:r>
          </w:p>
        </w:tc>
      </w:tr>
      <w:tr w:rsidR="00497D53" w:rsidRPr="000465B7" w14:paraId="54C13ED7" w14:textId="77777777">
        <w:tc>
          <w:tcPr>
            <w:tcW w:w="14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7CB31E28"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NCF (£M)</w:t>
            </w:r>
          </w:p>
        </w:tc>
        <w:tc>
          <w:tcPr>
            <w:tcW w:w="9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565F5125"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-50</w:t>
            </w:r>
          </w:p>
        </w:tc>
        <w:tc>
          <w:tcPr>
            <w:tcW w:w="9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335D2DA4"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11</w:t>
            </w:r>
          </w:p>
        </w:tc>
        <w:tc>
          <w:tcPr>
            <w:tcW w:w="9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481BD03B"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11</w:t>
            </w:r>
          </w:p>
        </w:tc>
        <w:tc>
          <w:tcPr>
            <w:tcW w:w="9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39887B2B"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11</w:t>
            </w:r>
          </w:p>
        </w:tc>
        <w:tc>
          <w:tcPr>
            <w:tcW w:w="9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7E06E1EC"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11</w:t>
            </w:r>
          </w:p>
        </w:tc>
        <w:tc>
          <w:tcPr>
            <w:tcW w:w="9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711BC860"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11</w:t>
            </w:r>
          </w:p>
        </w:tc>
        <w:tc>
          <w:tcPr>
            <w:tcW w:w="9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12B70B8E"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w:t>
            </w:r>
          </w:p>
        </w:tc>
        <w:tc>
          <w:tcPr>
            <w:tcW w:w="9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3E2E7B9E"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w:t>
            </w:r>
          </w:p>
        </w:tc>
        <w:tc>
          <w:tcPr>
            <w:tcW w:w="9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7A78966A"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w:t>
            </w:r>
          </w:p>
        </w:tc>
      </w:tr>
      <w:tr w:rsidR="00497D53" w:rsidRPr="000465B7" w14:paraId="38128495" w14:textId="77777777">
        <w:tc>
          <w:tcPr>
            <w:tcW w:w="14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0B03496E"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DF (10%)</w:t>
            </w:r>
          </w:p>
        </w:tc>
        <w:tc>
          <w:tcPr>
            <w:tcW w:w="9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2563A979"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1.000</w:t>
            </w:r>
          </w:p>
        </w:tc>
        <w:tc>
          <w:tcPr>
            <w:tcW w:w="9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2387BBD7"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0.909</w:t>
            </w:r>
          </w:p>
        </w:tc>
        <w:tc>
          <w:tcPr>
            <w:tcW w:w="9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6B9E2232"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0.826</w:t>
            </w:r>
          </w:p>
        </w:tc>
        <w:tc>
          <w:tcPr>
            <w:tcW w:w="9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3255014D"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0.751</w:t>
            </w:r>
          </w:p>
        </w:tc>
        <w:tc>
          <w:tcPr>
            <w:tcW w:w="9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107068FF"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0.683</w:t>
            </w:r>
          </w:p>
        </w:tc>
        <w:tc>
          <w:tcPr>
            <w:tcW w:w="9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3BCC9438"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0.621</w:t>
            </w:r>
          </w:p>
        </w:tc>
        <w:tc>
          <w:tcPr>
            <w:tcW w:w="9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3327CF74"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w:t>
            </w:r>
          </w:p>
        </w:tc>
        <w:tc>
          <w:tcPr>
            <w:tcW w:w="9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51FF1D80"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w:t>
            </w:r>
          </w:p>
        </w:tc>
        <w:tc>
          <w:tcPr>
            <w:tcW w:w="9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4710FCCD"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w:t>
            </w:r>
          </w:p>
        </w:tc>
      </w:tr>
      <w:tr w:rsidR="00497D53" w:rsidRPr="000465B7" w14:paraId="0956F84B" w14:textId="77777777">
        <w:tc>
          <w:tcPr>
            <w:tcW w:w="14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1257B5A0"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PV (£M)</w:t>
            </w:r>
          </w:p>
        </w:tc>
        <w:tc>
          <w:tcPr>
            <w:tcW w:w="9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266638BF"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-50.00</w:t>
            </w:r>
          </w:p>
        </w:tc>
        <w:tc>
          <w:tcPr>
            <w:tcW w:w="9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4B00A977"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10.00</w:t>
            </w:r>
          </w:p>
        </w:tc>
        <w:tc>
          <w:tcPr>
            <w:tcW w:w="9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19C697F0"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9.09</w:t>
            </w:r>
          </w:p>
        </w:tc>
        <w:tc>
          <w:tcPr>
            <w:tcW w:w="9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11528C58"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8.26</w:t>
            </w:r>
          </w:p>
        </w:tc>
        <w:tc>
          <w:tcPr>
            <w:tcW w:w="9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7F02475E"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7.51</w:t>
            </w:r>
          </w:p>
        </w:tc>
        <w:tc>
          <w:tcPr>
            <w:tcW w:w="9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1006DA8D"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6.83</w:t>
            </w:r>
          </w:p>
        </w:tc>
        <w:tc>
          <w:tcPr>
            <w:tcW w:w="9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5B72330A"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41.69</w:t>
            </w:r>
          </w:p>
        </w:tc>
        <w:tc>
          <w:tcPr>
            <w:tcW w:w="9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65E39AF7"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-8.31</w:t>
            </w:r>
          </w:p>
        </w:tc>
        <w:tc>
          <w:tcPr>
            <w:tcW w:w="9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7D03F617"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~3.8%</w:t>
            </w:r>
          </w:p>
        </w:tc>
      </w:tr>
    </w:tbl>
    <w:p w14:paraId="3EA70824" w14:textId="77777777" w:rsidR="00497D53" w:rsidRPr="000465B7" w:rsidRDefault="00497D53" w:rsidP="000465B7">
      <w:pPr>
        <w:spacing w:after="80" w:line="360" w:lineRule="auto"/>
        <w:jc w:val="both"/>
        <w:rPr>
          <w:rFonts w:ascii="Times New Roman" w:hAnsi="Times New Roman" w:cs="Times New Roman"/>
        </w:rPr>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367"/>
        <w:gridCol w:w="888"/>
        <w:gridCol w:w="888"/>
        <w:gridCol w:w="888"/>
        <w:gridCol w:w="888"/>
        <w:gridCol w:w="888"/>
        <w:gridCol w:w="888"/>
        <w:gridCol w:w="888"/>
        <w:gridCol w:w="885"/>
        <w:gridCol w:w="892"/>
      </w:tblGrid>
      <w:tr w:rsidR="00497D53" w:rsidRPr="000465B7" w14:paraId="12C4CF38" w14:textId="77777777">
        <w:tc>
          <w:tcPr>
            <w:tcW w:w="140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757EF279"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Project C</w:t>
            </w:r>
          </w:p>
        </w:tc>
        <w:tc>
          <w:tcPr>
            <w:tcW w:w="90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546C9613"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Y0</w:t>
            </w:r>
          </w:p>
        </w:tc>
        <w:tc>
          <w:tcPr>
            <w:tcW w:w="90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6CF6D699"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Y1</w:t>
            </w:r>
          </w:p>
        </w:tc>
        <w:tc>
          <w:tcPr>
            <w:tcW w:w="90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0A376BC8"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Y2</w:t>
            </w:r>
          </w:p>
        </w:tc>
        <w:tc>
          <w:tcPr>
            <w:tcW w:w="90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7043F595"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Y3</w:t>
            </w:r>
          </w:p>
        </w:tc>
        <w:tc>
          <w:tcPr>
            <w:tcW w:w="90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2828D736"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Y4</w:t>
            </w:r>
          </w:p>
        </w:tc>
        <w:tc>
          <w:tcPr>
            <w:tcW w:w="90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634D0EA7"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Y5</w:t>
            </w:r>
          </w:p>
        </w:tc>
        <w:tc>
          <w:tcPr>
            <w:tcW w:w="90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156C2A7B"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Sum PV</w:t>
            </w:r>
          </w:p>
        </w:tc>
        <w:tc>
          <w:tcPr>
            <w:tcW w:w="90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30FAF74D"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NPV</w:t>
            </w:r>
          </w:p>
        </w:tc>
        <w:tc>
          <w:tcPr>
            <w:tcW w:w="900" w:type="dxa"/>
            <w:tcBorders>
              <w:top w:val="single" w:sz="0" w:space="0" w:color="AAAAAA"/>
              <w:left w:val="single" w:sz="0" w:space="0" w:color="AAAAAA"/>
              <w:bottom w:val="single" w:sz="0" w:space="0" w:color="AAAAAA"/>
              <w:right w:val="single" w:sz="0" w:space="0" w:color="AAAAAA"/>
            </w:tcBorders>
            <w:shd w:val="clear" w:color="auto" w:fill="1F4E79"/>
            <w:tcMar>
              <w:top w:w="80" w:type="dxa"/>
              <w:left w:w="120" w:type="dxa"/>
              <w:bottom w:w="80" w:type="dxa"/>
              <w:right w:w="120" w:type="dxa"/>
            </w:tcMar>
          </w:tcPr>
          <w:p w14:paraId="7E666002"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FFFFFF"/>
                <w:sz w:val="20"/>
                <w:szCs w:val="20"/>
              </w:rPr>
              <w:t>IRR</w:t>
            </w:r>
          </w:p>
        </w:tc>
      </w:tr>
      <w:tr w:rsidR="00497D53" w:rsidRPr="000465B7" w14:paraId="624AF4FC" w14:textId="77777777">
        <w:tc>
          <w:tcPr>
            <w:tcW w:w="14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14F137DC"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NCF (£M)</w:t>
            </w:r>
          </w:p>
        </w:tc>
        <w:tc>
          <w:tcPr>
            <w:tcW w:w="9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42AC7ACC"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-50</w:t>
            </w:r>
          </w:p>
        </w:tc>
        <w:tc>
          <w:tcPr>
            <w:tcW w:w="9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553E6CA0"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5</w:t>
            </w:r>
          </w:p>
        </w:tc>
        <w:tc>
          <w:tcPr>
            <w:tcW w:w="9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5CC9710F"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10</w:t>
            </w:r>
          </w:p>
        </w:tc>
        <w:tc>
          <w:tcPr>
            <w:tcW w:w="9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5665AC6D"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20</w:t>
            </w:r>
          </w:p>
        </w:tc>
        <w:tc>
          <w:tcPr>
            <w:tcW w:w="9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4D943E64"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25</w:t>
            </w:r>
          </w:p>
        </w:tc>
        <w:tc>
          <w:tcPr>
            <w:tcW w:w="9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5B3610C4"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5</w:t>
            </w:r>
          </w:p>
        </w:tc>
        <w:tc>
          <w:tcPr>
            <w:tcW w:w="9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43EAD47B"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w:t>
            </w:r>
          </w:p>
        </w:tc>
        <w:tc>
          <w:tcPr>
            <w:tcW w:w="9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0FC2CD80"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w:t>
            </w:r>
          </w:p>
        </w:tc>
        <w:tc>
          <w:tcPr>
            <w:tcW w:w="9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57275425"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w:t>
            </w:r>
          </w:p>
        </w:tc>
      </w:tr>
      <w:tr w:rsidR="00497D53" w:rsidRPr="000465B7" w14:paraId="0C60FAFC" w14:textId="77777777">
        <w:tc>
          <w:tcPr>
            <w:tcW w:w="14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4A6F02E8"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DF (10%)</w:t>
            </w:r>
          </w:p>
        </w:tc>
        <w:tc>
          <w:tcPr>
            <w:tcW w:w="9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50EEA80C"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1.000</w:t>
            </w:r>
          </w:p>
        </w:tc>
        <w:tc>
          <w:tcPr>
            <w:tcW w:w="9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728CE6F5"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0.909</w:t>
            </w:r>
          </w:p>
        </w:tc>
        <w:tc>
          <w:tcPr>
            <w:tcW w:w="9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5AA44919"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0.826</w:t>
            </w:r>
          </w:p>
        </w:tc>
        <w:tc>
          <w:tcPr>
            <w:tcW w:w="9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71F285A2"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0.751</w:t>
            </w:r>
          </w:p>
        </w:tc>
        <w:tc>
          <w:tcPr>
            <w:tcW w:w="9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22B601DD"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0.683</w:t>
            </w:r>
          </w:p>
        </w:tc>
        <w:tc>
          <w:tcPr>
            <w:tcW w:w="9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1BD33D21"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0.621</w:t>
            </w:r>
          </w:p>
        </w:tc>
        <w:tc>
          <w:tcPr>
            <w:tcW w:w="9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20657122"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w:t>
            </w:r>
          </w:p>
        </w:tc>
        <w:tc>
          <w:tcPr>
            <w:tcW w:w="9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44020D46"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w:t>
            </w:r>
          </w:p>
        </w:tc>
        <w:tc>
          <w:tcPr>
            <w:tcW w:w="900" w:type="dxa"/>
            <w:tcBorders>
              <w:top w:val="single" w:sz="0" w:space="0" w:color="AAAAAA"/>
              <w:left w:val="single" w:sz="0" w:space="0" w:color="AAAAAA"/>
              <w:bottom w:val="single" w:sz="0" w:space="0" w:color="AAAAAA"/>
              <w:right w:val="single" w:sz="0" w:space="0" w:color="AAAAAA"/>
            </w:tcBorders>
            <w:shd w:val="clear" w:color="auto" w:fill="FFFFFF"/>
            <w:tcMar>
              <w:top w:w="80" w:type="dxa"/>
              <w:left w:w="120" w:type="dxa"/>
              <w:bottom w:w="80" w:type="dxa"/>
              <w:right w:w="120" w:type="dxa"/>
            </w:tcMar>
          </w:tcPr>
          <w:p w14:paraId="6C577379"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w:t>
            </w:r>
          </w:p>
        </w:tc>
      </w:tr>
      <w:tr w:rsidR="00497D53" w:rsidRPr="000465B7" w14:paraId="30CC3212" w14:textId="77777777">
        <w:tc>
          <w:tcPr>
            <w:tcW w:w="1400" w:type="dxa"/>
            <w:tcBorders>
              <w:top w:val="single" w:sz="0" w:space="0" w:color="AAAAAA"/>
              <w:left w:val="single" w:sz="0" w:space="0" w:color="AAAAAA"/>
              <w:bottom w:val="single" w:sz="0" w:space="0" w:color="AAAAAA"/>
              <w:right w:val="single" w:sz="0" w:space="0" w:color="AAAAAA"/>
            </w:tcBorders>
            <w:shd w:val="clear" w:color="auto" w:fill="D6E4F0"/>
            <w:tcMar>
              <w:top w:w="80" w:type="dxa"/>
              <w:left w:w="120" w:type="dxa"/>
              <w:bottom w:w="80" w:type="dxa"/>
              <w:right w:w="120" w:type="dxa"/>
            </w:tcMar>
          </w:tcPr>
          <w:p w14:paraId="4CB76BFC"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b/>
                <w:bCs/>
                <w:color w:val="333333"/>
                <w:sz w:val="20"/>
                <w:szCs w:val="20"/>
              </w:rPr>
              <w:t>PV (£M)</w:t>
            </w:r>
          </w:p>
        </w:tc>
        <w:tc>
          <w:tcPr>
            <w:tcW w:w="9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5ACA44A2"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-50.00</w:t>
            </w:r>
          </w:p>
        </w:tc>
        <w:tc>
          <w:tcPr>
            <w:tcW w:w="9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08E371EC"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4.55</w:t>
            </w:r>
          </w:p>
        </w:tc>
        <w:tc>
          <w:tcPr>
            <w:tcW w:w="9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5034F881"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8.26</w:t>
            </w:r>
          </w:p>
        </w:tc>
        <w:tc>
          <w:tcPr>
            <w:tcW w:w="9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0C92F970"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15.03</w:t>
            </w:r>
          </w:p>
        </w:tc>
        <w:tc>
          <w:tcPr>
            <w:tcW w:w="9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355D2589"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17.08</w:t>
            </w:r>
          </w:p>
        </w:tc>
        <w:tc>
          <w:tcPr>
            <w:tcW w:w="9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37DF0AD2"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3.10</w:t>
            </w:r>
          </w:p>
        </w:tc>
        <w:tc>
          <w:tcPr>
            <w:tcW w:w="9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5BC66521"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48.02</w:t>
            </w:r>
          </w:p>
        </w:tc>
        <w:tc>
          <w:tcPr>
            <w:tcW w:w="9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24F52752"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-1.98</w:t>
            </w:r>
          </w:p>
        </w:tc>
        <w:tc>
          <w:tcPr>
            <w:tcW w:w="900" w:type="dxa"/>
            <w:tcBorders>
              <w:top w:val="single" w:sz="0" w:space="0" w:color="AAAAAA"/>
              <w:left w:val="single" w:sz="0" w:space="0" w:color="AAAAAA"/>
              <w:bottom w:val="single" w:sz="0" w:space="0" w:color="AAAAAA"/>
              <w:right w:val="single" w:sz="0" w:space="0" w:color="AAAAAA"/>
            </w:tcBorders>
            <w:shd w:val="clear" w:color="auto" w:fill="EBF3FB"/>
            <w:tcMar>
              <w:top w:w="80" w:type="dxa"/>
              <w:left w:w="120" w:type="dxa"/>
              <w:bottom w:w="80" w:type="dxa"/>
              <w:right w:w="120" w:type="dxa"/>
            </w:tcMar>
          </w:tcPr>
          <w:p w14:paraId="233921F6" w14:textId="77777777" w:rsidR="00497D53" w:rsidRPr="000465B7" w:rsidRDefault="00000000" w:rsidP="000465B7">
            <w:pPr>
              <w:spacing w:line="360" w:lineRule="auto"/>
              <w:jc w:val="both"/>
              <w:rPr>
                <w:rFonts w:ascii="Times New Roman" w:hAnsi="Times New Roman" w:cs="Times New Roman"/>
              </w:rPr>
            </w:pPr>
            <w:r w:rsidRPr="000465B7">
              <w:rPr>
                <w:rFonts w:ascii="Times New Roman" w:hAnsi="Times New Roman" w:cs="Times New Roman"/>
                <w:color w:val="333333"/>
                <w:sz w:val="20"/>
                <w:szCs w:val="20"/>
              </w:rPr>
              <w:t>~8.8%</w:t>
            </w:r>
          </w:p>
        </w:tc>
      </w:tr>
    </w:tbl>
    <w:p w14:paraId="7C921972" w14:textId="77777777" w:rsidR="00497D53" w:rsidRPr="000465B7" w:rsidRDefault="00000000" w:rsidP="000465B7">
      <w:pPr>
        <w:spacing w:before="60" w:after="200" w:line="360" w:lineRule="auto"/>
        <w:jc w:val="both"/>
        <w:rPr>
          <w:rFonts w:ascii="Times New Roman" w:hAnsi="Times New Roman" w:cs="Times New Roman"/>
        </w:rPr>
      </w:pPr>
      <w:r w:rsidRPr="000465B7">
        <w:rPr>
          <w:rFonts w:ascii="Times New Roman" w:hAnsi="Times New Roman" w:cs="Times New Roman"/>
          <w:i/>
          <w:iCs/>
          <w:color w:val="666666"/>
          <w:sz w:val="20"/>
          <w:szCs w:val="20"/>
        </w:rPr>
        <w:t>Appendix 1. Detailed NPV and IRR Calculations for Projects A, B and C.</w:t>
      </w:r>
    </w:p>
    <w:p w14:paraId="641C253F" w14:textId="77777777" w:rsidR="00497D53" w:rsidRPr="000465B7" w:rsidRDefault="00497D53" w:rsidP="000465B7">
      <w:pPr>
        <w:spacing w:after="80" w:line="360" w:lineRule="auto"/>
        <w:jc w:val="both"/>
        <w:rPr>
          <w:rFonts w:ascii="Times New Roman" w:hAnsi="Times New Roman" w:cs="Times New Roman"/>
        </w:rPr>
      </w:pPr>
    </w:p>
    <w:p w14:paraId="5B1AAF1E" w14:textId="77777777" w:rsidR="00497D53" w:rsidRPr="000465B7" w:rsidRDefault="00000000" w:rsidP="000465B7">
      <w:pPr>
        <w:pStyle w:val="Heading2"/>
        <w:spacing w:line="360" w:lineRule="auto"/>
        <w:rPr>
          <w:rFonts w:cs="Times New Roman"/>
        </w:rPr>
      </w:pPr>
      <w:bookmarkStart w:id="33" w:name="_Toc224599779"/>
      <w:r w:rsidRPr="000465B7">
        <w:rPr>
          <w:rFonts w:cs="Times New Roman"/>
          <w:color w:val="1F4E79"/>
        </w:rPr>
        <w:t>Appendix 2: Key Financial Ratios - Formulae</w:t>
      </w:r>
      <w:bookmarkEnd w:id="33"/>
    </w:p>
    <w:p w14:paraId="3921C1A2" w14:textId="77777777" w:rsidR="00497D53" w:rsidRPr="000465B7" w:rsidRDefault="00000000" w:rsidP="000465B7">
      <w:pPr>
        <w:spacing w:after="160" w:line="360" w:lineRule="auto"/>
        <w:jc w:val="both"/>
        <w:rPr>
          <w:rFonts w:ascii="Times New Roman" w:hAnsi="Times New Roman" w:cs="Times New Roman"/>
        </w:rPr>
      </w:pPr>
      <w:r w:rsidRPr="000465B7">
        <w:rPr>
          <w:rFonts w:ascii="Times New Roman" w:hAnsi="Times New Roman" w:cs="Times New Roman"/>
          <w:color w:val="333333"/>
        </w:rPr>
        <w:t>Gross Profit Margin = Gross Profit / Revenue x 100</w:t>
      </w:r>
    </w:p>
    <w:p w14:paraId="7F934F15" w14:textId="77777777" w:rsidR="00497D53" w:rsidRPr="000465B7" w:rsidRDefault="00000000" w:rsidP="000465B7">
      <w:pPr>
        <w:spacing w:after="160" w:line="360" w:lineRule="auto"/>
        <w:jc w:val="both"/>
        <w:rPr>
          <w:rFonts w:ascii="Times New Roman" w:hAnsi="Times New Roman" w:cs="Times New Roman"/>
        </w:rPr>
      </w:pPr>
      <w:r w:rsidRPr="000465B7">
        <w:rPr>
          <w:rFonts w:ascii="Times New Roman" w:hAnsi="Times New Roman" w:cs="Times New Roman"/>
          <w:color w:val="333333"/>
        </w:rPr>
        <w:t>Current Ratio = Current Assets / Current Liabilities</w:t>
      </w:r>
    </w:p>
    <w:p w14:paraId="209C91F4" w14:textId="77777777" w:rsidR="00497D53" w:rsidRPr="000465B7" w:rsidRDefault="00000000" w:rsidP="000465B7">
      <w:pPr>
        <w:spacing w:after="160" w:line="360" w:lineRule="auto"/>
        <w:jc w:val="both"/>
        <w:rPr>
          <w:rFonts w:ascii="Times New Roman" w:hAnsi="Times New Roman" w:cs="Times New Roman"/>
        </w:rPr>
      </w:pPr>
      <w:r w:rsidRPr="000465B7">
        <w:rPr>
          <w:rFonts w:ascii="Times New Roman" w:hAnsi="Times New Roman" w:cs="Times New Roman"/>
          <w:color w:val="333333"/>
        </w:rPr>
        <w:t>Quick Ratio = (Current Assets - Inventory) / Current Liabilities</w:t>
      </w:r>
    </w:p>
    <w:p w14:paraId="6A56B41A" w14:textId="77777777" w:rsidR="00497D53" w:rsidRPr="000465B7" w:rsidRDefault="00000000" w:rsidP="000465B7">
      <w:pPr>
        <w:spacing w:after="160" w:line="360" w:lineRule="auto"/>
        <w:jc w:val="both"/>
        <w:rPr>
          <w:rFonts w:ascii="Times New Roman" w:hAnsi="Times New Roman" w:cs="Times New Roman"/>
        </w:rPr>
      </w:pPr>
      <w:r w:rsidRPr="000465B7">
        <w:rPr>
          <w:rFonts w:ascii="Times New Roman" w:hAnsi="Times New Roman" w:cs="Times New Roman"/>
          <w:color w:val="333333"/>
        </w:rPr>
        <w:t>Return on Equity (ROE) = Net Income / Shareholders Equity x 100</w:t>
      </w:r>
    </w:p>
    <w:p w14:paraId="33DB8BD1" w14:textId="77777777" w:rsidR="00497D53" w:rsidRPr="000465B7" w:rsidRDefault="00000000" w:rsidP="000465B7">
      <w:pPr>
        <w:spacing w:after="160" w:line="360" w:lineRule="auto"/>
        <w:jc w:val="both"/>
        <w:rPr>
          <w:rFonts w:ascii="Times New Roman" w:hAnsi="Times New Roman" w:cs="Times New Roman"/>
        </w:rPr>
      </w:pPr>
      <w:r w:rsidRPr="000465B7">
        <w:rPr>
          <w:rFonts w:ascii="Times New Roman" w:hAnsi="Times New Roman" w:cs="Times New Roman"/>
          <w:color w:val="333333"/>
        </w:rPr>
        <w:lastRenderedPageBreak/>
        <w:t>Return on Assets (ROA) = Net Income / Total Assets x 100</w:t>
      </w:r>
    </w:p>
    <w:p w14:paraId="70483BBF" w14:textId="77777777" w:rsidR="00497D53" w:rsidRPr="000465B7" w:rsidRDefault="00000000" w:rsidP="000465B7">
      <w:pPr>
        <w:spacing w:after="160" w:line="360" w:lineRule="auto"/>
        <w:jc w:val="both"/>
        <w:rPr>
          <w:rFonts w:ascii="Times New Roman" w:hAnsi="Times New Roman" w:cs="Times New Roman"/>
        </w:rPr>
      </w:pPr>
      <w:r w:rsidRPr="000465B7">
        <w:rPr>
          <w:rFonts w:ascii="Times New Roman" w:hAnsi="Times New Roman" w:cs="Times New Roman"/>
          <w:color w:val="333333"/>
        </w:rPr>
        <w:t>Debt-to-Equity = Total Liabilities / Shareholders Equity</w:t>
      </w:r>
    </w:p>
    <w:p w14:paraId="61264F68" w14:textId="77777777" w:rsidR="00497D53" w:rsidRPr="000465B7" w:rsidRDefault="00000000" w:rsidP="000465B7">
      <w:pPr>
        <w:spacing w:after="160" w:line="360" w:lineRule="auto"/>
        <w:jc w:val="both"/>
        <w:rPr>
          <w:rFonts w:ascii="Times New Roman" w:hAnsi="Times New Roman" w:cs="Times New Roman"/>
        </w:rPr>
      </w:pPr>
      <w:r w:rsidRPr="000465B7">
        <w:rPr>
          <w:rFonts w:ascii="Times New Roman" w:hAnsi="Times New Roman" w:cs="Times New Roman"/>
          <w:color w:val="333333"/>
        </w:rPr>
        <w:t>Interest Coverage = Operating Income / Interest Expense</w:t>
      </w:r>
    </w:p>
    <w:p w14:paraId="1DF4463D" w14:textId="77777777" w:rsidR="00497D53" w:rsidRPr="000465B7" w:rsidRDefault="00000000" w:rsidP="000465B7">
      <w:pPr>
        <w:spacing w:after="160" w:line="360" w:lineRule="auto"/>
        <w:jc w:val="both"/>
        <w:rPr>
          <w:rFonts w:ascii="Times New Roman" w:hAnsi="Times New Roman" w:cs="Times New Roman"/>
        </w:rPr>
      </w:pPr>
      <w:r w:rsidRPr="000465B7">
        <w:rPr>
          <w:rFonts w:ascii="Times New Roman" w:hAnsi="Times New Roman" w:cs="Times New Roman"/>
          <w:color w:val="333333"/>
        </w:rPr>
        <w:t>DIO = (Inventory / COGS) x 365 | DSO = (Accounts Receivable / Revenue) x 365 | DPO = (Accounts Payable / COGS) x 365</w:t>
      </w:r>
    </w:p>
    <w:p w14:paraId="411EA4D0" w14:textId="77777777" w:rsidR="00497D53" w:rsidRPr="000465B7" w:rsidRDefault="00000000" w:rsidP="000465B7">
      <w:pPr>
        <w:spacing w:after="160" w:line="360" w:lineRule="auto"/>
        <w:jc w:val="both"/>
        <w:rPr>
          <w:rFonts w:ascii="Times New Roman" w:hAnsi="Times New Roman" w:cs="Times New Roman"/>
        </w:rPr>
      </w:pPr>
      <w:r w:rsidRPr="000465B7">
        <w:rPr>
          <w:rFonts w:ascii="Times New Roman" w:hAnsi="Times New Roman" w:cs="Times New Roman"/>
          <w:color w:val="333333"/>
        </w:rPr>
        <w:t>Cash Operating Cycle = DIO + DSO - DPO</w:t>
      </w:r>
    </w:p>
    <w:p w14:paraId="5CA81D30" w14:textId="77777777" w:rsidR="00497D53" w:rsidRPr="000465B7" w:rsidRDefault="00000000" w:rsidP="000465B7">
      <w:pPr>
        <w:spacing w:after="160" w:line="360" w:lineRule="auto"/>
        <w:jc w:val="both"/>
        <w:rPr>
          <w:rFonts w:ascii="Times New Roman" w:hAnsi="Times New Roman" w:cs="Times New Roman"/>
        </w:rPr>
      </w:pPr>
      <w:r w:rsidRPr="000465B7">
        <w:rPr>
          <w:rFonts w:ascii="Times New Roman" w:hAnsi="Times New Roman" w:cs="Times New Roman"/>
          <w:color w:val="333333"/>
        </w:rPr>
        <w:t>ARR = Average Annual Net Profit / Initial Investment x 100</w:t>
      </w:r>
    </w:p>
    <w:p w14:paraId="5FDAD8CB" w14:textId="77777777" w:rsidR="00497D53" w:rsidRDefault="00000000" w:rsidP="000465B7">
      <w:pPr>
        <w:spacing w:after="160" w:line="360" w:lineRule="auto"/>
        <w:jc w:val="both"/>
        <w:rPr>
          <w:rFonts w:ascii="Times New Roman" w:hAnsi="Times New Roman" w:cs="Times New Roman"/>
          <w:color w:val="333333"/>
        </w:rPr>
      </w:pPr>
      <w:r w:rsidRPr="000465B7">
        <w:rPr>
          <w:rFonts w:ascii="Times New Roman" w:hAnsi="Times New Roman" w:cs="Times New Roman"/>
          <w:color w:val="333333"/>
        </w:rPr>
        <w:t>PI = Present Value of Future Cash Flows / Initial Investment</w:t>
      </w:r>
    </w:p>
    <w:p w14:paraId="42BDDF90" w14:textId="77777777" w:rsidR="00692D13" w:rsidRDefault="00692D13" w:rsidP="000465B7">
      <w:pPr>
        <w:spacing w:after="160" w:line="360" w:lineRule="auto"/>
        <w:jc w:val="both"/>
        <w:rPr>
          <w:rFonts w:ascii="Times New Roman" w:hAnsi="Times New Roman" w:cs="Times New Roman"/>
          <w:color w:val="333333"/>
        </w:rPr>
      </w:pPr>
    </w:p>
    <w:p w14:paraId="07F05EBC" w14:textId="77777777" w:rsidR="00692D13" w:rsidRDefault="00692D13" w:rsidP="000465B7">
      <w:pPr>
        <w:spacing w:after="160" w:line="360" w:lineRule="auto"/>
        <w:jc w:val="both"/>
        <w:rPr>
          <w:rFonts w:ascii="Times New Roman" w:hAnsi="Times New Roman" w:cs="Times New Roman"/>
          <w:color w:val="333333"/>
        </w:rPr>
      </w:pPr>
    </w:p>
    <w:p w14:paraId="58164A4B" w14:textId="1500E9C5" w:rsidR="00692D13" w:rsidRPr="00692D13" w:rsidRDefault="00692D13" w:rsidP="00692D13">
      <w:pPr>
        <w:spacing w:after="160" w:line="360" w:lineRule="auto"/>
        <w:rPr>
          <w:rFonts w:ascii="Times New Roman" w:hAnsi="Times New Roman" w:cs="Times New Roman"/>
          <w:b/>
          <w:bCs/>
          <w:color w:val="333333"/>
        </w:rPr>
      </w:pPr>
      <w:r w:rsidRPr="00692D13">
        <w:rPr>
          <w:rFonts w:ascii="Times New Roman" w:hAnsi="Times New Roman" w:cs="Times New Roman"/>
          <w:b/>
          <w:bCs/>
          <w:color w:val="333333"/>
          <w:sz w:val="32"/>
          <w:szCs w:val="32"/>
        </w:rPr>
        <w:t>Data Link:-</w:t>
      </w:r>
      <w:r w:rsidRPr="00692D13">
        <w:rPr>
          <w:rFonts w:ascii="Times New Roman" w:hAnsi="Times New Roman" w:cs="Times New Roman"/>
          <w:b/>
          <w:bCs/>
          <w:color w:val="333333"/>
        </w:rPr>
        <w:t xml:space="preserve"> </w:t>
      </w:r>
      <w:r>
        <w:rPr>
          <w:rFonts w:ascii="Times New Roman" w:hAnsi="Times New Roman" w:cs="Times New Roman"/>
          <w:b/>
          <w:bCs/>
          <w:color w:val="333333"/>
        </w:rPr>
        <w:fldChar w:fldCharType="begin"/>
      </w:r>
      <w:r>
        <w:rPr>
          <w:rFonts w:ascii="Times New Roman" w:hAnsi="Times New Roman" w:cs="Times New Roman"/>
          <w:b/>
          <w:bCs/>
          <w:color w:val="333333"/>
        </w:rPr>
        <w:instrText>HYPERLINK "https://docs.google.com/spreadsheets/d/1qYYsciSsQDEnytaOaOwX2DVdFT3-sIyr/edit?usp=drive_link&amp;ouid=103909674755101087279&amp;rtpof=true&amp;sd=true"</w:instrText>
      </w:r>
      <w:r>
        <w:rPr>
          <w:rFonts w:ascii="Times New Roman" w:hAnsi="Times New Roman" w:cs="Times New Roman"/>
          <w:b/>
          <w:bCs/>
          <w:color w:val="333333"/>
        </w:rPr>
      </w:r>
      <w:r>
        <w:rPr>
          <w:rFonts w:ascii="Times New Roman" w:hAnsi="Times New Roman" w:cs="Times New Roman"/>
          <w:b/>
          <w:bCs/>
          <w:color w:val="333333"/>
        </w:rPr>
        <w:fldChar w:fldCharType="separate"/>
      </w:r>
      <w:r w:rsidRPr="00692D13">
        <w:rPr>
          <w:rStyle w:val="Hyperlink"/>
          <w:rFonts w:ascii="Times New Roman" w:hAnsi="Times New Roman" w:cs="Times New Roman"/>
          <w:b/>
          <w:bCs/>
        </w:rPr>
        <w:t>https://docs.google.com/spreadshe</w:t>
      </w:r>
      <w:r w:rsidRPr="00692D13">
        <w:rPr>
          <w:rStyle w:val="Hyperlink"/>
          <w:rFonts w:ascii="Times New Roman" w:hAnsi="Times New Roman" w:cs="Times New Roman"/>
          <w:b/>
          <w:bCs/>
        </w:rPr>
        <w:t>e</w:t>
      </w:r>
      <w:r w:rsidRPr="00692D13">
        <w:rPr>
          <w:rStyle w:val="Hyperlink"/>
          <w:rFonts w:ascii="Times New Roman" w:hAnsi="Times New Roman" w:cs="Times New Roman"/>
          <w:b/>
          <w:bCs/>
        </w:rPr>
        <w:t>ts/d/1q</w:t>
      </w:r>
      <w:r w:rsidRPr="00692D13">
        <w:rPr>
          <w:rStyle w:val="Hyperlink"/>
          <w:rFonts w:ascii="Times New Roman" w:hAnsi="Times New Roman" w:cs="Times New Roman"/>
          <w:b/>
          <w:bCs/>
        </w:rPr>
        <w:t>Y</w:t>
      </w:r>
      <w:r w:rsidRPr="00692D13">
        <w:rPr>
          <w:rStyle w:val="Hyperlink"/>
          <w:rFonts w:ascii="Times New Roman" w:hAnsi="Times New Roman" w:cs="Times New Roman"/>
          <w:b/>
          <w:bCs/>
        </w:rPr>
        <w:t>YsciS</w:t>
      </w:r>
      <w:r w:rsidRPr="00692D13">
        <w:rPr>
          <w:rStyle w:val="Hyperlink"/>
          <w:rFonts w:ascii="Times New Roman" w:hAnsi="Times New Roman" w:cs="Times New Roman"/>
          <w:b/>
          <w:bCs/>
        </w:rPr>
        <w:t>s</w:t>
      </w:r>
      <w:r w:rsidRPr="00692D13">
        <w:rPr>
          <w:rStyle w:val="Hyperlink"/>
          <w:rFonts w:ascii="Times New Roman" w:hAnsi="Times New Roman" w:cs="Times New Roman"/>
          <w:b/>
          <w:bCs/>
        </w:rPr>
        <w:t>QDEnytaOaOwX2DVdFT3-sIyr/ed</w:t>
      </w:r>
      <w:r w:rsidRPr="00692D13">
        <w:rPr>
          <w:rStyle w:val="Hyperlink"/>
          <w:rFonts w:ascii="Times New Roman" w:hAnsi="Times New Roman" w:cs="Times New Roman"/>
          <w:b/>
          <w:bCs/>
        </w:rPr>
        <w:t>i</w:t>
      </w:r>
      <w:r w:rsidRPr="00692D13">
        <w:rPr>
          <w:rStyle w:val="Hyperlink"/>
          <w:rFonts w:ascii="Times New Roman" w:hAnsi="Times New Roman" w:cs="Times New Roman"/>
          <w:b/>
          <w:bCs/>
        </w:rPr>
        <w:t>t?usp=drive_link&amp;ouid=103909674755101087279&amp;rtpof=true&amp;sd=true</w:t>
      </w:r>
      <w:r>
        <w:rPr>
          <w:rFonts w:ascii="Times New Roman" w:hAnsi="Times New Roman" w:cs="Times New Roman"/>
          <w:b/>
          <w:bCs/>
          <w:color w:val="333333"/>
        </w:rPr>
        <w:fldChar w:fldCharType="end"/>
      </w:r>
    </w:p>
    <w:sectPr w:rsidR="00692D13" w:rsidRPr="00692D13">
      <w:headerReference w:type="default" r:id="rId6"/>
      <w:footerReference w:type="default" r:id="rId7"/>
      <w:pgSz w:w="11906" w:h="16838"/>
      <w:pgMar w:top="1440" w:right="1080" w:bottom="1440" w:left="108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E821F8" w14:textId="77777777" w:rsidR="00FE7CC7" w:rsidRDefault="00FE7CC7">
      <w:r>
        <w:separator/>
      </w:r>
    </w:p>
  </w:endnote>
  <w:endnote w:type="continuationSeparator" w:id="0">
    <w:p w14:paraId="71648569" w14:textId="77777777" w:rsidR="00FE7CC7" w:rsidRDefault="00FE7C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82EBBE" w14:textId="735DE02D" w:rsidR="00497D53" w:rsidRDefault="00000000">
    <w:pPr>
      <w:jc w:val="center"/>
    </w:pPr>
    <w:r>
      <w:rPr>
        <w:color w:val="666666"/>
        <w:sz w:val="18"/>
        <w:szCs w:val="18"/>
      </w:rPr>
      <w:t xml:space="preserve">University of Wales Trinity Saint David | MBA Programme | Page </w:t>
    </w:r>
    <w:r>
      <w:rPr>
        <w:color w:val="666666"/>
        <w:sz w:val="18"/>
        <w:szCs w:val="18"/>
      </w:rPr>
      <w:fldChar w:fldCharType="begin"/>
    </w:r>
    <w:r>
      <w:rPr>
        <w:color w:val="666666"/>
        <w:sz w:val="18"/>
        <w:szCs w:val="18"/>
      </w:rPr>
      <w:instrText>PAGE</w:instrText>
    </w:r>
    <w:r>
      <w:rPr>
        <w:color w:val="666666"/>
        <w:sz w:val="18"/>
        <w:szCs w:val="18"/>
      </w:rPr>
      <w:fldChar w:fldCharType="separate"/>
    </w:r>
    <w:r w:rsidR="000465B7">
      <w:rPr>
        <w:noProof/>
        <w:color w:val="666666"/>
        <w:sz w:val="18"/>
        <w:szCs w:val="18"/>
      </w:rPr>
      <w:t>1</w:t>
    </w:r>
    <w:r>
      <w:rPr>
        <w:color w:val="666666"/>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48383A" w14:textId="77777777" w:rsidR="00FE7CC7" w:rsidRDefault="00FE7CC7">
      <w:r>
        <w:separator/>
      </w:r>
    </w:p>
  </w:footnote>
  <w:footnote w:type="continuationSeparator" w:id="0">
    <w:p w14:paraId="376B0C3B" w14:textId="77777777" w:rsidR="00FE7CC7" w:rsidRDefault="00FE7CC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1C6120" w14:textId="77777777" w:rsidR="00497D53" w:rsidRDefault="00000000">
    <w:pPr>
      <w:pBdr>
        <w:bottom w:val="single" w:sz="4" w:space="2" w:color="1F4E79"/>
      </w:pBdr>
      <w:spacing w:after="100"/>
    </w:pPr>
    <w:r>
      <w:rPr>
        <w:color w:val="666666"/>
        <w:sz w:val="18"/>
        <w:szCs w:val="18"/>
      </w:rPr>
      <w:t>LCMB7002 – Financial Management | Strategic CFO Challenge: Tesla, Inc.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7D53"/>
    <w:rsid w:val="000465B7"/>
    <w:rsid w:val="00294526"/>
    <w:rsid w:val="00497D53"/>
    <w:rsid w:val="004C62B7"/>
    <w:rsid w:val="00692D13"/>
    <w:rsid w:val="00E07AFD"/>
    <w:rsid w:val="00FE7CC7"/>
    <w:rsid w:val="6B605A9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566179"/>
  <w15:docId w15:val="{BDADC04A-19EB-4184-807A-63A2D1F147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lang w:val="en-IN" w:eastAsia="zh-CN"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toc 3" w:uiPriority="39"/>
    <w:lsdException w:name="footnote text" w:semiHidden="1" w:uiPriority="99" w:unhideWhenUsed="1" w:qFormat="1"/>
    <w:lsdException w:name="caption" w:semiHidden="1" w:unhideWhenUsed="1" w:qFormat="1"/>
    <w:lsdException w:name="footnote reference" w:semiHidden="1" w:uiPriority="99" w:unhideWhenUsed="1" w:qFormat="1"/>
    <w:lsdException w:name="Title" w:qFormat="1"/>
    <w:lsdException w:name="Default Paragraph Font" w:semiHidden="1"/>
    <w:lsdException w:name="Subtitle" w:qFormat="1"/>
    <w:lsdException w:name="Hyperlink" w:uiPriority="99" w:unhideWhenUsed="1"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qFormat="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next w:val="Normal"/>
    <w:qFormat/>
    <w:rsid w:val="000465B7"/>
    <w:pPr>
      <w:spacing w:before="360" w:after="120"/>
      <w:jc w:val="both"/>
      <w:outlineLvl w:val="0"/>
    </w:pPr>
    <w:rPr>
      <w:rFonts w:ascii="Times New Roman" w:hAnsi="Times New Roman"/>
      <w:b/>
      <w:bCs/>
      <w:sz w:val="28"/>
      <w:szCs w:val="28"/>
    </w:rPr>
  </w:style>
  <w:style w:type="paragraph" w:styleId="Heading2">
    <w:name w:val="heading 2"/>
    <w:next w:val="Normal"/>
    <w:qFormat/>
    <w:rsid w:val="000465B7"/>
    <w:pPr>
      <w:spacing w:before="240" w:after="120"/>
      <w:jc w:val="both"/>
      <w:outlineLvl w:val="1"/>
    </w:pPr>
    <w:rPr>
      <w:rFonts w:ascii="Times New Roman" w:hAnsi="Times New Roman"/>
      <w:b/>
      <w:bCs/>
      <w:sz w:val="24"/>
      <w:szCs w:val="24"/>
    </w:rPr>
  </w:style>
  <w:style w:type="paragraph" w:styleId="Heading3">
    <w:name w:val="heading 3"/>
    <w:next w:val="Normal"/>
    <w:qFormat/>
    <w:pPr>
      <w:spacing w:before="180" w:after="60"/>
      <w:outlineLvl w:val="2"/>
    </w:pPr>
    <w:rPr>
      <w:b/>
      <w:bCs/>
      <w:color w:val="333333"/>
      <w:sz w:val="22"/>
      <w:szCs w:val="22"/>
    </w:rPr>
  </w:style>
  <w:style w:type="paragraph" w:styleId="Heading4">
    <w:name w:val="heading 4"/>
    <w:next w:val="Normal"/>
    <w:qFormat/>
    <w:pPr>
      <w:outlineLvl w:val="3"/>
    </w:pPr>
    <w:rPr>
      <w:i/>
      <w:iCs/>
      <w:color w:val="2E74B5"/>
      <w:sz w:val="24"/>
      <w:szCs w:val="24"/>
    </w:rPr>
  </w:style>
  <w:style w:type="paragraph" w:styleId="Heading5">
    <w:name w:val="heading 5"/>
    <w:next w:val="Normal"/>
    <w:qFormat/>
    <w:pPr>
      <w:outlineLvl w:val="4"/>
    </w:pPr>
    <w:rPr>
      <w:color w:val="2E74B5"/>
      <w:sz w:val="24"/>
      <w:szCs w:val="24"/>
    </w:rPr>
  </w:style>
  <w:style w:type="paragraph" w:styleId="Heading6">
    <w:name w:val="heading 6"/>
    <w:next w:val="Normal"/>
    <w:qFormat/>
    <w:pPr>
      <w:outlineLvl w:val="5"/>
    </w:pPr>
    <w:rPr>
      <w:color w:val="1F4D78"/>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uiPriority w:val="99"/>
    <w:semiHidden/>
    <w:unhideWhenUsed/>
    <w:qFormat/>
    <w:rPr>
      <w:vertAlign w:val="superscript"/>
    </w:rPr>
  </w:style>
  <w:style w:type="paragraph" w:styleId="FootnoteText">
    <w:name w:val="footnote text"/>
    <w:link w:val="FootnoteTextChar"/>
    <w:uiPriority w:val="99"/>
    <w:semiHidden/>
    <w:unhideWhenUsed/>
    <w:qFormat/>
  </w:style>
  <w:style w:type="character" w:styleId="Hyperlink">
    <w:name w:val="Hyperlink"/>
    <w:uiPriority w:val="99"/>
    <w:unhideWhenUsed/>
    <w:qFormat/>
    <w:rPr>
      <w:color w:val="0563C1"/>
      <w:u w:val="single"/>
    </w:rPr>
  </w:style>
  <w:style w:type="paragraph" w:styleId="Title">
    <w:name w:val="Title"/>
    <w:qFormat/>
    <w:rPr>
      <w:sz w:val="56"/>
      <w:szCs w:val="56"/>
    </w:rPr>
  </w:style>
  <w:style w:type="paragraph" w:styleId="ListParagraph">
    <w:name w:val="List Paragraph"/>
    <w:qFormat/>
    <w:rPr>
      <w:sz w:val="24"/>
      <w:szCs w:val="24"/>
    </w:rPr>
  </w:style>
  <w:style w:type="character" w:customStyle="1" w:styleId="FootnoteTextChar">
    <w:name w:val="Footnote Text Char"/>
    <w:link w:val="FootnoteText"/>
    <w:uiPriority w:val="99"/>
    <w:semiHidden/>
    <w:unhideWhenUsed/>
    <w:qFormat/>
    <w:rPr>
      <w:sz w:val="20"/>
      <w:szCs w:val="20"/>
    </w:rPr>
  </w:style>
  <w:style w:type="paragraph" w:styleId="TOCHeading">
    <w:name w:val="TOC Heading"/>
    <w:basedOn w:val="Heading1"/>
    <w:next w:val="Normal"/>
    <w:uiPriority w:val="39"/>
    <w:unhideWhenUsed/>
    <w:qFormat/>
    <w:rsid w:val="000465B7"/>
    <w:pPr>
      <w:keepNext/>
      <w:keepLines/>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rsid w:val="000465B7"/>
    <w:pPr>
      <w:spacing w:after="100"/>
    </w:pPr>
  </w:style>
  <w:style w:type="paragraph" w:styleId="TOC2">
    <w:name w:val="toc 2"/>
    <w:basedOn w:val="Normal"/>
    <w:next w:val="Normal"/>
    <w:autoRedefine/>
    <w:uiPriority w:val="39"/>
    <w:rsid w:val="000465B7"/>
    <w:pPr>
      <w:spacing w:after="100"/>
      <w:ind w:left="240"/>
    </w:pPr>
  </w:style>
  <w:style w:type="paragraph" w:styleId="TOC3">
    <w:name w:val="toc 3"/>
    <w:basedOn w:val="Normal"/>
    <w:next w:val="Normal"/>
    <w:autoRedefine/>
    <w:uiPriority w:val="39"/>
    <w:rsid w:val="000465B7"/>
    <w:pPr>
      <w:spacing w:after="100"/>
      <w:ind w:left="480"/>
    </w:pPr>
  </w:style>
  <w:style w:type="character" w:styleId="UnresolvedMention">
    <w:name w:val="Unresolved Mention"/>
    <w:basedOn w:val="DefaultParagraphFont"/>
    <w:uiPriority w:val="99"/>
    <w:semiHidden/>
    <w:unhideWhenUsed/>
    <w:rsid w:val="00692D13"/>
    <w:rPr>
      <w:color w:val="605E5C"/>
      <w:shd w:val="clear" w:color="auto" w:fill="E1DFDD"/>
    </w:rPr>
  </w:style>
  <w:style w:type="character" w:styleId="FollowedHyperlink">
    <w:name w:val="FollowedHyperlink"/>
    <w:basedOn w:val="DefaultParagraphFont"/>
    <w:rsid w:val="00692D1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46</TotalTime>
  <Pages>23</Pages>
  <Words>6490</Words>
  <Characters>36994</Characters>
  <Application>Microsoft Office Word</Application>
  <DocSecurity>0</DocSecurity>
  <Lines>308</Lines>
  <Paragraphs>86</Paragraphs>
  <ScaleCrop>false</ScaleCrop>
  <Company/>
  <LinksUpToDate>false</LinksUpToDate>
  <CharactersWithSpaces>43398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Bhavya Shah</cp:lastModifiedBy>
  <cp:revision>3</cp:revision>
  <dcterms:created xsi:type="dcterms:W3CDTF">2026-03-16T13:08:00Z</dcterms:created>
  <dcterms:modified xsi:type="dcterms:W3CDTF">2026-03-24T16:53:00Z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1033-12.2.0.23155</vt:lpwstr>
  </property>
  <property fmtid="{D5CDD505-2E9C-101B-9397-08002B2CF9AE}" pid="3" name="ICV">
    <vt:lpwstr>59CAD0E446C64A81A64286F7FFDDF291_13</vt:lpwstr>
  </property>
  <property fmtid="{D5CDD505-2E9C-101B-9397-08002B2CF9AE}" pid="4" name="GrammarlyDocumentId">
    <vt:lpwstr>eea70e3d-c98e-4fe4-9172-818e20485b01</vt:lpwstr>
  </property>
</Properties>
</file>